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CF9536" w14:textId="77777777" w:rsidR="00777508" w:rsidRPr="00024D5A" w:rsidRDefault="00777508" w:rsidP="00777508">
      <w:pPr>
        <w:widowControl w:val="0"/>
        <w:ind w:firstLine="284"/>
        <w:contextualSpacing/>
        <w:jc w:val="center"/>
        <w:outlineLvl w:val="0"/>
        <w:rPr>
          <w:rFonts w:ascii="Garamond" w:hAnsi="Garamond"/>
          <w:b/>
          <w:caps/>
          <w:szCs w:val="28"/>
        </w:rPr>
      </w:pPr>
      <w:r w:rsidRPr="00024D5A">
        <w:rPr>
          <w:rFonts w:ascii="Garamond" w:hAnsi="Garamond"/>
          <w:b/>
          <w:caps/>
          <w:szCs w:val="28"/>
        </w:rPr>
        <w:t>VeNDIM</w:t>
      </w:r>
    </w:p>
    <w:p w14:paraId="0D9C1CCD" w14:textId="7F0191C0" w:rsidR="00777508" w:rsidRPr="00024D5A" w:rsidRDefault="00777508" w:rsidP="00777508">
      <w:pPr>
        <w:widowControl w:val="0"/>
        <w:ind w:firstLine="284"/>
        <w:contextualSpacing/>
        <w:jc w:val="center"/>
        <w:outlineLvl w:val="0"/>
        <w:rPr>
          <w:rFonts w:ascii="Garamond" w:hAnsi="Garamond"/>
          <w:b/>
          <w:szCs w:val="28"/>
        </w:rPr>
      </w:pPr>
      <w:r w:rsidRPr="00024D5A">
        <w:rPr>
          <w:rFonts w:ascii="Garamond" w:hAnsi="Garamond"/>
          <w:b/>
          <w:szCs w:val="28"/>
        </w:rPr>
        <w:t>Nr.</w:t>
      </w:r>
      <w:r w:rsidR="00155756" w:rsidRPr="00024D5A">
        <w:rPr>
          <w:rFonts w:ascii="Garamond" w:hAnsi="Garamond"/>
          <w:b/>
          <w:szCs w:val="28"/>
        </w:rPr>
        <w:t xml:space="preserve"> </w:t>
      </w:r>
      <w:r w:rsidRPr="00024D5A">
        <w:rPr>
          <w:rFonts w:ascii="Garamond" w:hAnsi="Garamond"/>
          <w:b/>
          <w:szCs w:val="28"/>
        </w:rPr>
        <w:t>429, datë 10.6.2026</w:t>
      </w:r>
    </w:p>
    <w:p w14:paraId="39099254" w14:textId="77777777" w:rsidR="00777508" w:rsidRPr="00024D5A" w:rsidRDefault="00777508" w:rsidP="00777508">
      <w:pPr>
        <w:ind w:firstLine="284"/>
        <w:contextualSpacing/>
        <w:jc w:val="center"/>
        <w:rPr>
          <w:rFonts w:ascii="Garamond" w:hAnsi="Garamond"/>
          <w:b/>
          <w:szCs w:val="28"/>
        </w:rPr>
      </w:pPr>
    </w:p>
    <w:p w14:paraId="3F3F80A6" w14:textId="0EC29179" w:rsidR="00777508" w:rsidRPr="00024D5A" w:rsidRDefault="00777508" w:rsidP="00777508">
      <w:pPr>
        <w:pStyle w:val="Titulli"/>
        <w:ind w:firstLine="284"/>
        <w:rPr>
          <w:rFonts w:ascii="Garamond" w:hAnsi="Garamond"/>
          <w:sz w:val="24"/>
          <w:szCs w:val="28"/>
          <w:lang w:val="sq-AL"/>
        </w:rPr>
      </w:pPr>
      <w:r w:rsidRPr="00024D5A">
        <w:rPr>
          <w:rFonts w:ascii="Garamond" w:hAnsi="Garamond"/>
          <w:sz w:val="24"/>
          <w:szCs w:val="28"/>
          <w:lang w:val="sq-AL"/>
        </w:rPr>
        <w:t xml:space="preserve">PËR MIRATIMIN E PLANIT KOMBËTAR TË VEPRIMIT PËR PERSONAT ME AFTËSI TË KUFIZUARA </w:t>
      </w:r>
      <w:r w:rsidR="00657405" w:rsidRPr="00024D5A">
        <w:rPr>
          <w:rFonts w:ascii="Garamond" w:hAnsi="Garamond"/>
          <w:sz w:val="24"/>
          <w:szCs w:val="28"/>
          <w:lang w:val="sq-AL"/>
        </w:rPr>
        <w:t>2026–2030</w:t>
      </w:r>
    </w:p>
    <w:p w14:paraId="02373BDF" w14:textId="77777777" w:rsidR="00777508" w:rsidRPr="00024D5A" w:rsidRDefault="00777508" w:rsidP="00777508">
      <w:pPr>
        <w:pStyle w:val="NormalWeb"/>
        <w:spacing w:before="0" w:beforeAutospacing="0" w:after="0" w:afterAutospacing="0"/>
        <w:ind w:firstLine="284"/>
        <w:jc w:val="center"/>
        <w:rPr>
          <w:rFonts w:ascii="Garamond" w:hAnsi="Garamond"/>
          <w:b/>
          <w:szCs w:val="28"/>
          <w:lang w:val="sq-AL"/>
        </w:rPr>
      </w:pPr>
    </w:p>
    <w:p w14:paraId="1C008C24" w14:textId="77777777" w:rsidR="00777508" w:rsidRPr="00024D5A" w:rsidRDefault="00777508" w:rsidP="00777508">
      <w:pPr>
        <w:pStyle w:val="NormalWeb"/>
        <w:spacing w:before="0" w:beforeAutospacing="0" w:after="0" w:afterAutospacing="0"/>
        <w:ind w:firstLine="284"/>
        <w:jc w:val="both"/>
        <w:rPr>
          <w:rFonts w:ascii="Garamond" w:hAnsi="Garamond"/>
          <w:szCs w:val="28"/>
          <w:lang w:val="sq-AL"/>
        </w:rPr>
      </w:pPr>
      <w:r w:rsidRPr="00024D5A">
        <w:rPr>
          <w:rFonts w:ascii="Garamond" w:hAnsi="Garamond"/>
          <w:szCs w:val="28"/>
          <w:lang w:val="sq-AL"/>
        </w:rPr>
        <w:t xml:space="preserve">Në mbështetje të nenit 100 të Kushtetutës, me propozimin e ministrit të Shëndetësisë dhe Mirëqenies Sociale, Këshilli i Ministrave </w:t>
      </w:r>
    </w:p>
    <w:p w14:paraId="5C0D0869" w14:textId="77777777" w:rsidR="00777508" w:rsidRPr="00024D5A" w:rsidRDefault="00777508" w:rsidP="00777508">
      <w:pPr>
        <w:pStyle w:val="NormalWeb"/>
        <w:spacing w:before="0" w:beforeAutospacing="0" w:after="0" w:afterAutospacing="0"/>
        <w:ind w:firstLine="284"/>
        <w:jc w:val="both"/>
        <w:rPr>
          <w:rFonts w:ascii="Garamond" w:hAnsi="Garamond"/>
          <w:szCs w:val="28"/>
          <w:lang w:val="sq-AL"/>
        </w:rPr>
      </w:pPr>
    </w:p>
    <w:p w14:paraId="7B0891FC" w14:textId="77777777" w:rsidR="00777508" w:rsidRPr="00024D5A" w:rsidRDefault="00777508" w:rsidP="00777508">
      <w:pPr>
        <w:pStyle w:val="VENDOSI"/>
        <w:ind w:firstLine="284"/>
        <w:rPr>
          <w:rFonts w:ascii="Garamond" w:hAnsi="Garamond"/>
          <w:sz w:val="24"/>
          <w:szCs w:val="28"/>
          <w:lang w:val="sq-AL"/>
        </w:rPr>
      </w:pPr>
      <w:r w:rsidRPr="00024D5A">
        <w:rPr>
          <w:rFonts w:ascii="Garamond" w:hAnsi="Garamond"/>
          <w:sz w:val="24"/>
          <w:szCs w:val="28"/>
          <w:lang w:val="sq-AL"/>
        </w:rPr>
        <w:t>VENDOSI:</w:t>
      </w:r>
    </w:p>
    <w:p w14:paraId="12D57BB1" w14:textId="77777777" w:rsidR="00777508" w:rsidRPr="00024D5A" w:rsidRDefault="00777508" w:rsidP="00777508">
      <w:pPr>
        <w:ind w:firstLine="284"/>
        <w:rPr>
          <w:rFonts w:ascii="Garamond" w:hAnsi="Garamond"/>
          <w:sz w:val="22"/>
        </w:rPr>
      </w:pPr>
    </w:p>
    <w:p w14:paraId="22F6F49E" w14:textId="77015F7E" w:rsidR="00777508" w:rsidRPr="00024D5A" w:rsidRDefault="00777508" w:rsidP="00777508">
      <w:pPr>
        <w:pStyle w:val="NormalWeb"/>
        <w:spacing w:before="0" w:beforeAutospacing="0" w:after="0" w:afterAutospacing="0"/>
        <w:ind w:firstLine="284"/>
        <w:jc w:val="both"/>
        <w:rPr>
          <w:rFonts w:ascii="Garamond" w:hAnsi="Garamond"/>
          <w:szCs w:val="28"/>
          <w:lang w:val="sq-AL"/>
        </w:rPr>
      </w:pPr>
      <w:r w:rsidRPr="00024D5A">
        <w:rPr>
          <w:rFonts w:ascii="Garamond" w:hAnsi="Garamond"/>
          <w:szCs w:val="28"/>
          <w:lang w:val="sq-AL"/>
        </w:rPr>
        <w:t xml:space="preserve">1. Miratimin e Planit Kombëtar të Veprimit për Personat me Aftësi të Kufizuara </w:t>
      </w:r>
      <w:r w:rsidR="00657405" w:rsidRPr="00024D5A">
        <w:rPr>
          <w:rFonts w:ascii="Garamond" w:hAnsi="Garamond"/>
          <w:szCs w:val="28"/>
          <w:lang w:val="sq-AL"/>
        </w:rPr>
        <w:t>2026–2030</w:t>
      </w:r>
      <w:r w:rsidRPr="00024D5A">
        <w:rPr>
          <w:rFonts w:ascii="Garamond" w:hAnsi="Garamond"/>
          <w:szCs w:val="28"/>
          <w:lang w:val="sq-AL"/>
        </w:rPr>
        <w:t xml:space="preserve">, sipas tekstit që i bashkëlidhet këtij vendimi dhe është pjesë përbërëse e tij. </w:t>
      </w:r>
    </w:p>
    <w:p w14:paraId="77131787" w14:textId="428E1CA6" w:rsidR="00777508" w:rsidRPr="00024D5A" w:rsidRDefault="00777508" w:rsidP="00777508">
      <w:pPr>
        <w:pStyle w:val="NormalWeb"/>
        <w:spacing w:before="0" w:beforeAutospacing="0" w:after="0" w:afterAutospacing="0"/>
        <w:ind w:firstLine="284"/>
        <w:jc w:val="both"/>
        <w:rPr>
          <w:rFonts w:ascii="Garamond" w:hAnsi="Garamond"/>
          <w:szCs w:val="28"/>
          <w:lang w:val="sq-AL"/>
        </w:rPr>
      </w:pPr>
      <w:r w:rsidRPr="00024D5A">
        <w:rPr>
          <w:rFonts w:ascii="Garamond" w:hAnsi="Garamond"/>
          <w:szCs w:val="28"/>
          <w:lang w:val="sq-AL"/>
        </w:rPr>
        <w:t>2. Ngarkohen të gjitha ministritë dhe institucionet, sipas fushës së</w:t>
      </w:r>
      <w:r w:rsidR="008F29FA" w:rsidRPr="00024D5A">
        <w:rPr>
          <w:rFonts w:ascii="Garamond" w:hAnsi="Garamond"/>
          <w:szCs w:val="28"/>
          <w:lang w:val="sq-AL"/>
        </w:rPr>
        <w:t xml:space="preserve"> </w:t>
      </w:r>
      <w:r w:rsidRPr="00024D5A">
        <w:rPr>
          <w:rFonts w:ascii="Garamond" w:hAnsi="Garamond"/>
          <w:szCs w:val="28"/>
          <w:lang w:val="sq-AL"/>
        </w:rPr>
        <w:t>përgjegjësisë, për zbatimin e këtij vendimi.</w:t>
      </w:r>
      <w:r w:rsidR="008F29FA" w:rsidRPr="00024D5A">
        <w:rPr>
          <w:rFonts w:ascii="Garamond" w:hAnsi="Garamond"/>
          <w:szCs w:val="28"/>
          <w:lang w:val="sq-AL"/>
        </w:rPr>
        <w:t xml:space="preserve"> </w:t>
      </w:r>
    </w:p>
    <w:p w14:paraId="327A96D9" w14:textId="77777777" w:rsidR="00777508" w:rsidRPr="00024D5A" w:rsidRDefault="00777508" w:rsidP="00777508">
      <w:pPr>
        <w:pStyle w:val="NormalWeb"/>
        <w:spacing w:before="0" w:beforeAutospacing="0" w:after="0" w:afterAutospacing="0"/>
        <w:ind w:firstLine="284"/>
        <w:jc w:val="both"/>
        <w:rPr>
          <w:rFonts w:ascii="Garamond" w:hAnsi="Garamond"/>
          <w:szCs w:val="28"/>
          <w:lang w:val="sq-AL"/>
        </w:rPr>
      </w:pPr>
      <w:r w:rsidRPr="00024D5A">
        <w:rPr>
          <w:rFonts w:ascii="Garamond" w:hAnsi="Garamond"/>
          <w:szCs w:val="28"/>
          <w:lang w:val="sq-AL"/>
        </w:rPr>
        <w:t xml:space="preserve">Ky vendim hyn në fuqi pas botimit në Fletoren Zyrtare. </w:t>
      </w:r>
    </w:p>
    <w:p w14:paraId="23F9BF9A" w14:textId="77777777" w:rsidR="00777508" w:rsidRPr="00024D5A" w:rsidRDefault="00777508" w:rsidP="00777508">
      <w:pPr>
        <w:pStyle w:val="NormalWeb"/>
        <w:spacing w:before="0" w:beforeAutospacing="0" w:after="0" w:afterAutospacing="0"/>
        <w:ind w:firstLine="284"/>
        <w:jc w:val="both"/>
        <w:rPr>
          <w:rFonts w:ascii="Garamond" w:hAnsi="Garamond"/>
          <w:szCs w:val="28"/>
          <w:lang w:val="sq-AL"/>
        </w:rPr>
      </w:pPr>
    </w:p>
    <w:p w14:paraId="3F383656" w14:textId="77777777" w:rsidR="00777508" w:rsidRPr="00024D5A" w:rsidRDefault="00777508" w:rsidP="00777508">
      <w:pPr>
        <w:ind w:firstLine="284"/>
        <w:jc w:val="right"/>
        <w:rPr>
          <w:rFonts w:ascii="Garamond" w:hAnsi="Garamond"/>
          <w:b/>
          <w:bCs/>
          <w:szCs w:val="28"/>
          <w:lang w:bidi="en-US"/>
        </w:rPr>
      </w:pPr>
      <w:r w:rsidRPr="00024D5A">
        <w:rPr>
          <w:rFonts w:ascii="Garamond" w:hAnsi="Garamond"/>
          <w:bCs/>
          <w:szCs w:val="28"/>
          <w:lang w:bidi="en-US"/>
        </w:rPr>
        <w:t>ZËVENDËSKRYEMINISTËR</w:t>
      </w:r>
    </w:p>
    <w:p w14:paraId="6A894E57" w14:textId="77777777" w:rsidR="00777508" w:rsidRPr="00024D5A" w:rsidRDefault="00777508" w:rsidP="00777508">
      <w:pPr>
        <w:ind w:firstLine="284"/>
        <w:jc w:val="right"/>
        <w:rPr>
          <w:rFonts w:ascii="Garamond" w:hAnsi="Garamond"/>
          <w:b/>
        </w:rPr>
      </w:pPr>
      <w:r w:rsidRPr="00024D5A">
        <w:rPr>
          <w:rFonts w:ascii="Garamond" w:hAnsi="Garamond"/>
          <w:b/>
        </w:rPr>
        <w:t>Albana Koçiu</w:t>
      </w:r>
    </w:p>
    <w:p w14:paraId="308F5C4A" w14:textId="77777777" w:rsidR="00777508" w:rsidRPr="00024D5A" w:rsidRDefault="00777508" w:rsidP="00777508">
      <w:pPr>
        <w:ind w:firstLine="284"/>
        <w:contextualSpacing/>
        <w:jc w:val="right"/>
        <w:rPr>
          <w:rFonts w:ascii="Garamond" w:hAnsi="Garamond"/>
          <w:b/>
          <w:szCs w:val="28"/>
        </w:rPr>
      </w:pPr>
    </w:p>
    <w:p w14:paraId="2E39E543" w14:textId="77777777" w:rsidR="003E1630" w:rsidRPr="00024D5A" w:rsidRDefault="005743A8" w:rsidP="00791B1A">
      <w:pPr>
        <w:ind w:firstLine="284"/>
        <w:jc w:val="center"/>
        <w:rPr>
          <w:rFonts w:ascii="Garamond" w:eastAsia="Arial" w:hAnsi="Garamond"/>
          <w:b/>
          <w:lang w:eastAsia="en-US"/>
        </w:rPr>
      </w:pPr>
      <w:r w:rsidRPr="00024D5A">
        <w:rPr>
          <w:rFonts w:ascii="Garamond" w:eastAsia="Arial" w:hAnsi="Garamond"/>
          <w:b/>
          <w:lang w:eastAsia="en-US"/>
        </w:rPr>
        <w:t>PLANI KOMBËTAR I VEPRIMIT PËR PERSONAT ME AFTËSI TË KUFIZUARA</w:t>
      </w:r>
    </w:p>
    <w:p w14:paraId="397DDD04" w14:textId="03165728" w:rsidR="003E1630" w:rsidRPr="00024D5A" w:rsidRDefault="00657405" w:rsidP="00791B1A">
      <w:pPr>
        <w:ind w:firstLine="284"/>
        <w:jc w:val="center"/>
        <w:rPr>
          <w:rFonts w:ascii="Garamond" w:eastAsia="Arial" w:hAnsi="Garamond"/>
          <w:b/>
          <w:lang w:eastAsia="en-US"/>
        </w:rPr>
      </w:pPr>
      <w:r w:rsidRPr="00024D5A">
        <w:rPr>
          <w:rFonts w:ascii="Garamond" w:eastAsia="Arial" w:hAnsi="Garamond"/>
          <w:b/>
          <w:lang w:eastAsia="en-US"/>
        </w:rPr>
        <w:t>2026–2030</w:t>
      </w:r>
    </w:p>
    <w:p w14:paraId="50EA7563" w14:textId="77777777" w:rsidR="003E1630" w:rsidRPr="00024D5A" w:rsidRDefault="005743A8" w:rsidP="00791B1A">
      <w:pPr>
        <w:ind w:firstLine="284"/>
        <w:jc w:val="center"/>
        <w:rPr>
          <w:rFonts w:ascii="Garamond" w:eastAsia="Arial" w:hAnsi="Garamond"/>
          <w:b/>
          <w:lang w:eastAsia="en-US"/>
        </w:rPr>
      </w:pPr>
      <w:r w:rsidRPr="00024D5A">
        <w:rPr>
          <w:rFonts w:ascii="Garamond" w:eastAsia="Arial" w:hAnsi="Garamond"/>
          <w:b/>
          <w:lang w:eastAsia="en-US"/>
        </w:rPr>
        <w:t>Tiranë, 2026</w:t>
      </w:r>
    </w:p>
    <w:p w14:paraId="7E804F56" w14:textId="77777777" w:rsidR="003E1630" w:rsidRPr="00024D5A" w:rsidRDefault="003E1630" w:rsidP="00791B1A">
      <w:pPr>
        <w:ind w:firstLine="284"/>
        <w:rPr>
          <w:rFonts w:ascii="Garamond" w:eastAsia="Times New Roman" w:hAnsi="Garamond"/>
          <w:lang w:eastAsia="en-US"/>
        </w:rPr>
      </w:pPr>
    </w:p>
    <w:p w14:paraId="1B709FBD" w14:textId="77777777" w:rsidR="003E1630" w:rsidRPr="00024D5A" w:rsidRDefault="005743A8" w:rsidP="00791B1A">
      <w:pPr>
        <w:ind w:firstLine="284"/>
        <w:rPr>
          <w:rStyle w:val="IntenseReference"/>
          <w:rFonts w:ascii="Garamond" w:hAnsi="Garamond"/>
          <w:b w:val="0"/>
          <w:bCs w:val="0"/>
          <w:color w:val="auto"/>
        </w:rPr>
      </w:pPr>
      <w:r w:rsidRPr="00024D5A">
        <w:rPr>
          <w:rStyle w:val="IntenseReference"/>
          <w:rFonts w:ascii="Garamond" w:hAnsi="Garamond"/>
          <w:b w:val="0"/>
          <w:bCs w:val="0"/>
          <w:color w:val="auto"/>
        </w:rPr>
        <w:t>PËRMBAJTJA</w:t>
      </w:r>
    </w:p>
    <w:p w14:paraId="731E8E46" w14:textId="644B5062" w:rsidR="00F54ECF" w:rsidRPr="00024D5A" w:rsidRDefault="00BB3430" w:rsidP="00791B1A">
      <w:pPr>
        <w:ind w:firstLine="284"/>
        <w:rPr>
          <w:rFonts w:ascii="Garamond" w:hAnsi="Garamond"/>
        </w:rPr>
      </w:pPr>
      <w:r w:rsidRPr="00024D5A">
        <w:rPr>
          <w:rFonts w:ascii="Garamond" w:hAnsi="Garamond"/>
        </w:rPr>
        <w:t xml:space="preserve">Lista e shkurtimeve </w:t>
      </w:r>
    </w:p>
    <w:p w14:paraId="7645168D" w14:textId="1580A063" w:rsidR="00F54ECF" w:rsidRPr="00024D5A" w:rsidRDefault="00BB3430" w:rsidP="00791B1A">
      <w:pPr>
        <w:ind w:firstLine="284"/>
        <w:rPr>
          <w:rFonts w:ascii="Garamond" w:hAnsi="Garamond"/>
        </w:rPr>
      </w:pPr>
      <w:r w:rsidRPr="00024D5A">
        <w:rPr>
          <w:rFonts w:ascii="Garamond" w:hAnsi="Garamond"/>
        </w:rPr>
        <w:t xml:space="preserve">1. Hyrje </w:t>
      </w:r>
    </w:p>
    <w:p w14:paraId="537F1AA1" w14:textId="10C269E8" w:rsidR="00F54ECF" w:rsidRPr="00024D5A" w:rsidRDefault="00BB3430" w:rsidP="00791B1A">
      <w:pPr>
        <w:ind w:firstLine="284"/>
        <w:rPr>
          <w:rFonts w:ascii="Garamond" w:hAnsi="Garamond"/>
        </w:rPr>
      </w:pPr>
      <w:r w:rsidRPr="00024D5A">
        <w:rPr>
          <w:rFonts w:ascii="Garamond" w:hAnsi="Garamond"/>
        </w:rPr>
        <w:t xml:space="preserve">1. </w:t>
      </w:r>
      <w:r w:rsidR="008C4B01" w:rsidRPr="00024D5A">
        <w:rPr>
          <w:rFonts w:ascii="Garamond" w:hAnsi="Garamond"/>
        </w:rPr>
        <w:t xml:space="preserve">Përputhshmëria </w:t>
      </w:r>
      <w:r w:rsidRPr="00024D5A">
        <w:rPr>
          <w:rFonts w:ascii="Garamond" w:hAnsi="Garamond"/>
        </w:rPr>
        <w:t xml:space="preserve">me kuadrin strategjik kombëtar dhe ndërkombëtar </w:t>
      </w:r>
    </w:p>
    <w:p w14:paraId="4E2D729F" w14:textId="44163444" w:rsidR="00F54ECF" w:rsidRPr="00024D5A" w:rsidRDefault="00BB3430" w:rsidP="00791B1A">
      <w:pPr>
        <w:ind w:firstLine="284"/>
        <w:rPr>
          <w:rFonts w:ascii="Garamond" w:hAnsi="Garamond"/>
        </w:rPr>
      </w:pPr>
      <w:r w:rsidRPr="00024D5A">
        <w:rPr>
          <w:rFonts w:ascii="Garamond" w:hAnsi="Garamond"/>
        </w:rPr>
        <w:t xml:space="preserve">1.1 Kuadri ndërkombëtar </w:t>
      </w:r>
    </w:p>
    <w:p w14:paraId="40931953" w14:textId="00DB3530" w:rsidR="00F54ECF" w:rsidRPr="00024D5A" w:rsidRDefault="00BB3430" w:rsidP="00791B1A">
      <w:pPr>
        <w:ind w:firstLine="284"/>
        <w:rPr>
          <w:rFonts w:ascii="Garamond" w:hAnsi="Garamond"/>
        </w:rPr>
      </w:pPr>
      <w:r w:rsidRPr="00024D5A">
        <w:rPr>
          <w:rFonts w:ascii="Garamond" w:hAnsi="Garamond"/>
        </w:rPr>
        <w:t xml:space="preserve">1.2 Kuadri strategjik kombëtar </w:t>
      </w:r>
    </w:p>
    <w:p w14:paraId="663F5DA4" w14:textId="7285136B" w:rsidR="00F54ECF" w:rsidRPr="00024D5A" w:rsidRDefault="00BB3430" w:rsidP="00791B1A">
      <w:pPr>
        <w:ind w:firstLine="284"/>
        <w:rPr>
          <w:rFonts w:ascii="Garamond" w:hAnsi="Garamond"/>
        </w:rPr>
      </w:pPr>
      <w:r w:rsidRPr="00024D5A">
        <w:rPr>
          <w:rFonts w:ascii="Garamond" w:hAnsi="Garamond"/>
        </w:rPr>
        <w:t xml:space="preserve">1.3 Harmonizimi me strategjitë sektoriale </w:t>
      </w:r>
    </w:p>
    <w:p w14:paraId="27F84A46" w14:textId="1AE215BD" w:rsidR="00F54ECF" w:rsidRPr="00024D5A" w:rsidRDefault="00BB3430" w:rsidP="00791B1A">
      <w:pPr>
        <w:ind w:firstLine="284"/>
        <w:rPr>
          <w:rFonts w:ascii="Garamond" w:hAnsi="Garamond"/>
        </w:rPr>
      </w:pPr>
      <w:r w:rsidRPr="00024D5A">
        <w:rPr>
          <w:rFonts w:ascii="Garamond" w:hAnsi="Garamond"/>
        </w:rPr>
        <w:t xml:space="preserve">2. Analiza e gjendjes aktuale </w:t>
      </w:r>
    </w:p>
    <w:p w14:paraId="7B463645" w14:textId="4064F570" w:rsidR="00F54ECF" w:rsidRPr="00024D5A" w:rsidRDefault="00BB3430" w:rsidP="00791B1A">
      <w:pPr>
        <w:ind w:firstLine="284"/>
        <w:rPr>
          <w:rFonts w:ascii="Garamond" w:hAnsi="Garamond"/>
        </w:rPr>
      </w:pPr>
      <w:r w:rsidRPr="00024D5A">
        <w:rPr>
          <w:rFonts w:ascii="Garamond" w:hAnsi="Garamond"/>
        </w:rPr>
        <w:t xml:space="preserve">2.1 Analiza e gjendjes aktuale në fushën e aksesueshmërisë </w:t>
      </w:r>
    </w:p>
    <w:p w14:paraId="4F9CE2E9" w14:textId="3E5B409D" w:rsidR="00F54ECF" w:rsidRPr="00024D5A" w:rsidRDefault="00BB3430" w:rsidP="00791B1A">
      <w:pPr>
        <w:ind w:firstLine="284"/>
        <w:rPr>
          <w:rFonts w:ascii="Garamond" w:hAnsi="Garamond"/>
        </w:rPr>
      </w:pPr>
      <w:r w:rsidRPr="00024D5A">
        <w:rPr>
          <w:rFonts w:ascii="Garamond" w:hAnsi="Garamond"/>
        </w:rPr>
        <w:t xml:space="preserve">2.2 Analizë e gjendjes aktuale në fushën e aksesit në drejtësi dhe barazisë para ligjit </w:t>
      </w:r>
    </w:p>
    <w:p w14:paraId="50B9E992" w14:textId="5393ACD3" w:rsidR="00F54ECF" w:rsidRPr="00024D5A" w:rsidRDefault="00BB3430" w:rsidP="00791B1A">
      <w:pPr>
        <w:ind w:firstLine="284"/>
        <w:rPr>
          <w:rFonts w:ascii="Garamond" w:hAnsi="Garamond"/>
        </w:rPr>
      </w:pPr>
      <w:r w:rsidRPr="00024D5A">
        <w:rPr>
          <w:rFonts w:ascii="Garamond" w:hAnsi="Garamond"/>
        </w:rPr>
        <w:t xml:space="preserve">2.3 Analiza e gjendjes aktuale në fushën e punësimit dhe </w:t>
      </w:r>
      <w:r w:rsidR="008C4B01" w:rsidRPr="00024D5A">
        <w:rPr>
          <w:rFonts w:ascii="Garamond" w:hAnsi="Garamond"/>
        </w:rPr>
        <w:t xml:space="preserve">të </w:t>
      </w:r>
      <w:r w:rsidRPr="00024D5A">
        <w:rPr>
          <w:rFonts w:ascii="Garamond" w:hAnsi="Garamond"/>
        </w:rPr>
        <w:t xml:space="preserve">aftësimit </w:t>
      </w:r>
    </w:p>
    <w:p w14:paraId="07427995" w14:textId="64036338" w:rsidR="00F54ECF" w:rsidRPr="00024D5A" w:rsidRDefault="00BB3430" w:rsidP="00791B1A">
      <w:pPr>
        <w:ind w:firstLine="284"/>
        <w:rPr>
          <w:rFonts w:ascii="Garamond" w:hAnsi="Garamond"/>
        </w:rPr>
      </w:pPr>
      <w:r w:rsidRPr="00024D5A">
        <w:rPr>
          <w:rFonts w:ascii="Garamond" w:hAnsi="Garamond"/>
        </w:rPr>
        <w:t xml:space="preserve">2.4. Analiza e gjendjes aktuale në fushën e arsimit </w:t>
      </w:r>
    </w:p>
    <w:p w14:paraId="1C3F000E" w14:textId="77777777" w:rsidR="00F54ECF" w:rsidRPr="00024D5A" w:rsidRDefault="00F54ECF" w:rsidP="00791B1A">
      <w:pPr>
        <w:ind w:firstLine="284"/>
        <w:rPr>
          <w:rFonts w:ascii="Garamond" w:hAnsi="Garamond"/>
        </w:rPr>
      </w:pPr>
      <w:r w:rsidRPr="00024D5A">
        <w:rPr>
          <w:rFonts w:ascii="Garamond" w:hAnsi="Garamond"/>
        </w:rPr>
        <w:t xml:space="preserve">2.5. Analiza e gjendjes aktuale në fushën e mbrojtjes sociale </w:t>
      </w:r>
    </w:p>
    <w:p w14:paraId="37F1D208" w14:textId="77777777" w:rsidR="00F54ECF" w:rsidRPr="00024D5A" w:rsidRDefault="00F54ECF" w:rsidP="00791B1A">
      <w:pPr>
        <w:ind w:firstLine="284"/>
        <w:rPr>
          <w:rFonts w:ascii="Garamond" w:hAnsi="Garamond"/>
        </w:rPr>
      </w:pPr>
      <w:r w:rsidRPr="00024D5A">
        <w:rPr>
          <w:rFonts w:ascii="Garamond" w:hAnsi="Garamond"/>
        </w:rPr>
        <w:t xml:space="preserve">2.6. Analizë e gjendjes aktuale në fushën e shëndetësisë </w:t>
      </w:r>
    </w:p>
    <w:p w14:paraId="5313588B" w14:textId="77777777" w:rsidR="00F54ECF" w:rsidRPr="00024D5A" w:rsidRDefault="00F54ECF" w:rsidP="00791B1A">
      <w:pPr>
        <w:ind w:firstLine="284"/>
        <w:rPr>
          <w:rFonts w:ascii="Garamond" w:hAnsi="Garamond"/>
        </w:rPr>
      </w:pPr>
      <w:r w:rsidRPr="00024D5A">
        <w:rPr>
          <w:rFonts w:ascii="Garamond" w:hAnsi="Garamond"/>
        </w:rPr>
        <w:t xml:space="preserve">2.7 Analizë e gjendjes aktuale në fushën e pjesëmarrjes </w:t>
      </w:r>
    </w:p>
    <w:p w14:paraId="2838ABF5" w14:textId="77777777" w:rsidR="00F54ECF" w:rsidRPr="00024D5A" w:rsidRDefault="00F54ECF" w:rsidP="00791B1A">
      <w:pPr>
        <w:ind w:firstLine="284"/>
        <w:rPr>
          <w:rFonts w:ascii="Garamond" w:hAnsi="Garamond"/>
        </w:rPr>
      </w:pPr>
      <w:r w:rsidRPr="00024D5A">
        <w:rPr>
          <w:rFonts w:ascii="Garamond" w:hAnsi="Garamond"/>
        </w:rPr>
        <w:t>2.7.1 Pjesëmarrja në jetën politike</w:t>
      </w:r>
    </w:p>
    <w:p w14:paraId="21299937" w14:textId="77777777" w:rsidR="00F54ECF" w:rsidRPr="00024D5A" w:rsidRDefault="00F54ECF" w:rsidP="00791B1A">
      <w:pPr>
        <w:ind w:firstLine="284"/>
        <w:rPr>
          <w:rFonts w:ascii="Garamond" w:hAnsi="Garamond"/>
        </w:rPr>
      </w:pPr>
      <w:r w:rsidRPr="00024D5A">
        <w:rPr>
          <w:rFonts w:ascii="Garamond" w:hAnsi="Garamond"/>
        </w:rPr>
        <w:t xml:space="preserve">2.7.2 Pjesëmarrja në jetën artistike dhe kulturore </w:t>
      </w:r>
    </w:p>
    <w:p w14:paraId="53E7AA32" w14:textId="77777777" w:rsidR="00F54ECF" w:rsidRPr="00024D5A" w:rsidRDefault="00F54ECF" w:rsidP="00791B1A">
      <w:pPr>
        <w:ind w:firstLine="284"/>
        <w:rPr>
          <w:rFonts w:ascii="Garamond" w:hAnsi="Garamond"/>
        </w:rPr>
      </w:pPr>
      <w:r w:rsidRPr="00024D5A">
        <w:rPr>
          <w:rFonts w:ascii="Garamond" w:hAnsi="Garamond"/>
        </w:rPr>
        <w:t xml:space="preserve">2.7.3 Pjesëmarrja në sporte dhe aktivitete rekreative </w:t>
      </w:r>
    </w:p>
    <w:p w14:paraId="79792A7C" w14:textId="77777777" w:rsidR="00F54ECF" w:rsidRPr="00024D5A" w:rsidRDefault="00F54ECF" w:rsidP="00791B1A">
      <w:pPr>
        <w:ind w:firstLine="284"/>
        <w:rPr>
          <w:rFonts w:ascii="Garamond" w:hAnsi="Garamond"/>
        </w:rPr>
      </w:pPr>
      <w:r w:rsidRPr="00024D5A">
        <w:rPr>
          <w:rFonts w:ascii="Garamond" w:hAnsi="Garamond"/>
        </w:rPr>
        <w:t xml:space="preserve">2.8 Analizë e gjendjes aktuale në fushën e bashkëpunimit </w:t>
      </w:r>
    </w:p>
    <w:p w14:paraId="385FCD96" w14:textId="77777777" w:rsidR="00F54ECF" w:rsidRPr="00024D5A" w:rsidRDefault="00F54ECF" w:rsidP="00791B1A">
      <w:pPr>
        <w:ind w:firstLine="284"/>
        <w:rPr>
          <w:rFonts w:ascii="Garamond" w:hAnsi="Garamond"/>
        </w:rPr>
      </w:pPr>
      <w:r w:rsidRPr="00024D5A">
        <w:rPr>
          <w:rFonts w:ascii="Garamond" w:hAnsi="Garamond"/>
        </w:rPr>
        <w:t xml:space="preserve">2.8.1 Përmirësimi i funksionimit të mekanizmit kombëtar të koordinimit të politikave </w:t>
      </w:r>
    </w:p>
    <w:p w14:paraId="4E5EB4C1" w14:textId="77777777" w:rsidR="00F54ECF" w:rsidRPr="00024D5A" w:rsidRDefault="00F54ECF" w:rsidP="00791B1A">
      <w:pPr>
        <w:ind w:firstLine="284"/>
        <w:rPr>
          <w:rFonts w:ascii="Garamond" w:hAnsi="Garamond"/>
        </w:rPr>
      </w:pPr>
      <w:r w:rsidRPr="00024D5A">
        <w:rPr>
          <w:rFonts w:ascii="Garamond" w:hAnsi="Garamond"/>
        </w:rPr>
        <w:t xml:space="preserve">2.8.2 Ngritja e një sistemi administrativ të qëndrueshëm për aftësinë e kufizuar </w:t>
      </w:r>
    </w:p>
    <w:p w14:paraId="224931F9" w14:textId="77777777" w:rsidR="00F54ECF" w:rsidRPr="00024D5A" w:rsidRDefault="00F54ECF" w:rsidP="00791B1A">
      <w:pPr>
        <w:ind w:firstLine="284"/>
        <w:rPr>
          <w:rFonts w:ascii="Garamond" w:hAnsi="Garamond"/>
        </w:rPr>
      </w:pPr>
      <w:r w:rsidRPr="00024D5A">
        <w:rPr>
          <w:rFonts w:ascii="Garamond" w:hAnsi="Garamond"/>
        </w:rPr>
        <w:t xml:space="preserve">2.8.3 Bashkëpunimi rajonal dhe ndërkombëtar </w:t>
      </w:r>
    </w:p>
    <w:p w14:paraId="6D0ED979" w14:textId="77777777" w:rsidR="00F54ECF" w:rsidRPr="00024D5A" w:rsidRDefault="00F54ECF" w:rsidP="00791B1A">
      <w:pPr>
        <w:ind w:firstLine="284"/>
        <w:rPr>
          <w:rFonts w:ascii="Garamond" w:hAnsi="Garamond"/>
        </w:rPr>
      </w:pPr>
      <w:r w:rsidRPr="00024D5A">
        <w:rPr>
          <w:rFonts w:ascii="Garamond" w:hAnsi="Garamond"/>
        </w:rPr>
        <w:t xml:space="preserve">2.9 Perceptimi i grupeve të interesit </w:t>
      </w:r>
    </w:p>
    <w:p w14:paraId="6DB9E3C0" w14:textId="77777777" w:rsidR="00F54ECF" w:rsidRPr="00024D5A" w:rsidRDefault="00F54ECF" w:rsidP="00791B1A">
      <w:pPr>
        <w:ind w:firstLine="284"/>
        <w:rPr>
          <w:rFonts w:ascii="Garamond" w:hAnsi="Garamond"/>
        </w:rPr>
      </w:pPr>
      <w:r w:rsidRPr="00024D5A">
        <w:rPr>
          <w:rFonts w:ascii="Garamond" w:hAnsi="Garamond"/>
        </w:rPr>
        <w:t xml:space="preserve">3.1 Aksesueshmëria </w:t>
      </w:r>
    </w:p>
    <w:p w14:paraId="0F633311" w14:textId="77777777" w:rsidR="00F54ECF" w:rsidRPr="00024D5A" w:rsidRDefault="00F54ECF" w:rsidP="00791B1A">
      <w:pPr>
        <w:ind w:firstLine="284"/>
        <w:rPr>
          <w:rFonts w:ascii="Garamond" w:hAnsi="Garamond"/>
        </w:rPr>
      </w:pPr>
      <w:r w:rsidRPr="00024D5A">
        <w:rPr>
          <w:rFonts w:ascii="Garamond" w:hAnsi="Garamond"/>
        </w:rPr>
        <w:lastRenderedPageBreak/>
        <w:t xml:space="preserve">3.1.1 Konteksti strategjik </w:t>
      </w:r>
    </w:p>
    <w:p w14:paraId="6BAABF75" w14:textId="77777777" w:rsidR="00F54ECF" w:rsidRPr="00024D5A" w:rsidRDefault="00F54ECF" w:rsidP="00791B1A">
      <w:pPr>
        <w:ind w:firstLine="284"/>
        <w:rPr>
          <w:rFonts w:ascii="Garamond" w:hAnsi="Garamond"/>
        </w:rPr>
      </w:pPr>
      <w:r w:rsidRPr="00024D5A">
        <w:rPr>
          <w:rFonts w:ascii="Garamond" w:hAnsi="Garamond"/>
        </w:rPr>
        <w:t xml:space="preserve">3.1.2 Qëllimi, objektivat dhe masat prioritare </w:t>
      </w:r>
    </w:p>
    <w:p w14:paraId="107FD2C2" w14:textId="12C24B35" w:rsidR="00F54ECF" w:rsidRPr="00024D5A" w:rsidRDefault="00F54ECF" w:rsidP="00791B1A">
      <w:pPr>
        <w:ind w:firstLine="284"/>
        <w:rPr>
          <w:rFonts w:ascii="Garamond" w:hAnsi="Garamond"/>
        </w:rPr>
      </w:pPr>
      <w:r w:rsidRPr="00024D5A">
        <w:rPr>
          <w:rFonts w:ascii="Garamond" w:hAnsi="Garamond"/>
        </w:rPr>
        <w:t xml:space="preserve">3.2. Aksesi në </w:t>
      </w:r>
      <w:r w:rsidR="008C4B01" w:rsidRPr="00024D5A">
        <w:rPr>
          <w:rFonts w:ascii="Garamond" w:hAnsi="Garamond"/>
        </w:rPr>
        <w:t xml:space="preserve">drejtësi dhe barazia para ligjit </w:t>
      </w:r>
    </w:p>
    <w:p w14:paraId="12C51BA5" w14:textId="77777777" w:rsidR="00F54ECF" w:rsidRPr="00024D5A" w:rsidRDefault="00F54ECF" w:rsidP="00791B1A">
      <w:pPr>
        <w:ind w:firstLine="284"/>
        <w:rPr>
          <w:rFonts w:ascii="Garamond" w:hAnsi="Garamond"/>
        </w:rPr>
      </w:pPr>
      <w:r w:rsidRPr="00024D5A">
        <w:rPr>
          <w:rFonts w:ascii="Garamond" w:hAnsi="Garamond"/>
        </w:rPr>
        <w:t xml:space="preserve">3.2.1. Konteksti strategjik </w:t>
      </w:r>
    </w:p>
    <w:p w14:paraId="2EC24124" w14:textId="77777777" w:rsidR="00F54ECF" w:rsidRPr="00024D5A" w:rsidRDefault="00F54ECF" w:rsidP="00791B1A">
      <w:pPr>
        <w:ind w:firstLine="284"/>
        <w:rPr>
          <w:rFonts w:ascii="Garamond" w:hAnsi="Garamond"/>
        </w:rPr>
      </w:pPr>
      <w:r w:rsidRPr="00024D5A">
        <w:rPr>
          <w:rFonts w:ascii="Garamond" w:hAnsi="Garamond"/>
        </w:rPr>
        <w:t xml:space="preserve">3.2.2. Qëllimi, objektivat dhe masat prioritare </w:t>
      </w:r>
    </w:p>
    <w:p w14:paraId="6D49BE65" w14:textId="0B5BE036" w:rsidR="00F54ECF" w:rsidRPr="00024D5A" w:rsidRDefault="00F54ECF" w:rsidP="00791B1A">
      <w:pPr>
        <w:ind w:firstLine="284"/>
        <w:rPr>
          <w:rFonts w:ascii="Garamond" w:hAnsi="Garamond"/>
        </w:rPr>
      </w:pPr>
      <w:r w:rsidRPr="00024D5A">
        <w:rPr>
          <w:rFonts w:ascii="Garamond" w:hAnsi="Garamond"/>
        </w:rPr>
        <w:t xml:space="preserve">3.3 Punësimi dhe </w:t>
      </w:r>
      <w:r w:rsidR="008C4B01" w:rsidRPr="00024D5A">
        <w:rPr>
          <w:rFonts w:ascii="Garamond" w:hAnsi="Garamond"/>
        </w:rPr>
        <w:t xml:space="preserve">aftësimi </w:t>
      </w:r>
    </w:p>
    <w:p w14:paraId="411A0AFF" w14:textId="77777777" w:rsidR="00F54ECF" w:rsidRPr="00024D5A" w:rsidRDefault="00F54ECF" w:rsidP="00791B1A">
      <w:pPr>
        <w:ind w:firstLine="284"/>
        <w:rPr>
          <w:rFonts w:ascii="Garamond" w:hAnsi="Garamond"/>
        </w:rPr>
      </w:pPr>
      <w:r w:rsidRPr="00024D5A">
        <w:rPr>
          <w:rFonts w:ascii="Garamond" w:hAnsi="Garamond"/>
        </w:rPr>
        <w:t xml:space="preserve">3.3.1 Konteksti strategjik </w:t>
      </w:r>
    </w:p>
    <w:p w14:paraId="1F24BE77" w14:textId="77777777" w:rsidR="00F54ECF" w:rsidRPr="00024D5A" w:rsidRDefault="00F54ECF" w:rsidP="00791B1A">
      <w:pPr>
        <w:ind w:firstLine="284"/>
        <w:rPr>
          <w:rFonts w:ascii="Garamond" w:hAnsi="Garamond"/>
        </w:rPr>
      </w:pPr>
      <w:r w:rsidRPr="00024D5A">
        <w:rPr>
          <w:rFonts w:ascii="Garamond" w:hAnsi="Garamond"/>
        </w:rPr>
        <w:t xml:space="preserve">3.3.2 Qëllimi, objektivat dhe masat prioritare </w:t>
      </w:r>
    </w:p>
    <w:p w14:paraId="5FABAF4C" w14:textId="77777777" w:rsidR="00F54ECF" w:rsidRPr="00024D5A" w:rsidRDefault="00F54ECF" w:rsidP="00791B1A">
      <w:pPr>
        <w:ind w:firstLine="284"/>
        <w:rPr>
          <w:rFonts w:ascii="Garamond" w:hAnsi="Garamond"/>
        </w:rPr>
      </w:pPr>
      <w:r w:rsidRPr="00024D5A">
        <w:rPr>
          <w:rFonts w:ascii="Garamond" w:hAnsi="Garamond"/>
        </w:rPr>
        <w:t xml:space="preserve">3.4 Arsimi </w:t>
      </w:r>
    </w:p>
    <w:p w14:paraId="5870EF2B" w14:textId="77777777" w:rsidR="00F54ECF" w:rsidRPr="00024D5A" w:rsidRDefault="00F54ECF" w:rsidP="00791B1A">
      <w:pPr>
        <w:ind w:firstLine="284"/>
        <w:rPr>
          <w:rFonts w:ascii="Garamond" w:hAnsi="Garamond"/>
        </w:rPr>
      </w:pPr>
      <w:r w:rsidRPr="00024D5A">
        <w:rPr>
          <w:rFonts w:ascii="Garamond" w:hAnsi="Garamond"/>
        </w:rPr>
        <w:t xml:space="preserve">3.4.1 Konteksti strategjik </w:t>
      </w:r>
    </w:p>
    <w:p w14:paraId="7F94286C" w14:textId="77777777" w:rsidR="00F54ECF" w:rsidRPr="00024D5A" w:rsidRDefault="00F54ECF" w:rsidP="00791B1A">
      <w:pPr>
        <w:ind w:firstLine="284"/>
        <w:rPr>
          <w:rFonts w:ascii="Garamond" w:hAnsi="Garamond"/>
        </w:rPr>
      </w:pPr>
      <w:r w:rsidRPr="00024D5A">
        <w:rPr>
          <w:rFonts w:ascii="Garamond" w:hAnsi="Garamond"/>
        </w:rPr>
        <w:t xml:space="preserve">3.4.2 Qëllimi, objektivat dhe masat prioritare </w:t>
      </w:r>
    </w:p>
    <w:p w14:paraId="71DFB556" w14:textId="21E45920" w:rsidR="00F54ECF" w:rsidRPr="00024D5A" w:rsidRDefault="00F54ECF" w:rsidP="00791B1A">
      <w:pPr>
        <w:ind w:firstLine="284"/>
        <w:rPr>
          <w:rFonts w:ascii="Garamond" w:hAnsi="Garamond"/>
        </w:rPr>
      </w:pPr>
      <w:r w:rsidRPr="00024D5A">
        <w:rPr>
          <w:rFonts w:ascii="Garamond" w:hAnsi="Garamond"/>
        </w:rPr>
        <w:t xml:space="preserve">3.5 Mbrojtja </w:t>
      </w:r>
      <w:r w:rsidR="008C4B01" w:rsidRPr="00024D5A">
        <w:rPr>
          <w:rFonts w:ascii="Garamond" w:hAnsi="Garamond"/>
        </w:rPr>
        <w:t xml:space="preserve">sociale </w:t>
      </w:r>
    </w:p>
    <w:p w14:paraId="2E3C990F" w14:textId="1FB83CFF" w:rsidR="00F54ECF" w:rsidRPr="00024D5A" w:rsidRDefault="00F54ECF" w:rsidP="00791B1A">
      <w:pPr>
        <w:ind w:firstLine="284"/>
        <w:rPr>
          <w:rFonts w:ascii="Garamond" w:hAnsi="Garamond"/>
        </w:rPr>
      </w:pPr>
      <w:r w:rsidRPr="00024D5A">
        <w:rPr>
          <w:rFonts w:ascii="Garamond" w:hAnsi="Garamond"/>
        </w:rPr>
        <w:t>3.5.1</w:t>
      </w:r>
      <w:r w:rsidR="008F29FA" w:rsidRPr="00024D5A">
        <w:rPr>
          <w:rFonts w:ascii="Garamond" w:hAnsi="Garamond"/>
        </w:rPr>
        <w:t xml:space="preserve"> </w:t>
      </w:r>
      <w:r w:rsidRPr="00024D5A">
        <w:rPr>
          <w:rFonts w:ascii="Garamond" w:hAnsi="Garamond"/>
        </w:rPr>
        <w:t>Konteksti</w:t>
      </w:r>
      <w:r w:rsidR="008F29FA" w:rsidRPr="00024D5A">
        <w:rPr>
          <w:rFonts w:ascii="Garamond" w:hAnsi="Garamond"/>
        </w:rPr>
        <w:t xml:space="preserve"> </w:t>
      </w:r>
      <w:r w:rsidRPr="00024D5A">
        <w:rPr>
          <w:rFonts w:ascii="Garamond" w:hAnsi="Garamond"/>
        </w:rPr>
        <w:t xml:space="preserve">strategjik </w:t>
      </w:r>
    </w:p>
    <w:p w14:paraId="65C88ED1" w14:textId="77777777" w:rsidR="00F54ECF" w:rsidRPr="00024D5A" w:rsidRDefault="00F54ECF" w:rsidP="00791B1A">
      <w:pPr>
        <w:ind w:firstLine="284"/>
        <w:rPr>
          <w:rFonts w:ascii="Garamond" w:hAnsi="Garamond"/>
        </w:rPr>
      </w:pPr>
      <w:r w:rsidRPr="00024D5A">
        <w:rPr>
          <w:rFonts w:ascii="Garamond" w:hAnsi="Garamond"/>
        </w:rPr>
        <w:t xml:space="preserve">3.5.2 Qëllimi, objektivat dhe masat prioritare </w:t>
      </w:r>
    </w:p>
    <w:p w14:paraId="5A1BD4DF" w14:textId="77777777" w:rsidR="00F54ECF" w:rsidRPr="00024D5A" w:rsidRDefault="00F54ECF" w:rsidP="00791B1A">
      <w:pPr>
        <w:ind w:firstLine="284"/>
        <w:rPr>
          <w:rFonts w:ascii="Garamond" w:hAnsi="Garamond"/>
        </w:rPr>
      </w:pPr>
      <w:r w:rsidRPr="00024D5A">
        <w:rPr>
          <w:rFonts w:ascii="Garamond" w:hAnsi="Garamond"/>
        </w:rPr>
        <w:t xml:space="preserve">3.6 Shëndetësia </w:t>
      </w:r>
    </w:p>
    <w:p w14:paraId="78C24CE5" w14:textId="4631196F" w:rsidR="00F54ECF" w:rsidRPr="00024D5A" w:rsidRDefault="00F54ECF" w:rsidP="00791B1A">
      <w:pPr>
        <w:ind w:firstLine="284"/>
        <w:rPr>
          <w:rFonts w:ascii="Garamond" w:hAnsi="Garamond"/>
        </w:rPr>
      </w:pPr>
      <w:r w:rsidRPr="00024D5A">
        <w:rPr>
          <w:rFonts w:ascii="Garamond" w:hAnsi="Garamond"/>
        </w:rPr>
        <w:t xml:space="preserve">3.6.1 Korniza </w:t>
      </w:r>
      <w:r w:rsidR="008C4B01" w:rsidRPr="00024D5A">
        <w:rPr>
          <w:rFonts w:ascii="Garamond" w:hAnsi="Garamond"/>
        </w:rPr>
        <w:t xml:space="preserve">strategjike </w:t>
      </w:r>
    </w:p>
    <w:p w14:paraId="510CDDE2" w14:textId="77777777" w:rsidR="00F54ECF" w:rsidRPr="00024D5A" w:rsidRDefault="00F54ECF" w:rsidP="00791B1A">
      <w:pPr>
        <w:ind w:firstLine="284"/>
        <w:rPr>
          <w:rFonts w:ascii="Garamond" w:hAnsi="Garamond"/>
        </w:rPr>
      </w:pPr>
      <w:r w:rsidRPr="00024D5A">
        <w:rPr>
          <w:rFonts w:ascii="Garamond" w:hAnsi="Garamond"/>
        </w:rPr>
        <w:t xml:space="preserve">3.6.2 Qëllimi, objektivat dhe masat prioritare </w:t>
      </w:r>
    </w:p>
    <w:p w14:paraId="75A90821" w14:textId="77777777" w:rsidR="00F54ECF" w:rsidRPr="00024D5A" w:rsidRDefault="00F54ECF" w:rsidP="00791B1A">
      <w:pPr>
        <w:ind w:firstLine="284"/>
        <w:rPr>
          <w:rFonts w:ascii="Garamond" w:hAnsi="Garamond"/>
        </w:rPr>
      </w:pPr>
      <w:r w:rsidRPr="00024D5A">
        <w:rPr>
          <w:rFonts w:ascii="Garamond" w:hAnsi="Garamond"/>
        </w:rPr>
        <w:t xml:space="preserve">3.7 Përfshirja në jetën publike dhe politike </w:t>
      </w:r>
    </w:p>
    <w:p w14:paraId="70A9E2CE" w14:textId="77777777" w:rsidR="00F54ECF" w:rsidRPr="00024D5A" w:rsidRDefault="00F54ECF" w:rsidP="00791B1A">
      <w:pPr>
        <w:ind w:firstLine="284"/>
        <w:rPr>
          <w:rFonts w:ascii="Garamond" w:hAnsi="Garamond"/>
        </w:rPr>
      </w:pPr>
      <w:r w:rsidRPr="00024D5A">
        <w:rPr>
          <w:rFonts w:ascii="Garamond" w:hAnsi="Garamond"/>
        </w:rPr>
        <w:t xml:space="preserve">3.7.1 Konteksti strategjik </w:t>
      </w:r>
    </w:p>
    <w:p w14:paraId="406EECC0" w14:textId="77777777" w:rsidR="00F54ECF" w:rsidRPr="00024D5A" w:rsidRDefault="00F54ECF" w:rsidP="00791B1A">
      <w:pPr>
        <w:ind w:firstLine="284"/>
        <w:rPr>
          <w:rFonts w:ascii="Garamond" w:hAnsi="Garamond"/>
        </w:rPr>
      </w:pPr>
      <w:r w:rsidRPr="00024D5A">
        <w:rPr>
          <w:rFonts w:ascii="Garamond" w:hAnsi="Garamond"/>
        </w:rPr>
        <w:t xml:space="preserve">3.7.2 Qëllimi, objektivat dhe masat prioritare </w:t>
      </w:r>
    </w:p>
    <w:p w14:paraId="7A7D5B96" w14:textId="191DAC01" w:rsidR="00F54ECF" w:rsidRPr="00024D5A" w:rsidRDefault="00F54ECF" w:rsidP="00791B1A">
      <w:pPr>
        <w:ind w:firstLine="284"/>
        <w:rPr>
          <w:rFonts w:ascii="Garamond" w:hAnsi="Garamond"/>
        </w:rPr>
      </w:pPr>
      <w:r w:rsidRPr="00024D5A">
        <w:rPr>
          <w:rFonts w:ascii="Garamond" w:hAnsi="Garamond"/>
        </w:rPr>
        <w:t xml:space="preserve">3.8 Bashkëpunimi dhe </w:t>
      </w:r>
      <w:r w:rsidR="008C4B01" w:rsidRPr="00024D5A">
        <w:rPr>
          <w:rFonts w:ascii="Garamond" w:hAnsi="Garamond"/>
        </w:rPr>
        <w:t xml:space="preserve">koordinimi ndërinstitucional </w:t>
      </w:r>
    </w:p>
    <w:p w14:paraId="362F8187" w14:textId="5180E5B4" w:rsidR="00F54ECF" w:rsidRPr="00024D5A" w:rsidRDefault="00F54ECF" w:rsidP="00791B1A">
      <w:pPr>
        <w:ind w:firstLine="284"/>
        <w:rPr>
          <w:rFonts w:ascii="Garamond" w:hAnsi="Garamond"/>
        </w:rPr>
      </w:pPr>
      <w:r w:rsidRPr="00024D5A">
        <w:rPr>
          <w:rFonts w:ascii="Garamond" w:hAnsi="Garamond"/>
        </w:rPr>
        <w:t xml:space="preserve">3.8.1 Konteksti </w:t>
      </w:r>
      <w:r w:rsidR="008C4B01" w:rsidRPr="00024D5A">
        <w:rPr>
          <w:rFonts w:ascii="Garamond" w:hAnsi="Garamond"/>
        </w:rPr>
        <w:t xml:space="preserve">strategjik </w:t>
      </w:r>
    </w:p>
    <w:p w14:paraId="5788F195" w14:textId="77777777" w:rsidR="00F54ECF" w:rsidRPr="00024D5A" w:rsidRDefault="00F54ECF" w:rsidP="00791B1A">
      <w:pPr>
        <w:ind w:firstLine="284"/>
        <w:rPr>
          <w:rFonts w:ascii="Garamond" w:hAnsi="Garamond"/>
        </w:rPr>
      </w:pPr>
      <w:r w:rsidRPr="00024D5A">
        <w:rPr>
          <w:rFonts w:ascii="Garamond" w:hAnsi="Garamond"/>
        </w:rPr>
        <w:t xml:space="preserve">3.8.2 Qëllimi, objektivat dhe masat prioritare </w:t>
      </w:r>
    </w:p>
    <w:p w14:paraId="3BA8BD4B" w14:textId="77777777" w:rsidR="00F54ECF" w:rsidRPr="00024D5A" w:rsidRDefault="00F54ECF" w:rsidP="00791B1A">
      <w:pPr>
        <w:ind w:firstLine="284"/>
        <w:rPr>
          <w:rFonts w:ascii="Garamond" w:hAnsi="Garamond"/>
        </w:rPr>
      </w:pPr>
      <w:r w:rsidRPr="00024D5A">
        <w:rPr>
          <w:rFonts w:ascii="Garamond" w:hAnsi="Garamond"/>
        </w:rPr>
        <w:t xml:space="preserve">4. ZBATIMI, PËRGJEGJËSIA E INSTITUCIONEVE, LLOGARIDHËNIA, RAPORTIMI DHE MONITORIMI </w:t>
      </w:r>
    </w:p>
    <w:p w14:paraId="5372A9C1" w14:textId="77777777" w:rsidR="00F54ECF" w:rsidRPr="00024D5A" w:rsidRDefault="00F54ECF" w:rsidP="00791B1A">
      <w:pPr>
        <w:ind w:firstLine="284"/>
        <w:rPr>
          <w:rFonts w:ascii="Garamond" w:hAnsi="Garamond"/>
        </w:rPr>
      </w:pPr>
      <w:r w:rsidRPr="00024D5A">
        <w:rPr>
          <w:rFonts w:ascii="Garamond" w:hAnsi="Garamond"/>
        </w:rPr>
        <w:t xml:space="preserve">4.1 Përgjegjësia e institucioneve </w:t>
      </w:r>
    </w:p>
    <w:p w14:paraId="70E74433" w14:textId="61A5810C" w:rsidR="00F54ECF" w:rsidRPr="00024D5A" w:rsidRDefault="00F54ECF" w:rsidP="00791B1A">
      <w:pPr>
        <w:ind w:firstLine="284"/>
        <w:rPr>
          <w:rFonts w:ascii="Garamond" w:hAnsi="Garamond"/>
        </w:rPr>
      </w:pPr>
      <w:r w:rsidRPr="00024D5A">
        <w:rPr>
          <w:rFonts w:ascii="Garamond" w:hAnsi="Garamond"/>
        </w:rPr>
        <w:t xml:space="preserve">4.2 Raportimi dhe </w:t>
      </w:r>
      <w:r w:rsidR="008C4B01" w:rsidRPr="00024D5A">
        <w:rPr>
          <w:rFonts w:ascii="Garamond" w:hAnsi="Garamond"/>
        </w:rPr>
        <w:t xml:space="preserve">monitorimi </w:t>
      </w:r>
    </w:p>
    <w:p w14:paraId="733058BA" w14:textId="77777777" w:rsidR="00F54ECF" w:rsidRPr="00024D5A" w:rsidRDefault="00F54ECF" w:rsidP="00791B1A">
      <w:pPr>
        <w:ind w:firstLine="284"/>
        <w:rPr>
          <w:rFonts w:ascii="Garamond" w:hAnsi="Garamond"/>
        </w:rPr>
      </w:pPr>
      <w:r w:rsidRPr="00024D5A">
        <w:rPr>
          <w:rFonts w:ascii="Garamond" w:hAnsi="Garamond"/>
        </w:rPr>
        <w:t xml:space="preserve">5. INDIKATORËT </w:t>
      </w:r>
    </w:p>
    <w:p w14:paraId="20C8CFAF" w14:textId="77777777" w:rsidR="00F54ECF" w:rsidRPr="00024D5A" w:rsidRDefault="00F54ECF" w:rsidP="00791B1A">
      <w:pPr>
        <w:ind w:firstLine="284"/>
        <w:rPr>
          <w:rFonts w:ascii="Garamond" w:hAnsi="Garamond"/>
        </w:rPr>
      </w:pPr>
      <w:r w:rsidRPr="00024D5A">
        <w:rPr>
          <w:rFonts w:ascii="Garamond" w:hAnsi="Garamond"/>
        </w:rPr>
        <w:t xml:space="preserve">5.1 Aksesueshmëria </w:t>
      </w:r>
    </w:p>
    <w:p w14:paraId="52D426A5" w14:textId="1205B359" w:rsidR="00F54ECF" w:rsidRPr="00024D5A" w:rsidRDefault="00F54ECF" w:rsidP="00791B1A">
      <w:pPr>
        <w:ind w:firstLine="284"/>
        <w:rPr>
          <w:rFonts w:ascii="Garamond" w:hAnsi="Garamond"/>
        </w:rPr>
      </w:pPr>
      <w:r w:rsidRPr="00024D5A">
        <w:rPr>
          <w:rFonts w:ascii="Garamond" w:hAnsi="Garamond"/>
        </w:rPr>
        <w:t xml:space="preserve">5.2. </w:t>
      </w:r>
      <w:r w:rsidR="000C2D3A" w:rsidRPr="00024D5A">
        <w:rPr>
          <w:rFonts w:ascii="Garamond" w:hAnsi="Garamond"/>
        </w:rPr>
        <w:t xml:space="preserve">Aksesi </w:t>
      </w:r>
      <w:r w:rsidRPr="00024D5A">
        <w:rPr>
          <w:rFonts w:ascii="Garamond" w:hAnsi="Garamond"/>
        </w:rPr>
        <w:t xml:space="preserve">në </w:t>
      </w:r>
      <w:r w:rsidR="008C4B01" w:rsidRPr="00024D5A">
        <w:rPr>
          <w:rFonts w:ascii="Garamond" w:hAnsi="Garamond"/>
        </w:rPr>
        <w:t xml:space="preserve">drejtësi dhe barazia para ligjit </w:t>
      </w:r>
    </w:p>
    <w:p w14:paraId="2FDB5904" w14:textId="750D528E" w:rsidR="00F54ECF" w:rsidRPr="00024D5A" w:rsidRDefault="00F54ECF" w:rsidP="00791B1A">
      <w:pPr>
        <w:ind w:firstLine="284"/>
        <w:rPr>
          <w:rFonts w:ascii="Garamond" w:hAnsi="Garamond"/>
        </w:rPr>
      </w:pPr>
      <w:r w:rsidRPr="00024D5A">
        <w:rPr>
          <w:rFonts w:ascii="Garamond" w:hAnsi="Garamond"/>
        </w:rPr>
        <w:t>5.3</w:t>
      </w:r>
      <w:r w:rsidR="008F29FA" w:rsidRPr="00024D5A">
        <w:rPr>
          <w:rFonts w:ascii="Garamond" w:hAnsi="Garamond"/>
        </w:rPr>
        <w:t xml:space="preserve"> </w:t>
      </w:r>
      <w:r w:rsidRPr="00024D5A">
        <w:rPr>
          <w:rFonts w:ascii="Garamond" w:hAnsi="Garamond"/>
        </w:rPr>
        <w:t xml:space="preserve">Punësimi dhe </w:t>
      </w:r>
      <w:r w:rsidR="008C4B01" w:rsidRPr="00024D5A">
        <w:rPr>
          <w:rFonts w:ascii="Garamond" w:hAnsi="Garamond"/>
        </w:rPr>
        <w:t xml:space="preserve">aftësimi </w:t>
      </w:r>
    </w:p>
    <w:p w14:paraId="0CF2B676" w14:textId="77777777" w:rsidR="00F54ECF" w:rsidRPr="00024D5A" w:rsidRDefault="00F54ECF" w:rsidP="00791B1A">
      <w:pPr>
        <w:ind w:firstLine="284"/>
        <w:rPr>
          <w:rFonts w:ascii="Garamond" w:hAnsi="Garamond"/>
        </w:rPr>
      </w:pPr>
      <w:r w:rsidRPr="00024D5A">
        <w:rPr>
          <w:rFonts w:ascii="Garamond" w:hAnsi="Garamond"/>
        </w:rPr>
        <w:t xml:space="preserve">5.4 Arsimi </w:t>
      </w:r>
    </w:p>
    <w:p w14:paraId="564E95B2" w14:textId="202A7755" w:rsidR="00F54ECF" w:rsidRPr="00024D5A" w:rsidRDefault="00F54ECF" w:rsidP="00791B1A">
      <w:pPr>
        <w:ind w:firstLine="284"/>
        <w:rPr>
          <w:rFonts w:ascii="Garamond" w:hAnsi="Garamond"/>
        </w:rPr>
      </w:pPr>
      <w:r w:rsidRPr="00024D5A">
        <w:rPr>
          <w:rFonts w:ascii="Garamond" w:hAnsi="Garamond"/>
        </w:rPr>
        <w:t xml:space="preserve">5.5 Mbrojtja </w:t>
      </w:r>
      <w:r w:rsidR="008C4B01" w:rsidRPr="00024D5A">
        <w:rPr>
          <w:rFonts w:ascii="Garamond" w:hAnsi="Garamond"/>
        </w:rPr>
        <w:t xml:space="preserve">sociale </w:t>
      </w:r>
    </w:p>
    <w:p w14:paraId="1FD1BCC9" w14:textId="77777777" w:rsidR="00F54ECF" w:rsidRPr="00024D5A" w:rsidRDefault="00F54ECF" w:rsidP="00791B1A">
      <w:pPr>
        <w:ind w:firstLine="284"/>
        <w:rPr>
          <w:rFonts w:ascii="Garamond" w:hAnsi="Garamond"/>
        </w:rPr>
      </w:pPr>
      <w:r w:rsidRPr="00024D5A">
        <w:rPr>
          <w:rFonts w:ascii="Garamond" w:hAnsi="Garamond"/>
        </w:rPr>
        <w:t>5.6 Shëndetësia</w:t>
      </w:r>
    </w:p>
    <w:p w14:paraId="4C442CCE" w14:textId="77777777" w:rsidR="00F54ECF" w:rsidRPr="00024D5A" w:rsidRDefault="00F54ECF" w:rsidP="00791B1A">
      <w:pPr>
        <w:ind w:firstLine="284"/>
        <w:rPr>
          <w:rFonts w:ascii="Garamond" w:hAnsi="Garamond"/>
        </w:rPr>
      </w:pPr>
      <w:r w:rsidRPr="00024D5A">
        <w:rPr>
          <w:rFonts w:ascii="Garamond" w:hAnsi="Garamond"/>
        </w:rPr>
        <w:t xml:space="preserve">5.7 Pjesëmarrja </w:t>
      </w:r>
    </w:p>
    <w:p w14:paraId="6E77C71B" w14:textId="77777777" w:rsidR="00F54ECF" w:rsidRPr="00024D5A" w:rsidRDefault="00F54ECF" w:rsidP="00791B1A">
      <w:pPr>
        <w:ind w:firstLine="284"/>
        <w:rPr>
          <w:rFonts w:ascii="Garamond" w:hAnsi="Garamond"/>
        </w:rPr>
      </w:pPr>
      <w:r w:rsidRPr="00024D5A">
        <w:rPr>
          <w:rFonts w:ascii="Garamond" w:hAnsi="Garamond"/>
        </w:rPr>
        <w:t xml:space="preserve">5.8 Bashkëpunimi </w:t>
      </w:r>
    </w:p>
    <w:p w14:paraId="041E42B6" w14:textId="600DAE09" w:rsidR="00F54ECF" w:rsidRPr="00024D5A" w:rsidRDefault="00F54ECF" w:rsidP="00791B1A">
      <w:pPr>
        <w:ind w:firstLine="284"/>
        <w:rPr>
          <w:rFonts w:ascii="Garamond" w:hAnsi="Garamond"/>
        </w:rPr>
      </w:pPr>
      <w:r w:rsidRPr="00024D5A">
        <w:rPr>
          <w:rFonts w:ascii="Garamond" w:hAnsi="Garamond"/>
        </w:rPr>
        <w:t>6. VLERËSIMI DHE IMPAKTI EKONOMIK DHE FINANCIAR I PLANIT</w:t>
      </w:r>
      <w:r w:rsidR="008F29FA" w:rsidRPr="00024D5A">
        <w:rPr>
          <w:rFonts w:ascii="Garamond" w:hAnsi="Garamond"/>
        </w:rPr>
        <w:t xml:space="preserve"> </w:t>
      </w:r>
      <w:r w:rsidRPr="00024D5A">
        <w:rPr>
          <w:rFonts w:ascii="Garamond" w:hAnsi="Garamond"/>
        </w:rPr>
        <w:t>KOMBËTAR TË VEPRIMIT PËR PERSONAT ME AFTËSI TË KUFIZUAR</w:t>
      </w:r>
      <w:r w:rsidR="00170447" w:rsidRPr="00024D5A">
        <w:rPr>
          <w:rFonts w:ascii="Garamond" w:hAnsi="Garamond"/>
        </w:rPr>
        <w:t>A</w:t>
      </w:r>
      <w:r w:rsidRPr="00024D5A">
        <w:rPr>
          <w:rFonts w:ascii="Garamond" w:hAnsi="Garamond"/>
        </w:rPr>
        <w:t xml:space="preserve"> </w:t>
      </w:r>
      <w:r w:rsidR="00657405" w:rsidRPr="00024D5A">
        <w:rPr>
          <w:rFonts w:ascii="Garamond" w:hAnsi="Garamond"/>
        </w:rPr>
        <w:t>2026–2030</w:t>
      </w:r>
      <w:r w:rsidRPr="00024D5A">
        <w:rPr>
          <w:rFonts w:ascii="Garamond" w:hAnsi="Garamond"/>
        </w:rPr>
        <w:t xml:space="preserve"> </w:t>
      </w:r>
    </w:p>
    <w:p w14:paraId="17F1E2D0" w14:textId="77777777" w:rsidR="00F54ECF" w:rsidRPr="00024D5A" w:rsidRDefault="00F54ECF" w:rsidP="00791B1A">
      <w:pPr>
        <w:ind w:firstLine="284"/>
        <w:rPr>
          <w:rFonts w:ascii="Garamond" w:hAnsi="Garamond"/>
        </w:rPr>
      </w:pPr>
      <w:r w:rsidRPr="00024D5A">
        <w:rPr>
          <w:rFonts w:ascii="Garamond" w:hAnsi="Garamond"/>
        </w:rPr>
        <w:t xml:space="preserve">7. KUADRI LIGJOR DHE STRATEGJITË SEKTORIALE TË VENDIT </w:t>
      </w:r>
    </w:p>
    <w:p w14:paraId="3596FCDC" w14:textId="20856FB7" w:rsidR="00F54ECF" w:rsidRPr="00024D5A" w:rsidRDefault="00F54ECF" w:rsidP="00791B1A">
      <w:pPr>
        <w:ind w:firstLine="284"/>
        <w:rPr>
          <w:rFonts w:ascii="Garamond" w:hAnsi="Garamond"/>
        </w:rPr>
      </w:pPr>
      <w:r w:rsidRPr="00024D5A">
        <w:rPr>
          <w:rFonts w:ascii="Garamond" w:hAnsi="Garamond"/>
        </w:rPr>
        <w:t xml:space="preserve">7.1 Kuadri </w:t>
      </w:r>
      <w:r w:rsidR="008C4B01" w:rsidRPr="00024D5A">
        <w:rPr>
          <w:rFonts w:ascii="Garamond" w:hAnsi="Garamond"/>
        </w:rPr>
        <w:t xml:space="preserve">ligjor </w:t>
      </w:r>
    </w:p>
    <w:p w14:paraId="7C6F5FB5" w14:textId="20C64079" w:rsidR="00F54ECF" w:rsidRPr="00024D5A" w:rsidRDefault="00F54ECF" w:rsidP="00791B1A">
      <w:pPr>
        <w:ind w:firstLine="284"/>
        <w:rPr>
          <w:rFonts w:ascii="Garamond" w:hAnsi="Garamond"/>
        </w:rPr>
      </w:pPr>
      <w:r w:rsidRPr="00024D5A">
        <w:rPr>
          <w:rFonts w:ascii="Garamond" w:hAnsi="Garamond"/>
        </w:rPr>
        <w:t xml:space="preserve">7.2. Strategjitë </w:t>
      </w:r>
      <w:r w:rsidR="008C4B01" w:rsidRPr="00024D5A">
        <w:rPr>
          <w:rFonts w:ascii="Garamond" w:hAnsi="Garamond"/>
        </w:rPr>
        <w:t xml:space="preserve">sektoriale </w:t>
      </w:r>
    </w:p>
    <w:p w14:paraId="57B79026" w14:textId="62109268" w:rsidR="00F54ECF" w:rsidRPr="00024D5A" w:rsidRDefault="00F54ECF" w:rsidP="008C4B01">
      <w:pPr>
        <w:ind w:firstLine="284"/>
        <w:jc w:val="both"/>
        <w:rPr>
          <w:rFonts w:ascii="Garamond" w:hAnsi="Garamond"/>
        </w:rPr>
      </w:pPr>
      <w:r w:rsidRPr="00024D5A">
        <w:rPr>
          <w:rFonts w:ascii="Garamond" w:hAnsi="Garamond"/>
        </w:rPr>
        <w:t>8. LOGJIKA E NDËRHYRJES SIPAS FUSHAVE,</w:t>
      </w:r>
      <w:r w:rsidR="008F29FA" w:rsidRPr="00024D5A">
        <w:rPr>
          <w:rFonts w:ascii="Garamond" w:hAnsi="Garamond"/>
        </w:rPr>
        <w:t xml:space="preserve"> </w:t>
      </w:r>
      <w:r w:rsidRPr="00024D5A">
        <w:rPr>
          <w:rFonts w:ascii="Garamond" w:hAnsi="Garamond"/>
        </w:rPr>
        <w:t>OBJEKTIVAVE,</w:t>
      </w:r>
      <w:r w:rsidR="008C4B01" w:rsidRPr="00024D5A">
        <w:rPr>
          <w:rFonts w:ascii="Garamond" w:hAnsi="Garamond"/>
        </w:rPr>
        <w:t xml:space="preserve"> </w:t>
      </w:r>
      <w:r w:rsidRPr="00024D5A">
        <w:rPr>
          <w:rFonts w:ascii="Garamond" w:hAnsi="Garamond"/>
        </w:rPr>
        <w:t>MASAVE,</w:t>
      </w:r>
      <w:r w:rsidR="008F29FA" w:rsidRPr="00024D5A">
        <w:rPr>
          <w:rFonts w:ascii="Garamond" w:hAnsi="Garamond"/>
        </w:rPr>
        <w:t xml:space="preserve"> </w:t>
      </w:r>
      <w:r w:rsidRPr="00024D5A">
        <w:rPr>
          <w:rFonts w:ascii="Garamond" w:hAnsi="Garamond"/>
        </w:rPr>
        <w:t xml:space="preserve">AKTIVITETEVE </w:t>
      </w:r>
      <w:r w:rsidR="008F29FA" w:rsidRPr="00024D5A">
        <w:rPr>
          <w:rFonts w:ascii="Garamond" w:hAnsi="Garamond"/>
        </w:rPr>
        <w:t>PËR</w:t>
      </w:r>
      <w:r w:rsidRPr="00024D5A">
        <w:rPr>
          <w:rFonts w:ascii="Garamond" w:hAnsi="Garamond"/>
        </w:rPr>
        <w:t xml:space="preserve"> PKVPAK VITI </w:t>
      </w:r>
      <w:r w:rsidR="00657405" w:rsidRPr="00024D5A">
        <w:rPr>
          <w:rFonts w:ascii="Garamond" w:hAnsi="Garamond"/>
        </w:rPr>
        <w:t>2026–2030</w:t>
      </w:r>
      <w:r w:rsidRPr="00024D5A">
        <w:rPr>
          <w:rFonts w:ascii="Garamond" w:hAnsi="Garamond"/>
        </w:rPr>
        <w:t xml:space="preserve"> </w:t>
      </w:r>
    </w:p>
    <w:p w14:paraId="7000AB8E" w14:textId="10334D9D" w:rsidR="00B27B08" w:rsidRPr="00024D5A" w:rsidRDefault="00B27B08" w:rsidP="00791B1A">
      <w:pPr>
        <w:pStyle w:val="TOCHeading"/>
        <w:spacing w:before="0" w:line="240" w:lineRule="auto"/>
        <w:ind w:firstLine="284"/>
        <w:rPr>
          <w:rFonts w:ascii="Garamond" w:hAnsi="Garamond"/>
          <w:color w:val="auto"/>
          <w:sz w:val="24"/>
          <w:szCs w:val="24"/>
          <w:lang w:val="sq-AL"/>
        </w:rPr>
      </w:pPr>
    </w:p>
    <w:p w14:paraId="69073138" w14:textId="77777777" w:rsidR="003E1630" w:rsidRPr="00024D5A" w:rsidRDefault="005743A8" w:rsidP="00791B1A">
      <w:pPr>
        <w:pStyle w:val="Heading2"/>
        <w:spacing w:before="0"/>
        <w:ind w:firstLine="284"/>
        <w:rPr>
          <w:rFonts w:ascii="Garamond" w:hAnsi="Garamond"/>
          <w:color w:val="auto"/>
          <w:sz w:val="24"/>
          <w:szCs w:val="24"/>
        </w:rPr>
      </w:pPr>
      <w:bookmarkStart w:id="0" w:name="_Toc231489607"/>
      <w:r w:rsidRPr="00024D5A">
        <w:rPr>
          <w:rFonts w:ascii="Garamond" w:hAnsi="Garamond"/>
          <w:color w:val="auto"/>
          <w:sz w:val="24"/>
          <w:szCs w:val="24"/>
        </w:rPr>
        <w:t>LISTA E SHKURTIMEVE</w:t>
      </w:r>
      <w:bookmarkEnd w:id="0"/>
      <w:r w:rsidRPr="00024D5A">
        <w:rPr>
          <w:rFonts w:ascii="Garamond" w:hAnsi="Garamond"/>
          <w:color w:val="auto"/>
          <w:sz w:val="24"/>
          <w:szCs w:val="24"/>
        </w:rPr>
        <w:t xml:space="preserve"> </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1"/>
        <w:gridCol w:w="7221"/>
      </w:tblGrid>
      <w:tr w:rsidR="00F54ECF" w:rsidRPr="00024D5A" w14:paraId="67FC8D4F" w14:textId="77777777" w:rsidTr="00BB3430">
        <w:tc>
          <w:tcPr>
            <w:tcW w:w="0" w:type="auto"/>
          </w:tcPr>
          <w:p w14:paraId="3B5512EA" w14:textId="1E748807" w:rsidR="00F54ECF" w:rsidRPr="00024D5A" w:rsidRDefault="00F54ECF" w:rsidP="00791B1A">
            <w:pPr>
              <w:rPr>
                <w:rFonts w:ascii="Garamond" w:hAnsi="Garamond"/>
              </w:rPr>
            </w:pPr>
            <w:r w:rsidRPr="00024D5A">
              <w:rPr>
                <w:rFonts w:ascii="Garamond" w:hAnsi="Garamond"/>
              </w:rPr>
              <w:t>AFP</w:t>
            </w:r>
          </w:p>
        </w:tc>
        <w:tc>
          <w:tcPr>
            <w:tcW w:w="0" w:type="auto"/>
          </w:tcPr>
          <w:p w14:paraId="49C364BD" w14:textId="14092B4E" w:rsidR="00F54ECF" w:rsidRPr="00024D5A" w:rsidRDefault="00F54ECF" w:rsidP="00791B1A">
            <w:pPr>
              <w:rPr>
                <w:rFonts w:ascii="Garamond" w:hAnsi="Garamond"/>
              </w:rPr>
            </w:pPr>
            <w:r w:rsidRPr="00024D5A">
              <w:rPr>
                <w:rFonts w:ascii="Garamond" w:hAnsi="Garamond"/>
              </w:rPr>
              <w:t xml:space="preserve">Arsimi dhe </w:t>
            </w:r>
            <w:r w:rsidR="008C4B01" w:rsidRPr="00024D5A">
              <w:rPr>
                <w:rFonts w:ascii="Garamond" w:hAnsi="Garamond"/>
              </w:rPr>
              <w:t>formimi profesional</w:t>
            </w:r>
          </w:p>
        </w:tc>
      </w:tr>
      <w:tr w:rsidR="00F54ECF" w:rsidRPr="00024D5A" w14:paraId="3FF950C6" w14:textId="77777777" w:rsidTr="00BB3430">
        <w:tc>
          <w:tcPr>
            <w:tcW w:w="0" w:type="auto"/>
          </w:tcPr>
          <w:p w14:paraId="5EC60A0E" w14:textId="77933008" w:rsidR="00F54ECF" w:rsidRPr="00024D5A" w:rsidRDefault="00F54ECF" w:rsidP="00791B1A">
            <w:pPr>
              <w:rPr>
                <w:rFonts w:ascii="Garamond" w:hAnsi="Garamond"/>
              </w:rPr>
            </w:pPr>
            <w:r w:rsidRPr="00024D5A">
              <w:rPr>
                <w:rFonts w:ascii="Garamond" w:hAnsi="Garamond"/>
              </w:rPr>
              <w:t>AK</w:t>
            </w:r>
          </w:p>
        </w:tc>
        <w:tc>
          <w:tcPr>
            <w:tcW w:w="0" w:type="auto"/>
          </w:tcPr>
          <w:p w14:paraId="6E7CACAD" w14:textId="3447073B" w:rsidR="00F54ECF" w:rsidRPr="00024D5A" w:rsidRDefault="00F54ECF" w:rsidP="00791B1A">
            <w:pPr>
              <w:rPr>
                <w:rFonts w:ascii="Garamond" w:hAnsi="Garamond"/>
              </w:rPr>
            </w:pPr>
            <w:r w:rsidRPr="00024D5A">
              <w:rPr>
                <w:rFonts w:ascii="Garamond" w:hAnsi="Garamond"/>
              </w:rPr>
              <w:t xml:space="preserve">Aftësia e </w:t>
            </w:r>
            <w:r w:rsidR="008C4B01" w:rsidRPr="00024D5A">
              <w:rPr>
                <w:rFonts w:ascii="Garamond" w:hAnsi="Garamond"/>
              </w:rPr>
              <w:t>kufizuar</w:t>
            </w:r>
          </w:p>
        </w:tc>
      </w:tr>
      <w:tr w:rsidR="00F54ECF" w:rsidRPr="00024D5A" w14:paraId="6386590C" w14:textId="77777777" w:rsidTr="00BB3430">
        <w:tc>
          <w:tcPr>
            <w:tcW w:w="0" w:type="auto"/>
          </w:tcPr>
          <w:p w14:paraId="5A9C935F" w14:textId="64A6ABA6" w:rsidR="00F54ECF" w:rsidRPr="00024D5A" w:rsidRDefault="00F54ECF" w:rsidP="00791B1A">
            <w:pPr>
              <w:rPr>
                <w:rFonts w:ascii="Garamond" w:hAnsi="Garamond"/>
              </w:rPr>
            </w:pPr>
            <w:r w:rsidRPr="00024D5A">
              <w:rPr>
                <w:rFonts w:ascii="Garamond" w:hAnsi="Garamond"/>
              </w:rPr>
              <w:t>AKAFPK</w:t>
            </w:r>
          </w:p>
        </w:tc>
        <w:tc>
          <w:tcPr>
            <w:tcW w:w="0" w:type="auto"/>
          </w:tcPr>
          <w:p w14:paraId="43CE7C60" w14:textId="43C7D757" w:rsidR="00F54ECF" w:rsidRPr="00024D5A" w:rsidRDefault="00F54ECF" w:rsidP="00791B1A">
            <w:pPr>
              <w:rPr>
                <w:rFonts w:ascii="Garamond" w:hAnsi="Garamond"/>
              </w:rPr>
            </w:pPr>
            <w:r w:rsidRPr="00024D5A">
              <w:rPr>
                <w:rFonts w:ascii="Garamond" w:hAnsi="Garamond"/>
              </w:rPr>
              <w:t>Agjencia Kombëtare e Arsimit, Formimit Profesional dhe Kualifikimeve</w:t>
            </w:r>
          </w:p>
        </w:tc>
      </w:tr>
      <w:tr w:rsidR="00F54ECF" w:rsidRPr="00024D5A" w14:paraId="026CEB62" w14:textId="77777777" w:rsidTr="00BB3430">
        <w:tc>
          <w:tcPr>
            <w:tcW w:w="0" w:type="auto"/>
          </w:tcPr>
          <w:p w14:paraId="341309F6" w14:textId="6913EC2C" w:rsidR="00F54ECF" w:rsidRPr="00024D5A" w:rsidRDefault="00F54ECF" w:rsidP="00791B1A">
            <w:pPr>
              <w:rPr>
                <w:rFonts w:ascii="Garamond" w:hAnsi="Garamond"/>
              </w:rPr>
            </w:pPr>
            <w:r w:rsidRPr="00024D5A">
              <w:rPr>
                <w:rFonts w:ascii="Garamond" w:hAnsi="Garamond"/>
              </w:rPr>
              <w:lastRenderedPageBreak/>
              <w:t>AKEP</w:t>
            </w:r>
          </w:p>
        </w:tc>
        <w:tc>
          <w:tcPr>
            <w:tcW w:w="0" w:type="auto"/>
          </w:tcPr>
          <w:p w14:paraId="5971EBB9" w14:textId="7578887C" w:rsidR="00F54ECF" w:rsidRPr="00024D5A" w:rsidRDefault="00F54ECF" w:rsidP="00791B1A">
            <w:pPr>
              <w:rPr>
                <w:rFonts w:ascii="Garamond" w:hAnsi="Garamond"/>
              </w:rPr>
            </w:pPr>
            <w:r w:rsidRPr="00024D5A">
              <w:rPr>
                <w:rFonts w:ascii="Garamond" w:hAnsi="Garamond"/>
              </w:rPr>
              <w:t>Autoriteti i Komunikimeve Elektronike dhe Postare</w:t>
            </w:r>
          </w:p>
        </w:tc>
      </w:tr>
      <w:tr w:rsidR="00F54ECF" w:rsidRPr="00024D5A" w14:paraId="69C38ACA" w14:textId="77777777" w:rsidTr="00BB3430">
        <w:tc>
          <w:tcPr>
            <w:tcW w:w="0" w:type="auto"/>
          </w:tcPr>
          <w:p w14:paraId="278EB38B" w14:textId="3C585144" w:rsidR="00F54ECF" w:rsidRPr="00024D5A" w:rsidRDefault="00F54ECF" w:rsidP="00791B1A">
            <w:pPr>
              <w:rPr>
                <w:rFonts w:ascii="Garamond" w:hAnsi="Garamond"/>
              </w:rPr>
            </w:pPr>
            <w:r w:rsidRPr="00024D5A">
              <w:rPr>
                <w:rFonts w:ascii="Garamond" w:hAnsi="Garamond"/>
              </w:rPr>
              <w:t>AKMC</w:t>
            </w:r>
          </w:p>
        </w:tc>
        <w:tc>
          <w:tcPr>
            <w:tcW w:w="0" w:type="auto"/>
          </w:tcPr>
          <w:p w14:paraId="288AA408" w14:textId="2C18E666" w:rsidR="00F54ECF" w:rsidRPr="00024D5A" w:rsidRDefault="00F54ECF" w:rsidP="00791B1A">
            <w:pPr>
              <w:rPr>
                <w:rFonts w:ascii="Garamond" w:hAnsi="Garamond"/>
              </w:rPr>
            </w:pPr>
            <w:r w:rsidRPr="00024D5A">
              <w:rPr>
                <w:rFonts w:ascii="Garamond" w:hAnsi="Garamond"/>
              </w:rPr>
              <w:t>Agjencia Kombëtare e Mbrojtjes Civile</w:t>
            </w:r>
          </w:p>
        </w:tc>
      </w:tr>
      <w:tr w:rsidR="00F54ECF" w:rsidRPr="00024D5A" w14:paraId="67A9CBEB" w14:textId="77777777" w:rsidTr="00BB3430">
        <w:tc>
          <w:tcPr>
            <w:tcW w:w="0" w:type="auto"/>
          </w:tcPr>
          <w:p w14:paraId="0DB056F4" w14:textId="23326C28" w:rsidR="00F54ECF" w:rsidRPr="00024D5A" w:rsidRDefault="00F54ECF" w:rsidP="00791B1A">
            <w:pPr>
              <w:rPr>
                <w:rFonts w:ascii="Garamond" w:hAnsi="Garamond"/>
              </w:rPr>
            </w:pPr>
            <w:r w:rsidRPr="00024D5A">
              <w:rPr>
                <w:rFonts w:ascii="Garamond" w:hAnsi="Garamond"/>
              </w:rPr>
              <w:t>AKPA</w:t>
            </w:r>
          </w:p>
        </w:tc>
        <w:tc>
          <w:tcPr>
            <w:tcW w:w="0" w:type="auto"/>
          </w:tcPr>
          <w:p w14:paraId="410493E0" w14:textId="524B9984" w:rsidR="00F54ECF" w:rsidRPr="00024D5A" w:rsidRDefault="00F54ECF" w:rsidP="00791B1A">
            <w:pPr>
              <w:rPr>
                <w:rFonts w:ascii="Garamond" w:hAnsi="Garamond"/>
              </w:rPr>
            </w:pPr>
            <w:r w:rsidRPr="00024D5A">
              <w:rPr>
                <w:rFonts w:ascii="Garamond" w:hAnsi="Garamond"/>
              </w:rPr>
              <w:t>Agjencia Kombëtare e Punësimit dhe Aftësive</w:t>
            </w:r>
          </w:p>
        </w:tc>
      </w:tr>
      <w:tr w:rsidR="00F54ECF" w:rsidRPr="00024D5A" w14:paraId="4B03FDB7" w14:textId="77777777" w:rsidTr="00BB3430">
        <w:tc>
          <w:tcPr>
            <w:tcW w:w="0" w:type="auto"/>
          </w:tcPr>
          <w:p w14:paraId="7800E483" w14:textId="606BF4D3" w:rsidR="00F54ECF" w:rsidRPr="00024D5A" w:rsidRDefault="00F54ECF" w:rsidP="00791B1A">
            <w:pPr>
              <w:rPr>
                <w:rFonts w:ascii="Garamond" w:hAnsi="Garamond"/>
              </w:rPr>
            </w:pPr>
            <w:r w:rsidRPr="00024D5A">
              <w:rPr>
                <w:rFonts w:ascii="Garamond" w:hAnsi="Garamond"/>
              </w:rPr>
              <w:t>AKSHI</w:t>
            </w:r>
          </w:p>
        </w:tc>
        <w:tc>
          <w:tcPr>
            <w:tcW w:w="0" w:type="auto"/>
          </w:tcPr>
          <w:p w14:paraId="554B763E" w14:textId="62E573C9" w:rsidR="00F54ECF" w:rsidRPr="00024D5A" w:rsidRDefault="00F54ECF" w:rsidP="00791B1A">
            <w:pPr>
              <w:rPr>
                <w:rFonts w:ascii="Garamond" w:hAnsi="Garamond"/>
              </w:rPr>
            </w:pPr>
            <w:r w:rsidRPr="00024D5A">
              <w:rPr>
                <w:rFonts w:ascii="Garamond" w:hAnsi="Garamond"/>
              </w:rPr>
              <w:t>Agjencia Kombëtare e Shoqërisë së Informacionit</w:t>
            </w:r>
          </w:p>
        </w:tc>
      </w:tr>
      <w:tr w:rsidR="00F54ECF" w:rsidRPr="00024D5A" w14:paraId="714582EB" w14:textId="77777777" w:rsidTr="00BB3430">
        <w:tc>
          <w:tcPr>
            <w:tcW w:w="0" w:type="auto"/>
          </w:tcPr>
          <w:p w14:paraId="73294379" w14:textId="289C28A2" w:rsidR="00F54ECF" w:rsidRPr="00024D5A" w:rsidRDefault="00F54ECF" w:rsidP="00791B1A">
            <w:pPr>
              <w:rPr>
                <w:rFonts w:ascii="Garamond" w:hAnsi="Garamond"/>
              </w:rPr>
            </w:pPr>
            <w:r w:rsidRPr="00024D5A">
              <w:rPr>
                <w:rFonts w:ascii="Garamond" w:hAnsi="Garamond"/>
              </w:rPr>
              <w:t>AMA</w:t>
            </w:r>
          </w:p>
        </w:tc>
        <w:tc>
          <w:tcPr>
            <w:tcW w:w="0" w:type="auto"/>
          </w:tcPr>
          <w:p w14:paraId="110E6BAD" w14:textId="1797D8D0" w:rsidR="00F54ECF" w:rsidRPr="00024D5A" w:rsidRDefault="00F54ECF" w:rsidP="00791B1A">
            <w:pPr>
              <w:rPr>
                <w:rFonts w:ascii="Garamond" w:hAnsi="Garamond"/>
              </w:rPr>
            </w:pPr>
            <w:r w:rsidRPr="00024D5A">
              <w:rPr>
                <w:rFonts w:ascii="Garamond" w:hAnsi="Garamond"/>
              </w:rPr>
              <w:t>Autoriteti i Mediave Audiovizive</w:t>
            </w:r>
          </w:p>
        </w:tc>
      </w:tr>
      <w:tr w:rsidR="00F54ECF" w:rsidRPr="00024D5A" w14:paraId="4BBF59B2" w14:textId="77777777" w:rsidTr="00BB3430">
        <w:tc>
          <w:tcPr>
            <w:tcW w:w="0" w:type="auto"/>
          </w:tcPr>
          <w:p w14:paraId="12BC5E9F" w14:textId="09CF8A80" w:rsidR="00F54ECF" w:rsidRPr="00024D5A" w:rsidRDefault="00F54ECF" w:rsidP="00791B1A">
            <w:pPr>
              <w:rPr>
                <w:rFonts w:ascii="Garamond" w:hAnsi="Garamond"/>
              </w:rPr>
            </w:pPr>
            <w:r w:rsidRPr="00024D5A">
              <w:rPr>
                <w:rFonts w:ascii="Garamond" w:hAnsi="Garamond"/>
              </w:rPr>
              <w:t>AMVV</w:t>
            </w:r>
          </w:p>
        </w:tc>
        <w:tc>
          <w:tcPr>
            <w:tcW w:w="0" w:type="auto"/>
          </w:tcPr>
          <w:p w14:paraId="5F86A6F1" w14:textId="160D7D65" w:rsidR="00F54ECF" w:rsidRPr="00024D5A" w:rsidRDefault="00F54ECF" w:rsidP="00791B1A">
            <w:pPr>
              <w:rPr>
                <w:rFonts w:ascii="Garamond" w:hAnsi="Garamond"/>
              </w:rPr>
            </w:pPr>
            <w:r w:rsidRPr="00024D5A">
              <w:rPr>
                <w:rFonts w:ascii="Garamond" w:hAnsi="Garamond"/>
              </w:rPr>
              <w:t xml:space="preserve">Agjencia </w:t>
            </w:r>
            <w:r w:rsidR="008C4B01" w:rsidRPr="00024D5A">
              <w:rPr>
                <w:rFonts w:ascii="Garamond" w:hAnsi="Garamond"/>
              </w:rPr>
              <w:t xml:space="preserve">për </w:t>
            </w:r>
            <w:r w:rsidRPr="00024D5A">
              <w:rPr>
                <w:rFonts w:ascii="Garamond" w:hAnsi="Garamond"/>
              </w:rPr>
              <w:t>Mbështetjen e Vetëqeverisjes Vendore</w:t>
            </w:r>
          </w:p>
        </w:tc>
      </w:tr>
      <w:tr w:rsidR="00F54ECF" w:rsidRPr="00024D5A" w14:paraId="1E549D81" w14:textId="77777777" w:rsidTr="00BB3430">
        <w:tc>
          <w:tcPr>
            <w:tcW w:w="0" w:type="auto"/>
          </w:tcPr>
          <w:p w14:paraId="06E0DBF5" w14:textId="7A00F416" w:rsidR="00F54ECF" w:rsidRPr="00024D5A" w:rsidRDefault="00F54ECF" w:rsidP="00791B1A">
            <w:pPr>
              <w:rPr>
                <w:rFonts w:ascii="Garamond" w:hAnsi="Garamond"/>
              </w:rPr>
            </w:pPr>
            <w:r w:rsidRPr="00024D5A">
              <w:rPr>
                <w:rFonts w:ascii="Garamond" w:eastAsia="Times New Roman" w:hAnsi="Garamond"/>
              </w:rPr>
              <w:t>ASCAL</w:t>
            </w:r>
          </w:p>
        </w:tc>
        <w:tc>
          <w:tcPr>
            <w:tcW w:w="0" w:type="auto"/>
          </w:tcPr>
          <w:p w14:paraId="7B62F4C2" w14:textId="475B5A33" w:rsidR="00F54ECF" w:rsidRPr="00024D5A" w:rsidRDefault="00F54ECF" w:rsidP="00791B1A">
            <w:pPr>
              <w:rPr>
                <w:rFonts w:ascii="Garamond" w:hAnsi="Garamond"/>
              </w:rPr>
            </w:pPr>
            <w:r w:rsidRPr="00024D5A">
              <w:rPr>
                <w:rFonts w:ascii="Garamond" w:eastAsia="Times New Roman" w:hAnsi="Garamond"/>
              </w:rPr>
              <w:t>Agjencia e Sigurimit të Cilësisë në Arsimin e Lartë</w:t>
            </w:r>
          </w:p>
        </w:tc>
      </w:tr>
      <w:tr w:rsidR="00F54ECF" w:rsidRPr="00024D5A" w14:paraId="7013E2C2" w14:textId="77777777" w:rsidTr="00BB3430">
        <w:tc>
          <w:tcPr>
            <w:tcW w:w="0" w:type="auto"/>
          </w:tcPr>
          <w:p w14:paraId="2F2B2E6A" w14:textId="11A0FAEA" w:rsidR="00F54ECF" w:rsidRPr="00024D5A" w:rsidRDefault="00F54ECF" w:rsidP="00791B1A">
            <w:pPr>
              <w:rPr>
                <w:rFonts w:ascii="Garamond" w:hAnsi="Garamond"/>
              </w:rPr>
            </w:pPr>
            <w:r w:rsidRPr="00024D5A">
              <w:rPr>
                <w:rFonts w:ascii="Garamond" w:hAnsi="Garamond"/>
              </w:rPr>
              <w:t>ASCAP</w:t>
            </w:r>
          </w:p>
        </w:tc>
        <w:tc>
          <w:tcPr>
            <w:tcW w:w="0" w:type="auto"/>
          </w:tcPr>
          <w:p w14:paraId="26A0561A" w14:textId="16A02E6C" w:rsidR="00F54ECF" w:rsidRPr="00024D5A" w:rsidRDefault="00F54ECF" w:rsidP="00791B1A">
            <w:pPr>
              <w:rPr>
                <w:rFonts w:ascii="Garamond" w:hAnsi="Garamond"/>
              </w:rPr>
            </w:pPr>
            <w:r w:rsidRPr="00024D5A">
              <w:rPr>
                <w:rFonts w:ascii="Garamond" w:hAnsi="Garamond"/>
              </w:rPr>
              <w:t>Agjencia e Sigurimit të Cilësisë së Arsimit Parauniversitar</w:t>
            </w:r>
          </w:p>
        </w:tc>
      </w:tr>
      <w:tr w:rsidR="00F54ECF" w:rsidRPr="00024D5A" w14:paraId="44164E3F" w14:textId="77777777" w:rsidTr="00BB3430">
        <w:tc>
          <w:tcPr>
            <w:tcW w:w="0" w:type="auto"/>
          </w:tcPr>
          <w:p w14:paraId="45EF18F9" w14:textId="67C68D7D" w:rsidR="00F54ECF" w:rsidRPr="00024D5A" w:rsidRDefault="00F54ECF" w:rsidP="00791B1A">
            <w:pPr>
              <w:rPr>
                <w:rFonts w:ascii="Garamond" w:hAnsi="Garamond"/>
              </w:rPr>
            </w:pPr>
            <w:r w:rsidRPr="00024D5A">
              <w:rPr>
                <w:rFonts w:ascii="Garamond" w:hAnsi="Garamond"/>
              </w:rPr>
              <w:t>ASCK</w:t>
            </w:r>
          </w:p>
        </w:tc>
        <w:tc>
          <w:tcPr>
            <w:tcW w:w="0" w:type="auto"/>
          </w:tcPr>
          <w:p w14:paraId="009DE2E6" w14:textId="1A219B2F" w:rsidR="00F54ECF" w:rsidRPr="00024D5A" w:rsidRDefault="00F54ECF" w:rsidP="00791B1A">
            <w:pPr>
              <w:rPr>
                <w:rFonts w:ascii="Garamond" w:hAnsi="Garamond"/>
              </w:rPr>
            </w:pPr>
            <w:r w:rsidRPr="00024D5A">
              <w:rPr>
                <w:rFonts w:ascii="Garamond" w:hAnsi="Garamond"/>
              </w:rPr>
              <w:t>Agjencia e Sigurimit të Cilësisë së Kujdesit Shëndetësor dhe Shoqëror</w:t>
            </w:r>
          </w:p>
        </w:tc>
      </w:tr>
      <w:tr w:rsidR="00F54ECF" w:rsidRPr="00024D5A" w14:paraId="6D8529E8" w14:textId="77777777" w:rsidTr="00BB3430">
        <w:tc>
          <w:tcPr>
            <w:tcW w:w="0" w:type="auto"/>
          </w:tcPr>
          <w:p w14:paraId="26C4A5AD" w14:textId="472EF43D" w:rsidR="00F54ECF" w:rsidRPr="00024D5A" w:rsidRDefault="00F54ECF" w:rsidP="00791B1A">
            <w:pPr>
              <w:rPr>
                <w:rFonts w:ascii="Garamond" w:hAnsi="Garamond"/>
              </w:rPr>
            </w:pPr>
            <w:r w:rsidRPr="00024D5A">
              <w:rPr>
                <w:rFonts w:ascii="Garamond" w:hAnsi="Garamond"/>
              </w:rPr>
              <w:t>ASHDMF</w:t>
            </w:r>
          </w:p>
        </w:tc>
        <w:tc>
          <w:tcPr>
            <w:tcW w:w="0" w:type="auto"/>
          </w:tcPr>
          <w:p w14:paraId="6114942B" w14:textId="164B2B86" w:rsidR="00F54ECF" w:rsidRPr="00024D5A" w:rsidRDefault="00F54ECF" w:rsidP="00791B1A">
            <w:pPr>
              <w:rPr>
                <w:rFonts w:ascii="Garamond" w:hAnsi="Garamond"/>
              </w:rPr>
            </w:pPr>
            <w:r w:rsidRPr="00024D5A">
              <w:rPr>
                <w:rFonts w:ascii="Garamond" w:hAnsi="Garamond"/>
              </w:rPr>
              <w:t>Agjencia Shtetërore për të Drejtat dhe Mbrojtjen e Fëmijës</w:t>
            </w:r>
          </w:p>
        </w:tc>
      </w:tr>
      <w:tr w:rsidR="00F54ECF" w:rsidRPr="00024D5A" w14:paraId="405A305A" w14:textId="77777777" w:rsidTr="00BB3430">
        <w:tc>
          <w:tcPr>
            <w:tcW w:w="0" w:type="auto"/>
          </w:tcPr>
          <w:p w14:paraId="28A5A5E4" w14:textId="6F5C9D5A" w:rsidR="00F54ECF" w:rsidRPr="00024D5A" w:rsidRDefault="00F54ECF" w:rsidP="00791B1A">
            <w:pPr>
              <w:rPr>
                <w:rFonts w:ascii="Garamond" w:hAnsi="Garamond"/>
              </w:rPr>
            </w:pPr>
            <w:r w:rsidRPr="00024D5A">
              <w:rPr>
                <w:rFonts w:ascii="Garamond" w:hAnsi="Garamond"/>
              </w:rPr>
              <w:t>BE</w:t>
            </w:r>
          </w:p>
        </w:tc>
        <w:tc>
          <w:tcPr>
            <w:tcW w:w="0" w:type="auto"/>
          </w:tcPr>
          <w:p w14:paraId="75D9D200" w14:textId="5CD1782A" w:rsidR="00F54ECF" w:rsidRPr="00024D5A" w:rsidRDefault="00F54ECF" w:rsidP="00791B1A">
            <w:pPr>
              <w:rPr>
                <w:rFonts w:ascii="Garamond" w:hAnsi="Garamond"/>
              </w:rPr>
            </w:pPr>
            <w:r w:rsidRPr="00024D5A">
              <w:rPr>
                <w:rFonts w:ascii="Garamond" w:hAnsi="Garamond"/>
              </w:rPr>
              <w:t>Bashkimi Evropian</w:t>
            </w:r>
          </w:p>
        </w:tc>
      </w:tr>
      <w:tr w:rsidR="00F54ECF" w:rsidRPr="00024D5A" w14:paraId="257A0C72" w14:textId="77777777" w:rsidTr="00BB3430">
        <w:tc>
          <w:tcPr>
            <w:tcW w:w="0" w:type="auto"/>
          </w:tcPr>
          <w:p w14:paraId="5EFDCB54" w14:textId="4F0D73B0" w:rsidR="00F54ECF" w:rsidRPr="00024D5A" w:rsidRDefault="00F54ECF" w:rsidP="00791B1A">
            <w:pPr>
              <w:rPr>
                <w:rFonts w:ascii="Garamond" w:hAnsi="Garamond"/>
              </w:rPr>
            </w:pPr>
            <w:r w:rsidRPr="00024D5A">
              <w:rPr>
                <w:rFonts w:ascii="Garamond" w:hAnsi="Garamond"/>
              </w:rPr>
              <w:t>CEDAW</w:t>
            </w:r>
          </w:p>
        </w:tc>
        <w:tc>
          <w:tcPr>
            <w:tcW w:w="0" w:type="auto"/>
          </w:tcPr>
          <w:p w14:paraId="496E3F2A" w14:textId="6AFBBDD8" w:rsidR="00F54ECF" w:rsidRPr="00024D5A" w:rsidRDefault="00F54ECF" w:rsidP="00791B1A">
            <w:pPr>
              <w:rPr>
                <w:rFonts w:ascii="Garamond" w:hAnsi="Garamond"/>
              </w:rPr>
            </w:pPr>
            <w:r w:rsidRPr="00024D5A">
              <w:rPr>
                <w:rFonts w:ascii="Garamond" w:hAnsi="Garamond"/>
              </w:rPr>
              <w:t>Konventa për Eliminimin e të Gjitha Formave të Diskriminimit ndaj Grave</w:t>
            </w:r>
          </w:p>
        </w:tc>
      </w:tr>
      <w:tr w:rsidR="00F54ECF" w:rsidRPr="00024D5A" w14:paraId="7FC817D8" w14:textId="77777777" w:rsidTr="00BB3430">
        <w:tc>
          <w:tcPr>
            <w:tcW w:w="0" w:type="auto"/>
          </w:tcPr>
          <w:p w14:paraId="563C3140" w14:textId="521C19A7" w:rsidR="00F54ECF" w:rsidRPr="00024D5A" w:rsidRDefault="00F54ECF" w:rsidP="00791B1A">
            <w:pPr>
              <w:rPr>
                <w:rFonts w:ascii="Garamond" w:hAnsi="Garamond"/>
              </w:rPr>
            </w:pPr>
            <w:r w:rsidRPr="00024D5A">
              <w:rPr>
                <w:rFonts w:ascii="Garamond" w:hAnsi="Garamond"/>
              </w:rPr>
              <w:t>KDPAK</w:t>
            </w:r>
          </w:p>
        </w:tc>
        <w:tc>
          <w:tcPr>
            <w:tcW w:w="0" w:type="auto"/>
          </w:tcPr>
          <w:p w14:paraId="5E3A5B29" w14:textId="2E14A7F2" w:rsidR="00F54ECF" w:rsidRPr="00024D5A" w:rsidRDefault="00F54ECF" w:rsidP="00791B1A">
            <w:pPr>
              <w:rPr>
                <w:rFonts w:ascii="Garamond" w:hAnsi="Garamond"/>
              </w:rPr>
            </w:pPr>
            <w:r w:rsidRPr="00024D5A">
              <w:rPr>
                <w:rFonts w:ascii="Garamond" w:hAnsi="Garamond"/>
              </w:rPr>
              <w:t>Konventa e OKB për të Drejtat e PAK</w:t>
            </w:r>
            <w:r w:rsidR="008C4B01" w:rsidRPr="00024D5A">
              <w:rPr>
                <w:rFonts w:ascii="Garamond" w:hAnsi="Garamond"/>
              </w:rPr>
              <w:t>-së</w:t>
            </w:r>
          </w:p>
        </w:tc>
      </w:tr>
      <w:tr w:rsidR="00F54ECF" w:rsidRPr="00024D5A" w14:paraId="7F058B83" w14:textId="77777777" w:rsidTr="00BB3430">
        <w:tc>
          <w:tcPr>
            <w:tcW w:w="0" w:type="auto"/>
          </w:tcPr>
          <w:p w14:paraId="3A47C583" w14:textId="1B10F908" w:rsidR="00F54ECF" w:rsidRPr="00024D5A" w:rsidRDefault="00F54ECF" w:rsidP="00791B1A">
            <w:pPr>
              <w:rPr>
                <w:rFonts w:ascii="Garamond" w:hAnsi="Garamond"/>
              </w:rPr>
            </w:pPr>
            <w:r w:rsidRPr="00024D5A">
              <w:rPr>
                <w:rFonts w:ascii="Garamond" w:hAnsi="Garamond"/>
              </w:rPr>
              <w:t>DNJF</w:t>
            </w:r>
          </w:p>
        </w:tc>
        <w:tc>
          <w:tcPr>
            <w:tcW w:w="0" w:type="auto"/>
          </w:tcPr>
          <w:p w14:paraId="6E70F8CC" w14:textId="4169971E" w:rsidR="00F54ECF" w:rsidRPr="00024D5A" w:rsidRDefault="00F54ECF" w:rsidP="00791B1A">
            <w:pPr>
              <w:rPr>
                <w:rFonts w:ascii="Garamond" w:hAnsi="Garamond"/>
              </w:rPr>
            </w:pPr>
            <w:r w:rsidRPr="00024D5A">
              <w:rPr>
                <w:rFonts w:ascii="Garamond" w:hAnsi="Garamond"/>
              </w:rPr>
              <w:t>Drejtoria e Ndihmës Juridike Falas</w:t>
            </w:r>
          </w:p>
        </w:tc>
      </w:tr>
      <w:tr w:rsidR="00F54ECF" w:rsidRPr="00024D5A" w14:paraId="12C62BB3" w14:textId="77777777" w:rsidTr="00BB3430">
        <w:tc>
          <w:tcPr>
            <w:tcW w:w="0" w:type="auto"/>
          </w:tcPr>
          <w:p w14:paraId="12C625E4" w14:textId="752E67D1" w:rsidR="00F54ECF" w:rsidRPr="00024D5A" w:rsidRDefault="00F54ECF" w:rsidP="00791B1A">
            <w:pPr>
              <w:rPr>
                <w:rFonts w:ascii="Garamond" w:hAnsi="Garamond"/>
              </w:rPr>
            </w:pPr>
            <w:r w:rsidRPr="00024D5A">
              <w:rPr>
                <w:rFonts w:ascii="Garamond" w:hAnsi="Garamond"/>
              </w:rPr>
              <w:t>DPB</w:t>
            </w:r>
          </w:p>
        </w:tc>
        <w:tc>
          <w:tcPr>
            <w:tcW w:w="0" w:type="auto"/>
          </w:tcPr>
          <w:p w14:paraId="56A854B3" w14:textId="7B44FE36" w:rsidR="00F54ECF" w:rsidRPr="00024D5A" w:rsidRDefault="00F54ECF" w:rsidP="00791B1A">
            <w:pPr>
              <w:rPr>
                <w:rFonts w:ascii="Garamond" w:hAnsi="Garamond"/>
              </w:rPr>
            </w:pPr>
            <w:r w:rsidRPr="00024D5A">
              <w:rPr>
                <w:rFonts w:ascii="Garamond" w:hAnsi="Garamond"/>
              </w:rPr>
              <w:t>Drejtoria e Përgjithshme e Burgjeve</w:t>
            </w:r>
          </w:p>
        </w:tc>
      </w:tr>
      <w:tr w:rsidR="00F54ECF" w:rsidRPr="00024D5A" w14:paraId="55A201F2" w14:textId="77777777" w:rsidTr="00BB3430">
        <w:tc>
          <w:tcPr>
            <w:tcW w:w="0" w:type="auto"/>
          </w:tcPr>
          <w:p w14:paraId="57872F3E" w14:textId="1051BACF" w:rsidR="00F54ECF" w:rsidRPr="00024D5A" w:rsidRDefault="00F54ECF" w:rsidP="00791B1A">
            <w:pPr>
              <w:rPr>
                <w:rFonts w:ascii="Garamond" w:hAnsi="Garamond"/>
              </w:rPr>
            </w:pPr>
            <w:r w:rsidRPr="00024D5A">
              <w:rPr>
                <w:rFonts w:ascii="Garamond" w:hAnsi="Garamond"/>
              </w:rPr>
              <w:t>DPP</w:t>
            </w:r>
          </w:p>
        </w:tc>
        <w:tc>
          <w:tcPr>
            <w:tcW w:w="0" w:type="auto"/>
          </w:tcPr>
          <w:p w14:paraId="782C46B8" w14:textId="4C0E28C3" w:rsidR="00F54ECF" w:rsidRPr="00024D5A" w:rsidRDefault="00F54ECF" w:rsidP="00791B1A">
            <w:pPr>
              <w:rPr>
                <w:rFonts w:ascii="Garamond" w:hAnsi="Garamond"/>
              </w:rPr>
            </w:pPr>
            <w:r w:rsidRPr="00024D5A">
              <w:rPr>
                <w:rFonts w:ascii="Garamond" w:hAnsi="Garamond"/>
              </w:rPr>
              <w:t>Drejtoria e Përgjithshme e Përmbarimit</w:t>
            </w:r>
          </w:p>
        </w:tc>
      </w:tr>
      <w:tr w:rsidR="00F54ECF" w:rsidRPr="00024D5A" w14:paraId="15E6CD29" w14:textId="77777777" w:rsidTr="00BB3430">
        <w:tc>
          <w:tcPr>
            <w:tcW w:w="0" w:type="auto"/>
          </w:tcPr>
          <w:p w14:paraId="4331798E" w14:textId="77777777" w:rsidR="00F54ECF" w:rsidRPr="00024D5A" w:rsidRDefault="00F54ECF" w:rsidP="00791B1A">
            <w:pPr>
              <w:rPr>
                <w:rFonts w:ascii="Garamond" w:hAnsi="Garamond"/>
              </w:rPr>
            </w:pPr>
            <w:r w:rsidRPr="00024D5A">
              <w:rPr>
                <w:rFonts w:ascii="Garamond" w:hAnsi="Garamond"/>
              </w:rPr>
              <w:t>DPSHTRR</w:t>
            </w:r>
          </w:p>
        </w:tc>
        <w:tc>
          <w:tcPr>
            <w:tcW w:w="0" w:type="auto"/>
          </w:tcPr>
          <w:p w14:paraId="5C1111DA" w14:textId="3BFFE887" w:rsidR="00F54ECF" w:rsidRPr="00024D5A" w:rsidRDefault="00F54ECF" w:rsidP="00791B1A">
            <w:pPr>
              <w:rPr>
                <w:rFonts w:ascii="Garamond" w:hAnsi="Garamond"/>
              </w:rPr>
            </w:pPr>
            <w:r w:rsidRPr="00024D5A">
              <w:rPr>
                <w:rFonts w:ascii="Garamond" w:hAnsi="Garamond"/>
              </w:rPr>
              <w:t>Drejtoria e Përgjithshme Shtetërore e Transportit Rrugor</w:t>
            </w:r>
          </w:p>
        </w:tc>
      </w:tr>
      <w:tr w:rsidR="00F54ECF" w:rsidRPr="00024D5A" w14:paraId="521A272D" w14:textId="77777777" w:rsidTr="00BB3430">
        <w:tc>
          <w:tcPr>
            <w:tcW w:w="0" w:type="auto"/>
          </w:tcPr>
          <w:p w14:paraId="52596620" w14:textId="2A7850AC" w:rsidR="00F54ECF" w:rsidRPr="00024D5A" w:rsidRDefault="00F54ECF" w:rsidP="00791B1A">
            <w:pPr>
              <w:rPr>
                <w:rFonts w:ascii="Garamond" w:eastAsia="Times New Roman" w:hAnsi="Garamond"/>
              </w:rPr>
            </w:pPr>
            <w:r w:rsidRPr="00024D5A">
              <w:rPr>
                <w:rFonts w:ascii="Garamond" w:eastAsia="Times New Roman" w:hAnsi="Garamond"/>
              </w:rPr>
              <w:t>DHKA</w:t>
            </w:r>
          </w:p>
        </w:tc>
        <w:tc>
          <w:tcPr>
            <w:tcW w:w="0" w:type="auto"/>
          </w:tcPr>
          <w:p w14:paraId="4AAFB75C" w14:textId="63885F5A" w:rsidR="00F54ECF" w:rsidRPr="00024D5A" w:rsidRDefault="00F54ECF" w:rsidP="00791B1A">
            <w:pPr>
              <w:rPr>
                <w:rFonts w:ascii="Garamond" w:eastAsia="Times New Roman" w:hAnsi="Garamond"/>
              </w:rPr>
            </w:pPr>
            <w:r w:rsidRPr="00024D5A">
              <w:rPr>
                <w:rFonts w:ascii="Garamond" w:eastAsia="Times New Roman" w:hAnsi="Garamond"/>
              </w:rPr>
              <w:t>Dhoma Kombëtare e Avokatisë</w:t>
            </w:r>
          </w:p>
        </w:tc>
      </w:tr>
      <w:tr w:rsidR="00F54ECF" w:rsidRPr="00024D5A" w14:paraId="76067309" w14:textId="77777777" w:rsidTr="00BB3430">
        <w:tc>
          <w:tcPr>
            <w:tcW w:w="0" w:type="auto"/>
          </w:tcPr>
          <w:p w14:paraId="505DD29F" w14:textId="64BB962C" w:rsidR="00F54ECF" w:rsidRPr="00024D5A" w:rsidRDefault="00F54ECF" w:rsidP="00791B1A">
            <w:pPr>
              <w:rPr>
                <w:rFonts w:ascii="Garamond" w:eastAsia="Times New Roman" w:hAnsi="Garamond"/>
              </w:rPr>
            </w:pPr>
            <w:r w:rsidRPr="00024D5A">
              <w:rPr>
                <w:rFonts w:ascii="Garamond" w:eastAsia="Times New Roman" w:hAnsi="Garamond"/>
              </w:rPr>
              <w:t>DHKN</w:t>
            </w:r>
          </w:p>
        </w:tc>
        <w:tc>
          <w:tcPr>
            <w:tcW w:w="0" w:type="auto"/>
          </w:tcPr>
          <w:p w14:paraId="3A65FF78" w14:textId="1629FAB7" w:rsidR="00F54ECF" w:rsidRPr="00024D5A" w:rsidRDefault="00F54ECF" w:rsidP="00791B1A">
            <w:pPr>
              <w:rPr>
                <w:rFonts w:ascii="Garamond" w:eastAsia="Times New Roman" w:hAnsi="Garamond"/>
              </w:rPr>
            </w:pPr>
            <w:r w:rsidRPr="00024D5A">
              <w:rPr>
                <w:rFonts w:ascii="Garamond" w:eastAsia="Times New Roman" w:hAnsi="Garamond"/>
              </w:rPr>
              <w:t>Dhoma Kombëtare e Ndërmjetësve</w:t>
            </w:r>
          </w:p>
        </w:tc>
      </w:tr>
      <w:tr w:rsidR="00F54ECF" w:rsidRPr="00024D5A" w14:paraId="3C707EFC" w14:textId="77777777" w:rsidTr="00BB3430">
        <w:tc>
          <w:tcPr>
            <w:tcW w:w="0" w:type="auto"/>
          </w:tcPr>
          <w:p w14:paraId="7078154E" w14:textId="0B7CFEF6" w:rsidR="00F54ECF" w:rsidRPr="00024D5A" w:rsidRDefault="00F54ECF" w:rsidP="00791B1A">
            <w:pPr>
              <w:rPr>
                <w:rFonts w:ascii="Garamond" w:hAnsi="Garamond"/>
              </w:rPr>
            </w:pPr>
            <w:r w:rsidRPr="00024D5A">
              <w:rPr>
                <w:rFonts w:ascii="Garamond" w:hAnsi="Garamond"/>
              </w:rPr>
              <w:t>EEG</w:t>
            </w:r>
          </w:p>
        </w:tc>
        <w:tc>
          <w:tcPr>
            <w:tcW w:w="0" w:type="auto"/>
          </w:tcPr>
          <w:p w14:paraId="49D6470C" w14:textId="6383F2B5" w:rsidR="00F54ECF" w:rsidRPr="00024D5A" w:rsidRDefault="00F54ECF" w:rsidP="00791B1A">
            <w:pPr>
              <w:rPr>
                <w:rFonts w:ascii="Garamond" w:hAnsi="Garamond"/>
              </w:rPr>
            </w:pPr>
            <w:r w:rsidRPr="00024D5A">
              <w:rPr>
                <w:rFonts w:ascii="Garamond" w:hAnsi="Garamond"/>
              </w:rPr>
              <w:t>European Expert Group</w:t>
            </w:r>
          </w:p>
        </w:tc>
      </w:tr>
      <w:tr w:rsidR="00F54ECF" w:rsidRPr="00024D5A" w14:paraId="6CB1EEE7" w14:textId="77777777" w:rsidTr="00BB3430">
        <w:tc>
          <w:tcPr>
            <w:tcW w:w="0" w:type="auto"/>
          </w:tcPr>
          <w:p w14:paraId="42C46B67" w14:textId="554DE933" w:rsidR="00F54ECF" w:rsidRPr="00024D5A" w:rsidRDefault="00F54ECF" w:rsidP="00791B1A">
            <w:pPr>
              <w:rPr>
                <w:rFonts w:ascii="Garamond" w:eastAsia="Times New Roman" w:hAnsi="Garamond"/>
              </w:rPr>
            </w:pPr>
            <w:r w:rsidRPr="00024D5A">
              <w:rPr>
                <w:rFonts w:ascii="Garamond" w:eastAsia="Times New Roman" w:hAnsi="Garamond"/>
              </w:rPr>
              <w:t>SMIP</w:t>
            </w:r>
          </w:p>
        </w:tc>
        <w:tc>
          <w:tcPr>
            <w:tcW w:w="0" w:type="auto"/>
          </w:tcPr>
          <w:p w14:paraId="045930CE" w14:textId="5802EB62" w:rsidR="00F54ECF" w:rsidRPr="00024D5A" w:rsidRDefault="00F54ECF" w:rsidP="00791B1A">
            <w:pPr>
              <w:rPr>
                <w:rFonts w:ascii="Garamond" w:eastAsia="Times New Roman" w:hAnsi="Garamond"/>
              </w:rPr>
            </w:pPr>
            <w:r w:rsidRPr="00024D5A">
              <w:rPr>
                <w:rFonts w:ascii="Garamond" w:eastAsia="Times New Roman" w:hAnsi="Garamond"/>
              </w:rPr>
              <w:t>Sistemi i Menaxhimit të Informacionit Parauniversitar</w:t>
            </w:r>
          </w:p>
        </w:tc>
      </w:tr>
      <w:tr w:rsidR="00F54ECF" w:rsidRPr="00024D5A" w14:paraId="59338284" w14:textId="77777777" w:rsidTr="00BB3430">
        <w:tc>
          <w:tcPr>
            <w:tcW w:w="0" w:type="auto"/>
          </w:tcPr>
          <w:p w14:paraId="01270A3C" w14:textId="28F82E75" w:rsidR="00F54ECF" w:rsidRPr="00024D5A" w:rsidRDefault="00F54ECF" w:rsidP="00791B1A">
            <w:pPr>
              <w:rPr>
                <w:rFonts w:ascii="Garamond" w:hAnsi="Garamond"/>
              </w:rPr>
            </w:pPr>
            <w:r w:rsidRPr="00024D5A">
              <w:rPr>
                <w:rFonts w:ascii="Garamond" w:hAnsi="Garamond"/>
              </w:rPr>
              <w:t>EPSR</w:t>
            </w:r>
          </w:p>
        </w:tc>
        <w:tc>
          <w:tcPr>
            <w:tcW w:w="0" w:type="auto"/>
          </w:tcPr>
          <w:p w14:paraId="51C04C14" w14:textId="5A44CF10" w:rsidR="00F54ECF" w:rsidRPr="00024D5A" w:rsidRDefault="00F54ECF" w:rsidP="00791B1A">
            <w:pPr>
              <w:rPr>
                <w:rFonts w:ascii="Garamond" w:hAnsi="Garamond"/>
              </w:rPr>
            </w:pPr>
            <w:r w:rsidRPr="00024D5A">
              <w:rPr>
                <w:rFonts w:ascii="Garamond" w:hAnsi="Garamond"/>
              </w:rPr>
              <w:t xml:space="preserve">Shtylla </w:t>
            </w:r>
            <w:r w:rsidR="008C4B01" w:rsidRPr="00024D5A">
              <w:rPr>
                <w:rFonts w:ascii="Garamond" w:hAnsi="Garamond"/>
              </w:rPr>
              <w:t>Evropiane e të Drejtave Evropiane</w:t>
            </w:r>
          </w:p>
        </w:tc>
      </w:tr>
      <w:tr w:rsidR="00F54ECF" w:rsidRPr="00024D5A" w14:paraId="475DFAB2" w14:textId="77777777" w:rsidTr="00BB3430">
        <w:tc>
          <w:tcPr>
            <w:tcW w:w="0" w:type="auto"/>
          </w:tcPr>
          <w:p w14:paraId="2822F2CC" w14:textId="541B0BAE" w:rsidR="00F54ECF" w:rsidRPr="00024D5A" w:rsidRDefault="00F54ECF" w:rsidP="00791B1A">
            <w:pPr>
              <w:rPr>
                <w:rFonts w:ascii="Garamond" w:eastAsia="Times New Roman" w:hAnsi="Garamond"/>
              </w:rPr>
            </w:pPr>
            <w:r w:rsidRPr="00024D5A">
              <w:rPr>
                <w:rFonts w:ascii="Garamond" w:eastAsia="Times New Roman" w:hAnsi="Garamond"/>
              </w:rPr>
              <w:t>FSDKSH</w:t>
            </w:r>
          </w:p>
        </w:tc>
        <w:tc>
          <w:tcPr>
            <w:tcW w:w="0" w:type="auto"/>
          </w:tcPr>
          <w:p w14:paraId="5FC944B7" w14:textId="5D5302A8" w:rsidR="00F54ECF" w:rsidRPr="00024D5A" w:rsidRDefault="00F54ECF" w:rsidP="00791B1A">
            <w:pPr>
              <w:rPr>
                <w:rFonts w:ascii="Garamond" w:hAnsi="Garamond"/>
              </w:rPr>
            </w:pPr>
            <w:r w:rsidRPr="00024D5A">
              <w:rPr>
                <w:rFonts w:ascii="Garamond" w:eastAsia="Times New Roman" w:hAnsi="Garamond"/>
              </w:rPr>
              <w:t>Fondi i Sigurimit të Detyrueshëm të Kujdesit Shëndetësor</w:t>
            </w:r>
          </w:p>
        </w:tc>
      </w:tr>
      <w:tr w:rsidR="00F54ECF" w:rsidRPr="00024D5A" w14:paraId="60A6C05D" w14:textId="77777777" w:rsidTr="00BB3430">
        <w:tc>
          <w:tcPr>
            <w:tcW w:w="0" w:type="auto"/>
          </w:tcPr>
          <w:p w14:paraId="7B674CD0" w14:textId="2C9BEF80" w:rsidR="00F54ECF" w:rsidRPr="00024D5A" w:rsidRDefault="00F54ECF" w:rsidP="00791B1A">
            <w:pPr>
              <w:rPr>
                <w:rFonts w:ascii="Garamond" w:hAnsi="Garamond"/>
              </w:rPr>
            </w:pPr>
            <w:r w:rsidRPr="00024D5A">
              <w:rPr>
                <w:rFonts w:ascii="Garamond" w:hAnsi="Garamond"/>
              </w:rPr>
              <w:t>GNSPS</w:t>
            </w:r>
          </w:p>
        </w:tc>
        <w:tc>
          <w:tcPr>
            <w:tcW w:w="0" w:type="auto"/>
          </w:tcPr>
          <w:p w14:paraId="44FAB2B6" w14:textId="541F1D18" w:rsidR="00F54ECF" w:rsidRPr="00024D5A" w:rsidRDefault="00F54ECF" w:rsidP="00791B1A">
            <w:pPr>
              <w:rPr>
                <w:rFonts w:ascii="Garamond" w:hAnsi="Garamond"/>
              </w:rPr>
            </w:pPr>
            <w:r w:rsidRPr="00024D5A">
              <w:rPr>
                <w:rFonts w:ascii="Garamond" w:hAnsi="Garamond"/>
              </w:rPr>
              <w:t xml:space="preserve">Grupi Ndërinstitucional </w:t>
            </w:r>
            <w:r w:rsidR="008C4B01" w:rsidRPr="00024D5A">
              <w:rPr>
                <w:rFonts w:ascii="Garamond" w:hAnsi="Garamond"/>
              </w:rPr>
              <w:t>i</w:t>
            </w:r>
            <w:r w:rsidRPr="00024D5A">
              <w:rPr>
                <w:rFonts w:ascii="Garamond" w:hAnsi="Garamond"/>
              </w:rPr>
              <w:t xml:space="preserve"> Statistikave të Përfshirjes Sociale</w:t>
            </w:r>
          </w:p>
        </w:tc>
      </w:tr>
      <w:tr w:rsidR="00F54ECF" w:rsidRPr="00024D5A" w14:paraId="51FD7B81" w14:textId="77777777" w:rsidTr="00BB3430">
        <w:tc>
          <w:tcPr>
            <w:tcW w:w="0" w:type="auto"/>
          </w:tcPr>
          <w:p w14:paraId="782E9E3A" w14:textId="753FBA71" w:rsidR="00F54ECF" w:rsidRPr="00024D5A" w:rsidRDefault="00F54ECF" w:rsidP="00791B1A">
            <w:pPr>
              <w:rPr>
                <w:rFonts w:ascii="Garamond" w:hAnsi="Garamond"/>
              </w:rPr>
            </w:pPr>
            <w:r w:rsidRPr="00024D5A">
              <w:rPr>
                <w:rFonts w:ascii="Garamond" w:hAnsi="Garamond"/>
              </w:rPr>
              <w:t>IAL</w:t>
            </w:r>
          </w:p>
        </w:tc>
        <w:tc>
          <w:tcPr>
            <w:tcW w:w="0" w:type="auto"/>
          </w:tcPr>
          <w:p w14:paraId="2F790D3C" w14:textId="1F0DCAE7" w:rsidR="00F54ECF" w:rsidRPr="00024D5A" w:rsidRDefault="00F54ECF" w:rsidP="00791B1A">
            <w:pPr>
              <w:rPr>
                <w:rFonts w:ascii="Garamond" w:hAnsi="Garamond"/>
              </w:rPr>
            </w:pPr>
            <w:r w:rsidRPr="00024D5A">
              <w:rPr>
                <w:rFonts w:ascii="Garamond" w:hAnsi="Garamond"/>
              </w:rPr>
              <w:t xml:space="preserve">Institucion i </w:t>
            </w:r>
            <w:r w:rsidR="006D7EAD" w:rsidRPr="00024D5A">
              <w:rPr>
                <w:rFonts w:ascii="Garamond" w:hAnsi="Garamond"/>
              </w:rPr>
              <w:t>arsimit të lartë</w:t>
            </w:r>
          </w:p>
        </w:tc>
      </w:tr>
      <w:tr w:rsidR="00F54ECF" w:rsidRPr="00024D5A" w14:paraId="41690D9B" w14:textId="77777777" w:rsidTr="00BB3430">
        <w:tc>
          <w:tcPr>
            <w:tcW w:w="0" w:type="auto"/>
          </w:tcPr>
          <w:p w14:paraId="0477F35C" w14:textId="28E0830E" w:rsidR="00F54ECF" w:rsidRPr="00024D5A" w:rsidRDefault="00F54ECF" w:rsidP="00791B1A">
            <w:pPr>
              <w:rPr>
                <w:rFonts w:ascii="Garamond" w:hAnsi="Garamond"/>
              </w:rPr>
            </w:pPr>
            <w:r w:rsidRPr="00024D5A">
              <w:rPr>
                <w:rFonts w:ascii="Garamond" w:hAnsi="Garamond"/>
              </w:rPr>
              <w:t>IAP</w:t>
            </w:r>
          </w:p>
        </w:tc>
        <w:tc>
          <w:tcPr>
            <w:tcW w:w="0" w:type="auto"/>
          </w:tcPr>
          <w:p w14:paraId="08BFCEB1" w14:textId="6E43A769" w:rsidR="00F54ECF" w:rsidRPr="00024D5A" w:rsidRDefault="00F54ECF" w:rsidP="00791B1A">
            <w:pPr>
              <w:rPr>
                <w:rFonts w:ascii="Garamond" w:hAnsi="Garamond"/>
              </w:rPr>
            </w:pPr>
            <w:r w:rsidRPr="00024D5A">
              <w:rPr>
                <w:rFonts w:ascii="Garamond" w:hAnsi="Garamond"/>
              </w:rPr>
              <w:t xml:space="preserve">Institucion i </w:t>
            </w:r>
            <w:r w:rsidR="006D7EAD" w:rsidRPr="00024D5A">
              <w:rPr>
                <w:rFonts w:ascii="Garamond" w:hAnsi="Garamond"/>
              </w:rPr>
              <w:t>arsimit parauniversitar</w:t>
            </w:r>
          </w:p>
        </w:tc>
      </w:tr>
      <w:tr w:rsidR="00F54ECF" w:rsidRPr="00024D5A" w14:paraId="26EDEC9C" w14:textId="77777777" w:rsidTr="00BB3430">
        <w:tc>
          <w:tcPr>
            <w:tcW w:w="0" w:type="auto"/>
          </w:tcPr>
          <w:p w14:paraId="763BBAB6" w14:textId="48106942" w:rsidR="00F54ECF" w:rsidRPr="00024D5A" w:rsidRDefault="00F54ECF" w:rsidP="00791B1A">
            <w:pPr>
              <w:rPr>
                <w:rFonts w:ascii="Garamond" w:eastAsia="Times New Roman" w:hAnsi="Garamond"/>
              </w:rPr>
            </w:pPr>
            <w:r w:rsidRPr="00024D5A">
              <w:rPr>
                <w:rFonts w:ascii="Garamond" w:eastAsia="Times New Roman" w:hAnsi="Garamond"/>
              </w:rPr>
              <w:t>IKMT</w:t>
            </w:r>
          </w:p>
        </w:tc>
        <w:tc>
          <w:tcPr>
            <w:tcW w:w="0" w:type="auto"/>
          </w:tcPr>
          <w:p w14:paraId="6C76DC4A" w14:textId="185BC847" w:rsidR="00F54ECF" w:rsidRPr="00024D5A" w:rsidRDefault="00F54ECF" w:rsidP="00791B1A">
            <w:pPr>
              <w:rPr>
                <w:rFonts w:ascii="Garamond" w:eastAsia="Times New Roman" w:hAnsi="Garamond"/>
              </w:rPr>
            </w:pPr>
            <w:r w:rsidRPr="00024D5A">
              <w:rPr>
                <w:rFonts w:ascii="Garamond" w:eastAsia="Times New Roman" w:hAnsi="Garamond"/>
              </w:rPr>
              <w:t>Inspektorati Kombëtar i Mbrojtjes së Territorit</w:t>
            </w:r>
          </w:p>
        </w:tc>
      </w:tr>
      <w:tr w:rsidR="00F54ECF" w:rsidRPr="00024D5A" w14:paraId="2F36E818" w14:textId="77777777" w:rsidTr="00BB3430">
        <w:tc>
          <w:tcPr>
            <w:tcW w:w="0" w:type="auto"/>
          </w:tcPr>
          <w:p w14:paraId="109ADB8A" w14:textId="38A2D328" w:rsidR="00F54ECF" w:rsidRPr="00024D5A" w:rsidRDefault="00F54ECF" w:rsidP="00791B1A">
            <w:pPr>
              <w:rPr>
                <w:rFonts w:ascii="Garamond" w:hAnsi="Garamond"/>
              </w:rPr>
            </w:pPr>
            <w:r w:rsidRPr="00024D5A">
              <w:rPr>
                <w:rFonts w:ascii="Garamond" w:hAnsi="Garamond"/>
              </w:rPr>
              <w:t>INSTAT</w:t>
            </w:r>
          </w:p>
        </w:tc>
        <w:tc>
          <w:tcPr>
            <w:tcW w:w="0" w:type="auto"/>
          </w:tcPr>
          <w:p w14:paraId="1FE4FFD2" w14:textId="141F039E" w:rsidR="00F54ECF" w:rsidRPr="00024D5A" w:rsidRDefault="00F54ECF" w:rsidP="00791B1A">
            <w:pPr>
              <w:rPr>
                <w:rFonts w:ascii="Garamond" w:hAnsi="Garamond"/>
              </w:rPr>
            </w:pPr>
            <w:r w:rsidRPr="00024D5A">
              <w:rPr>
                <w:rFonts w:ascii="Garamond" w:hAnsi="Garamond"/>
              </w:rPr>
              <w:t>Instituti i Statistikave</w:t>
            </w:r>
          </w:p>
        </w:tc>
      </w:tr>
      <w:tr w:rsidR="00F54ECF" w:rsidRPr="00024D5A" w14:paraId="0A1649F8" w14:textId="77777777" w:rsidTr="00BB3430">
        <w:tc>
          <w:tcPr>
            <w:tcW w:w="0" w:type="auto"/>
          </w:tcPr>
          <w:p w14:paraId="68729B29" w14:textId="598B78A0" w:rsidR="00F54ECF" w:rsidRPr="00024D5A" w:rsidRDefault="00F54ECF" w:rsidP="00791B1A">
            <w:pPr>
              <w:rPr>
                <w:rFonts w:ascii="Garamond" w:eastAsia="Times New Roman" w:hAnsi="Garamond"/>
              </w:rPr>
            </w:pPr>
            <w:r w:rsidRPr="00024D5A">
              <w:rPr>
                <w:rFonts w:ascii="Garamond" w:eastAsia="Times New Roman" w:hAnsi="Garamond"/>
              </w:rPr>
              <w:t>IOAFP</w:t>
            </w:r>
          </w:p>
        </w:tc>
        <w:tc>
          <w:tcPr>
            <w:tcW w:w="0" w:type="auto"/>
          </w:tcPr>
          <w:p w14:paraId="0FB767D0" w14:textId="04DA843E" w:rsidR="00F54ECF" w:rsidRPr="00024D5A" w:rsidRDefault="00F54ECF" w:rsidP="00791B1A">
            <w:pPr>
              <w:rPr>
                <w:rFonts w:ascii="Garamond" w:eastAsia="Times New Roman" w:hAnsi="Garamond"/>
              </w:rPr>
            </w:pPr>
            <w:r w:rsidRPr="00024D5A">
              <w:rPr>
                <w:rFonts w:ascii="Garamond" w:eastAsia="Times New Roman" w:hAnsi="Garamond"/>
              </w:rPr>
              <w:t>Agjencia Kombëtare e Arsimit, Formimit Profesional dhe Kualifikimeve</w:t>
            </w:r>
          </w:p>
        </w:tc>
      </w:tr>
      <w:tr w:rsidR="00F54ECF" w:rsidRPr="00024D5A" w14:paraId="6D662D97" w14:textId="77777777" w:rsidTr="00BB3430">
        <w:tc>
          <w:tcPr>
            <w:tcW w:w="0" w:type="auto"/>
          </w:tcPr>
          <w:p w14:paraId="14205370" w14:textId="569F7CD2" w:rsidR="00F54ECF" w:rsidRPr="00024D5A" w:rsidRDefault="00F54ECF" w:rsidP="00791B1A">
            <w:pPr>
              <w:rPr>
                <w:rFonts w:ascii="Garamond" w:hAnsi="Garamond"/>
              </w:rPr>
            </w:pPr>
            <w:r w:rsidRPr="00024D5A">
              <w:rPr>
                <w:rFonts w:ascii="Garamond" w:hAnsi="Garamond"/>
              </w:rPr>
              <w:t>ISHP</w:t>
            </w:r>
          </w:p>
        </w:tc>
        <w:tc>
          <w:tcPr>
            <w:tcW w:w="0" w:type="auto"/>
          </w:tcPr>
          <w:p w14:paraId="372DA6D6" w14:textId="535F4BB5" w:rsidR="00F54ECF" w:rsidRPr="00024D5A" w:rsidRDefault="00F54ECF" w:rsidP="00791B1A">
            <w:pPr>
              <w:rPr>
                <w:rFonts w:ascii="Garamond" w:hAnsi="Garamond"/>
              </w:rPr>
            </w:pPr>
            <w:r w:rsidRPr="00024D5A">
              <w:rPr>
                <w:rFonts w:ascii="Garamond" w:hAnsi="Garamond"/>
              </w:rPr>
              <w:t>Instituti i Shëndetit Publik</w:t>
            </w:r>
          </w:p>
        </w:tc>
      </w:tr>
      <w:tr w:rsidR="00F54ECF" w:rsidRPr="00024D5A" w14:paraId="384B62CF" w14:textId="77777777" w:rsidTr="00BB3430">
        <w:tc>
          <w:tcPr>
            <w:tcW w:w="0" w:type="auto"/>
          </w:tcPr>
          <w:p w14:paraId="03EFEF7F" w14:textId="3F84774E" w:rsidR="00F54ECF" w:rsidRPr="00024D5A" w:rsidRDefault="00F54ECF" w:rsidP="00791B1A">
            <w:pPr>
              <w:rPr>
                <w:rFonts w:ascii="Garamond" w:hAnsi="Garamond"/>
              </w:rPr>
            </w:pPr>
            <w:r w:rsidRPr="00024D5A">
              <w:rPr>
                <w:rFonts w:ascii="Garamond" w:hAnsi="Garamond"/>
              </w:rPr>
              <w:t>KDPAK</w:t>
            </w:r>
          </w:p>
        </w:tc>
        <w:tc>
          <w:tcPr>
            <w:tcW w:w="0" w:type="auto"/>
          </w:tcPr>
          <w:p w14:paraId="26C39582" w14:textId="2E961C75" w:rsidR="00F54ECF" w:rsidRPr="00024D5A" w:rsidRDefault="00F54ECF" w:rsidP="00791B1A">
            <w:pPr>
              <w:rPr>
                <w:rFonts w:ascii="Garamond" w:hAnsi="Garamond"/>
              </w:rPr>
            </w:pPr>
            <w:r w:rsidRPr="00024D5A">
              <w:rPr>
                <w:rFonts w:ascii="Garamond" w:hAnsi="Garamond"/>
              </w:rPr>
              <w:t>Konventa për të Drejtat e Personave me Aftësi të Kufizuara</w:t>
            </w:r>
          </w:p>
        </w:tc>
      </w:tr>
      <w:tr w:rsidR="00F54ECF" w:rsidRPr="00024D5A" w14:paraId="304A4DD3" w14:textId="77777777" w:rsidTr="00BB3430">
        <w:tc>
          <w:tcPr>
            <w:tcW w:w="0" w:type="auto"/>
          </w:tcPr>
          <w:p w14:paraId="3F1A7D16" w14:textId="57E1BE35" w:rsidR="00F54ECF" w:rsidRPr="00024D5A" w:rsidRDefault="00F54ECF" w:rsidP="00791B1A">
            <w:pPr>
              <w:rPr>
                <w:rFonts w:ascii="Garamond" w:hAnsi="Garamond"/>
              </w:rPr>
            </w:pPr>
            <w:r w:rsidRPr="00024D5A">
              <w:rPr>
                <w:rFonts w:ascii="Garamond" w:hAnsi="Garamond"/>
              </w:rPr>
              <w:t>KKAK</w:t>
            </w:r>
          </w:p>
        </w:tc>
        <w:tc>
          <w:tcPr>
            <w:tcW w:w="0" w:type="auto"/>
          </w:tcPr>
          <w:p w14:paraId="763D7F51" w14:textId="4FCE8EF1" w:rsidR="00F54ECF" w:rsidRPr="00024D5A" w:rsidRDefault="00F54ECF" w:rsidP="00791B1A">
            <w:pPr>
              <w:rPr>
                <w:rFonts w:ascii="Garamond" w:hAnsi="Garamond"/>
              </w:rPr>
            </w:pPr>
            <w:r w:rsidRPr="00024D5A">
              <w:rPr>
                <w:rFonts w:ascii="Garamond" w:hAnsi="Garamond"/>
              </w:rPr>
              <w:t>Këshilli Kombëtar i Aftësisë së Kufizuar</w:t>
            </w:r>
          </w:p>
        </w:tc>
      </w:tr>
      <w:tr w:rsidR="00F54ECF" w:rsidRPr="00024D5A" w14:paraId="3C65E21A" w14:textId="77777777" w:rsidTr="00BB3430">
        <w:tc>
          <w:tcPr>
            <w:tcW w:w="0" w:type="auto"/>
          </w:tcPr>
          <w:p w14:paraId="2D9853D2" w14:textId="0A4ACD0D" w:rsidR="00F54ECF" w:rsidRPr="00024D5A" w:rsidRDefault="00F54ECF" w:rsidP="00791B1A">
            <w:pPr>
              <w:rPr>
                <w:rFonts w:ascii="Garamond" w:hAnsi="Garamond"/>
              </w:rPr>
            </w:pPr>
            <w:r w:rsidRPr="00024D5A">
              <w:rPr>
                <w:rFonts w:ascii="Garamond" w:hAnsi="Garamond"/>
              </w:rPr>
              <w:t>KLGJ</w:t>
            </w:r>
          </w:p>
        </w:tc>
        <w:tc>
          <w:tcPr>
            <w:tcW w:w="0" w:type="auto"/>
          </w:tcPr>
          <w:p w14:paraId="47D473A8" w14:textId="424E969B" w:rsidR="00F54ECF" w:rsidRPr="00024D5A" w:rsidRDefault="00F54ECF" w:rsidP="00791B1A">
            <w:pPr>
              <w:rPr>
                <w:rFonts w:ascii="Garamond" w:hAnsi="Garamond"/>
              </w:rPr>
            </w:pPr>
            <w:r w:rsidRPr="00024D5A">
              <w:rPr>
                <w:rFonts w:ascii="Garamond" w:hAnsi="Garamond"/>
              </w:rPr>
              <w:t>Këshilli i Lartë Gjyqësor</w:t>
            </w:r>
          </w:p>
        </w:tc>
      </w:tr>
      <w:tr w:rsidR="00F54ECF" w:rsidRPr="00024D5A" w14:paraId="2A4A0FB4" w14:textId="77777777" w:rsidTr="00BB3430">
        <w:tc>
          <w:tcPr>
            <w:tcW w:w="0" w:type="auto"/>
          </w:tcPr>
          <w:p w14:paraId="2B9FD2C4" w14:textId="72A91E5F" w:rsidR="00F54ECF" w:rsidRPr="00024D5A" w:rsidRDefault="00F54ECF" w:rsidP="00791B1A">
            <w:pPr>
              <w:rPr>
                <w:rFonts w:ascii="Garamond" w:hAnsi="Garamond"/>
              </w:rPr>
            </w:pPr>
            <w:r w:rsidRPr="00024D5A">
              <w:rPr>
                <w:rFonts w:ascii="Garamond" w:hAnsi="Garamond"/>
                <w:bCs/>
              </w:rPr>
              <w:t>KMVA</w:t>
            </w:r>
          </w:p>
        </w:tc>
        <w:tc>
          <w:tcPr>
            <w:tcW w:w="0" w:type="auto"/>
          </w:tcPr>
          <w:p w14:paraId="2D658272" w14:textId="5BF49717" w:rsidR="00F54ECF" w:rsidRPr="00024D5A" w:rsidRDefault="00F54ECF" w:rsidP="00791B1A">
            <w:pPr>
              <w:rPr>
                <w:rFonts w:ascii="Garamond" w:hAnsi="Garamond"/>
              </w:rPr>
            </w:pPr>
            <w:r w:rsidRPr="00024D5A">
              <w:rPr>
                <w:rFonts w:ascii="Garamond" w:hAnsi="Garamond"/>
              </w:rPr>
              <w:t>Komisioni Multidisiplinor për Vlerësimin në Arsim</w:t>
            </w:r>
          </w:p>
        </w:tc>
      </w:tr>
      <w:tr w:rsidR="00F54ECF" w:rsidRPr="00024D5A" w14:paraId="41C6FCBA" w14:textId="77777777" w:rsidTr="00BB3430">
        <w:tc>
          <w:tcPr>
            <w:tcW w:w="0" w:type="auto"/>
          </w:tcPr>
          <w:p w14:paraId="76494062" w14:textId="5CFF1A9F" w:rsidR="00F54ECF" w:rsidRPr="00024D5A" w:rsidRDefault="00F54ECF" w:rsidP="00791B1A">
            <w:pPr>
              <w:rPr>
                <w:rFonts w:ascii="Garamond" w:hAnsi="Garamond"/>
              </w:rPr>
            </w:pPr>
            <w:r w:rsidRPr="00024D5A">
              <w:rPr>
                <w:rFonts w:ascii="Garamond" w:hAnsi="Garamond"/>
              </w:rPr>
              <w:t>KQZ</w:t>
            </w:r>
          </w:p>
        </w:tc>
        <w:tc>
          <w:tcPr>
            <w:tcW w:w="0" w:type="auto"/>
          </w:tcPr>
          <w:p w14:paraId="7337E131" w14:textId="515544F1" w:rsidR="00F54ECF" w:rsidRPr="00024D5A" w:rsidRDefault="00F54ECF" w:rsidP="00791B1A">
            <w:pPr>
              <w:rPr>
                <w:rFonts w:ascii="Garamond" w:hAnsi="Garamond"/>
              </w:rPr>
            </w:pPr>
            <w:r w:rsidRPr="00024D5A">
              <w:rPr>
                <w:rFonts w:ascii="Garamond" w:hAnsi="Garamond"/>
              </w:rPr>
              <w:t>Komisioneri Qendror i Zgjedhjeve</w:t>
            </w:r>
          </w:p>
        </w:tc>
      </w:tr>
      <w:tr w:rsidR="00F54ECF" w:rsidRPr="00024D5A" w14:paraId="44FD54D0" w14:textId="77777777" w:rsidTr="00BB3430">
        <w:tc>
          <w:tcPr>
            <w:tcW w:w="0" w:type="auto"/>
          </w:tcPr>
          <w:p w14:paraId="09DA4304" w14:textId="41AD2632" w:rsidR="00F54ECF" w:rsidRPr="00024D5A" w:rsidRDefault="00F54ECF" w:rsidP="00791B1A">
            <w:pPr>
              <w:rPr>
                <w:rFonts w:ascii="Garamond" w:hAnsi="Garamond"/>
              </w:rPr>
            </w:pPr>
            <w:r w:rsidRPr="00024D5A">
              <w:rPr>
                <w:rFonts w:ascii="Garamond" w:hAnsi="Garamond"/>
                <w:bCs/>
              </w:rPr>
              <w:t>KVAK</w:t>
            </w:r>
          </w:p>
        </w:tc>
        <w:tc>
          <w:tcPr>
            <w:tcW w:w="0" w:type="auto"/>
          </w:tcPr>
          <w:p w14:paraId="1549A2F5" w14:textId="4F42A77E" w:rsidR="00F54ECF" w:rsidRPr="00024D5A" w:rsidRDefault="00F54ECF" w:rsidP="00791B1A">
            <w:pPr>
              <w:rPr>
                <w:rFonts w:ascii="Garamond" w:hAnsi="Garamond"/>
              </w:rPr>
            </w:pPr>
            <w:r w:rsidRPr="00024D5A">
              <w:rPr>
                <w:rFonts w:ascii="Garamond" w:hAnsi="Garamond"/>
              </w:rPr>
              <w:t>Komisioni për Vlerësimin e Aftësisë së Kufizuar</w:t>
            </w:r>
          </w:p>
        </w:tc>
      </w:tr>
      <w:tr w:rsidR="00F54ECF" w:rsidRPr="00024D5A" w14:paraId="10FCF635" w14:textId="77777777" w:rsidTr="00BB3430">
        <w:tc>
          <w:tcPr>
            <w:tcW w:w="0" w:type="auto"/>
          </w:tcPr>
          <w:p w14:paraId="45AB982A" w14:textId="2A9F1D3D" w:rsidR="00F54ECF" w:rsidRPr="00024D5A" w:rsidRDefault="00F54ECF" w:rsidP="00791B1A">
            <w:pPr>
              <w:rPr>
                <w:rFonts w:ascii="Garamond" w:hAnsi="Garamond"/>
              </w:rPr>
            </w:pPr>
            <w:r w:rsidRPr="00024D5A">
              <w:rPr>
                <w:rFonts w:ascii="Garamond" w:hAnsi="Garamond"/>
              </w:rPr>
              <w:t>LNB</w:t>
            </w:r>
          </w:p>
        </w:tc>
        <w:tc>
          <w:tcPr>
            <w:tcW w:w="0" w:type="auto"/>
          </w:tcPr>
          <w:p w14:paraId="62F94C9C" w14:textId="4B2073B9" w:rsidR="00F54ECF" w:rsidRPr="00024D5A" w:rsidRDefault="00F54ECF" w:rsidP="00791B1A">
            <w:pPr>
              <w:rPr>
                <w:rFonts w:ascii="Garamond" w:hAnsi="Garamond"/>
              </w:rPr>
            </w:pPr>
            <w:r w:rsidRPr="00024D5A">
              <w:rPr>
                <w:rFonts w:ascii="Garamond" w:hAnsi="Garamond"/>
              </w:rPr>
              <w:t>Askush të mos mbetet pas</w:t>
            </w:r>
          </w:p>
        </w:tc>
      </w:tr>
      <w:tr w:rsidR="00F54ECF" w:rsidRPr="00024D5A" w14:paraId="17C549EF" w14:textId="77777777" w:rsidTr="00BB3430">
        <w:tc>
          <w:tcPr>
            <w:tcW w:w="0" w:type="auto"/>
          </w:tcPr>
          <w:p w14:paraId="537E1A8E" w14:textId="3531752B" w:rsidR="00F54ECF" w:rsidRPr="00024D5A" w:rsidRDefault="00F54ECF" w:rsidP="00791B1A">
            <w:pPr>
              <w:rPr>
                <w:rFonts w:ascii="Garamond" w:hAnsi="Garamond"/>
              </w:rPr>
            </w:pPr>
            <w:r w:rsidRPr="00024D5A">
              <w:rPr>
                <w:rFonts w:ascii="Garamond" w:hAnsi="Garamond"/>
              </w:rPr>
              <w:t>MA</w:t>
            </w:r>
          </w:p>
        </w:tc>
        <w:tc>
          <w:tcPr>
            <w:tcW w:w="0" w:type="auto"/>
          </w:tcPr>
          <w:p w14:paraId="27CDA87B" w14:textId="404C6A02" w:rsidR="00F54ECF" w:rsidRPr="00024D5A" w:rsidRDefault="00F54ECF" w:rsidP="00791B1A">
            <w:pPr>
              <w:rPr>
                <w:rFonts w:ascii="Garamond" w:hAnsi="Garamond"/>
              </w:rPr>
            </w:pPr>
            <w:r w:rsidRPr="00024D5A">
              <w:rPr>
                <w:rFonts w:ascii="Garamond" w:hAnsi="Garamond"/>
              </w:rPr>
              <w:t>Ministria e Arsimit</w:t>
            </w:r>
          </w:p>
        </w:tc>
      </w:tr>
      <w:tr w:rsidR="00F54ECF" w:rsidRPr="00024D5A" w14:paraId="7826EC5F" w14:textId="77777777" w:rsidTr="00BB3430">
        <w:tc>
          <w:tcPr>
            <w:tcW w:w="0" w:type="auto"/>
          </w:tcPr>
          <w:p w14:paraId="06B201BC" w14:textId="4568BB74" w:rsidR="00F54ECF" w:rsidRPr="00024D5A" w:rsidRDefault="00F54ECF" w:rsidP="00791B1A">
            <w:pPr>
              <w:rPr>
                <w:rFonts w:ascii="Garamond" w:hAnsi="Garamond"/>
              </w:rPr>
            </w:pPr>
            <w:r w:rsidRPr="00024D5A">
              <w:rPr>
                <w:rFonts w:ascii="Garamond" w:hAnsi="Garamond"/>
              </w:rPr>
              <w:t>MB</w:t>
            </w:r>
          </w:p>
        </w:tc>
        <w:tc>
          <w:tcPr>
            <w:tcW w:w="0" w:type="auto"/>
          </w:tcPr>
          <w:p w14:paraId="75F94DB4" w14:textId="2BC1EBEA" w:rsidR="00F54ECF" w:rsidRPr="00024D5A" w:rsidRDefault="00F54ECF" w:rsidP="00791B1A">
            <w:pPr>
              <w:rPr>
                <w:rFonts w:ascii="Garamond" w:hAnsi="Garamond"/>
              </w:rPr>
            </w:pPr>
            <w:r w:rsidRPr="00024D5A">
              <w:rPr>
                <w:rFonts w:ascii="Garamond" w:hAnsi="Garamond"/>
              </w:rPr>
              <w:t>Ministria e</w:t>
            </w:r>
            <w:r w:rsidR="008F29FA" w:rsidRPr="00024D5A">
              <w:rPr>
                <w:rFonts w:ascii="Garamond" w:hAnsi="Garamond"/>
              </w:rPr>
              <w:t xml:space="preserve"> </w:t>
            </w:r>
            <w:r w:rsidRPr="00024D5A">
              <w:rPr>
                <w:rFonts w:ascii="Garamond" w:hAnsi="Garamond"/>
              </w:rPr>
              <w:t>Punëve të Brendshme</w:t>
            </w:r>
          </w:p>
        </w:tc>
      </w:tr>
      <w:tr w:rsidR="00F54ECF" w:rsidRPr="00024D5A" w14:paraId="1E03979D" w14:textId="77777777" w:rsidTr="00BB3430">
        <w:tc>
          <w:tcPr>
            <w:tcW w:w="0" w:type="auto"/>
          </w:tcPr>
          <w:p w14:paraId="0846EDA1" w14:textId="5DEC19E5" w:rsidR="00F54ECF" w:rsidRPr="00024D5A" w:rsidRDefault="00F54ECF" w:rsidP="00791B1A">
            <w:pPr>
              <w:rPr>
                <w:rFonts w:ascii="Garamond" w:hAnsi="Garamond"/>
              </w:rPr>
            </w:pPr>
            <w:r w:rsidRPr="00024D5A">
              <w:rPr>
                <w:rFonts w:ascii="Garamond" w:hAnsi="Garamond"/>
              </w:rPr>
              <w:t>MD</w:t>
            </w:r>
          </w:p>
        </w:tc>
        <w:tc>
          <w:tcPr>
            <w:tcW w:w="0" w:type="auto"/>
          </w:tcPr>
          <w:p w14:paraId="2416E95F" w14:textId="641CF89B" w:rsidR="00F54ECF" w:rsidRPr="00024D5A" w:rsidRDefault="00F54ECF" w:rsidP="00791B1A">
            <w:pPr>
              <w:rPr>
                <w:rFonts w:ascii="Garamond" w:hAnsi="Garamond"/>
              </w:rPr>
            </w:pPr>
            <w:r w:rsidRPr="00024D5A">
              <w:rPr>
                <w:rFonts w:ascii="Garamond" w:hAnsi="Garamond"/>
              </w:rPr>
              <w:t>Ministria e Drejtësisë</w:t>
            </w:r>
          </w:p>
        </w:tc>
      </w:tr>
      <w:tr w:rsidR="00F54ECF" w:rsidRPr="00024D5A" w14:paraId="549AC3A3" w14:textId="77777777" w:rsidTr="00BB3430">
        <w:tc>
          <w:tcPr>
            <w:tcW w:w="0" w:type="auto"/>
          </w:tcPr>
          <w:p w14:paraId="0ADC1B0F" w14:textId="45AA4E57" w:rsidR="00F54ECF" w:rsidRPr="00024D5A" w:rsidRDefault="00F54ECF" w:rsidP="00791B1A">
            <w:pPr>
              <w:rPr>
                <w:rFonts w:ascii="Garamond" w:hAnsi="Garamond"/>
              </w:rPr>
            </w:pPr>
            <w:r w:rsidRPr="00024D5A">
              <w:rPr>
                <w:rFonts w:ascii="Garamond" w:hAnsi="Garamond"/>
              </w:rPr>
              <w:t>MEI</w:t>
            </w:r>
          </w:p>
        </w:tc>
        <w:tc>
          <w:tcPr>
            <w:tcW w:w="0" w:type="auto"/>
          </w:tcPr>
          <w:p w14:paraId="3906CAB1" w14:textId="5B15DBC8" w:rsidR="00F54ECF" w:rsidRPr="00024D5A" w:rsidRDefault="00F54ECF" w:rsidP="00791B1A">
            <w:pPr>
              <w:rPr>
                <w:rFonts w:ascii="Garamond" w:hAnsi="Garamond"/>
              </w:rPr>
            </w:pPr>
            <w:r w:rsidRPr="00024D5A">
              <w:rPr>
                <w:rFonts w:ascii="Garamond" w:hAnsi="Garamond"/>
              </w:rPr>
              <w:t>Ministria e Ekonomisë dhe Inovacionit</w:t>
            </w:r>
          </w:p>
        </w:tc>
      </w:tr>
      <w:tr w:rsidR="00F54ECF" w:rsidRPr="00024D5A" w14:paraId="5A816A5B" w14:textId="77777777" w:rsidTr="00BB3430">
        <w:tc>
          <w:tcPr>
            <w:tcW w:w="0" w:type="auto"/>
          </w:tcPr>
          <w:p w14:paraId="50502E2A" w14:textId="318C4BE1" w:rsidR="00F54ECF" w:rsidRPr="00024D5A" w:rsidRDefault="00F54ECF" w:rsidP="00791B1A">
            <w:pPr>
              <w:rPr>
                <w:rFonts w:ascii="Garamond" w:hAnsi="Garamond"/>
              </w:rPr>
            </w:pPr>
            <w:r w:rsidRPr="00024D5A">
              <w:rPr>
                <w:rFonts w:ascii="Garamond" w:hAnsi="Garamond"/>
              </w:rPr>
              <w:t>MEKI</w:t>
            </w:r>
          </w:p>
        </w:tc>
        <w:tc>
          <w:tcPr>
            <w:tcW w:w="0" w:type="auto"/>
          </w:tcPr>
          <w:p w14:paraId="2F07D4F4" w14:textId="709D6E88" w:rsidR="00F54ECF" w:rsidRPr="00024D5A" w:rsidRDefault="00F54ECF" w:rsidP="00791B1A">
            <w:pPr>
              <w:rPr>
                <w:rFonts w:ascii="Garamond" w:hAnsi="Garamond"/>
              </w:rPr>
            </w:pPr>
            <w:r w:rsidRPr="00024D5A">
              <w:rPr>
                <w:rFonts w:ascii="Garamond" w:hAnsi="Garamond"/>
              </w:rPr>
              <w:t>Ministria Ekonomisë Kulturës dhe Inovacionit</w:t>
            </w:r>
          </w:p>
        </w:tc>
      </w:tr>
      <w:tr w:rsidR="00F54ECF" w:rsidRPr="00024D5A" w14:paraId="570040D9" w14:textId="77777777" w:rsidTr="00BB3430">
        <w:tc>
          <w:tcPr>
            <w:tcW w:w="0" w:type="auto"/>
          </w:tcPr>
          <w:p w14:paraId="31DA1D78" w14:textId="6E47BC45" w:rsidR="00F54ECF" w:rsidRPr="00024D5A" w:rsidRDefault="00F54ECF" w:rsidP="00791B1A">
            <w:pPr>
              <w:rPr>
                <w:rFonts w:ascii="Garamond" w:hAnsi="Garamond"/>
              </w:rPr>
            </w:pPr>
            <w:r w:rsidRPr="00024D5A">
              <w:rPr>
                <w:rFonts w:ascii="Garamond" w:hAnsi="Garamond"/>
              </w:rPr>
              <w:t>MIE</w:t>
            </w:r>
          </w:p>
        </w:tc>
        <w:tc>
          <w:tcPr>
            <w:tcW w:w="0" w:type="auto"/>
          </w:tcPr>
          <w:p w14:paraId="17A95A77" w14:textId="1EFDD591" w:rsidR="00F54ECF" w:rsidRPr="00024D5A" w:rsidRDefault="00F54ECF" w:rsidP="00791B1A">
            <w:pPr>
              <w:rPr>
                <w:rFonts w:ascii="Garamond" w:hAnsi="Garamond"/>
              </w:rPr>
            </w:pPr>
            <w:r w:rsidRPr="00024D5A">
              <w:rPr>
                <w:rFonts w:ascii="Garamond" w:hAnsi="Garamond"/>
              </w:rPr>
              <w:t>Ministria e Infrastrukturës dhe Energjetikës</w:t>
            </w:r>
          </w:p>
        </w:tc>
      </w:tr>
      <w:tr w:rsidR="00F54ECF" w:rsidRPr="00024D5A" w14:paraId="24AC79C4" w14:textId="77777777" w:rsidTr="00BB3430">
        <w:tc>
          <w:tcPr>
            <w:tcW w:w="0" w:type="auto"/>
          </w:tcPr>
          <w:p w14:paraId="3FC4B8D2" w14:textId="510E927C" w:rsidR="00F54ECF" w:rsidRPr="00024D5A" w:rsidRDefault="00F54ECF" w:rsidP="00791B1A">
            <w:pPr>
              <w:rPr>
                <w:rFonts w:ascii="Garamond" w:hAnsi="Garamond"/>
              </w:rPr>
            </w:pPr>
            <w:r w:rsidRPr="00024D5A">
              <w:rPr>
                <w:rFonts w:ascii="Garamond" w:hAnsi="Garamond"/>
              </w:rPr>
              <w:t>MKR</w:t>
            </w:r>
          </w:p>
        </w:tc>
        <w:tc>
          <w:tcPr>
            <w:tcW w:w="0" w:type="auto"/>
          </w:tcPr>
          <w:p w14:paraId="78F33105" w14:textId="0AF6DE5E" w:rsidR="00F54ECF" w:rsidRPr="00024D5A" w:rsidRDefault="00F54ECF" w:rsidP="00791B1A">
            <w:pPr>
              <w:rPr>
                <w:rFonts w:ascii="Garamond" w:hAnsi="Garamond"/>
              </w:rPr>
            </w:pPr>
            <w:r w:rsidRPr="00024D5A">
              <w:rPr>
                <w:rFonts w:ascii="Garamond" w:hAnsi="Garamond"/>
              </w:rPr>
              <w:t>Mekanizmat e Koordinuar të Referimit</w:t>
            </w:r>
          </w:p>
        </w:tc>
      </w:tr>
      <w:tr w:rsidR="00F54ECF" w:rsidRPr="00024D5A" w14:paraId="5FC7345E" w14:textId="77777777" w:rsidTr="00BB3430">
        <w:tc>
          <w:tcPr>
            <w:tcW w:w="0" w:type="auto"/>
          </w:tcPr>
          <w:p w14:paraId="07C80BE1" w14:textId="37167CC8" w:rsidR="00F54ECF" w:rsidRPr="00024D5A" w:rsidRDefault="00F54ECF" w:rsidP="00791B1A">
            <w:pPr>
              <w:rPr>
                <w:rFonts w:ascii="Garamond" w:hAnsi="Garamond"/>
              </w:rPr>
            </w:pPr>
            <w:r w:rsidRPr="00024D5A">
              <w:rPr>
                <w:rFonts w:ascii="Garamond" w:hAnsi="Garamond"/>
              </w:rPr>
              <w:t>MSHMS</w:t>
            </w:r>
          </w:p>
        </w:tc>
        <w:tc>
          <w:tcPr>
            <w:tcW w:w="0" w:type="auto"/>
          </w:tcPr>
          <w:p w14:paraId="207C68A5" w14:textId="6B7BF54C" w:rsidR="00F54ECF" w:rsidRPr="00024D5A" w:rsidRDefault="00F54ECF" w:rsidP="00791B1A">
            <w:pPr>
              <w:rPr>
                <w:rFonts w:ascii="Garamond" w:hAnsi="Garamond"/>
              </w:rPr>
            </w:pPr>
            <w:r w:rsidRPr="00024D5A">
              <w:rPr>
                <w:rFonts w:ascii="Garamond" w:hAnsi="Garamond"/>
              </w:rPr>
              <w:t>Ministria e Shëndetësisë dhe Mirëqenies Sociale</w:t>
            </w:r>
          </w:p>
        </w:tc>
      </w:tr>
      <w:tr w:rsidR="00F54ECF" w:rsidRPr="00024D5A" w14:paraId="33D17BED" w14:textId="77777777" w:rsidTr="00BB3430">
        <w:tc>
          <w:tcPr>
            <w:tcW w:w="0" w:type="auto"/>
          </w:tcPr>
          <w:p w14:paraId="7830DD5A" w14:textId="74BDE769" w:rsidR="00F54ECF" w:rsidRPr="00024D5A" w:rsidRDefault="00F54ECF" w:rsidP="00791B1A">
            <w:pPr>
              <w:rPr>
                <w:rFonts w:ascii="Garamond" w:hAnsi="Garamond"/>
              </w:rPr>
            </w:pPr>
            <w:r w:rsidRPr="00024D5A">
              <w:rPr>
                <w:rFonts w:ascii="Garamond" w:hAnsi="Garamond"/>
              </w:rPr>
              <w:t>MSHPV</w:t>
            </w:r>
          </w:p>
        </w:tc>
        <w:tc>
          <w:tcPr>
            <w:tcW w:w="0" w:type="auto"/>
          </w:tcPr>
          <w:p w14:paraId="05A8B26C" w14:textId="0D7E5887" w:rsidR="00F54ECF" w:rsidRPr="00024D5A" w:rsidRDefault="00F54ECF" w:rsidP="00791B1A">
            <w:pPr>
              <w:rPr>
                <w:rFonts w:ascii="Garamond" w:hAnsi="Garamond"/>
              </w:rPr>
            </w:pPr>
            <w:r w:rsidRPr="00024D5A">
              <w:rPr>
                <w:rFonts w:ascii="Garamond" w:hAnsi="Garamond"/>
              </w:rPr>
              <w:t>Ministri i Shtetit për Pushtetin Vendor</w:t>
            </w:r>
          </w:p>
        </w:tc>
      </w:tr>
      <w:tr w:rsidR="00F54ECF" w:rsidRPr="00024D5A" w14:paraId="2E6EFDBD" w14:textId="77777777" w:rsidTr="00BB3430">
        <w:tc>
          <w:tcPr>
            <w:tcW w:w="0" w:type="auto"/>
          </w:tcPr>
          <w:p w14:paraId="068C10C3" w14:textId="3463906B" w:rsidR="00F54ECF" w:rsidRPr="00024D5A" w:rsidRDefault="00F54ECF" w:rsidP="00791B1A">
            <w:pPr>
              <w:rPr>
                <w:rFonts w:ascii="Garamond" w:hAnsi="Garamond"/>
              </w:rPr>
            </w:pPr>
            <w:r w:rsidRPr="00024D5A">
              <w:rPr>
                <w:rFonts w:ascii="Garamond" w:hAnsi="Garamond"/>
              </w:rPr>
              <w:t>MTKS</w:t>
            </w:r>
          </w:p>
        </w:tc>
        <w:tc>
          <w:tcPr>
            <w:tcW w:w="0" w:type="auto"/>
          </w:tcPr>
          <w:p w14:paraId="466BBE43" w14:textId="4316E685" w:rsidR="00F54ECF" w:rsidRPr="00024D5A" w:rsidRDefault="00F54ECF" w:rsidP="00791B1A">
            <w:pPr>
              <w:rPr>
                <w:rFonts w:ascii="Garamond" w:hAnsi="Garamond"/>
              </w:rPr>
            </w:pPr>
            <w:r w:rsidRPr="00024D5A">
              <w:rPr>
                <w:rFonts w:ascii="Garamond" w:hAnsi="Garamond"/>
              </w:rPr>
              <w:t>Ministria e Turizmit, Kulturës dhe Sportit</w:t>
            </w:r>
          </w:p>
        </w:tc>
      </w:tr>
      <w:tr w:rsidR="00F54ECF" w:rsidRPr="00024D5A" w14:paraId="6E038391" w14:textId="77777777" w:rsidTr="00BB3430">
        <w:tc>
          <w:tcPr>
            <w:tcW w:w="0" w:type="auto"/>
          </w:tcPr>
          <w:p w14:paraId="7308F6A0" w14:textId="6AA83AA6" w:rsidR="00F54ECF" w:rsidRPr="00024D5A" w:rsidRDefault="00F54ECF" w:rsidP="00791B1A">
            <w:pPr>
              <w:rPr>
                <w:rFonts w:ascii="Garamond" w:hAnsi="Garamond"/>
              </w:rPr>
            </w:pPr>
            <w:r w:rsidRPr="00024D5A">
              <w:rPr>
                <w:rFonts w:ascii="Garamond" w:hAnsi="Garamond"/>
              </w:rPr>
              <w:t>NJF</w:t>
            </w:r>
          </w:p>
        </w:tc>
        <w:tc>
          <w:tcPr>
            <w:tcW w:w="0" w:type="auto"/>
          </w:tcPr>
          <w:p w14:paraId="39EA5674" w14:textId="60964DFD" w:rsidR="00F54ECF" w:rsidRPr="00024D5A" w:rsidRDefault="00F54ECF" w:rsidP="00791B1A">
            <w:pPr>
              <w:rPr>
                <w:rFonts w:ascii="Garamond" w:hAnsi="Garamond"/>
              </w:rPr>
            </w:pPr>
            <w:r w:rsidRPr="00024D5A">
              <w:rPr>
                <w:rFonts w:ascii="Garamond" w:hAnsi="Garamond"/>
              </w:rPr>
              <w:t>Ndihma Juridike Falas</w:t>
            </w:r>
          </w:p>
        </w:tc>
      </w:tr>
      <w:tr w:rsidR="00F54ECF" w:rsidRPr="00024D5A" w14:paraId="27998F33" w14:textId="77777777" w:rsidTr="00BB3430">
        <w:tc>
          <w:tcPr>
            <w:tcW w:w="0" w:type="auto"/>
          </w:tcPr>
          <w:p w14:paraId="17DB534E" w14:textId="52DEF414" w:rsidR="00F54ECF" w:rsidRPr="00024D5A" w:rsidRDefault="00F54ECF" w:rsidP="00791B1A">
            <w:pPr>
              <w:rPr>
                <w:rFonts w:ascii="Garamond" w:hAnsi="Garamond"/>
              </w:rPr>
            </w:pPr>
            <w:r w:rsidRPr="00024D5A">
              <w:rPr>
                <w:rFonts w:ascii="Garamond" w:hAnsi="Garamond"/>
              </w:rPr>
              <w:lastRenderedPageBreak/>
              <w:t>NJMF</w:t>
            </w:r>
          </w:p>
        </w:tc>
        <w:tc>
          <w:tcPr>
            <w:tcW w:w="0" w:type="auto"/>
          </w:tcPr>
          <w:p w14:paraId="5417941A" w14:textId="4556A433" w:rsidR="00F54ECF" w:rsidRPr="00024D5A" w:rsidRDefault="00F54ECF" w:rsidP="00791B1A">
            <w:pPr>
              <w:rPr>
                <w:rFonts w:ascii="Garamond" w:hAnsi="Garamond"/>
              </w:rPr>
            </w:pPr>
            <w:r w:rsidRPr="00024D5A">
              <w:rPr>
                <w:rFonts w:ascii="Garamond" w:hAnsi="Garamond"/>
              </w:rPr>
              <w:t>Njësia për Mbrojtjen e Fëmijëve</w:t>
            </w:r>
          </w:p>
        </w:tc>
      </w:tr>
      <w:tr w:rsidR="00F54ECF" w:rsidRPr="00024D5A" w14:paraId="384EA444" w14:textId="77777777" w:rsidTr="00BB3430">
        <w:tc>
          <w:tcPr>
            <w:tcW w:w="0" w:type="auto"/>
          </w:tcPr>
          <w:p w14:paraId="491764A1" w14:textId="4E46942F" w:rsidR="00F54ECF" w:rsidRPr="00024D5A" w:rsidRDefault="00F54ECF" w:rsidP="00791B1A">
            <w:pPr>
              <w:rPr>
                <w:rFonts w:ascii="Garamond" w:hAnsi="Garamond"/>
              </w:rPr>
            </w:pPr>
            <w:r w:rsidRPr="00024D5A">
              <w:rPr>
                <w:rFonts w:ascii="Garamond" w:hAnsi="Garamond"/>
              </w:rPr>
              <w:t>NJVV</w:t>
            </w:r>
          </w:p>
        </w:tc>
        <w:tc>
          <w:tcPr>
            <w:tcW w:w="0" w:type="auto"/>
          </w:tcPr>
          <w:p w14:paraId="217C4ACF" w14:textId="3E3F1599" w:rsidR="00F54ECF" w:rsidRPr="00024D5A" w:rsidRDefault="00F54ECF" w:rsidP="00791B1A">
            <w:pPr>
              <w:rPr>
                <w:rFonts w:ascii="Garamond" w:hAnsi="Garamond"/>
              </w:rPr>
            </w:pPr>
            <w:r w:rsidRPr="00024D5A">
              <w:rPr>
                <w:rFonts w:ascii="Garamond" w:hAnsi="Garamond"/>
              </w:rPr>
              <w:t>Njësia e Vetëqeverisjes Vendore</w:t>
            </w:r>
          </w:p>
        </w:tc>
      </w:tr>
      <w:tr w:rsidR="00F54ECF" w:rsidRPr="00024D5A" w14:paraId="174C82F0" w14:textId="77777777" w:rsidTr="00BB3430">
        <w:tc>
          <w:tcPr>
            <w:tcW w:w="0" w:type="auto"/>
          </w:tcPr>
          <w:p w14:paraId="3C009FF7" w14:textId="77777777" w:rsidR="00F54ECF" w:rsidRPr="00024D5A" w:rsidRDefault="00F54ECF" w:rsidP="00791B1A">
            <w:pPr>
              <w:rPr>
                <w:rFonts w:ascii="Garamond" w:hAnsi="Garamond"/>
              </w:rPr>
            </w:pPr>
            <w:r w:rsidRPr="00024D5A">
              <w:rPr>
                <w:rFonts w:ascii="Garamond" w:hAnsi="Garamond"/>
              </w:rPr>
              <w:t>NJVKSH</w:t>
            </w:r>
          </w:p>
        </w:tc>
        <w:tc>
          <w:tcPr>
            <w:tcW w:w="0" w:type="auto"/>
          </w:tcPr>
          <w:p w14:paraId="7F05A9B5" w14:textId="152C6773" w:rsidR="00F54ECF" w:rsidRPr="00024D5A" w:rsidRDefault="00F54ECF" w:rsidP="00791B1A">
            <w:pPr>
              <w:rPr>
                <w:rFonts w:ascii="Garamond" w:hAnsi="Garamond"/>
              </w:rPr>
            </w:pPr>
            <w:r w:rsidRPr="00024D5A">
              <w:rPr>
                <w:rFonts w:ascii="Garamond" w:hAnsi="Garamond"/>
              </w:rPr>
              <w:t>Njësia Vendore Kujdesit Shëndetësor</w:t>
            </w:r>
          </w:p>
        </w:tc>
      </w:tr>
      <w:tr w:rsidR="00F54ECF" w:rsidRPr="00024D5A" w14:paraId="4B6DC70F" w14:textId="77777777" w:rsidTr="00BB3430">
        <w:tc>
          <w:tcPr>
            <w:tcW w:w="0" w:type="auto"/>
          </w:tcPr>
          <w:p w14:paraId="6D47E02A" w14:textId="04AF9EA7" w:rsidR="00F54ECF" w:rsidRPr="00024D5A" w:rsidRDefault="00F54ECF" w:rsidP="00791B1A">
            <w:pPr>
              <w:rPr>
                <w:rFonts w:ascii="Garamond" w:hAnsi="Garamond"/>
              </w:rPr>
            </w:pPr>
            <w:r w:rsidRPr="00024D5A">
              <w:rPr>
                <w:rFonts w:ascii="Garamond" w:hAnsi="Garamond"/>
              </w:rPr>
              <w:t>NJVV</w:t>
            </w:r>
          </w:p>
        </w:tc>
        <w:tc>
          <w:tcPr>
            <w:tcW w:w="0" w:type="auto"/>
          </w:tcPr>
          <w:p w14:paraId="796FA730" w14:textId="29CAE518" w:rsidR="00F54ECF" w:rsidRPr="00024D5A" w:rsidRDefault="00F54ECF" w:rsidP="00791B1A">
            <w:pPr>
              <w:rPr>
                <w:rFonts w:ascii="Garamond" w:hAnsi="Garamond"/>
              </w:rPr>
            </w:pPr>
            <w:r w:rsidRPr="00024D5A">
              <w:rPr>
                <w:rFonts w:ascii="Garamond" w:hAnsi="Garamond"/>
              </w:rPr>
              <w:t>Njësi e Vetëqeverisjes Vendore</w:t>
            </w:r>
          </w:p>
        </w:tc>
      </w:tr>
      <w:tr w:rsidR="00F54ECF" w:rsidRPr="00024D5A" w14:paraId="674ADA4C" w14:textId="77777777" w:rsidTr="00BB3430">
        <w:tc>
          <w:tcPr>
            <w:tcW w:w="0" w:type="auto"/>
          </w:tcPr>
          <w:p w14:paraId="4D7A7692" w14:textId="60661C65" w:rsidR="00F54ECF" w:rsidRPr="00024D5A" w:rsidRDefault="00F54ECF" w:rsidP="00791B1A">
            <w:pPr>
              <w:rPr>
                <w:rFonts w:ascii="Garamond" w:hAnsi="Garamond"/>
              </w:rPr>
            </w:pPr>
            <w:r w:rsidRPr="00024D5A">
              <w:rPr>
                <w:rFonts w:ascii="Garamond" w:hAnsi="Garamond"/>
              </w:rPr>
              <w:t>OJF</w:t>
            </w:r>
          </w:p>
        </w:tc>
        <w:tc>
          <w:tcPr>
            <w:tcW w:w="0" w:type="auto"/>
          </w:tcPr>
          <w:p w14:paraId="6E239CFF" w14:textId="1EB2E120" w:rsidR="00F54ECF" w:rsidRPr="00024D5A" w:rsidRDefault="00F54ECF" w:rsidP="00791B1A">
            <w:pPr>
              <w:rPr>
                <w:rFonts w:ascii="Garamond" w:hAnsi="Garamond"/>
              </w:rPr>
            </w:pPr>
            <w:r w:rsidRPr="00024D5A">
              <w:rPr>
                <w:rFonts w:ascii="Garamond" w:hAnsi="Garamond"/>
              </w:rPr>
              <w:t xml:space="preserve">Organizatë </w:t>
            </w:r>
            <w:r w:rsidR="006D7EAD" w:rsidRPr="00024D5A">
              <w:rPr>
                <w:rFonts w:ascii="Garamond" w:hAnsi="Garamond"/>
              </w:rPr>
              <w:t>jofitimprurëse</w:t>
            </w:r>
          </w:p>
        </w:tc>
      </w:tr>
      <w:tr w:rsidR="00F54ECF" w:rsidRPr="00024D5A" w14:paraId="5D5B5493" w14:textId="77777777" w:rsidTr="00BB3430">
        <w:tc>
          <w:tcPr>
            <w:tcW w:w="0" w:type="auto"/>
          </w:tcPr>
          <w:p w14:paraId="3DA57299" w14:textId="485C4394" w:rsidR="00F54ECF" w:rsidRPr="00024D5A" w:rsidRDefault="00F54ECF" w:rsidP="00791B1A">
            <w:pPr>
              <w:rPr>
                <w:rFonts w:ascii="Garamond" w:hAnsi="Garamond"/>
              </w:rPr>
            </w:pPr>
            <w:r w:rsidRPr="00024D5A">
              <w:rPr>
                <w:rFonts w:ascii="Garamond" w:hAnsi="Garamond"/>
              </w:rPr>
              <w:t>OJF</w:t>
            </w:r>
          </w:p>
        </w:tc>
        <w:tc>
          <w:tcPr>
            <w:tcW w:w="0" w:type="auto"/>
          </w:tcPr>
          <w:p w14:paraId="0F2A1B05" w14:textId="1141FDD3" w:rsidR="00F54ECF" w:rsidRPr="00024D5A" w:rsidRDefault="00F54ECF" w:rsidP="00791B1A">
            <w:pPr>
              <w:rPr>
                <w:rFonts w:ascii="Garamond" w:hAnsi="Garamond"/>
              </w:rPr>
            </w:pPr>
            <w:r w:rsidRPr="00024D5A">
              <w:rPr>
                <w:rFonts w:ascii="Garamond" w:hAnsi="Garamond"/>
              </w:rPr>
              <w:t xml:space="preserve">Organizatë </w:t>
            </w:r>
            <w:r w:rsidR="006D7EAD" w:rsidRPr="00024D5A">
              <w:rPr>
                <w:rFonts w:ascii="Garamond" w:hAnsi="Garamond"/>
              </w:rPr>
              <w:t>joqeveritare</w:t>
            </w:r>
          </w:p>
        </w:tc>
      </w:tr>
      <w:tr w:rsidR="00F54ECF" w:rsidRPr="00024D5A" w14:paraId="414D908A" w14:textId="77777777" w:rsidTr="00BB3430">
        <w:tc>
          <w:tcPr>
            <w:tcW w:w="0" w:type="auto"/>
          </w:tcPr>
          <w:p w14:paraId="13C8695E" w14:textId="16996C65" w:rsidR="00F54ECF" w:rsidRPr="00024D5A" w:rsidRDefault="00F54ECF" w:rsidP="00791B1A">
            <w:pPr>
              <w:rPr>
                <w:rFonts w:ascii="Garamond" w:hAnsi="Garamond"/>
              </w:rPr>
            </w:pPr>
            <w:r w:rsidRPr="00024D5A">
              <w:rPr>
                <w:rFonts w:ascii="Garamond" w:hAnsi="Garamond"/>
              </w:rPr>
              <w:t>OKB</w:t>
            </w:r>
          </w:p>
        </w:tc>
        <w:tc>
          <w:tcPr>
            <w:tcW w:w="0" w:type="auto"/>
          </w:tcPr>
          <w:p w14:paraId="0A7EE616" w14:textId="5BE7E4F9" w:rsidR="00F54ECF" w:rsidRPr="00024D5A" w:rsidRDefault="00F54ECF" w:rsidP="00791B1A">
            <w:pPr>
              <w:rPr>
                <w:rFonts w:ascii="Garamond" w:hAnsi="Garamond"/>
              </w:rPr>
            </w:pPr>
            <w:r w:rsidRPr="00024D5A">
              <w:rPr>
                <w:rFonts w:ascii="Garamond" w:hAnsi="Garamond"/>
              </w:rPr>
              <w:t>Organizata e Kombeve të Bashkuara</w:t>
            </w:r>
          </w:p>
        </w:tc>
      </w:tr>
      <w:tr w:rsidR="00F54ECF" w:rsidRPr="00024D5A" w14:paraId="74579741" w14:textId="77777777" w:rsidTr="00BB3430">
        <w:tc>
          <w:tcPr>
            <w:tcW w:w="0" w:type="auto"/>
          </w:tcPr>
          <w:p w14:paraId="57AEE0F6" w14:textId="16E01A30" w:rsidR="00F54ECF" w:rsidRPr="00024D5A" w:rsidRDefault="00F54ECF" w:rsidP="00791B1A">
            <w:pPr>
              <w:rPr>
                <w:rFonts w:ascii="Garamond" w:hAnsi="Garamond"/>
              </w:rPr>
            </w:pPr>
            <w:r w:rsidRPr="00024D5A">
              <w:rPr>
                <w:rFonts w:ascii="Garamond" w:hAnsi="Garamond"/>
              </w:rPr>
              <w:t>OPAK</w:t>
            </w:r>
          </w:p>
        </w:tc>
        <w:tc>
          <w:tcPr>
            <w:tcW w:w="0" w:type="auto"/>
          </w:tcPr>
          <w:p w14:paraId="6AF92D9C" w14:textId="6A480F61" w:rsidR="00F54ECF" w:rsidRPr="00024D5A" w:rsidRDefault="00F54ECF" w:rsidP="00791B1A">
            <w:pPr>
              <w:rPr>
                <w:rFonts w:ascii="Garamond" w:hAnsi="Garamond"/>
              </w:rPr>
            </w:pPr>
            <w:r w:rsidRPr="00024D5A">
              <w:rPr>
                <w:rFonts w:ascii="Garamond" w:hAnsi="Garamond"/>
              </w:rPr>
              <w:t>Organizata e Personave me Aftësi të Kufizuara</w:t>
            </w:r>
          </w:p>
        </w:tc>
      </w:tr>
      <w:tr w:rsidR="00F54ECF" w:rsidRPr="00024D5A" w14:paraId="534B690F" w14:textId="77777777" w:rsidTr="00BB3430">
        <w:tc>
          <w:tcPr>
            <w:tcW w:w="0" w:type="auto"/>
          </w:tcPr>
          <w:p w14:paraId="5F5293DE" w14:textId="77777777" w:rsidR="00F54ECF" w:rsidRPr="00024D5A" w:rsidRDefault="00F54ECF" w:rsidP="00791B1A">
            <w:pPr>
              <w:rPr>
                <w:rFonts w:ascii="Garamond" w:hAnsi="Garamond"/>
              </w:rPr>
            </w:pPr>
            <w:r w:rsidRPr="00024D5A">
              <w:rPr>
                <w:rFonts w:ascii="Garamond" w:hAnsi="Garamond"/>
              </w:rPr>
              <w:t>OSHC</w:t>
            </w:r>
          </w:p>
        </w:tc>
        <w:tc>
          <w:tcPr>
            <w:tcW w:w="0" w:type="auto"/>
          </w:tcPr>
          <w:p w14:paraId="7DFFA434" w14:textId="77888B0B" w:rsidR="00F54ECF" w:rsidRPr="00024D5A" w:rsidRDefault="00F54ECF" w:rsidP="00791B1A">
            <w:pPr>
              <w:rPr>
                <w:rFonts w:ascii="Garamond" w:hAnsi="Garamond"/>
              </w:rPr>
            </w:pPr>
            <w:r w:rsidRPr="00024D5A">
              <w:rPr>
                <w:rFonts w:ascii="Garamond" w:hAnsi="Garamond"/>
              </w:rPr>
              <w:t xml:space="preserve">Organizata e </w:t>
            </w:r>
            <w:r w:rsidR="006D7EAD" w:rsidRPr="00024D5A">
              <w:rPr>
                <w:rFonts w:ascii="Garamond" w:hAnsi="Garamond"/>
              </w:rPr>
              <w:t>shoqërisë civile</w:t>
            </w:r>
          </w:p>
        </w:tc>
      </w:tr>
      <w:tr w:rsidR="00F54ECF" w:rsidRPr="00024D5A" w14:paraId="105E820A" w14:textId="77777777" w:rsidTr="00BB3430">
        <w:tc>
          <w:tcPr>
            <w:tcW w:w="0" w:type="auto"/>
          </w:tcPr>
          <w:p w14:paraId="0F0A3C32" w14:textId="77777777" w:rsidR="00F54ECF" w:rsidRPr="00024D5A" w:rsidRDefault="00F54ECF" w:rsidP="00791B1A">
            <w:pPr>
              <w:rPr>
                <w:rFonts w:ascii="Garamond" w:hAnsi="Garamond"/>
              </w:rPr>
            </w:pPr>
            <w:r w:rsidRPr="00024D5A">
              <w:rPr>
                <w:rFonts w:ascii="Garamond" w:hAnsi="Garamond"/>
              </w:rPr>
              <w:t>OSHKSH</w:t>
            </w:r>
          </w:p>
        </w:tc>
        <w:tc>
          <w:tcPr>
            <w:tcW w:w="0" w:type="auto"/>
          </w:tcPr>
          <w:p w14:paraId="16B3F22E" w14:textId="5C83A19E" w:rsidR="00F54ECF" w:rsidRPr="00024D5A" w:rsidRDefault="00F54ECF" w:rsidP="00791B1A">
            <w:pPr>
              <w:rPr>
                <w:rFonts w:ascii="Garamond" w:hAnsi="Garamond"/>
              </w:rPr>
            </w:pPr>
            <w:r w:rsidRPr="00024D5A">
              <w:rPr>
                <w:rFonts w:ascii="Garamond" w:hAnsi="Garamond"/>
              </w:rPr>
              <w:t>Operatorit Shtetëror Kujdesit Shëndetësor</w:t>
            </w:r>
          </w:p>
        </w:tc>
      </w:tr>
      <w:tr w:rsidR="00F54ECF" w:rsidRPr="00024D5A" w14:paraId="04B2A623" w14:textId="77777777" w:rsidTr="00BB3430">
        <w:tc>
          <w:tcPr>
            <w:tcW w:w="0" w:type="auto"/>
          </w:tcPr>
          <w:p w14:paraId="14AF7D5F" w14:textId="77777777" w:rsidR="00F54ECF" w:rsidRPr="00024D5A" w:rsidRDefault="00F54ECF" w:rsidP="00791B1A">
            <w:pPr>
              <w:rPr>
                <w:rFonts w:ascii="Garamond" w:hAnsi="Garamond"/>
              </w:rPr>
            </w:pPr>
            <w:r w:rsidRPr="00024D5A">
              <w:rPr>
                <w:rFonts w:ascii="Garamond" w:hAnsi="Garamond"/>
              </w:rPr>
              <w:t>PAK</w:t>
            </w:r>
          </w:p>
        </w:tc>
        <w:tc>
          <w:tcPr>
            <w:tcW w:w="0" w:type="auto"/>
          </w:tcPr>
          <w:p w14:paraId="2B6960C8" w14:textId="70F6BE77" w:rsidR="00F54ECF" w:rsidRPr="00024D5A" w:rsidRDefault="00F54ECF" w:rsidP="00791B1A">
            <w:pPr>
              <w:rPr>
                <w:rFonts w:ascii="Garamond" w:hAnsi="Garamond"/>
              </w:rPr>
            </w:pPr>
            <w:r w:rsidRPr="00024D5A">
              <w:rPr>
                <w:rFonts w:ascii="Garamond" w:hAnsi="Garamond"/>
              </w:rPr>
              <w:t xml:space="preserve">Persona me </w:t>
            </w:r>
            <w:r w:rsidR="006D7EAD" w:rsidRPr="00024D5A">
              <w:rPr>
                <w:rFonts w:ascii="Garamond" w:hAnsi="Garamond"/>
              </w:rPr>
              <w:t>aftësi të kufizuara</w:t>
            </w:r>
          </w:p>
        </w:tc>
      </w:tr>
      <w:tr w:rsidR="00F54ECF" w:rsidRPr="00024D5A" w14:paraId="7B9B3E9F" w14:textId="77777777" w:rsidTr="00BB3430">
        <w:tc>
          <w:tcPr>
            <w:tcW w:w="0" w:type="auto"/>
          </w:tcPr>
          <w:p w14:paraId="549C3925" w14:textId="2E595F75" w:rsidR="00F54ECF" w:rsidRPr="00024D5A" w:rsidRDefault="00F54ECF" w:rsidP="00791B1A">
            <w:pPr>
              <w:rPr>
                <w:rFonts w:ascii="Garamond" w:hAnsi="Garamond"/>
              </w:rPr>
            </w:pPr>
            <w:r w:rsidRPr="00024D5A">
              <w:rPr>
                <w:rFonts w:ascii="Garamond" w:hAnsi="Garamond"/>
              </w:rPr>
              <w:t>PBA</w:t>
            </w:r>
          </w:p>
        </w:tc>
        <w:tc>
          <w:tcPr>
            <w:tcW w:w="0" w:type="auto"/>
          </w:tcPr>
          <w:p w14:paraId="084935A2" w14:textId="7A7F0686" w:rsidR="00F54ECF" w:rsidRPr="00024D5A" w:rsidRDefault="00F54ECF" w:rsidP="00791B1A">
            <w:pPr>
              <w:rPr>
                <w:rFonts w:ascii="Garamond" w:hAnsi="Garamond"/>
              </w:rPr>
            </w:pPr>
            <w:r w:rsidRPr="00024D5A">
              <w:rPr>
                <w:rFonts w:ascii="Garamond" w:hAnsi="Garamond"/>
              </w:rPr>
              <w:t xml:space="preserve">Projekt </w:t>
            </w:r>
            <w:r w:rsidR="006D7EAD" w:rsidRPr="00024D5A">
              <w:rPr>
                <w:rFonts w:ascii="Garamond" w:hAnsi="Garamond"/>
              </w:rPr>
              <w:t>buxhet afatmesëm</w:t>
            </w:r>
          </w:p>
        </w:tc>
      </w:tr>
      <w:tr w:rsidR="00F54ECF" w:rsidRPr="00024D5A" w14:paraId="6DEE8CE7" w14:textId="77777777" w:rsidTr="00BB3430">
        <w:tc>
          <w:tcPr>
            <w:tcW w:w="0" w:type="auto"/>
          </w:tcPr>
          <w:p w14:paraId="0DBE5180" w14:textId="77777777" w:rsidR="00F54ECF" w:rsidRPr="00024D5A" w:rsidRDefault="00F54ECF" w:rsidP="00791B1A">
            <w:pPr>
              <w:rPr>
                <w:rFonts w:ascii="Garamond" w:hAnsi="Garamond"/>
              </w:rPr>
            </w:pPr>
            <w:r w:rsidRPr="00024D5A">
              <w:rPr>
                <w:rFonts w:ascii="Garamond" w:hAnsi="Garamond"/>
              </w:rPr>
              <w:t>PEI</w:t>
            </w:r>
          </w:p>
        </w:tc>
        <w:tc>
          <w:tcPr>
            <w:tcW w:w="0" w:type="auto"/>
          </w:tcPr>
          <w:p w14:paraId="5949592A" w14:textId="2E53C53D" w:rsidR="00F54ECF" w:rsidRPr="00024D5A" w:rsidRDefault="00F54ECF" w:rsidP="00791B1A">
            <w:pPr>
              <w:rPr>
                <w:rFonts w:ascii="Garamond" w:hAnsi="Garamond"/>
              </w:rPr>
            </w:pPr>
            <w:r w:rsidRPr="00024D5A">
              <w:rPr>
                <w:rFonts w:ascii="Garamond" w:hAnsi="Garamond"/>
              </w:rPr>
              <w:t xml:space="preserve">Plan </w:t>
            </w:r>
            <w:r w:rsidR="006D7EAD" w:rsidRPr="00024D5A">
              <w:rPr>
                <w:rFonts w:ascii="Garamond" w:hAnsi="Garamond"/>
              </w:rPr>
              <w:t>edukimi individual</w:t>
            </w:r>
          </w:p>
        </w:tc>
      </w:tr>
      <w:tr w:rsidR="00F54ECF" w:rsidRPr="00024D5A" w14:paraId="55A9A8ED" w14:textId="77777777" w:rsidTr="00BB3430">
        <w:tc>
          <w:tcPr>
            <w:tcW w:w="0" w:type="auto"/>
          </w:tcPr>
          <w:p w14:paraId="73A0624A" w14:textId="35AFD1F0" w:rsidR="00F54ECF" w:rsidRPr="00024D5A" w:rsidRDefault="00F54ECF" w:rsidP="00791B1A">
            <w:pPr>
              <w:rPr>
                <w:rFonts w:ascii="Garamond" w:eastAsia="Times New Roman" w:hAnsi="Garamond"/>
              </w:rPr>
            </w:pPr>
            <w:r w:rsidRPr="00024D5A">
              <w:rPr>
                <w:rFonts w:ascii="Garamond" w:eastAsia="Times New Roman" w:hAnsi="Garamond"/>
              </w:rPr>
              <w:t>PIZH</w:t>
            </w:r>
          </w:p>
        </w:tc>
        <w:tc>
          <w:tcPr>
            <w:tcW w:w="0" w:type="auto"/>
          </w:tcPr>
          <w:p w14:paraId="6AE7B222" w14:textId="02F36B35" w:rsidR="00F54ECF" w:rsidRPr="00024D5A" w:rsidRDefault="00F54ECF" w:rsidP="00791B1A">
            <w:pPr>
              <w:rPr>
                <w:rFonts w:ascii="Garamond" w:hAnsi="Garamond"/>
              </w:rPr>
            </w:pPr>
            <w:r w:rsidRPr="00024D5A">
              <w:rPr>
                <w:rFonts w:ascii="Garamond" w:eastAsia="Times New Roman" w:hAnsi="Garamond"/>
              </w:rPr>
              <w:t xml:space="preserve">Plan </w:t>
            </w:r>
            <w:r w:rsidR="006D7EAD" w:rsidRPr="00024D5A">
              <w:rPr>
                <w:rFonts w:ascii="Garamond" w:eastAsia="Times New Roman" w:hAnsi="Garamond"/>
              </w:rPr>
              <w:t>individual zhvillimi</w:t>
            </w:r>
          </w:p>
        </w:tc>
      </w:tr>
      <w:tr w:rsidR="00F54ECF" w:rsidRPr="00024D5A" w14:paraId="2BDA3CEB" w14:textId="77777777" w:rsidTr="00BB3430">
        <w:tc>
          <w:tcPr>
            <w:tcW w:w="0" w:type="auto"/>
          </w:tcPr>
          <w:p w14:paraId="68C27F8F" w14:textId="77777777" w:rsidR="00F54ECF" w:rsidRPr="00024D5A" w:rsidRDefault="00F54ECF" w:rsidP="00791B1A">
            <w:pPr>
              <w:rPr>
                <w:rFonts w:ascii="Garamond" w:hAnsi="Garamond"/>
              </w:rPr>
            </w:pPr>
            <w:r w:rsidRPr="00024D5A">
              <w:rPr>
                <w:rFonts w:ascii="Garamond" w:hAnsi="Garamond"/>
              </w:rPr>
              <w:t>PKIE</w:t>
            </w:r>
          </w:p>
        </w:tc>
        <w:tc>
          <w:tcPr>
            <w:tcW w:w="0" w:type="auto"/>
          </w:tcPr>
          <w:p w14:paraId="08A48DA2" w14:textId="530A7C20" w:rsidR="00F54ECF" w:rsidRPr="00024D5A" w:rsidRDefault="00F54ECF" w:rsidP="00791B1A">
            <w:pPr>
              <w:rPr>
                <w:rFonts w:ascii="Garamond" w:hAnsi="Garamond"/>
              </w:rPr>
            </w:pPr>
            <w:r w:rsidRPr="00024D5A">
              <w:rPr>
                <w:rFonts w:ascii="Garamond" w:hAnsi="Garamond"/>
              </w:rPr>
              <w:t>Plani Kombëtar i Integrimit Evropian</w:t>
            </w:r>
          </w:p>
        </w:tc>
      </w:tr>
      <w:tr w:rsidR="00F54ECF" w:rsidRPr="00024D5A" w14:paraId="0DEDF646" w14:textId="77777777" w:rsidTr="00BB3430">
        <w:tc>
          <w:tcPr>
            <w:tcW w:w="0" w:type="auto"/>
          </w:tcPr>
          <w:p w14:paraId="6E5FDEA2" w14:textId="3515B423" w:rsidR="00F54ECF" w:rsidRPr="00024D5A" w:rsidRDefault="00F54ECF" w:rsidP="00791B1A">
            <w:pPr>
              <w:rPr>
                <w:rFonts w:ascii="Garamond" w:hAnsi="Garamond"/>
              </w:rPr>
            </w:pPr>
            <w:r w:rsidRPr="00024D5A">
              <w:rPr>
                <w:rFonts w:ascii="Garamond" w:hAnsi="Garamond"/>
              </w:rPr>
              <w:t>PKVPAK</w:t>
            </w:r>
          </w:p>
        </w:tc>
        <w:tc>
          <w:tcPr>
            <w:tcW w:w="0" w:type="auto"/>
          </w:tcPr>
          <w:p w14:paraId="6EECCFD4" w14:textId="0228B0A5" w:rsidR="00F54ECF" w:rsidRPr="00024D5A" w:rsidRDefault="00F54ECF" w:rsidP="00791B1A">
            <w:pPr>
              <w:rPr>
                <w:rFonts w:ascii="Garamond" w:hAnsi="Garamond"/>
              </w:rPr>
            </w:pPr>
            <w:r w:rsidRPr="00024D5A">
              <w:rPr>
                <w:rFonts w:ascii="Garamond" w:hAnsi="Garamond"/>
              </w:rPr>
              <w:t>Plani Kombëtar i Veprimit për Personat me Aftësi të Kufizuara 2021</w:t>
            </w:r>
            <w:r w:rsidR="006D7EAD" w:rsidRPr="00024D5A">
              <w:rPr>
                <w:rFonts w:ascii="Garamond" w:hAnsi="Garamond"/>
              </w:rPr>
              <w:t>–</w:t>
            </w:r>
            <w:r w:rsidRPr="00024D5A">
              <w:rPr>
                <w:rFonts w:ascii="Garamond" w:hAnsi="Garamond"/>
              </w:rPr>
              <w:t>2025</w:t>
            </w:r>
          </w:p>
        </w:tc>
      </w:tr>
      <w:tr w:rsidR="00F54ECF" w:rsidRPr="00024D5A" w14:paraId="546D1950" w14:textId="77777777" w:rsidTr="00BB3430">
        <w:tc>
          <w:tcPr>
            <w:tcW w:w="0" w:type="auto"/>
          </w:tcPr>
          <w:p w14:paraId="7D0D9173" w14:textId="1CAC754A" w:rsidR="00F54ECF" w:rsidRPr="00024D5A" w:rsidRDefault="00F54ECF" w:rsidP="00791B1A">
            <w:pPr>
              <w:rPr>
                <w:rFonts w:ascii="Garamond" w:hAnsi="Garamond"/>
              </w:rPr>
            </w:pPr>
            <w:r w:rsidRPr="00024D5A">
              <w:rPr>
                <w:rFonts w:ascii="Garamond" w:hAnsi="Garamond"/>
              </w:rPr>
              <w:t>QB</w:t>
            </w:r>
          </w:p>
        </w:tc>
        <w:tc>
          <w:tcPr>
            <w:tcW w:w="0" w:type="auto"/>
          </w:tcPr>
          <w:p w14:paraId="0C91E78F" w14:textId="7A3FC81F" w:rsidR="00F54ECF" w:rsidRPr="00024D5A" w:rsidRDefault="00F54ECF" w:rsidP="00791B1A">
            <w:pPr>
              <w:rPr>
                <w:rFonts w:ascii="Garamond" w:hAnsi="Garamond"/>
              </w:rPr>
            </w:pPr>
            <w:r w:rsidRPr="00024D5A">
              <w:rPr>
                <w:rFonts w:ascii="Garamond" w:hAnsi="Garamond"/>
              </w:rPr>
              <w:t>Qendra Burimore</w:t>
            </w:r>
          </w:p>
        </w:tc>
      </w:tr>
      <w:tr w:rsidR="00F54ECF" w:rsidRPr="00024D5A" w14:paraId="3F2084AE" w14:textId="77777777" w:rsidTr="00BB3430">
        <w:tc>
          <w:tcPr>
            <w:tcW w:w="0" w:type="auto"/>
          </w:tcPr>
          <w:p w14:paraId="7870ED06" w14:textId="77777777" w:rsidR="00F54ECF" w:rsidRPr="00024D5A" w:rsidRDefault="00F54ECF" w:rsidP="00791B1A">
            <w:pPr>
              <w:rPr>
                <w:rFonts w:ascii="Garamond" w:hAnsi="Garamond"/>
              </w:rPr>
            </w:pPr>
            <w:r w:rsidRPr="00024D5A">
              <w:rPr>
                <w:rFonts w:ascii="Garamond" w:hAnsi="Garamond"/>
              </w:rPr>
              <w:t>QFP</w:t>
            </w:r>
          </w:p>
        </w:tc>
        <w:tc>
          <w:tcPr>
            <w:tcW w:w="0" w:type="auto"/>
          </w:tcPr>
          <w:p w14:paraId="1F41ECA7" w14:textId="7BED36FB" w:rsidR="00F54ECF" w:rsidRPr="00024D5A" w:rsidRDefault="00F54ECF" w:rsidP="00791B1A">
            <w:pPr>
              <w:rPr>
                <w:rFonts w:ascii="Garamond" w:hAnsi="Garamond"/>
              </w:rPr>
            </w:pPr>
            <w:r w:rsidRPr="00024D5A">
              <w:rPr>
                <w:rFonts w:ascii="Garamond" w:hAnsi="Garamond"/>
              </w:rPr>
              <w:t>Qendrat e Formimit Profesional</w:t>
            </w:r>
          </w:p>
        </w:tc>
      </w:tr>
      <w:tr w:rsidR="00F54ECF" w:rsidRPr="00024D5A" w14:paraId="0A7039AA" w14:textId="77777777" w:rsidTr="00BB3430">
        <w:tc>
          <w:tcPr>
            <w:tcW w:w="0" w:type="auto"/>
          </w:tcPr>
          <w:p w14:paraId="5D8EE206" w14:textId="1F1C51CE" w:rsidR="00F54ECF" w:rsidRPr="00024D5A" w:rsidRDefault="00F54ECF" w:rsidP="00791B1A">
            <w:pPr>
              <w:rPr>
                <w:rFonts w:ascii="Garamond" w:hAnsi="Garamond"/>
              </w:rPr>
            </w:pPr>
            <w:r w:rsidRPr="00024D5A">
              <w:rPr>
                <w:rFonts w:ascii="Garamond" w:hAnsi="Garamond"/>
              </w:rPr>
              <w:t>QKSHM</w:t>
            </w:r>
          </w:p>
        </w:tc>
        <w:tc>
          <w:tcPr>
            <w:tcW w:w="0" w:type="auto"/>
          </w:tcPr>
          <w:p w14:paraId="4D81DFB6" w14:textId="399F030E" w:rsidR="00F54ECF" w:rsidRPr="00024D5A" w:rsidRDefault="00F54ECF" w:rsidP="00791B1A">
            <w:pPr>
              <w:rPr>
                <w:rFonts w:ascii="Garamond" w:hAnsi="Garamond"/>
              </w:rPr>
            </w:pPr>
            <w:r w:rsidRPr="00024D5A">
              <w:rPr>
                <w:rFonts w:ascii="Garamond" w:hAnsi="Garamond"/>
              </w:rPr>
              <w:t>Qendra Komunitare për Shëndetin Mendor</w:t>
            </w:r>
          </w:p>
        </w:tc>
      </w:tr>
      <w:tr w:rsidR="00F54ECF" w:rsidRPr="00024D5A" w14:paraId="58EF3FD3" w14:textId="77777777" w:rsidTr="00BB3430">
        <w:tc>
          <w:tcPr>
            <w:tcW w:w="0" w:type="auto"/>
          </w:tcPr>
          <w:p w14:paraId="0E60DB7E" w14:textId="1C7B0EF9" w:rsidR="00F54ECF" w:rsidRPr="00024D5A" w:rsidRDefault="00F54ECF" w:rsidP="00791B1A">
            <w:pPr>
              <w:rPr>
                <w:rFonts w:ascii="Garamond" w:hAnsi="Garamond"/>
              </w:rPr>
            </w:pPr>
            <w:r w:rsidRPr="00024D5A">
              <w:rPr>
                <w:rFonts w:ascii="Garamond" w:hAnsi="Garamond"/>
              </w:rPr>
              <w:t>QSUT</w:t>
            </w:r>
          </w:p>
        </w:tc>
        <w:tc>
          <w:tcPr>
            <w:tcW w:w="0" w:type="auto"/>
          </w:tcPr>
          <w:p w14:paraId="34D1351C" w14:textId="244503DC" w:rsidR="00F54ECF" w:rsidRPr="00024D5A" w:rsidRDefault="00F54ECF" w:rsidP="00791B1A">
            <w:pPr>
              <w:rPr>
                <w:rFonts w:ascii="Garamond" w:hAnsi="Garamond"/>
              </w:rPr>
            </w:pPr>
            <w:r w:rsidRPr="00024D5A">
              <w:rPr>
                <w:rFonts w:ascii="Garamond" w:hAnsi="Garamond"/>
              </w:rPr>
              <w:t>Qendra Spitalore Universitare “Nënë Tereza”</w:t>
            </w:r>
          </w:p>
        </w:tc>
      </w:tr>
      <w:tr w:rsidR="00F54ECF" w:rsidRPr="00024D5A" w14:paraId="6005F10C" w14:textId="77777777" w:rsidTr="00BB3430">
        <w:tc>
          <w:tcPr>
            <w:tcW w:w="0" w:type="auto"/>
          </w:tcPr>
          <w:p w14:paraId="6D705485" w14:textId="77777777" w:rsidR="00F54ECF" w:rsidRPr="00024D5A" w:rsidRDefault="00F54ECF" w:rsidP="00791B1A">
            <w:pPr>
              <w:rPr>
                <w:rFonts w:ascii="Garamond" w:hAnsi="Garamond"/>
              </w:rPr>
            </w:pPr>
            <w:r w:rsidRPr="00024D5A">
              <w:rPr>
                <w:rFonts w:ascii="Garamond" w:hAnsi="Garamond"/>
              </w:rPr>
              <w:t>QSH</w:t>
            </w:r>
          </w:p>
        </w:tc>
        <w:tc>
          <w:tcPr>
            <w:tcW w:w="0" w:type="auto"/>
          </w:tcPr>
          <w:p w14:paraId="09676E7A" w14:textId="06B1C540" w:rsidR="00F54ECF" w:rsidRPr="00024D5A" w:rsidRDefault="00F54ECF" w:rsidP="00791B1A">
            <w:pPr>
              <w:rPr>
                <w:rFonts w:ascii="Garamond" w:hAnsi="Garamond"/>
              </w:rPr>
            </w:pPr>
            <w:r w:rsidRPr="00024D5A">
              <w:rPr>
                <w:rFonts w:ascii="Garamond" w:hAnsi="Garamond"/>
              </w:rPr>
              <w:t>Qendrat Shëndetësore</w:t>
            </w:r>
          </w:p>
        </w:tc>
      </w:tr>
      <w:tr w:rsidR="00F54ECF" w:rsidRPr="00024D5A" w14:paraId="155B328F" w14:textId="77777777" w:rsidTr="00BB3430">
        <w:tc>
          <w:tcPr>
            <w:tcW w:w="0" w:type="auto"/>
          </w:tcPr>
          <w:p w14:paraId="5EFD3213" w14:textId="37FA36B5" w:rsidR="00F54ECF" w:rsidRPr="00024D5A" w:rsidRDefault="00F54ECF" w:rsidP="00791B1A">
            <w:pPr>
              <w:rPr>
                <w:rFonts w:ascii="Garamond" w:hAnsi="Garamond"/>
              </w:rPr>
            </w:pPr>
            <w:r w:rsidRPr="00024D5A">
              <w:rPr>
                <w:rFonts w:ascii="Garamond" w:hAnsi="Garamond"/>
              </w:rPr>
              <w:t>QV</w:t>
            </w:r>
          </w:p>
        </w:tc>
        <w:tc>
          <w:tcPr>
            <w:tcW w:w="0" w:type="auto"/>
          </w:tcPr>
          <w:p w14:paraId="3276DF24" w14:textId="3A7934CE" w:rsidR="00F54ECF" w:rsidRPr="00024D5A" w:rsidRDefault="00F54ECF" w:rsidP="00791B1A">
            <w:pPr>
              <w:rPr>
                <w:rFonts w:ascii="Garamond" w:hAnsi="Garamond"/>
              </w:rPr>
            </w:pPr>
            <w:r w:rsidRPr="00024D5A">
              <w:rPr>
                <w:rFonts w:ascii="Garamond" w:hAnsi="Garamond"/>
              </w:rPr>
              <w:t>Qendra Votimi</w:t>
            </w:r>
          </w:p>
        </w:tc>
      </w:tr>
      <w:tr w:rsidR="00F54ECF" w:rsidRPr="00024D5A" w14:paraId="4109E3A0" w14:textId="77777777" w:rsidTr="00BB3430">
        <w:tc>
          <w:tcPr>
            <w:tcW w:w="0" w:type="auto"/>
          </w:tcPr>
          <w:p w14:paraId="66AF608D" w14:textId="151185D6" w:rsidR="00F54ECF" w:rsidRPr="00024D5A" w:rsidRDefault="00F54ECF" w:rsidP="00791B1A">
            <w:pPr>
              <w:rPr>
                <w:rFonts w:ascii="Garamond" w:hAnsi="Garamond"/>
              </w:rPr>
            </w:pPr>
            <w:r w:rsidRPr="00024D5A">
              <w:rPr>
                <w:rFonts w:ascii="Garamond" w:hAnsi="Garamond"/>
              </w:rPr>
              <w:t>OZHQ</w:t>
            </w:r>
          </w:p>
        </w:tc>
        <w:tc>
          <w:tcPr>
            <w:tcW w:w="0" w:type="auto"/>
          </w:tcPr>
          <w:p w14:paraId="711801CC" w14:textId="56EB9F5F" w:rsidR="00F54ECF" w:rsidRPr="00024D5A" w:rsidRDefault="00F54ECF" w:rsidP="00791B1A">
            <w:pPr>
              <w:rPr>
                <w:rFonts w:ascii="Garamond" w:hAnsi="Garamond"/>
              </w:rPr>
            </w:pPr>
            <w:r w:rsidRPr="00024D5A">
              <w:rPr>
                <w:rFonts w:ascii="Garamond" w:hAnsi="Garamond"/>
              </w:rPr>
              <w:t>Objektivat e Zhvillimit të Qëndrueshëm</w:t>
            </w:r>
          </w:p>
        </w:tc>
      </w:tr>
      <w:tr w:rsidR="00F54ECF" w:rsidRPr="00024D5A" w14:paraId="490AF26C" w14:textId="77777777" w:rsidTr="00BB3430">
        <w:tc>
          <w:tcPr>
            <w:tcW w:w="0" w:type="auto"/>
          </w:tcPr>
          <w:p w14:paraId="336E35FC" w14:textId="5C48328A" w:rsidR="00F54ECF" w:rsidRPr="00024D5A" w:rsidRDefault="00F54ECF" w:rsidP="00791B1A">
            <w:pPr>
              <w:rPr>
                <w:rFonts w:ascii="Garamond" w:hAnsi="Garamond"/>
              </w:rPr>
            </w:pPr>
            <w:r w:rsidRPr="00024D5A">
              <w:rPr>
                <w:rFonts w:ascii="Garamond" w:hAnsi="Garamond"/>
              </w:rPr>
              <w:t>SKZHIE</w:t>
            </w:r>
          </w:p>
        </w:tc>
        <w:tc>
          <w:tcPr>
            <w:tcW w:w="0" w:type="auto"/>
          </w:tcPr>
          <w:p w14:paraId="2619DB9E" w14:textId="4F782DC5" w:rsidR="00F54ECF" w:rsidRPr="00024D5A" w:rsidRDefault="00F54ECF" w:rsidP="00791B1A">
            <w:pPr>
              <w:rPr>
                <w:rFonts w:ascii="Garamond" w:hAnsi="Garamond"/>
              </w:rPr>
            </w:pPr>
            <w:r w:rsidRPr="00024D5A">
              <w:rPr>
                <w:rFonts w:ascii="Garamond" w:hAnsi="Garamond"/>
              </w:rPr>
              <w:t>Strategjia Kombëtare për Zhvillim dhe integrim Evropian</w:t>
            </w:r>
          </w:p>
        </w:tc>
      </w:tr>
      <w:tr w:rsidR="00F54ECF" w:rsidRPr="00024D5A" w14:paraId="748D91DE" w14:textId="77777777" w:rsidTr="00BB3430">
        <w:tc>
          <w:tcPr>
            <w:tcW w:w="0" w:type="auto"/>
          </w:tcPr>
          <w:p w14:paraId="4402F1A6" w14:textId="77777777" w:rsidR="00F54ECF" w:rsidRPr="00024D5A" w:rsidRDefault="00F54ECF" w:rsidP="00791B1A">
            <w:pPr>
              <w:rPr>
                <w:rFonts w:ascii="Garamond" w:hAnsi="Garamond"/>
              </w:rPr>
            </w:pPr>
            <w:r w:rsidRPr="00024D5A">
              <w:rPr>
                <w:rFonts w:ascii="Garamond" w:hAnsi="Garamond"/>
              </w:rPr>
              <w:t>SHSSH</w:t>
            </w:r>
          </w:p>
        </w:tc>
        <w:tc>
          <w:tcPr>
            <w:tcW w:w="0" w:type="auto"/>
          </w:tcPr>
          <w:p w14:paraId="3FFD5408" w14:textId="75771C38" w:rsidR="00F54ECF" w:rsidRPr="00024D5A" w:rsidRDefault="00F54ECF" w:rsidP="00791B1A">
            <w:pPr>
              <w:rPr>
                <w:rFonts w:ascii="Garamond" w:hAnsi="Garamond"/>
              </w:rPr>
            </w:pPr>
            <w:r w:rsidRPr="00024D5A">
              <w:rPr>
                <w:rFonts w:ascii="Garamond" w:hAnsi="Garamond"/>
              </w:rPr>
              <w:t>Shërbimi Social Shtetëror</w:t>
            </w:r>
          </w:p>
        </w:tc>
      </w:tr>
      <w:tr w:rsidR="00F54ECF" w:rsidRPr="00024D5A" w14:paraId="28EEDA52" w14:textId="77777777" w:rsidTr="00BB3430">
        <w:tc>
          <w:tcPr>
            <w:tcW w:w="0" w:type="auto"/>
          </w:tcPr>
          <w:p w14:paraId="7621DF1E" w14:textId="77777777" w:rsidR="00F54ECF" w:rsidRPr="00024D5A" w:rsidRDefault="00F54ECF" w:rsidP="00791B1A">
            <w:pPr>
              <w:rPr>
                <w:rFonts w:ascii="Garamond" w:hAnsi="Garamond"/>
              </w:rPr>
            </w:pPr>
            <w:r w:rsidRPr="00024D5A">
              <w:rPr>
                <w:rFonts w:ascii="Garamond" w:hAnsi="Garamond"/>
              </w:rPr>
              <w:t>UNESCO</w:t>
            </w:r>
          </w:p>
        </w:tc>
        <w:tc>
          <w:tcPr>
            <w:tcW w:w="0" w:type="auto"/>
          </w:tcPr>
          <w:p w14:paraId="0C796A47" w14:textId="28EDEADA" w:rsidR="00F54ECF" w:rsidRPr="00024D5A" w:rsidRDefault="00F54ECF" w:rsidP="00791B1A">
            <w:pPr>
              <w:rPr>
                <w:rFonts w:ascii="Garamond" w:eastAsia="Times New Roman" w:hAnsi="Garamond"/>
              </w:rPr>
            </w:pPr>
            <w:r w:rsidRPr="00024D5A">
              <w:rPr>
                <w:rFonts w:ascii="Garamond" w:eastAsia="Times New Roman" w:hAnsi="Garamond"/>
              </w:rPr>
              <w:t>Organizata e Kombeve të Bashkuara për Arsim, Shkencë dhe Kulturë</w:t>
            </w:r>
          </w:p>
        </w:tc>
      </w:tr>
      <w:tr w:rsidR="00F54ECF" w:rsidRPr="00024D5A" w14:paraId="3AA0C4DD" w14:textId="77777777" w:rsidTr="00BB3430">
        <w:tc>
          <w:tcPr>
            <w:tcW w:w="0" w:type="auto"/>
          </w:tcPr>
          <w:p w14:paraId="6E3A3BED" w14:textId="77777777" w:rsidR="00F54ECF" w:rsidRPr="00024D5A" w:rsidRDefault="00F54ECF" w:rsidP="00791B1A">
            <w:pPr>
              <w:rPr>
                <w:rFonts w:ascii="Garamond" w:hAnsi="Garamond"/>
              </w:rPr>
            </w:pPr>
            <w:r w:rsidRPr="00024D5A">
              <w:rPr>
                <w:rFonts w:ascii="Garamond" w:hAnsi="Garamond"/>
              </w:rPr>
              <w:t>VKM</w:t>
            </w:r>
          </w:p>
        </w:tc>
        <w:tc>
          <w:tcPr>
            <w:tcW w:w="0" w:type="auto"/>
          </w:tcPr>
          <w:p w14:paraId="4B19DF85" w14:textId="4A577BA5" w:rsidR="00F54ECF" w:rsidRPr="00024D5A" w:rsidRDefault="00F54ECF" w:rsidP="00791B1A">
            <w:pPr>
              <w:rPr>
                <w:rFonts w:ascii="Garamond" w:hAnsi="Garamond"/>
              </w:rPr>
            </w:pPr>
            <w:r w:rsidRPr="00024D5A">
              <w:rPr>
                <w:rFonts w:ascii="Garamond" w:hAnsi="Garamond"/>
              </w:rPr>
              <w:t>Vendim i Këshillit të Ministrave</w:t>
            </w:r>
          </w:p>
        </w:tc>
      </w:tr>
      <w:tr w:rsidR="00F54ECF" w:rsidRPr="00024D5A" w14:paraId="56F62259" w14:textId="77777777" w:rsidTr="00BB3430">
        <w:tc>
          <w:tcPr>
            <w:tcW w:w="0" w:type="auto"/>
          </w:tcPr>
          <w:p w14:paraId="44AD1A11" w14:textId="77777777" w:rsidR="00F54ECF" w:rsidRPr="00024D5A" w:rsidRDefault="00F54ECF" w:rsidP="00791B1A">
            <w:pPr>
              <w:rPr>
                <w:rFonts w:ascii="Garamond" w:hAnsi="Garamond"/>
              </w:rPr>
            </w:pPr>
            <w:r w:rsidRPr="00024D5A">
              <w:rPr>
                <w:rFonts w:ascii="Garamond" w:hAnsi="Garamond"/>
              </w:rPr>
              <w:t>WCAG</w:t>
            </w:r>
          </w:p>
        </w:tc>
        <w:tc>
          <w:tcPr>
            <w:tcW w:w="0" w:type="auto"/>
          </w:tcPr>
          <w:p w14:paraId="3FCDD877" w14:textId="4627588F" w:rsidR="00F54ECF" w:rsidRPr="00024D5A" w:rsidRDefault="00F54ECF" w:rsidP="00791B1A">
            <w:pPr>
              <w:rPr>
                <w:rFonts w:ascii="Garamond" w:hAnsi="Garamond"/>
              </w:rPr>
            </w:pPr>
            <w:r w:rsidRPr="00024D5A">
              <w:rPr>
                <w:rFonts w:ascii="Garamond" w:hAnsi="Garamond"/>
              </w:rPr>
              <w:t>Udhëzimi për Aksesueshmërinë e Përmbajtjes në Rrjet</w:t>
            </w:r>
          </w:p>
        </w:tc>
      </w:tr>
      <w:tr w:rsidR="00F54ECF" w:rsidRPr="00024D5A" w14:paraId="1390522E" w14:textId="77777777" w:rsidTr="00BB3430">
        <w:tc>
          <w:tcPr>
            <w:tcW w:w="0" w:type="auto"/>
          </w:tcPr>
          <w:p w14:paraId="3B90975C" w14:textId="77777777" w:rsidR="00F54ECF" w:rsidRPr="00024D5A" w:rsidRDefault="00F54ECF" w:rsidP="00791B1A">
            <w:pPr>
              <w:rPr>
                <w:rFonts w:ascii="Garamond" w:hAnsi="Garamond"/>
              </w:rPr>
            </w:pPr>
            <w:r w:rsidRPr="00024D5A">
              <w:rPr>
                <w:rFonts w:ascii="Garamond" w:hAnsi="Garamond"/>
              </w:rPr>
              <w:t>ZVAP</w:t>
            </w:r>
          </w:p>
        </w:tc>
        <w:tc>
          <w:tcPr>
            <w:tcW w:w="0" w:type="auto"/>
          </w:tcPr>
          <w:p w14:paraId="350B74E5" w14:textId="6E7D47F4" w:rsidR="00F54ECF" w:rsidRPr="00024D5A" w:rsidRDefault="00F54ECF" w:rsidP="00791B1A">
            <w:pPr>
              <w:rPr>
                <w:rFonts w:ascii="Garamond" w:hAnsi="Garamond"/>
              </w:rPr>
            </w:pPr>
            <w:r w:rsidRPr="00024D5A">
              <w:rPr>
                <w:rFonts w:ascii="Garamond" w:hAnsi="Garamond"/>
              </w:rPr>
              <w:t>Zyrë Vendore e Arsimit Parauniversitar</w:t>
            </w:r>
          </w:p>
        </w:tc>
      </w:tr>
    </w:tbl>
    <w:p w14:paraId="49D49671" w14:textId="77777777" w:rsidR="003E1630" w:rsidRPr="00024D5A" w:rsidRDefault="003E1630" w:rsidP="00791B1A">
      <w:pPr>
        <w:ind w:firstLine="284"/>
        <w:rPr>
          <w:rFonts w:ascii="Garamond" w:hAnsi="Garamond"/>
        </w:rPr>
      </w:pPr>
    </w:p>
    <w:p w14:paraId="26110F8A" w14:textId="444B0B2D" w:rsidR="003E1630" w:rsidRPr="00024D5A" w:rsidRDefault="00F54ECF" w:rsidP="00791B1A">
      <w:pPr>
        <w:pStyle w:val="Heading1"/>
        <w:spacing w:before="0" w:line="240" w:lineRule="auto"/>
        <w:ind w:firstLine="284"/>
        <w:rPr>
          <w:rStyle w:val="IntenseReference"/>
          <w:rFonts w:ascii="Garamond" w:hAnsi="Garamond"/>
          <w:color w:val="auto"/>
          <w:sz w:val="24"/>
          <w:szCs w:val="24"/>
          <w:lang w:val="sq-AL"/>
        </w:rPr>
      </w:pPr>
      <w:bookmarkStart w:id="1" w:name="_Toc231489608"/>
      <w:r w:rsidRPr="00024D5A">
        <w:rPr>
          <w:rStyle w:val="IntenseReference"/>
          <w:rFonts w:ascii="Garamond" w:hAnsi="Garamond"/>
          <w:color w:val="auto"/>
          <w:sz w:val="24"/>
          <w:szCs w:val="24"/>
          <w:lang w:val="sq-AL"/>
        </w:rPr>
        <w:t xml:space="preserve">1. </w:t>
      </w:r>
      <w:r w:rsidR="005743A8" w:rsidRPr="00024D5A">
        <w:rPr>
          <w:rStyle w:val="IntenseReference"/>
          <w:rFonts w:ascii="Garamond" w:hAnsi="Garamond"/>
          <w:color w:val="auto"/>
          <w:sz w:val="24"/>
          <w:szCs w:val="24"/>
          <w:lang w:val="sq-AL"/>
        </w:rPr>
        <w:t>HYRJE</w:t>
      </w:r>
      <w:bookmarkEnd w:id="1"/>
    </w:p>
    <w:p w14:paraId="778DF234" w14:textId="0631C5F5" w:rsidR="003E1630" w:rsidRPr="00024D5A" w:rsidRDefault="005743A8" w:rsidP="00791B1A">
      <w:pPr>
        <w:pStyle w:val="NormalWeb"/>
        <w:spacing w:before="0" w:beforeAutospacing="0" w:after="0" w:afterAutospacing="0"/>
        <w:ind w:firstLine="284"/>
        <w:jc w:val="both"/>
        <w:rPr>
          <w:rFonts w:ascii="Garamond" w:hAnsi="Garamond"/>
          <w:lang w:val="sq-AL"/>
        </w:rPr>
      </w:pPr>
      <w:r w:rsidRPr="00024D5A">
        <w:rPr>
          <w:rFonts w:ascii="Garamond" w:hAnsi="Garamond"/>
          <w:lang w:val="sq-AL"/>
        </w:rPr>
        <w:t>Në vitet e fundit, Shqipëria ka bërë përparime të rëndësishme në ndërtimin e kuadrit ligjor dhe institucional për mbrojtjen e të drejtave të personave me aftësi të kufizuara. Janë ndërmarrë reforma strukturore, si</w:t>
      </w:r>
      <w:r w:rsidR="007C3052" w:rsidRPr="00024D5A">
        <w:rPr>
          <w:rFonts w:ascii="Garamond" w:hAnsi="Garamond"/>
          <w:lang w:val="sq-AL"/>
        </w:rPr>
        <w:t>:</w:t>
      </w:r>
      <w:r w:rsidRPr="00024D5A">
        <w:rPr>
          <w:rFonts w:ascii="Garamond" w:hAnsi="Garamond"/>
          <w:lang w:val="sq-AL"/>
        </w:rPr>
        <w:t xml:space="preserve"> vlerësimi biopsikosocial i aftësisë së kufizuar, zgjerimi i shërbimeve komunitare, përmirësimi i arsimit gjithëpërfshirës dhe rritja e aksesit në shërbime publike. Megjithatë, sfida kryesore mbetet hendeku midis të drejtave të njohura në kuadrin ligjor dhe zbatimit efektiv të tyre në praktikë. </w:t>
      </w:r>
    </w:p>
    <w:p w14:paraId="1B91A343" w14:textId="77777777" w:rsidR="003E1630" w:rsidRPr="00024D5A" w:rsidRDefault="005743A8" w:rsidP="00791B1A">
      <w:pPr>
        <w:pStyle w:val="NormalWeb"/>
        <w:spacing w:before="0" w:beforeAutospacing="0" w:after="0" w:afterAutospacing="0"/>
        <w:ind w:firstLine="284"/>
        <w:jc w:val="both"/>
        <w:rPr>
          <w:rFonts w:ascii="Garamond" w:hAnsi="Garamond"/>
          <w:lang w:val="sq-AL"/>
        </w:rPr>
      </w:pPr>
      <w:r w:rsidRPr="00024D5A">
        <w:rPr>
          <w:rFonts w:ascii="Garamond" w:hAnsi="Garamond"/>
          <w:lang w:val="sq-AL"/>
        </w:rPr>
        <w:t>Për shumë se 148,268 persona me aftësi të kufizuara dhe invalidë pune në Shqipëri, pengesat nuk lidhen vetëm me gjendjen shëndetësore, por me barrierat me të cilat ata ndeshen në mjedis, në shërbimet publike, në informacion, në tregun e punës dhe në jetën komunitare. Për rrjedhojë, përfshirja e tyre nuk është vetëm një çështje e mbrojtjes sociale, por një çështje e të drejtave të njeriut, zhvillimit ekonomik dhe demokracisë.</w:t>
      </w:r>
    </w:p>
    <w:p w14:paraId="3D310A3F" w14:textId="18DF6B8B" w:rsidR="003E1630" w:rsidRPr="00024D5A" w:rsidRDefault="005743A8" w:rsidP="00791B1A">
      <w:pPr>
        <w:autoSpaceDE w:val="0"/>
        <w:autoSpaceDN w:val="0"/>
        <w:adjustRightInd w:val="0"/>
        <w:ind w:firstLine="284"/>
        <w:jc w:val="both"/>
        <w:rPr>
          <w:rFonts w:ascii="Garamond" w:hAnsi="Garamond"/>
        </w:rPr>
      </w:pPr>
      <w:r w:rsidRPr="00024D5A">
        <w:rPr>
          <w:rFonts w:ascii="Garamond" w:hAnsi="Garamond"/>
        </w:rPr>
        <w:t xml:space="preserve">Në këtë kontekst, Plani Kombëtar i Veprimit për Personat me Aftësi të Kufizuara </w:t>
      </w:r>
      <w:r w:rsidR="00657405" w:rsidRPr="00024D5A">
        <w:rPr>
          <w:rFonts w:ascii="Garamond" w:hAnsi="Garamond"/>
        </w:rPr>
        <w:t>2026–2030</w:t>
      </w:r>
      <w:r w:rsidRPr="00024D5A">
        <w:rPr>
          <w:rFonts w:ascii="Garamond" w:hAnsi="Garamond"/>
        </w:rPr>
        <w:t xml:space="preserve"> (PKVPAK) përbën dokumentin kryesor të politikave publike, që synon të mundësojë kalimin nga një model i mbështetjes financiare drejt një modeli të përfshirjes së plotë sociale dhe ekonomike. Plani synon të realizojë që personat me aftësi të kufizuara të kenë mundësi reale për të jetuar në mënyrë të pavarur, për të marrë pjesë në komunitet dhe për të ushtruar të drejtat e tyre në mënyrë të barabartë me të gjithë qytetarët e tjerë. PKVPAK </w:t>
      </w:r>
      <w:r w:rsidR="00657405" w:rsidRPr="00024D5A">
        <w:rPr>
          <w:rFonts w:ascii="Garamond" w:hAnsi="Garamond"/>
        </w:rPr>
        <w:t>2026–2030</w:t>
      </w:r>
      <w:r w:rsidRPr="00024D5A">
        <w:rPr>
          <w:rFonts w:ascii="Garamond" w:hAnsi="Garamond"/>
        </w:rPr>
        <w:t xml:space="preserve">, është një dokument ndërsektorial i qeverisë shqiptare që përfshin politika të dedikuara për personat me aftësi të kufizuara e që do të zbatohen </w:t>
      </w:r>
      <w:r w:rsidRPr="00024D5A">
        <w:rPr>
          <w:rFonts w:ascii="Garamond" w:hAnsi="Garamond"/>
        </w:rPr>
        <w:lastRenderedPageBreak/>
        <w:t>gjatë 5</w:t>
      </w:r>
      <w:r w:rsidR="006647B8" w:rsidRPr="00024D5A">
        <w:rPr>
          <w:rFonts w:ascii="Garamond" w:hAnsi="Garamond"/>
        </w:rPr>
        <w:t>-</w:t>
      </w:r>
      <w:r w:rsidRPr="00024D5A">
        <w:rPr>
          <w:rFonts w:ascii="Garamond" w:hAnsi="Garamond"/>
        </w:rPr>
        <w:t>vjeçarit të ardhshëm. Ky plan, vjen si një dokument vijues i PKVPAK 2021</w:t>
      </w:r>
      <w:r w:rsidR="006647B8" w:rsidRPr="00024D5A">
        <w:rPr>
          <w:rFonts w:ascii="Garamond" w:hAnsi="Garamond"/>
        </w:rPr>
        <w:t>–</w:t>
      </w:r>
      <w:r w:rsidRPr="00024D5A">
        <w:rPr>
          <w:rFonts w:ascii="Garamond" w:hAnsi="Garamond"/>
        </w:rPr>
        <w:t>2025. Hartimi i PKVPAK 2025</w:t>
      </w:r>
      <w:r w:rsidR="00D24B79" w:rsidRPr="00024D5A">
        <w:rPr>
          <w:rFonts w:ascii="Garamond" w:hAnsi="Garamond"/>
        </w:rPr>
        <w:t>–</w:t>
      </w:r>
      <w:r w:rsidRPr="00024D5A">
        <w:rPr>
          <w:rFonts w:ascii="Garamond" w:hAnsi="Garamond"/>
        </w:rPr>
        <w:t xml:space="preserve">2030 kaloi nëpërmjet një procesi të udhëhequr nga Ministria e Shëndetësisë dhe Mirëqenies Sociale nëpërmjet Grupit Teknik Ndërinstitucional të Punës (GTNP) i ngritur me </w:t>
      </w:r>
      <w:r w:rsidR="00A57CAF" w:rsidRPr="00024D5A">
        <w:rPr>
          <w:rFonts w:ascii="Garamond" w:hAnsi="Garamond"/>
        </w:rPr>
        <w:t>urdhrin nr</w:t>
      </w:r>
      <w:r w:rsidRPr="00024D5A">
        <w:rPr>
          <w:rFonts w:ascii="Garamond" w:hAnsi="Garamond"/>
        </w:rPr>
        <w:t>. 553</w:t>
      </w:r>
      <w:r w:rsidR="00A57CAF" w:rsidRPr="00024D5A">
        <w:rPr>
          <w:rFonts w:ascii="Garamond" w:hAnsi="Garamond"/>
        </w:rPr>
        <w:t>,</w:t>
      </w:r>
      <w:r w:rsidRPr="00024D5A">
        <w:rPr>
          <w:rFonts w:ascii="Garamond" w:hAnsi="Garamond"/>
        </w:rPr>
        <w:t xml:space="preserve"> datë 11.11.2025</w:t>
      </w:r>
      <w:r w:rsidR="00A57CAF" w:rsidRPr="00024D5A">
        <w:rPr>
          <w:rFonts w:ascii="Garamond" w:hAnsi="Garamond"/>
        </w:rPr>
        <w:t>,</w:t>
      </w:r>
      <w:r w:rsidRPr="00024D5A">
        <w:rPr>
          <w:rFonts w:ascii="Garamond" w:hAnsi="Garamond"/>
        </w:rPr>
        <w:t xml:space="preserve"> të </w:t>
      </w:r>
      <w:r w:rsidR="00A57CAF" w:rsidRPr="00024D5A">
        <w:rPr>
          <w:rFonts w:ascii="Garamond" w:hAnsi="Garamond"/>
        </w:rPr>
        <w:t xml:space="preserve">ministrit </w:t>
      </w:r>
      <w:r w:rsidRPr="00024D5A">
        <w:rPr>
          <w:rFonts w:ascii="Garamond" w:hAnsi="Garamond"/>
        </w:rPr>
        <w:t>të Shëndetësisë dhe Mirëqenies Sociale.</w:t>
      </w:r>
      <w:r w:rsidRPr="00024D5A">
        <w:rPr>
          <w:rFonts w:ascii="Garamond" w:eastAsia="+mn-ea" w:hAnsi="Garamond"/>
          <w:kern w:val="24"/>
        </w:rPr>
        <w:t xml:space="preserve"> </w:t>
      </w:r>
      <w:r w:rsidRPr="00024D5A">
        <w:rPr>
          <w:rFonts w:ascii="Garamond" w:hAnsi="Garamond"/>
        </w:rPr>
        <w:t xml:space="preserve">Procesi i formulimit dhe </w:t>
      </w:r>
      <w:r w:rsidR="00A57CAF" w:rsidRPr="00024D5A">
        <w:rPr>
          <w:rFonts w:ascii="Garamond" w:hAnsi="Garamond"/>
        </w:rPr>
        <w:t xml:space="preserve">i </w:t>
      </w:r>
      <w:r w:rsidRPr="00024D5A">
        <w:rPr>
          <w:rFonts w:ascii="Garamond" w:hAnsi="Garamond"/>
        </w:rPr>
        <w:t xml:space="preserve">konsultimit të dokumentit u realizua me asistencën teknike të dy ekspertëve </w:t>
      </w:r>
      <w:r w:rsidR="003F2F02" w:rsidRPr="00024D5A">
        <w:rPr>
          <w:rFonts w:ascii="Garamond" w:hAnsi="Garamond"/>
        </w:rPr>
        <w:t>vendës</w:t>
      </w:r>
      <w:r w:rsidRPr="00024D5A">
        <w:rPr>
          <w:rFonts w:ascii="Garamond" w:hAnsi="Garamond"/>
        </w:rPr>
        <w:t xml:space="preserve"> të UNDP-së si pjesë e Programit të Përbashkët të Kombeve të Bashkuara </w:t>
      </w:r>
      <w:r w:rsidR="0078161D" w:rsidRPr="00024D5A">
        <w:rPr>
          <w:rFonts w:ascii="Garamond" w:hAnsi="Garamond"/>
        </w:rPr>
        <w:t>“</w:t>
      </w:r>
      <w:r w:rsidRPr="00024D5A">
        <w:rPr>
          <w:rFonts w:ascii="Garamond" w:hAnsi="Garamond"/>
        </w:rPr>
        <w:t xml:space="preserve">Askush të mos </w:t>
      </w:r>
      <w:r w:rsidR="003F2F02" w:rsidRPr="00024D5A">
        <w:rPr>
          <w:rFonts w:ascii="Garamond" w:hAnsi="Garamond"/>
        </w:rPr>
        <w:t>mbetet pas”</w:t>
      </w:r>
      <w:r w:rsidRPr="00024D5A">
        <w:rPr>
          <w:rFonts w:ascii="Garamond" w:hAnsi="Garamond"/>
        </w:rPr>
        <w:t>/</w:t>
      </w:r>
      <w:r w:rsidR="003F2F02" w:rsidRPr="00024D5A">
        <w:rPr>
          <w:rFonts w:ascii="Garamond" w:hAnsi="Garamond"/>
        </w:rPr>
        <w:t>“</w:t>
      </w:r>
      <w:r w:rsidRPr="00024D5A">
        <w:rPr>
          <w:rFonts w:ascii="Garamond" w:hAnsi="Garamond"/>
          <w:i/>
          <w:iCs/>
        </w:rPr>
        <w:t>Leave No One Behind</w:t>
      </w:r>
      <w:r w:rsidR="0078161D" w:rsidRPr="00024D5A">
        <w:rPr>
          <w:rFonts w:ascii="Garamond" w:hAnsi="Garamond"/>
          <w:i/>
          <w:iCs/>
        </w:rPr>
        <w:t>”</w:t>
      </w:r>
      <w:r w:rsidRPr="00024D5A">
        <w:rPr>
          <w:rFonts w:ascii="Garamond" w:hAnsi="Garamond"/>
          <w:i/>
          <w:iCs/>
        </w:rPr>
        <w:t xml:space="preserve"> </w:t>
      </w:r>
      <w:r w:rsidRPr="00024D5A">
        <w:rPr>
          <w:rFonts w:ascii="Garamond" w:hAnsi="Garamond"/>
        </w:rPr>
        <w:t xml:space="preserve">(LNB), që zbatohet në bashkëpunim me Ministrinë e Shëndetësisë dhe Mirëqenies Sociale dhe mbështetet nga Qeveria Zvicerane (SDC). </w:t>
      </w:r>
    </w:p>
    <w:p w14:paraId="1D62E29D" w14:textId="250EAFBA" w:rsidR="003E1630" w:rsidRPr="00024D5A" w:rsidRDefault="005743A8" w:rsidP="00791B1A">
      <w:pPr>
        <w:pStyle w:val="NormalWeb"/>
        <w:spacing w:before="0" w:beforeAutospacing="0" w:after="0" w:afterAutospacing="0"/>
        <w:ind w:firstLine="284"/>
        <w:jc w:val="both"/>
        <w:rPr>
          <w:rFonts w:ascii="Garamond" w:hAnsi="Garamond"/>
          <w:lang w:val="sq-AL"/>
        </w:rPr>
      </w:pPr>
      <w:r w:rsidRPr="00024D5A">
        <w:rPr>
          <w:rFonts w:ascii="Garamond" w:hAnsi="Garamond"/>
          <w:lang w:val="sq-AL"/>
        </w:rPr>
        <w:t xml:space="preserve">PKVPAK </w:t>
      </w:r>
      <w:r w:rsidR="00657405" w:rsidRPr="00024D5A">
        <w:rPr>
          <w:rFonts w:ascii="Garamond" w:hAnsi="Garamond"/>
          <w:lang w:val="sq-AL"/>
        </w:rPr>
        <w:t>2026–2030</w:t>
      </w:r>
      <w:r w:rsidRPr="00024D5A">
        <w:rPr>
          <w:rFonts w:ascii="Garamond" w:hAnsi="Garamond"/>
          <w:lang w:val="sq-AL"/>
        </w:rPr>
        <w:t xml:space="preserve"> përfshin </w:t>
      </w:r>
      <w:r w:rsidRPr="00024D5A">
        <w:rPr>
          <w:rFonts w:ascii="Garamond" w:hAnsi="Garamond"/>
          <w:i/>
          <w:iCs/>
          <w:lang w:val="sq-AL"/>
        </w:rPr>
        <w:t>tetë fusha prioritare</w:t>
      </w:r>
      <w:r w:rsidRPr="00024D5A">
        <w:rPr>
          <w:rFonts w:ascii="Garamond" w:hAnsi="Garamond"/>
          <w:lang w:val="sq-AL"/>
        </w:rPr>
        <w:t xml:space="preserve"> të politikave publike: i</w:t>
      </w:r>
      <w:r w:rsidR="003F2F02" w:rsidRPr="00024D5A">
        <w:rPr>
          <w:rFonts w:ascii="Garamond" w:hAnsi="Garamond"/>
          <w:lang w:val="sq-AL"/>
        </w:rPr>
        <w:t>.</w:t>
      </w:r>
      <w:r w:rsidRPr="00024D5A">
        <w:rPr>
          <w:rFonts w:ascii="Garamond" w:hAnsi="Garamond"/>
          <w:lang w:val="sq-AL"/>
        </w:rPr>
        <w:t xml:space="preserve"> aksesueshmëria; ii</w:t>
      </w:r>
      <w:r w:rsidR="003F2F02" w:rsidRPr="00024D5A">
        <w:rPr>
          <w:rFonts w:ascii="Garamond" w:hAnsi="Garamond"/>
          <w:lang w:val="sq-AL"/>
        </w:rPr>
        <w:t>.</w:t>
      </w:r>
      <w:r w:rsidRPr="00024D5A">
        <w:rPr>
          <w:rFonts w:ascii="Garamond" w:hAnsi="Garamond"/>
          <w:lang w:val="sq-AL"/>
        </w:rPr>
        <w:t xml:space="preserve"> barazia para ligjit dhe aksesi në drejtësi; iii</w:t>
      </w:r>
      <w:r w:rsidR="003F2F02" w:rsidRPr="00024D5A">
        <w:rPr>
          <w:rFonts w:ascii="Garamond" w:hAnsi="Garamond"/>
          <w:lang w:val="sq-AL"/>
        </w:rPr>
        <w:t>.</w:t>
      </w:r>
      <w:r w:rsidRPr="00024D5A">
        <w:rPr>
          <w:rFonts w:ascii="Garamond" w:hAnsi="Garamond"/>
          <w:lang w:val="sq-AL"/>
        </w:rPr>
        <w:t xml:space="preserve"> punësimi dhe aftësimi profesional; iv</w:t>
      </w:r>
      <w:r w:rsidR="003F2F02" w:rsidRPr="00024D5A">
        <w:rPr>
          <w:rFonts w:ascii="Garamond" w:hAnsi="Garamond"/>
          <w:lang w:val="sq-AL"/>
        </w:rPr>
        <w:t>.</w:t>
      </w:r>
      <w:r w:rsidRPr="00024D5A">
        <w:rPr>
          <w:rFonts w:ascii="Garamond" w:hAnsi="Garamond"/>
          <w:lang w:val="sq-AL"/>
        </w:rPr>
        <w:t xml:space="preserve"> arsimi gjithëpërfshirës; v</w:t>
      </w:r>
      <w:r w:rsidR="003F2F02" w:rsidRPr="00024D5A">
        <w:rPr>
          <w:rFonts w:ascii="Garamond" w:hAnsi="Garamond"/>
          <w:lang w:val="sq-AL"/>
        </w:rPr>
        <w:t>.</w:t>
      </w:r>
      <w:r w:rsidRPr="00024D5A">
        <w:rPr>
          <w:rFonts w:ascii="Garamond" w:hAnsi="Garamond"/>
          <w:lang w:val="sq-AL"/>
        </w:rPr>
        <w:t xml:space="preserve"> mbrojtja sociale dhe jetesa e pavarur</w:t>
      </w:r>
      <w:r w:rsidR="003F2F02" w:rsidRPr="00024D5A">
        <w:rPr>
          <w:rFonts w:ascii="Garamond" w:hAnsi="Garamond"/>
          <w:lang w:val="sq-AL"/>
        </w:rPr>
        <w:t>;</w:t>
      </w:r>
      <w:r w:rsidRPr="00024D5A">
        <w:rPr>
          <w:rFonts w:ascii="Garamond" w:hAnsi="Garamond"/>
          <w:lang w:val="sq-AL"/>
        </w:rPr>
        <w:t xml:space="preserve"> vi</w:t>
      </w:r>
      <w:r w:rsidR="003F2F02" w:rsidRPr="00024D5A">
        <w:rPr>
          <w:rFonts w:ascii="Garamond" w:hAnsi="Garamond"/>
          <w:lang w:val="sq-AL"/>
        </w:rPr>
        <w:t>.</w:t>
      </w:r>
      <w:r w:rsidRPr="00024D5A">
        <w:rPr>
          <w:rFonts w:ascii="Garamond" w:hAnsi="Garamond"/>
          <w:lang w:val="sq-AL"/>
        </w:rPr>
        <w:t xml:space="preserve"> shëndetësia dhe rehabilitimi; vii</w:t>
      </w:r>
      <w:r w:rsidR="003F2F02" w:rsidRPr="00024D5A">
        <w:rPr>
          <w:rFonts w:ascii="Garamond" w:hAnsi="Garamond"/>
          <w:lang w:val="sq-AL"/>
        </w:rPr>
        <w:t>.</w:t>
      </w:r>
      <w:r w:rsidRPr="00024D5A">
        <w:rPr>
          <w:rFonts w:ascii="Garamond" w:hAnsi="Garamond"/>
          <w:lang w:val="sq-AL"/>
        </w:rPr>
        <w:t xml:space="preserve"> pjesëmarrja në jetën politike, kulturore, sportive dhe rekreative; viii</w:t>
      </w:r>
      <w:r w:rsidR="003F2F02" w:rsidRPr="00024D5A">
        <w:rPr>
          <w:rFonts w:ascii="Garamond" w:hAnsi="Garamond"/>
          <w:lang w:val="sq-AL"/>
        </w:rPr>
        <w:t>.</w:t>
      </w:r>
      <w:r w:rsidRPr="00024D5A">
        <w:rPr>
          <w:rFonts w:ascii="Garamond" w:hAnsi="Garamond"/>
          <w:lang w:val="sq-AL"/>
        </w:rPr>
        <w:t xml:space="preserve"> bashkëpunimi institucional dhe koordinimi i politikave.</w:t>
      </w:r>
    </w:p>
    <w:p w14:paraId="37807D68" w14:textId="0E921D52" w:rsidR="009F335D" w:rsidRPr="00024D5A" w:rsidRDefault="005743A8" w:rsidP="00791B1A">
      <w:pPr>
        <w:ind w:firstLine="284"/>
        <w:jc w:val="both"/>
        <w:rPr>
          <w:rFonts w:ascii="Garamond" w:eastAsia="Times New Roman" w:hAnsi="Garamond"/>
          <w:lang w:eastAsia="en-GB"/>
        </w:rPr>
      </w:pPr>
      <w:r w:rsidRPr="00024D5A">
        <w:rPr>
          <w:rFonts w:ascii="Garamond" w:hAnsi="Garamond"/>
        </w:rPr>
        <w:t>Në këto fusha prioritare, PKVPAK</w:t>
      </w:r>
      <w:r w:rsidR="003F2F02" w:rsidRPr="00024D5A">
        <w:rPr>
          <w:rFonts w:ascii="Garamond" w:hAnsi="Garamond"/>
        </w:rPr>
        <w:t>-ja</w:t>
      </w:r>
      <w:r w:rsidRPr="00024D5A">
        <w:rPr>
          <w:rFonts w:ascii="Garamond" w:hAnsi="Garamond"/>
        </w:rPr>
        <w:t xml:space="preserve"> përcakton </w:t>
      </w:r>
      <w:r w:rsidRPr="00024D5A">
        <w:rPr>
          <w:rStyle w:val="Strong"/>
          <w:rFonts w:ascii="Garamond" w:hAnsi="Garamond"/>
          <w:b w:val="0"/>
          <w:bCs w:val="0"/>
          <w:i/>
          <w:iCs/>
        </w:rPr>
        <w:t>28 objektiva specifik</w:t>
      </w:r>
      <w:r w:rsidR="00A92F2B" w:rsidRPr="00024D5A">
        <w:rPr>
          <w:rStyle w:val="Strong"/>
          <w:rFonts w:ascii="Garamond" w:hAnsi="Garamond"/>
          <w:b w:val="0"/>
          <w:bCs w:val="0"/>
          <w:i/>
          <w:iCs/>
        </w:rPr>
        <w:t>ë</w:t>
      </w:r>
      <w:r w:rsidRPr="00024D5A">
        <w:rPr>
          <w:rFonts w:ascii="Garamond" w:hAnsi="Garamond"/>
          <w:i/>
          <w:iCs/>
        </w:rPr>
        <w:t>,</w:t>
      </w:r>
      <w:r w:rsidRPr="00024D5A">
        <w:rPr>
          <w:rFonts w:ascii="Garamond" w:hAnsi="Garamond"/>
        </w:rPr>
        <w:t xml:space="preserve"> të cil</w:t>
      </w:r>
      <w:r w:rsidR="00A92F2B" w:rsidRPr="00024D5A">
        <w:rPr>
          <w:rFonts w:ascii="Garamond" w:hAnsi="Garamond"/>
        </w:rPr>
        <w:t>ë</w:t>
      </w:r>
      <w:r w:rsidRPr="00024D5A">
        <w:rPr>
          <w:rFonts w:ascii="Garamond" w:hAnsi="Garamond"/>
        </w:rPr>
        <w:t xml:space="preserve">t operacionalizohen përmes </w:t>
      </w:r>
      <w:r w:rsidRPr="00024D5A">
        <w:rPr>
          <w:rStyle w:val="Strong"/>
          <w:rFonts w:ascii="Garamond" w:hAnsi="Garamond"/>
          <w:b w:val="0"/>
          <w:bCs w:val="0"/>
          <w:i/>
          <w:iCs/>
        </w:rPr>
        <w:t>68 masave prioritare</w:t>
      </w:r>
      <w:r w:rsidRPr="00024D5A">
        <w:rPr>
          <w:rFonts w:ascii="Garamond" w:hAnsi="Garamond"/>
        </w:rPr>
        <w:t xml:space="preserve"> dhe </w:t>
      </w:r>
      <w:r w:rsidRPr="00024D5A">
        <w:rPr>
          <w:rStyle w:val="Strong"/>
          <w:rFonts w:ascii="Garamond" w:hAnsi="Garamond"/>
          <w:b w:val="0"/>
          <w:bCs w:val="0"/>
          <w:i/>
          <w:iCs/>
        </w:rPr>
        <w:t>28</w:t>
      </w:r>
      <w:r w:rsidR="00435E2A" w:rsidRPr="00024D5A">
        <w:rPr>
          <w:rStyle w:val="Strong"/>
          <w:rFonts w:ascii="Garamond" w:hAnsi="Garamond"/>
          <w:b w:val="0"/>
          <w:bCs w:val="0"/>
          <w:i/>
          <w:iCs/>
        </w:rPr>
        <w:t>3</w:t>
      </w:r>
      <w:r w:rsidRPr="00024D5A">
        <w:rPr>
          <w:rStyle w:val="Strong"/>
          <w:rFonts w:ascii="Garamond" w:hAnsi="Garamond"/>
          <w:b w:val="0"/>
          <w:bCs w:val="0"/>
          <w:i/>
          <w:iCs/>
        </w:rPr>
        <w:t xml:space="preserve"> ndërhyrjeve konkrete të buxhetuara</w:t>
      </w:r>
      <w:r w:rsidRPr="00024D5A">
        <w:rPr>
          <w:rFonts w:ascii="Garamond" w:hAnsi="Garamond"/>
        </w:rPr>
        <w:t xml:space="preserve">, të shpërndara përgjatë periudhës </w:t>
      </w:r>
      <w:r w:rsidR="00657405" w:rsidRPr="00024D5A">
        <w:rPr>
          <w:rFonts w:ascii="Garamond" w:hAnsi="Garamond"/>
        </w:rPr>
        <w:t>2026–2030</w:t>
      </w:r>
      <w:r w:rsidRPr="00024D5A">
        <w:rPr>
          <w:rFonts w:ascii="Garamond" w:hAnsi="Garamond"/>
        </w:rPr>
        <w:t xml:space="preserve">. </w:t>
      </w:r>
      <w:r w:rsidRPr="00024D5A">
        <w:rPr>
          <w:rFonts w:ascii="Garamond" w:eastAsia="Times New Roman" w:hAnsi="Garamond"/>
          <w:lang w:eastAsia="en-GB"/>
        </w:rPr>
        <w:t xml:space="preserve">Kostoja totale për zbatimin e </w:t>
      </w:r>
      <w:r w:rsidR="003F2F02" w:rsidRPr="00024D5A">
        <w:rPr>
          <w:rFonts w:ascii="Garamond" w:eastAsia="Times New Roman" w:hAnsi="Garamond"/>
          <w:lang w:eastAsia="en-GB"/>
        </w:rPr>
        <w:t xml:space="preserve">planit të veprimit </w:t>
      </w:r>
      <w:r w:rsidRPr="00024D5A">
        <w:rPr>
          <w:rFonts w:ascii="Garamond" w:eastAsia="Times New Roman" w:hAnsi="Garamond"/>
          <w:lang w:eastAsia="en-GB"/>
        </w:rPr>
        <w:t xml:space="preserve">për periudhën </w:t>
      </w:r>
      <w:r w:rsidR="00657405" w:rsidRPr="00024D5A">
        <w:rPr>
          <w:rFonts w:ascii="Garamond" w:eastAsia="Times New Roman" w:hAnsi="Garamond"/>
          <w:bCs/>
          <w:lang w:eastAsia="en-GB"/>
        </w:rPr>
        <w:t>2026–2030</w:t>
      </w:r>
      <w:r w:rsidRPr="00024D5A">
        <w:rPr>
          <w:rFonts w:ascii="Garamond" w:eastAsia="Times New Roman" w:hAnsi="Garamond"/>
          <w:lang w:eastAsia="en-GB"/>
        </w:rPr>
        <w:t xml:space="preserve"> është vlerësuar në </w:t>
      </w:r>
      <w:r w:rsidR="009F335D" w:rsidRPr="00024D5A">
        <w:rPr>
          <w:rFonts w:ascii="Garamond" w:eastAsia="Times New Roman" w:hAnsi="Garamond"/>
          <w:b/>
          <w:bCs/>
          <w:lang w:eastAsia="en-GB"/>
        </w:rPr>
        <w:t>7 551 673 435</w:t>
      </w:r>
      <w:r w:rsidR="009F335D" w:rsidRPr="00024D5A">
        <w:rPr>
          <w:rFonts w:ascii="Garamond" w:eastAsia="Times New Roman" w:hAnsi="Garamond"/>
          <w:lang w:eastAsia="en-GB"/>
        </w:rPr>
        <w:t xml:space="preserve"> </w:t>
      </w:r>
      <w:r w:rsidR="009F335D" w:rsidRPr="00024D5A">
        <w:rPr>
          <w:rFonts w:ascii="Garamond" w:eastAsia="SimSun" w:hAnsi="Garamond"/>
          <w:lang w:eastAsia="en-US"/>
        </w:rPr>
        <w:t>(</w:t>
      </w:r>
      <w:r w:rsidR="003F2F02" w:rsidRPr="00024D5A">
        <w:rPr>
          <w:rFonts w:ascii="Garamond" w:hAnsi="Garamond"/>
        </w:rPr>
        <w:t xml:space="preserve">shtatë </w:t>
      </w:r>
      <w:r w:rsidR="009F335D" w:rsidRPr="00024D5A">
        <w:rPr>
          <w:rFonts w:ascii="Garamond" w:hAnsi="Garamond"/>
        </w:rPr>
        <w:t>miliardë e pesëqind e pesëdhjetë e një milionë e gjashtëqind e shtatëdhjetë e tre mijë e katërqind e tridhjetë e pesë</w:t>
      </w:r>
      <w:r w:rsidR="009F335D" w:rsidRPr="00024D5A">
        <w:rPr>
          <w:rFonts w:ascii="Garamond" w:eastAsia="SimSun" w:hAnsi="Garamond"/>
          <w:lang w:eastAsia="en-US"/>
        </w:rPr>
        <w:t>)</w:t>
      </w:r>
      <w:r w:rsidR="009F335D" w:rsidRPr="00024D5A">
        <w:rPr>
          <w:rFonts w:ascii="Garamond" w:eastAsia="Times New Roman" w:hAnsi="Garamond"/>
          <w:lang w:eastAsia="en-GB"/>
        </w:rPr>
        <w:t xml:space="preserve"> lekë. </w:t>
      </w:r>
    </w:p>
    <w:p w14:paraId="0AE9E5AD" w14:textId="42420380" w:rsidR="003E1630" w:rsidRPr="00024D5A" w:rsidRDefault="005743A8" w:rsidP="00791B1A">
      <w:pPr>
        <w:ind w:firstLine="284"/>
        <w:jc w:val="both"/>
        <w:rPr>
          <w:rFonts w:ascii="Garamond" w:eastAsia="Times New Roman" w:hAnsi="Garamond"/>
          <w:lang w:eastAsia="en-GB"/>
        </w:rPr>
      </w:pPr>
      <w:r w:rsidRPr="00024D5A">
        <w:rPr>
          <w:rStyle w:val="Emphasis"/>
          <w:rFonts w:ascii="Garamond" w:hAnsi="Garamond"/>
          <w:i w:val="0"/>
          <w:iCs w:val="0"/>
        </w:rPr>
        <w:t xml:space="preserve">Financimi për zbatimin e masave të parashikuara në </w:t>
      </w:r>
      <w:r w:rsidRPr="00024D5A">
        <w:rPr>
          <w:rFonts w:ascii="Garamond" w:hAnsi="Garamond"/>
          <w:i/>
          <w:iCs/>
        </w:rPr>
        <w:t xml:space="preserve">PKVPAK </w:t>
      </w:r>
      <w:r w:rsidR="00657405" w:rsidRPr="00024D5A">
        <w:rPr>
          <w:rFonts w:ascii="Garamond" w:hAnsi="Garamond"/>
          <w:i/>
          <w:iCs/>
        </w:rPr>
        <w:t>2026–2030</w:t>
      </w:r>
      <w:r w:rsidRPr="00024D5A">
        <w:rPr>
          <w:rFonts w:ascii="Garamond" w:hAnsi="Garamond"/>
          <w:i/>
          <w:iCs/>
        </w:rPr>
        <w:t xml:space="preserve">, </w:t>
      </w:r>
      <w:r w:rsidRPr="00024D5A">
        <w:rPr>
          <w:rStyle w:val="Emphasis"/>
          <w:rFonts w:ascii="Garamond" w:hAnsi="Garamond"/>
          <w:i w:val="0"/>
          <w:iCs w:val="0"/>
        </w:rPr>
        <w:t>është parashikuar në buxhetin e shtetit, pas një vlerësimi të fondeve të disponueshme në ministritë</w:t>
      </w:r>
      <w:r w:rsidR="008F29FA" w:rsidRPr="00024D5A">
        <w:rPr>
          <w:rStyle w:val="Emphasis"/>
          <w:rFonts w:ascii="Garamond" w:hAnsi="Garamond"/>
          <w:i w:val="0"/>
          <w:iCs w:val="0"/>
        </w:rPr>
        <w:t xml:space="preserve"> </w:t>
      </w:r>
      <w:r w:rsidRPr="00024D5A">
        <w:rPr>
          <w:rStyle w:val="Emphasis"/>
          <w:rFonts w:ascii="Garamond" w:hAnsi="Garamond"/>
          <w:i w:val="0"/>
          <w:iCs w:val="0"/>
        </w:rPr>
        <w:t xml:space="preserve">e linjës. Në rastet kur buxheti i shtetit nuk është i mjaftueshëm për përmbushjen e plotë të objektivave, </w:t>
      </w:r>
      <w:r w:rsidRPr="00024D5A">
        <w:rPr>
          <w:rFonts w:ascii="Garamond" w:hAnsi="Garamond"/>
          <w:i/>
          <w:iCs/>
        </w:rPr>
        <w:t>PKVPAK</w:t>
      </w:r>
      <w:r w:rsidRPr="00024D5A">
        <w:rPr>
          <w:rStyle w:val="Emphasis"/>
          <w:rFonts w:ascii="Garamond" w:hAnsi="Garamond"/>
          <w:i w:val="0"/>
          <w:iCs w:val="0"/>
        </w:rPr>
        <w:t xml:space="preserve"> parashikon një ndarje të hendekut të financimit, si dhe propozimin për fonde donatorësh. Gjithashtu, fondet dhe lloje të tjera burimesh të ofruara nga njësitë e vetëqeverisjes vendore dhe shoqëria civile janë thelbësore për nxitjen e përfshirjes në nivel vendor, por ato nuk pasqyrohen në këtë </w:t>
      </w:r>
      <w:r w:rsidR="003F2F02" w:rsidRPr="00024D5A">
        <w:rPr>
          <w:rStyle w:val="Emphasis"/>
          <w:rFonts w:ascii="Garamond" w:hAnsi="Garamond"/>
          <w:i w:val="0"/>
          <w:iCs w:val="0"/>
        </w:rPr>
        <w:t>plan kombëtar veprimi</w:t>
      </w:r>
      <w:r w:rsidRPr="00024D5A">
        <w:rPr>
          <w:rStyle w:val="Emphasis"/>
          <w:rFonts w:ascii="Garamond" w:hAnsi="Garamond"/>
          <w:i w:val="0"/>
          <w:iCs w:val="0"/>
        </w:rPr>
        <w:t>, i cili fokusohet në angazhimet, aktivitetet dhe buxhetet e qeverisjes qendrore.</w:t>
      </w:r>
    </w:p>
    <w:p w14:paraId="4A1CE002" w14:textId="798D1D8A" w:rsidR="003E1630" w:rsidRPr="00024D5A" w:rsidRDefault="005743A8" w:rsidP="00791B1A">
      <w:pPr>
        <w:pStyle w:val="NormalWeb"/>
        <w:spacing w:before="0" w:beforeAutospacing="0" w:after="0" w:afterAutospacing="0"/>
        <w:ind w:firstLine="284"/>
        <w:jc w:val="both"/>
        <w:rPr>
          <w:rFonts w:ascii="Garamond" w:hAnsi="Garamond"/>
          <w:lang w:val="sq-AL"/>
        </w:rPr>
      </w:pPr>
      <w:r w:rsidRPr="00024D5A">
        <w:rPr>
          <w:rFonts w:ascii="Garamond" w:hAnsi="Garamond"/>
          <w:lang w:val="sq-AL"/>
        </w:rPr>
        <w:t xml:space="preserve">PKVPAK </w:t>
      </w:r>
      <w:r w:rsidR="00657405" w:rsidRPr="00024D5A">
        <w:rPr>
          <w:rFonts w:ascii="Garamond" w:hAnsi="Garamond"/>
          <w:lang w:val="sq-AL"/>
        </w:rPr>
        <w:t>2026–2030</w:t>
      </w:r>
      <w:r w:rsidRPr="00024D5A">
        <w:rPr>
          <w:rFonts w:ascii="Garamond" w:hAnsi="Garamond"/>
          <w:lang w:val="sq-AL"/>
        </w:rPr>
        <w:t xml:space="preserve"> është hartuar përmes një procesi konsultimi gjithëpërfshirës me institucionet publike qendrore dhe vendore, organizatat e shoqërisë civile, organizatat përfaqësuese të personave me aftësi të kufizuara, ekspertë të fushës dhe partnerë ndërkombëtarë. Personat me aftësi të kufizuara dhe përfaqësuesit e tyre kanë marrë pjesë aktivisht në identifikimin e prioriteteve, diskutimin e masave dhe vlerësimin e pengesave reale në jetën e përditshme, duke siguruar që Plani të reflektojë nevojat konkrete dhe jo vetëm parashikime institucionale.</w:t>
      </w:r>
    </w:p>
    <w:p w14:paraId="50CA957A" w14:textId="6149DBFD" w:rsidR="003E1630" w:rsidRPr="00024D5A" w:rsidRDefault="005743A8" w:rsidP="00791B1A">
      <w:pPr>
        <w:pStyle w:val="NormalWeb"/>
        <w:spacing w:before="0" w:beforeAutospacing="0" w:after="0" w:afterAutospacing="0"/>
        <w:ind w:firstLine="284"/>
        <w:jc w:val="both"/>
        <w:rPr>
          <w:rFonts w:ascii="Garamond" w:hAnsi="Garamond"/>
          <w:lang w:val="sq-AL"/>
        </w:rPr>
      </w:pPr>
      <w:r w:rsidRPr="00024D5A">
        <w:rPr>
          <w:rFonts w:ascii="Garamond" w:hAnsi="Garamond"/>
          <w:lang w:val="sq-AL"/>
        </w:rPr>
        <w:t>Dokumenti është i strukturuar në disa kapituj kryesorë. Pas hyrjes, kapitulli i dytë paraqet përputhshmërinë e Planit me kuadrin strategjik kombëtar, evropian dhe ndërkombëtar. Kapitulli i tretë analizon gjendjen aktuale në secilën fushë prioritare, bazuar në gjetjet e Raportit të Monitorimit të PKVPAK të mëparshëm 2021</w:t>
      </w:r>
      <w:r w:rsidR="00CC193B" w:rsidRPr="00024D5A">
        <w:rPr>
          <w:rFonts w:ascii="Garamond" w:hAnsi="Garamond"/>
          <w:lang w:val="sq-AL"/>
        </w:rPr>
        <w:t>–</w:t>
      </w:r>
      <w:r w:rsidRPr="00024D5A">
        <w:rPr>
          <w:rFonts w:ascii="Garamond" w:hAnsi="Garamond"/>
          <w:lang w:val="sq-AL"/>
        </w:rPr>
        <w:t>2025. Kapitulli i katërt paraqet kontekstin strategjik specifik të çdo fushe veprimi, përfshirë qëllimi, objektivat specifikë, masat prioritare. Kapitulli i pestë, përcakton sistemin e monitorimit, raportimit dhe llogaridhënies. Kapitulli i gjashtë, identifikon treguesit për çdo fushë prioritare dhe kapitulli i shtatë është i lidhur me buxhetimin në çdo fushë prioritare të dokumentit.</w:t>
      </w:r>
    </w:p>
    <w:p w14:paraId="3E1C91F7" w14:textId="654FA2F6" w:rsidR="003E1630" w:rsidRPr="00024D5A" w:rsidRDefault="005743A8" w:rsidP="00791B1A">
      <w:pPr>
        <w:ind w:firstLine="284"/>
        <w:jc w:val="both"/>
        <w:rPr>
          <w:rFonts w:ascii="Garamond" w:hAnsi="Garamond"/>
          <w:i/>
          <w:iCs/>
        </w:rPr>
      </w:pPr>
      <w:r w:rsidRPr="00024D5A">
        <w:rPr>
          <w:rFonts w:ascii="Garamond" w:hAnsi="Garamond"/>
        </w:rPr>
        <w:t xml:space="preserve">PKVPAK </w:t>
      </w:r>
      <w:r w:rsidR="00657405" w:rsidRPr="00024D5A">
        <w:rPr>
          <w:rFonts w:ascii="Garamond" w:hAnsi="Garamond"/>
        </w:rPr>
        <w:t>2026–2030</w:t>
      </w:r>
      <w:r w:rsidRPr="00024D5A">
        <w:rPr>
          <w:rFonts w:ascii="Garamond" w:hAnsi="Garamond"/>
        </w:rPr>
        <w:t xml:space="preserve"> synon të shërbejë jo vetëm si dokument planifikimi, por si instrument qeverisjeje që orienton institucionet përgjegjëse drejt garantimit real të barazisë së mundësive dhe përfshirjes së plotë të personave me aftësi të kufizuara në shoqëri.</w:t>
      </w:r>
      <w:r w:rsidRPr="00024D5A">
        <w:rPr>
          <w:rStyle w:val="Emphasis"/>
          <w:rFonts w:ascii="Garamond" w:hAnsi="Garamond"/>
        </w:rPr>
        <w:t xml:space="preserve"> </w:t>
      </w:r>
      <w:r w:rsidRPr="00024D5A">
        <w:rPr>
          <w:rStyle w:val="Emphasis"/>
          <w:rFonts w:ascii="Garamond" w:hAnsi="Garamond"/>
          <w:i w:val="0"/>
          <w:iCs w:val="0"/>
        </w:rPr>
        <w:t>Zbatimi i tij do të monitorohet nga Ministria e Shëndetësisë dhe Mirëqenies Sociale, si dhe me përfshirjen direkte të pikave fokale në ministritë e linjës. Zbatimi i suksesshëm i këtij Plani, do të varet edhe nga bashkëpunimi i ngushtë ndërmjet aktorëve të ndryshëm, kryesisht i institucioneve të qeverisjes qendrore dhe vendore dhe organizatave të shoqërisë civile.</w:t>
      </w:r>
      <w:r w:rsidRPr="00024D5A">
        <w:rPr>
          <w:rStyle w:val="Emphasis"/>
          <w:rFonts w:ascii="Garamond" w:hAnsi="Garamond"/>
        </w:rPr>
        <w:t xml:space="preserve"> </w:t>
      </w:r>
      <w:r w:rsidR="00A446E1" w:rsidRPr="00024D5A">
        <w:rPr>
          <w:rStyle w:val="Emphasis"/>
          <w:rFonts w:ascii="Garamond" w:hAnsi="Garamond"/>
          <w:i w:val="0"/>
          <w:iCs w:val="0"/>
        </w:rPr>
        <w:t>P</w:t>
      </w:r>
      <w:r w:rsidR="000726DB" w:rsidRPr="00024D5A">
        <w:rPr>
          <w:rStyle w:val="Emphasis"/>
          <w:rFonts w:ascii="Garamond" w:hAnsi="Garamond"/>
          <w:i w:val="0"/>
          <w:iCs w:val="0"/>
        </w:rPr>
        <w:t>ë</w:t>
      </w:r>
      <w:r w:rsidR="00A446E1" w:rsidRPr="00024D5A">
        <w:rPr>
          <w:rStyle w:val="Emphasis"/>
          <w:rFonts w:ascii="Garamond" w:hAnsi="Garamond"/>
          <w:i w:val="0"/>
          <w:iCs w:val="0"/>
        </w:rPr>
        <w:t>r t</w:t>
      </w:r>
      <w:r w:rsidR="000726DB" w:rsidRPr="00024D5A">
        <w:rPr>
          <w:rStyle w:val="Emphasis"/>
          <w:rFonts w:ascii="Garamond" w:hAnsi="Garamond"/>
          <w:i w:val="0"/>
          <w:iCs w:val="0"/>
        </w:rPr>
        <w:t>ë</w:t>
      </w:r>
      <w:r w:rsidR="00A446E1" w:rsidRPr="00024D5A">
        <w:rPr>
          <w:rStyle w:val="Emphasis"/>
          <w:rFonts w:ascii="Garamond" w:hAnsi="Garamond"/>
          <w:i w:val="0"/>
          <w:iCs w:val="0"/>
        </w:rPr>
        <w:t xml:space="preserve"> garantuar zbatimin e </w:t>
      </w:r>
      <w:r w:rsidR="001D1B1C" w:rsidRPr="00024D5A">
        <w:rPr>
          <w:rStyle w:val="Emphasis"/>
          <w:rFonts w:ascii="Garamond" w:hAnsi="Garamond"/>
          <w:i w:val="0"/>
          <w:iCs w:val="0"/>
        </w:rPr>
        <w:t>suksesshëm</w:t>
      </w:r>
      <w:r w:rsidR="00A446E1" w:rsidRPr="00024D5A">
        <w:rPr>
          <w:rStyle w:val="Emphasis"/>
          <w:rFonts w:ascii="Garamond" w:hAnsi="Garamond"/>
          <w:i w:val="0"/>
          <w:iCs w:val="0"/>
        </w:rPr>
        <w:t xml:space="preserve"> t</w:t>
      </w:r>
      <w:r w:rsidR="000726DB" w:rsidRPr="00024D5A">
        <w:rPr>
          <w:rStyle w:val="Emphasis"/>
          <w:rFonts w:ascii="Garamond" w:hAnsi="Garamond"/>
          <w:i w:val="0"/>
          <w:iCs w:val="0"/>
        </w:rPr>
        <w:t>ë</w:t>
      </w:r>
      <w:r w:rsidR="00A446E1" w:rsidRPr="00024D5A">
        <w:rPr>
          <w:rStyle w:val="Emphasis"/>
          <w:rFonts w:ascii="Garamond" w:hAnsi="Garamond"/>
          <w:i w:val="0"/>
          <w:iCs w:val="0"/>
        </w:rPr>
        <w:t xml:space="preserve"> k</w:t>
      </w:r>
      <w:r w:rsidR="000726DB" w:rsidRPr="00024D5A">
        <w:rPr>
          <w:rStyle w:val="Emphasis"/>
          <w:rFonts w:ascii="Garamond" w:hAnsi="Garamond"/>
          <w:i w:val="0"/>
          <w:iCs w:val="0"/>
        </w:rPr>
        <w:t>ë</w:t>
      </w:r>
      <w:r w:rsidR="00A446E1" w:rsidRPr="00024D5A">
        <w:rPr>
          <w:rStyle w:val="Emphasis"/>
          <w:rFonts w:ascii="Garamond" w:hAnsi="Garamond"/>
          <w:i w:val="0"/>
          <w:iCs w:val="0"/>
        </w:rPr>
        <w:t>tij plani, do t</w:t>
      </w:r>
      <w:r w:rsidR="000726DB" w:rsidRPr="00024D5A">
        <w:rPr>
          <w:rStyle w:val="Emphasis"/>
          <w:rFonts w:ascii="Garamond" w:hAnsi="Garamond"/>
          <w:i w:val="0"/>
          <w:iCs w:val="0"/>
        </w:rPr>
        <w:t>ë</w:t>
      </w:r>
      <w:r w:rsidR="00A446E1" w:rsidRPr="00024D5A">
        <w:rPr>
          <w:rStyle w:val="Emphasis"/>
          <w:rFonts w:ascii="Garamond" w:hAnsi="Garamond"/>
          <w:i w:val="0"/>
          <w:iCs w:val="0"/>
        </w:rPr>
        <w:t xml:space="preserve"> realizohet edhe nj</w:t>
      </w:r>
      <w:r w:rsidR="000726DB" w:rsidRPr="00024D5A">
        <w:rPr>
          <w:rStyle w:val="Emphasis"/>
          <w:rFonts w:ascii="Garamond" w:hAnsi="Garamond"/>
          <w:i w:val="0"/>
          <w:iCs w:val="0"/>
        </w:rPr>
        <w:t>ë</w:t>
      </w:r>
      <w:r w:rsidR="00A446E1" w:rsidRPr="00024D5A">
        <w:rPr>
          <w:rStyle w:val="Emphasis"/>
          <w:rFonts w:ascii="Garamond" w:hAnsi="Garamond"/>
          <w:i w:val="0"/>
          <w:iCs w:val="0"/>
        </w:rPr>
        <w:t xml:space="preserve"> rishikim afatmes</w:t>
      </w:r>
      <w:r w:rsidR="000726DB" w:rsidRPr="00024D5A">
        <w:rPr>
          <w:rStyle w:val="Emphasis"/>
          <w:rFonts w:ascii="Garamond" w:hAnsi="Garamond"/>
          <w:i w:val="0"/>
          <w:iCs w:val="0"/>
        </w:rPr>
        <w:t>ë</w:t>
      </w:r>
      <w:r w:rsidR="00A446E1" w:rsidRPr="00024D5A">
        <w:rPr>
          <w:rStyle w:val="Emphasis"/>
          <w:rFonts w:ascii="Garamond" w:hAnsi="Garamond"/>
          <w:i w:val="0"/>
          <w:iCs w:val="0"/>
        </w:rPr>
        <w:t>m i tij</w:t>
      </w:r>
      <w:r w:rsidR="00BD4644" w:rsidRPr="00024D5A">
        <w:rPr>
          <w:rStyle w:val="Emphasis"/>
          <w:rFonts w:ascii="Garamond" w:hAnsi="Garamond"/>
          <w:i w:val="0"/>
          <w:iCs w:val="0"/>
        </w:rPr>
        <w:t xml:space="preserve"> </w:t>
      </w:r>
      <w:r w:rsidR="000726DB" w:rsidRPr="00024D5A">
        <w:rPr>
          <w:rStyle w:val="Emphasis"/>
          <w:rFonts w:ascii="Garamond" w:hAnsi="Garamond"/>
        </w:rPr>
        <w:t>(mid term revie</w:t>
      </w:r>
      <w:r w:rsidR="00BD4644" w:rsidRPr="00024D5A">
        <w:rPr>
          <w:rStyle w:val="Emphasis"/>
          <w:rFonts w:ascii="Garamond" w:hAnsi="Garamond"/>
        </w:rPr>
        <w:t>w</w:t>
      </w:r>
      <w:r w:rsidR="000726DB" w:rsidRPr="00024D5A">
        <w:rPr>
          <w:rStyle w:val="Emphasis"/>
          <w:rFonts w:ascii="Garamond" w:hAnsi="Garamond"/>
        </w:rPr>
        <w:t>)</w:t>
      </w:r>
      <w:r w:rsidR="00A446E1" w:rsidRPr="00024D5A">
        <w:rPr>
          <w:rStyle w:val="Emphasis"/>
          <w:rFonts w:ascii="Garamond" w:hAnsi="Garamond"/>
        </w:rPr>
        <w:t xml:space="preserve">, </w:t>
      </w:r>
      <w:r w:rsidR="00A446E1" w:rsidRPr="00024D5A">
        <w:rPr>
          <w:rStyle w:val="Emphasis"/>
          <w:rFonts w:ascii="Garamond" w:hAnsi="Garamond"/>
          <w:i w:val="0"/>
          <w:iCs w:val="0"/>
        </w:rPr>
        <w:t>si nj</w:t>
      </w:r>
      <w:r w:rsidR="000726DB" w:rsidRPr="00024D5A">
        <w:rPr>
          <w:rStyle w:val="Emphasis"/>
          <w:rFonts w:ascii="Garamond" w:hAnsi="Garamond"/>
          <w:i w:val="0"/>
          <w:iCs w:val="0"/>
        </w:rPr>
        <w:t>ë</w:t>
      </w:r>
      <w:r w:rsidR="00A446E1" w:rsidRPr="00024D5A">
        <w:rPr>
          <w:rStyle w:val="Emphasis"/>
          <w:rFonts w:ascii="Garamond" w:hAnsi="Garamond"/>
          <w:i w:val="0"/>
          <w:iCs w:val="0"/>
        </w:rPr>
        <w:t xml:space="preserve"> moment i r</w:t>
      </w:r>
      <w:r w:rsidR="000726DB" w:rsidRPr="00024D5A">
        <w:rPr>
          <w:rStyle w:val="Emphasis"/>
          <w:rFonts w:ascii="Garamond" w:hAnsi="Garamond"/>
          <w:i w:val="0"/>
          <w:iCs w:val="0"/>
        </w:rPr>
        <w:t>ë</w:t>
      </w:r>
      <w:r w:rsidR="00A446E1" w:rsidRPr="00024D5A">
        <w:rPr>
          <w:rStyle w:val="Emphasis"/>
          <w:rFonts w:ascii="Garamond" w:hAnsi="Garamond"/>
          <w:i w:val="0"/>
          <w:iCs w:val="0"/>
        </w:rPr>
        <w:t>nd</w:t>
      </w:r>
      <w:r w:rsidR="000726DB" w:rsidRPr="00024D5A">
        <w:rPr>
          <w:rStyle w:val="Emphasis"/>
          <w:rFonts w:ascii="Garamond" w:hAnsi="Garamond"/>
          <w:i w:val="0"/>
          <w:iCs w:val="0"/>
        </w:rPr>
        <w:t>ë</w:t>
      </w:r>
      <w:r w:rsidR="00A446E1" w:rsidRPr="00024D5A">
        <w:rPr>
          <w:rStyle w:val="Emphasis"/>
          <w:rFonts w:ascii="Garamond" w:hAnsi="Garamond"/>
          <w:i w:val="0"/>
          <w:iCs w:val="0"/>
        </w:rPr>
        <w:t>sish</w:t>
      </w:r>
      <w:r w:rsidR="000726DB" w:rsidRPr="00024D5A">
        <w:rPr>
          <w:rStyle w:val="Emphasis"/>
          <w:rFonts w:ascii="Garamond" w:hAnsi="Garamond"/>
          <w:i w:val="0"/>
          <w:iCs w:val="0"/>
        </w:rPr>
        <w:t>ë</w:t>
      </w:r>
      <w:r w:rsidR="00A446E1" w:rsidRPr="00024D5A">
        <w:rPr>
          <w:rStyle w:val="Emphasis"/>
          <w:rFonts w:ascii="Garamond" w:hAnsi="Garamond"/>
          <w:i w:val="0"/>
          <w:iCs w:val="0"/>
        </w:rPr>
        <w:t>m p</w:t>
      </w:r>
      <w:r w:rsidR="000726DB" w:rsidRPr="00024D5A">
        <w:rPr>
          <w:rStyle w:val="Emphasis"/>
          <w:rFonts w:ascii="Garamond" w:hAnsi="Garamond"/>
          <w:i w:val="0"/>
          <w:iCs w:val="0"/>
        </w:rPr>
        <w:t>ë</w:t>
      </w:r>
      <w:r w:rsidR="00A446E1" w:rsidRPr="00024D5A">
        <w:rPr>
          <w:rStyle w:val="Emphasis"/>
          <w:rFonts w:ascii="Garamond" w:hAnsi="Garamond"/>
          <w:i w:val="0"/>
          <w:iCs w:val="0"/>
        </w:rPr>
        <w:t>r t</w:t>
      </w:r>
      <w:r w:rsidR="000726DB" w:rsidRPr="00024D5A">
        <w:rPr>
          <w:rStyle w:val="Emphasis"/>
          <w:rFonts w:ascii="Garamond" w:hAnsi="Garamond"/>
          <w:i w:val="0"/>
          <w:iCs w:val="0"/>
        </w:rPr>
        <w:t>ë</w:t>
      </w:r>
      <w:r w:rsidR="00A446E1" w:rsidRPr="00024D5A">
        <w:rPr>
          <w:rStyle w:val="Emphasis"/>
          <w:rFonts w:ascii="Garamond" w:hAnsi="Garamond"/>
          <w:i w:val="0"/>
          <w:iCs w:val="0"/>
        </w:rPr>
        <w:t xml:space="preserve"> analizuar, reflektuar dhe </w:t>
      </w:r>
      <w:r w:rsidR="001D1B1C" w:rsidRPr="00024D5A">
        <w:rPr>
          <w:rStyle w:val="Emphasis"/>
          <w:rFonts w:ascii="Garamond" w:hAnsi="Garamond"/>
          <w:i w:val="0"/>
          <w:iCs w:val="0"/>
        </w:rPr>
        <w:t>sugjeruar</w:t>
      </w:r>
      <w:r w:rsidR="00A446E1" w:rsidRPr="00024D5A">
        <w:rPr>
          <w:rStyle w:val="Emphasis"/>
          <w:rFonts w:ascii="Garamond" w:hAnsi="Garamond"/>
          <w:i w:val="0"/>
          <w:iCs w:val="0"/>
        </w:rPr>
        <w:t xml:space="preserve"> ndryshime p</w:t>
      </w:r>
      <w:r w:rsidR="000726DB" w:rsidRPr="00024D5A">
        <w:rPr>
          <w:rStyle w:val="Emphasis"/>
          <w:rFonts w:ascii="Garamond" w:hAnsi="Garamond"/>
          <w:i w:val="0"/>
          <w:iCs w:val="0"/>
        </w:rPr>
        <w:t>ë</w:t>
      </w:r>
      <w:r w:rsidR="00A446E1" w:rsidRPr="00024D5A">
        <w:rPr>
          <w:rStyle w:val="Emphasis"/>
          <w:rFonts w:ascii="Garamond" w:hAnsi="Garamond"/>
          <w:i w:val="0"/>
          <w:iCs w:val="0"/>
        </w:rPr>
        <w:t>rkat</w:t>
      </w:r>
      <w:r w:rsidR="000726DB" w:rsidRPr="00024D5A">
        <w:rPr>
          <w:rStyle w:val="Emphasis"/>
          <w:rFonts w:ascii="Garamond" w:hAnsi="Garamond"/>
          <w:i w:val="0"/>
          <w:iCs w:val="0"/>
        </w:rPr>
        <w:t>ë</w:t>
      </w:r>
      <w:r w:rsidR="00A446E1" w:rsidRPr="00024D5A">
        <w:rPr>
          <w:rStyle w:val="Emphasis"/>
          <w:rFonts w:ascii="Garamond" w:hAnsi="Garamond"/>
          <w:i w:val="0"/>
          <w:iCs w:val="0"/>
        </w:rPr>
        <w:t>se n</w:t>
      </w:r>
      <w:r w:rsidR="000726DB" w:rsidRPr="00024D5A">
        <w:rPr>
          <w:rStyle w:val="Emphasis"/>
          <w:rFonts w:ascii="Garamond" w:hAnsi="Garamond"/>
          <w:i w:val="0"/>
          <w:iCs w:val="0"/>
        </w:rPr>
        <w:t>ë</w:t>
      </w:r>
      <w:r w:rsidR="00A446E1" w:rsidRPr="00024D5A">
        <w:rPr>
          <w:rStyle w:val="Emphasis"/>
          <w:rFonts w:ascii="Garamond" w:hAnsi="Garamond"/>
          <w:i w:val="0"/>
          <w:iCs w:val="0"/>
        </w:rPr>
        <w:t xml:space="preserve"> funksion t</w:t>
      </w:r>
      <w:r w:rsidR="000726DB" w:rsidRPr="00024D5A">
        <w:rPr>
          <w:rStyle w:val="Emphasis"/>
          <w:rFonts w:ascii="Garamond" w:hAnsi="Garamond"/>
          <w:i w:val="0"/>
          <w:iCs w:val="0"/>
        </w:rPr>
        <w:t>ë</w:t>
      </w:r>
      <w:r w:rsidR="00A446E1" w:rsidRPr="00024D5A">
        <w:rPr>
          <w:rStyle w:val="Emphasis"/>
          <w:rFonts w:ascii="Garamond" w:hAnsi="Garamond"/>
          <w:i w:val="0"/>
          <w:iCs w:val="0"/>
        </w:rPr>
        <w:t xml:space="preserve"> realizimit t</w:t>
      </w:r>
      <w:r w:rsidR="000726DB" w:rsidRPr="00024D5A">
        <w:rPr>
          <w:rStyle w:val="Emphasis"/>
          <w:rFonts w:ascii="Garamond" w:hAnsi="Garamond"/>
          <w:i w:val="0"/>
          <w:iCs w:val="0"/>
        </w:rPr>
        <w:t>ë</w:t>
      </w:r>
      <w:r w:rsidR="00A446E1" w:rsidRPr="00024D5A">
        <w:rPr>
          <w:rStyle w:val="Emphasis"/>
          <w:rFonts w:ascii="Garamond" w:hAnsi="Garamond"/>
          <w:i w:val="0"/>
          <w:iCs w:val="0"/>
        </w:rPr>
        <w:t xml:space="preserve"> q</w:t>
      </w:r>
      <w:r w:rsidR="000726DB" w:rsidRPr="00024D5A">
        <w:rPr>
          <w:rStyle w:val="Emphasis"/>
          <w:rFonts w:ascii="Garamond" w:hAnsi="Garamond"/>
          <w:i w:val="0"/>
          <w:iCs w:val="0"/>
        </w:rPr>
        <w:t>ë</w:t>
      </w:r>
      <w:r w:rsidR="00A446E1" w:rsidRPr="00024D5A">
        <w:rPr>
          <w:rStyle w:val="Emphasis"/>
          <w:rFonts w:ascii="Garamond" w:hAnsi="Garamond"/>
          <w:i w:val="0"/>
          <w:iCs w:val="0"/>
        </w:rPr>
        <w:t>llimit, objektivave, masave dhe indikator</w:t>
      </w:r>
      <w:r w:rsidR="000726DB" w:rsidRPr="00024D5A">
        <w:rPr>
          <w:rStyle w:val="Emphasis"/>
          <w:rFonts w:ascii="Garamond" w:hAnsi="Garamond"/>
          <w:i w:val="0"/>
          <w:iCs w:val="0"/>
        </w:rPr>
        <w:t>ë</w:t>
      </w:r>
      <w:r w:rsidR="00A446E1" w:rsidRPr="00024D5A">
        <w:rPr>
          <w:rStyle w:val="Emphasis"/>
          <w:rFonts w:ascii="Garamond" w:hAnsi="Garamond"/>
          <w:i w:val="0"/>
          <w:iCs w:val="0"/>
        </w:rPr>
        <w:t>ve t</w:t>
      </w:r>
      <w:r w:rsidR="000726DB" w:rsidRPr="00024D5A">
        <w:rPr>
          <w:rStyle w:val="Emphasis"/>
          <w:rFonts w:ascii="Garamond" w:hAnsi="Garamond"/>
          <w:i w:val="0"/>
          <w:iCs w:val="0"/>
        </w:rPr>
        <w:t>ë</w:t>
      </w:r>
      <w:r w:rsidR="00A446E1" w:rsidRPr="00024D5A">
        <w:rPr>
          <w:rStyle w:val="Emphasis"/>
          <w:rFonts w:ascii="Garamond" w:hAnsi="Garamond"/>
          <w:i w:val="0"/>
          <w:iCs w:val="0"/>
        </w:rPr>
        <w:t xml:space="preserve"> p</w:t>
      </w:r>
      <w:r w:rsidR="000726DB" w:rsidRPr="00024D5A">
        <w:rPr>
          <w:rStyle w:val="Emphasis"/>
          <w:rFonts w:ascii="Garamond" w:hAnsi="Garamond"/>
          <w:i w:val="0"/>
          <w:iCs w:val="0"/>
        </w:rPr>
        <w:t>ë</w:t>
      </w:r>
      <w:r w:rsidR="00A446E1" w:rsidRPr="00024D5A">
        <w:rPr>
          <w:rStyle w:val="Emphasis"/>
          <w:rFonts w:ascii="Garamond" w:hAnsi="Garamond"/>
          <w:i w:val="0"/>
          <w:iCs w:val="0"/>
        </w:rPr>
        <w:t>rcaktuar n</w:t>
      </w:r>
      <w:r w:rsidR="000726DB" w:rsidRPr="00024D5A">
        <w:rPr>
          <w:rStyle w:val="Emphasis"/>
          <w:rFonts w:ascii="Garamond" w:hAnsi="Garamond"/>
          <w:i w:val="0"/>
          <w:iCs w:val="0"/>
        </w:rPr>
        <w:t>ë</w:t>
      </w:r>
      <w:r w:rsidR="00A446E1" w:rsidRPr="00024D5A">
        <w:rPr>
          <w:rStyle w:val="Emphasis"/>
          <w:rFonts w:ascii="Garamond" w:hAnsi="Garamond"/>
          <w:i w:val="0"/>
          <w:iCs w:val="0"/>
        </w:rPr>
        <w:t xml:space="preserve"> k</w:t>
      </w:r>
      <w:r w:rsidR="000726DB" w:rsidRPr="00024D5A">
        <w:rPr>
          <w:rStyle w:val="Emphasis"/>
          <w:rFonts w:ascii="Garamond" w:hAnsi="Garamond"/>
          <w:i w:val="0"/>
          <w:iCs w:val="0"/>
        </w:rPr>
        <w:t>ë</w:t>
      </w:r>
      <w:r w:rsidR="00A446E1" w:rsidRPr="00024D5A">
        <w:rPr>
          <w:rStyle w:val="Emphasis"/>
          <w:rFonts w:ascii="Garamond" w:hAnsi="Garamond"/>
          <w:i w:val="0"/>
          <w:iCs w:val="0"/>
        </w:rPr>
        <w:t>t</w:t>
      </w:r>
      <w:r w:rsidR="000726DB" w:rsidRPr="00024D5A">
        <w:rPr>
          <w:rStyle w:val="Emphasis"/>
          <w:rFonts w:ascii="Garamond" w:hAnsi="Garamond"/>
          <w:i w:val="0"/>
          <w:iCs w:val="0"/>
        </w:rPr>
        <w:t>ë</w:t>
      </w:r>
      <w:r w:rsidR="00A446E1" w:rsidRPr="00024D5A">
        <w:rPr>
          <w:rStyle w:val="Emphasis"/>
          <w:rFonts w:ascii="Garamond" w:hAnsi="Garamond"/>
          <w:i w:val="0"/>
          <w:iCs w:val="0"/>
        </w:rPr>
        <w:t xml:space="preserve"> plan.</w:t>
      </w:r>
    </w:p>
    <w:p w14:paraId="69187CC8" w14:textId="4B745084" w:rsidR="003E1630" w:rsidRPr="00024D5A" w:rsidRDefault="00F54ECF" w:rsidP="008F29FA">
      <w:pPr>
        <w:pStyle w:val="Heading1"/>
        <w:spacing w:before="0" w:line="240" w:lineRule="auto"/>
        <w:ind w:firstLine="284"/>
        <w:jc w:val="both"/>
        <w:rPr>
          <w:rStyle w:val="IntenseReference"/>
          <w:rFonts w:ascii="Garamond" w:eastAsia="Calibri" w:hAnsi="Garamond"/>
          <w:color w:val="auto"/>
          <w:sz w:val="24"/>
          <w:szCs w:val="24"/>
          <w:lang w:val="sq-AL"/>
        </w:rPr>
      </w:pPr>
      <w:bookmarkStart w:id="2" w:name="_Toc231489609"/>
      <w:bookmarkStart w:id="3" w:name="_Hlk223102950"/>
      <w:bookmarkStart w:id="4" w:name="_Hlk223084919"/>
      <w:r w:rsidRPr="00024D5A">
        <w:rPr>
          <w:rStyle w:val="IntenseReference"/>
          <w:rFonts w:ascii="Garamond" w:eastAsia="Calibri" w:hAnsi="Garamond"/>
          <w:color w:val="auto"/>
          <w:sz w:val="24"/>
          <w:szCs w:val="24"/>
          <w:lang w:val="sq-AL"/>
        </w:rPr>
        <w:lastRenderedPageBreak/>
        <w:t>1.</w:t>
      </w:r>
      <w:r w:rsidR="008F29FA" w:rsidRPr="00024D5A">
        <w:rPr>
          <w:rStyle w:val="IntenseReference"/>
          <w:rFonts w:ascii="Garamond" w:eastAsia="Calibri" w:hAnsi="Garamond"/>
          <w:color w:val="auto"/>
          <w:sz w:val="24"/>
          <w:szCs w:val="24"/>
          <w:lang w:val="sq-AL"/>
        </w:rPr>
        <w:t xml:space="preserve"> </w:t>
      </w:r>
      <w:r w:rsidR="005743A8" w:rsidRPr="00024D5A">
        <w:rPr>
          <w:rStyle w:val="IntenseReference"/>
          <w:rFonts w:ascii="Garamond" w:eastAsia="Calibri" w:hAnsi="Garamond"/>
          <w:color w:val="auto"/>
          <w:sz w:val="24"/>
          <w:szCs w:val="24"/>
          <w:lang w:val="sq-AL"/>
        </w:rPr>
        <w:t>PËRPUTHSHMËRIA ME KUADRIN STRATEGJIK KOMBËTAR DHE NDËRKOMBËTAR</w:t>
      </w:r>
      <w:bookmarkEnd w:id="2"/>
    </w:p>
    <w:bookmarkEnd w:id="3"/>
    <w:p w14:paraId="5975FBF1" w14:textId="33B62AF7" w:rsidR="0066467C"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Plani Kombëtar i Veprimit për Personat me Aftësi të Kufizuara </w:t>
      </w:r>
      <w:r w:rsidR="00657405" w:rsidRPr="00024D5A">
        <w:rPr>
          <w:rFonts w:ascii="Garamond" w:eastAsia="Times New Roman" w:hAnsi="Garamond"/>
          <w:lang w:eastAsia="en-US"/>
        </w:rPr>
        <w:t>2026–2030</w:t>
      </w:r>
      <w:r w:rsidRPr="00024D5A">
        <w:rPr>
          <w:rFonts w:ascii="Garamond" w:eastAsia="Times New Roman" w:hAnsi="Garamond"/>
          <w:lang w:eastAsia="en-US"/>
        </w:rPr>
        <w:t xml:space="preserve"> (PKVPAK) përbën instrumentin qendror të politikave publike të Republikës së Shqipërisë për garantimin e të drejtave, përfshirjes dhe pjesëmarrjes së barabartë të personave me aftësi të kufizuara. Ky plan nuk është një dokument i izoluar politikash sociale, por një dokument i lidhur ngushtë me angazhimet ndërkombëtare për të drejtat e njeriut, me procesin e integrimit evropian dhe me dokumentet strategjike kombëtare dhe sektoriale. Qasja mbi të cilën ndërtohet Plani mbështetet në parimin e integrimit horizontal të aftësisë së kufizuar në të gjitha politikat publike. Për rrjedhojë, politikat për personat me aftësi të kufizuara nuk trajtohen si një sektor i veçantë, por si një dimension i detyrueshëm i çdo politike shtetërore që lidhet me shërbimet publike, zhvillimin ekonomik dhe pjesëmarrjen qytetare.</w:t>
      </w:r>
    </w:p>
    <w:p w14:paraId="72B9079F" w14:textId="29978796" w:rsidR="003E1630" w:rsidRPr="00024D5A" w:rsidRDefault="008F29FA" w:rsidP="008F29FA">
      <w:pPr>
        <w:ind w:firstLine="288"/>
        <w:rPr>
          <w:rFonts w:ascii="Garamond" w:hAnsi="Garamond"/>
        </w:rPr>
      </w:pPr>
      <w:bookmarkStart w:id="5" w:name="_Toc231489610"/>
      <w:r w:rsidRPr="00024D5A">
        <w:rPr>
          <w:rFonts w:ascii="Garamond" w:hAnsi="Garamond"/>
        </w:rPr>
        <w:t>1.1 KUADRI NDËRKOMBËTAR</w:t>
      </w:r>
      <w:bookmarkEnd w:id="5"/>
    </w:p>
    <w:p w14:paraId="3F665B38" w14:textId="497C8E9B"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Referenca themelore e Planit është Konventa</w:t>
      </w:r>
      <w:r w:rsidRPr="00024D5A">
        <w:rPr>
          <w:rStyle w:val="FootnoteReference"/>
          <w:rFonts w:ascii="Garamond" w:eastAsia="Times New Roman" w:hAnsi="Garamond"/>
          <w:lang w:eastAsia="en-US"/>
        </w:rPr>
        <w:footnoteReference w:id="2"/>
      </w:r>
      <w:r w:rsidRPr="00024D5A">
        <w:rPr>
          <w:rFonts w:ascii="Garamond" w:eastAsia="Times New Roman" w:hAnsi="Garamond"/>
          <w:lang w:eastAsia="en-US"/>
        </w:rPr>
        <w:t xml:space="preserve"> e Kombeve të Bashkuara për të Drejtat e Personave me Aftësi të Kufizuara (KDPAK), e ratifikuar nga Republika e Shqipërisë. Nisur nga parimet e kësaj Konvente, PKVPAK </w:t>
      </w:r>
      <w:r w:rsidR="00657405" w:rsidRPr="00024D5A">
        <w:rPr>
          <w:rFonts w:ascii="Garamond" w:eastAsia="Times New Roman" w:hAnsi="Garamond"/>
          <w:lang w:eastAsia="en-US"/>
        </w:rPr>
        <w:t>2026–2030</w:t>
      </w:r>
      <w:r w:rsidRPr="00024D5A">
        <w:rPr>
          <w:rFonts w:ascii="Garamond" w:eastAsia="Times New Roman" w:hAnsi="Garamond"/>
          <w:lang w:eastAsia="en-US"/>
        </w:rPr>
        <w:t xml:space="preserve"> synon të vendosë në fokus jetesën e pavarur, aksesueshmërinë universale dhe pjesëmarrjen e plotë në komunitet.</w:t>
      </w:r>
    </w:p>
    <w:p w14:paraId="54C641F1" w14:textId="6A96372C"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Plani kontribuon</w:t>
      </w:r>
      <w:r w:rsidR="00AA0A6B" w:rsidRPr="00024D5A">
        <w:rPr>
          <w:rFonts w:ascii="Garamond" w:eastAsia="Times New Roman" w:hAnsi="Garamond"/>
          <w:lang w:eastAsia="en-US"/>
        </w:rPr>
        <w:t>,</w:t>
      </w:r>
      <w:r w:rsidRPr="00024D5A">
        <w:rPr>
          <w:rFonts w:ascii="Garamond" w:eastAsia="Times New Roman" w:hAnsi="Garamond"/>
          <w:lang w:eastAsia="en-US"/>
        </w:rPr>
        <w:t xml:space="preserve"> gjithashtu</w:t>
      </w:r>
      <w:r w:rsidR="00AA0A6B" w:rsidRPr="00024D5A">
        <w:rPr>
          <w:rFonts w:ascii="Garamond" w:eastAsia="Times New Roman" w:hAnsi="Garamond"/>
          <w:lang w:eastAsia="en-US"/>
        </w:rPr>
        <w:t>,</w:t>
      </w:r>
      <w:r w:rsidRPr="00024D5A">
        <w:rPr>
          <w:rFonts w:ascii="Garamond" w:eastAsia="Times New Roman" w:hAnsi="Garamond"/>
          <w:lang w:eastAsia="en-US"/>
        </w:rPr>
        <w:t xml:space="preserve"> në realizimin e Objektivave</w:t>
      </w:r>
      <w:r w:rsidRPr="00024D5A">
        <w:rPr>
          <w:rStyle w:val="FootnoteReference"/>
          <w:rFonts w:ascii="Garamond" w:eastAsia="Times New Roman" w:hAnsi="Garamond"/>
          <w:lang w:eastAsia="en-US"/>
        </w:rPr>
        <w:footnoteReference w:id="3"/>
      </w:r>
      <w:r w:rsidRPr="00024D5A">
        <w:rPr>
          <w:rFonts w:ascii="Garamond" w:eastAsia="Times New Roman" w:hAnsi="Garamond"/>
          <w:lang w:eastAsia="en-US"/>
        </w:rPr>
        <w:t xml:space="preserve"> të Zhvillimit të Qëndrueshëm (OZHQ), duke adresuar varfërinë, pabarazitë, arsimin cilësor, punësimin e denjë dhe qytetet gjithëpërfshirëse.</w:t>
      </w:r>
    </w:p>
    <w:p w14:paraId="65DCD028" w14:textId="49B4D69F" w:rsidR="00BA2546"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PKVPAK </w:t>
      </w:r>
      <w:r w:rsidR="00657405" w:rsidRPr="00024D5A">
        <w:rPr>
          <w:rFonts w:ascii="Garamond" w:eastAsia="Times New Roman" w:hAnsi="Garamond"/>
          <w:lang w:eastAsia="en-US"/>
        </w:rPr>
        <w:t>2026–2030</w:t>
      </w:r>
      <w:r w:rsidRPr="00024D5A">
        <w:rPr>
          <w:rFonts w:ascii="Garamond" w:eastAsia="Times New Roman" w:hAnsi="Garamond"/>
          <w:lang w:eastAsia="en-US"/>
        </w:rPr>
        <w:t xml:space="preserve"> harmonizohet me politikat e Bashkimit Evropian për personat me aftësi të kufizuara, përfshirë Strategjinë</w:t>
      </w:r>
      <w:r w:rsidRPr="00024D5A">
        <w:rPr>
          <w:rStyle w:val="FootnoteReference"/>
          <w:rFonts w:ascii="Garamond" w:eastAsia="Times New Roman" w:hAnsi="Garamond"/>
          <w:lang w:eastAsia="en-US"/>
        </w:rPr>
        <w:footnoteReference w:id="4"/>
      </w:r>
      <w:r w:rsidRPr="00024D5A">
        <w:rPr>
          <w:rFonts w:ascii="Garamond" w:eastAsia="Times New Roman" w:hAnsi="Garamond"/>
          <w:lang w:eastAsia="en-US"/>
        </w:rPr>
        <w:t xml:space="preserve"> e BE-së për të Drejtat e Personave me Aftësi të Kufizuara 2021</w:t>
      </w:r>
      <w:r w:rsidR="00AA0A6B" w:rsidRPr="00024D5A">
        <w:rPr>
          <w:rFonts w:ascii="Garamond" w:eastAsia="Times New Roman" w:hAnsi="Garamond"/>
          <w:lang w:eastAsia="en-US"/>
        </w:rPr>
        <w:t>–</w:t>
      </w:r>
      <w:r w:rsidRPr="00024D5A">
        <w:rPr>
          <w:rFonts w:ascii="Garamond" w:eastAsia="Times New Roman" w:hAnsi="Garamond"/>
          <w:lang w:eastAsia="en-US"/>
        </w:rPr>
        <w:t>2030, Direktivat</w:t>
      </w:r>
      <w:r w:rsidRPr="00024D5A">
        <w:rPr>
          <w:rStyle w:val="FootnoteReference"/>
          <w:rFonts w:ascii="Garamond" w:eastAsia="Times New Roman" w:hAnsi="Garamond"/>
          <w:lang w:eastAsia="en-US"/>
        </w:rPr>
        <w:footnoteReference w:id="5"/>
      </w:r>
      <w:r w:rsidRPr="00024D5A">
        <w:rPr>
          <w:rFonts w:ascii="Garamond" w:eastAsia="Times New Roman" w:hAnsi="Garamond"/>
          <w:lang w:eastAsia="en-US"/>
        </w:rPr>
        <w:t xml:space="preserve"> për aksesueshmërinë, si dhe udhëzimet</w:t>
      </w:r>
      <w:r w:rsidRPr="00024D5A">
        <w:rPr>
          <w:rStyle w:val="FootnoteReference"/>
          <w:rFonts w:ascii="Garamond" w:eastAsia="Times New Roman" w:hAnsi="Garamond"/>
          <w:lang w:eastAsia="en-US"/>
        </w:rPr>
        <w:footnoteReference w:id="6"/>
      </w:r>
      <w:r w:rsidRPr="00024D5A">
        <w:rPr>
          <w:rFonts w:ascii="Garamond" w:eastAsia="Times New Roman" w:hAnsi="Garamond"/>
          <w:lang w:eastAsia="en-US"/>
        </w:rPr>
        <w:t xml:space="preserve"> për jetesën e pavarur në komunitet. Këto dokumente orientojnë që Shqipëria të kalojnë nga politikat mbrojtëse drejt garantimit të barazisë së mundësive dhe eliminimit të barrierave strukturore.</w:t>
      </w:r>
    </w:p>
    <w:p w14:paraId="3051CE2E" w14:textId="0F36E70B" w:rsidR="003E1630" w:rsidRPr="00024D5A" w:rsidRDefault="0058487E" w:rsidP="00791B1A">
      <w:pPr>
        <w:pStyle w:val="Heading2"/>
        <w:spacing w:before="0"/>
        <w:ind w:firstLine="284"/>
        <w:rPr>
          <w:rFonts w:ascii="Garamond" w:eastAsia="Times New Roman" w:hAnsi="Garamond"/>
          <w:b/>
          <w:bCs/>
          <w:color w:val="auto"/>
          <w:sz w:val="24"/>
          <w:szCs w:val="24"/>
          <w:lang w:eastAsia="en-US"/>
        </w:rPr>
      </w:pPr>
      <w:bookmarkStart w:id="6" w:name="_Toc231489611"/>
      <w:r w:rsidRPr="00024D5A">
        <w:rPr>
          <w:rStyle w:val="IntenseReference"/>
          <w:rFonts w:ascii="Garamond" w:eastAsia="Calibri" w:hAnsi="Garamond"/>
          <w:b w:val="0"/>
          <w:bCs w:val="0"/>
          <w:color w:val="auto"/>
          <w:sz w:val="24"/>
          <w:szCs w:val="24"/>
        </w:rPr>
        <w:t>1</w:t>
      </w:r>
      <w:r w:rsidR="006510EF" w:rsidRPr="00024D5A">
        <w:rPr>
          <w:rStyle w:val="IntenseReference"/>
          <w:rFonts w:ascii="Garamond" w:eastAsia="Calibri" w:hAnsi="Garamond"/>
          <w:b w:val="0"/>
          <w:bCs w:val="0"/>
          <w:color w:val="auto"/>
          <w:sz w:val="24"/>
          <w:szCs w:val="24"/>
        </w:rPr>
        <w:t>.2</w:t>
      </w:r>
      <w:r w:rsidR="00F54ECF" w:rsidRPr="00024D5A">
        <w:rPr>
          <w:rStyle w:val="IntenseReference"/>
          <w:rFonts w:ascii="Garamond" w:eastAsia="Calibri" w:hAnsi="Garamond"/>
          <w:b w:val="0"/>
          <w:bCs w:val="0"/>
          <w:color w:val="auto"/>
          <w:sz w:val="24"/>
          <w:szCs w:val="24"/>
        </w:rPr>
        <w:t xml:space="preserve"> </w:t>
      </w:r>
      <w:r w:rsidR="005743A8" w:rsidRPr="00024D5A">
        <w:rPr>
          <w:rStyle w:val="IntenseReference"/>
          <w:rFonts w:ascii="Garamond" w:eastAsia="Calibri" w:hAnsi="Garamond"/>
          <w:b w:val="0"/>
          <w:bCs w:val="0"/>
          <w:color w:val="auto"/>
          <w:sz w:val="24"/>
          <w:szCs w:val="24"/>
        </w:rPr>
        <w:t>Kuadri strategjik kombëtar</w:t>
      </w:r>
      <w:bookmarkEnd w:id="6"/>
    </w:p>
    <w:p w14:paraId="4D5F771A" w14:textId="0F4100FE"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Në nivel kombëtar, PKVPAK</w:t>
      </w:r>
      <w:r w:rsidR="00D86700" w:rsidRPr="00024D5A">
        <w:rPr>
          <w:rFonts w:ascii="Garamond" w:eastAsia="Times New Roman" w:hAnsi="Garamond"/>
          <w:lang w:eastAsia="en-US"/>
        </w:rPr>
        <w:t>-ja</w:t>
      </w:r>
      <w:r w:rsidRPr="00024D5A">
        <w:rPr>
          <w:rFonts w:ascii="Garamond" w:eastAsia="Times New Roman" w:hAnsi="Garamond"/>
          <w:lang w:eastAsia="en-US"/>
        </w:rPr>
        <w:t xml:space="preserve"> është i harmonizuar me dokumentet kryesore strategjike të vendit, veçanërisht me Strategjinë</w:t>
      </w:r>
      <w:r w:rsidRPr="00024D5A">
        <w:rPr>
          <w:rStyle w:val="FootnoteReference"/>
          <w:rFonts w:ascii="Garamond" w:eastAsia="Times New Roman" w:hAnsi="Garamond"/>
          <w:lang w:eastAsia="en-US"/>
        </w:rPr>
        <w:footnoteReference w:id="7"/>
      </w:r>
      <w:r w:rsidRPr="00024D5A">
        <w:rPr>
          <w:rFonts w:ascii="Garamond" w:eastAsia="Times New Roman" w:hAnsi="Garamond"/>
          <w:lang w:eastAsia="en-US"/>
        </w:rPr>
        <w:t xml:space="preserve"> Kombëtare për Zhvillim dhe Integrim Evropian (SKZHIE), e cila synon rritjen e mirëqenies, kohezionit social dhe barazisë së mundësive. Përfshirja e personave me aftësi të kufizuara konsiderohet një tregues i drejtpërdrejtë i cilësisë së zhvillimit dhe i funksionimit të shtetit social.</w:t>
      </w:r>
    </w:p>
    <w:p w14:paraId="626909B8" w14:textId="67312519" w:rsidR="003E1630" w:rsidRPr="00024D5A" w:rsidRDefault="0058487E" w:rsidP="00791B1A">
      <w:pPr>
        <w:pStyle w:val="Heading2"/>
        <w:spacing w:before="0"/>
        <w:ind w:firstLine="284"/>
        <w:rPr>
          <w:rStyle w:val="IntenseReference"/>
          <w:rFonts w:ascii="Garamond" w:eastAsia="Calibri" w:hAnsi="Garamond"/>
          <w:b w:val="0"/>
          <w:color w:val="auto"/>
          <w:sz w:val="24"/>
          <w:szCs w:val="24"/>
        </w:rPr>
      </w:pPr>
      <w:bookmarkStart w:id="7" w:name="_Toc231489612"/>
      <w:r w:rsidRPr="00024D5A">
        <w:rPr>
          <w:rStyle w:val="Heading2Char"/>
          <w:rFonts w:ascii="Garamond" w:hAnsi="Garamond"/>
          <w:bCs/>
          <w:color w:val="auto"/>
          <w:sz w:val="24"/>
          <w:szCs w:val="24"/>
        </w:rPr>
        <w:t>1</w:t>
      </w:r>
      <w:r w:rsidR="006510EF" w:rsidRPr="00024D5A">
        <w:rPr>
          <w:rStyle w:val="Heading2Char"/>
          <w:rFonts w:ascii="Garamond" w:hAnsi="Garamond"/>
          <w:bCs/>
          <w:color w:val="auto"/>
          <w:sz w:val="24"/>
          <w:szCs w:val="24"/>
        </w:rPr>
        <w:t>.3</w:t>
      </w:r>
      <w:r w:rsidR="00F54ECF" w:rsidRPr="00024D5A">
        <w:rPr>
          <w:rStyle w:val="Heading2Char"/>
          <w:rFonts w:ascii="Garamond" w:hAnsi="Garamond"/>
          <w:b/>
          <w:color w:val="auto"/>
          <w:sz w:val="24"/>
          <w:szCs w:val="24"/>
        </w:rPr>
        <w:t xml:space="preserve"> </w:t>
      </w:r>
      <w:r w:rsidR="005743A8" w:rsidRPr="00024D5A">
        <w:rPr>
          <w:rStyle w:val="IntenseReference"/>
          <w:rFonts w:ascii="Garamond" w:eastAsia="Calibri" w:hAnsi="Garamond"/>
          <w:b w:val="0"/>
          <w:color w:val="auto"/>
          <w:sz w:val="24"/>
          <w:szCs w:val="24"/>
        </w:rPr>
        <w:t>Harmonizimi me strategjitë sektoriale</w:t>
      </w:r>
      <w:bookmarkEnd w:id="7"/>
    </w:p>
    <w:p w14:paraId="72A6B98C" w14:textId="4BCFD2BC"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PKVPAK </w:t>
      </w:r>
      <w:r w:rsidR="00657405" w:rsidRPr="00024D5A">
        <w:rPr>
          <w:rFonts w:ascii="Garamond" w:eastAsia="Times New Roman" w:hAnsi="Garamond"/>
          <w:lang w:eastAsia="en-US"/>
        </w:rPr>
        <w:t>2026–2030</w:t>
      </w:r>
      <w:r w:rsidRPr="00024D5A">
        <w:rPr>
          <w:rFonts w:ascii="Garamond" w:eastAsia="Times New Roman" w:hAnsi="Garamond"/>
          <w:lang w:eastAsia="en-US"/>
        </w:rPr>
        <w:t xml:space="preserve"> është hartuar mbi ndërveprimin e drejtpërdrejtë me strategjitë sektoriale të qeverisë shqiptare, duke siguruar që përfshirja e personave me aftësi të kufizuara të jetë pjesë e politikave të çdo sektori dhe jo një ndërhyrje paralele.</w:t>
      </w:r>
    </w:p>
    <w:p w14:paraId="01292AAC" w14:textId="0FBC9AA1"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Në fushën e drejtësisë, PKVPAK harmonizohet me Strategjinë</w:t>
      </w:r>
      <w:r w:rsidRPr="00024D5A">
        <w:rPr>
          <w:rStyle w:val="FootnoteReference"/>
          <w:rFonts w:ascii="Garamond" w:eastAsia="Times New Roman" w:hAnsi="Garamond"/>
          <w:lang w:eastAsia="en-US"/>
        </w:rPr>
        <w:footnoteReference w:id="8"/>
      </w:r>
      <w:r w:rsidRPr="00024D5A">
        <w:rPr>
          <w:rFonts w:ascii="Garamond" w:eastAsia="Times New Roman" w:hAnsi="Garamond"/>
          <w:lang w:eastAsia="en-US"/>
        </w:rPr>
        <w:t xml:space="preserve"> Ndërsektoriale të Drejtësisë 2024</w:t>
      </w:r>
      <w:r w:rsidR="006D699B" w:rsidRPr="00024D5A">
        <w:rPr>
          <w:rFonts w:ascii="Garamond" w:eastAsia="Times New Roman" w:hAnsi="Garamond"/>
          <w:lang w:eastAsia="en-US"/>
        </w:rPr>
        <w:t>–</w:t>
      </w:r>
      <w:r w:rsidRPr="00024D5A">
        <w:rPr>
          <w:rFonts w:ascii="Garamond" w:eastAsia="Times New Roman" w:hAnsi="Garamond"/>
          <w:lang w:eastAsia="en-US"/>
        </w:rPr>
        <w:t>2030, Strategjinë</w:t>
      </w:r>
      <w:r w:rsidRPr="00024D5A">
        <w:rPr>
          <w:rStyle w:val="FootnoteReference"/>
          <w:rFonts w:ascii="Garamond" w:eastAsia="Times New Roman" w:hAnsi="Garamond"/>
          <w:lang w:eastAsia="en-US"/>
        </w:rPr>
        <w:footnoteReference w:id="9"/>
      </w:r>
      <w:r w:rsidRPr="00024D5A">
        <w:rPr>
          <w:rFonts w:ascii="Garamond" w:eastAsia="Times New Roman" w:hAnsi="Garamond"/>
          <w:lang w:eastAsia="en-US"/>
        </w:rPr>
        <w:t xml:space="preserve"> për Mbrojtjen e Viktimave të Krimit 2024</w:t>
      </w:r>
      <w:r w:rsidR="00EF478B" w:rsidRPr="00024D5A">
        <w:rPr>
          <w:rFonts w:ascii="Garamond" w:eastAsia="Times New Roman" w:hAnsi="Garamond"/>
          <w:lang w:eastAsia="en-US"/>
        </w:rPr>
        <w:t>–</w:t>
      </w:r>
      <w:r w:rsidRPr="00024D5A">
        <w:rPr>
          <w:rFonts w:ascii="Garamond" w:eastAsia="Times New Roman" w:hAnsi="Garamond"/>
          <w:lang w:eastAsia="en-US"/>
        </w:rPr>
        <w:t>2030 dhe Strategjinë</w:t>
      </w:r>
      <w:r w:rsidRPr="00024D5A">
        <w:rPr>
          <w:rStyle w:val="FootnoteReference"/>
          <w:rFonts w:ascii="Garamond" w:eastAsia="Times New Roman" w:hAnsi="Garamond"/>
          <w:lang w:eastAsia="en-US"/>
        </w:rPr>
        <w:footnoteReference w:id="10"/>
      </w:r>
      <w:r w:rsidRPr="00024D5A">
        <w:rPr>
          <w:rFonts w:ascii="Garamond" w:eastAsia="Times New Roman" w:hAnsi="Garamond"/>
          <w:lang w:eastAsia="en-US"/>
        </w:rPr>
        <w:t xml:space="preserve"> e Drejtësisë për të Mitur 2022</w:t>
      </w:r>
      <w:r w:rsidR="00EF478B" w:rsidRPr="00024D5A">
        <w:rPr>
          <w:rFonts w:ascii="Garamond" w:eastAsia="Times New Roman" w:hAnsi="Garamond"/>
          <w:lang w:eastAsia="en-US"/>
        </w:rPr>
        <w:t>–</w:t>
      </w:r>
      <w:r w:rsidRPr="00024D5A">
        <w:rPr>
          <w:rFonts w:ascii="Garamond" w:eastAsia="Times New Roman" w:hAnsi="Garamond"/>
          <w:lang w:eastAsia="en-US"/>
        </w:rPr>
        <w:t>2026, duke garantuar akses real në drejtësi, barazi para ligjit dhe mbrojtje efektive të të drejtave procedurale.</w:t>
      </w:r>
    </w:p>
    <w:p w14:paraId="2356B0DF" w14:textId="6E749D59"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Në fushën e punësimit dhe aftësive, ai lidhet me Strategjinë</w:t>
      </w:r>
      <w:r w:rsidRPr="00024D5A">
        <w:rPr>
          <w:rStyle w:val="FootnoteReference"/>
          <w:rFonts w:ascii="Garamond" w:eastAsia="Times New Roman" w:hAnsi="Garamond"/>
          <w:lang w:eastAsia="en-US"/>
        </w:rPr>
        <w:footnoteReference w:id="11"/>
      </w:r>
      <w:r w:rsidRPr="00024D5A">
        <w:rPr>
          <w:rFonts w:ascii="Garamond" w:eastAsia="Times New Roman" w:hAnsi="Garamond"/>
          <w:lang w:eastAsia="en-US"/>
        </w:rPr>
        <w:t xml:space="preserve"> Kombëtare </w:t>
      </w:r>
      <w:r w:rsidR="00BD0663" w:rsidRPr="00024D5A">
        <w:rPr>
          <w:rFonts w:ascii="Garamond" w:eastAsia="Times New Roman" w:hAnsi="Garamond"/>
          <w:lang w:eastAsia="en-US"/>
        </w:rPr>
        <w:t>t</w:t>
      </w:r>
      <w:r w:rsidR="006F6C77" w:rsidRPr="00024D5A">
        <w:rPr>
          <w:rFonts w:ascii="Garamond" w:eastAsia="Times New Roman" w:hAnsi="Garamond"/>
          <w:lang w:eastAsia="en-US"/>
        </w:rPr>
        <w:t>ë</w:t>
      </w:r>
      <w:r w:rsidR="00BD0663" w:rsidRPr="00024D5A">
        <w:rPr>
          <w:rFonts w:ascii="Garamond" w:eastAsia="Times New Roman" w:hAnsi="Garamond"/>
          <w:lang w:eastAsia="en-US"/>
        </w:rPr>
        <w:t xml:space="preserve"> Pun</w:t>
      </w:r>
      <w:r w:rsidR="006F6C77" w:rsidRPr="00024D5A">
        <w:rPr>
          <w:rFonts w:ascii="Garamond" w:eastAsia="Times New Roman" w:hAnsi="Garamond"/>
          <w:lang w:eastAsia="en-US"/>
        </w:rPr>
        <w:t>ë</w:t>
      </w:r>
      <w:r w:rsidR="00BD0663" w:rsidRPr="00024D5A">
        <w:rPr>
          <w:rFonts w:ascii="Garamond" w:eastAsia="Times New Roman" w:hAnsi="Garamond"/>
          <w:lang w:eastAsia="en-US"/>
        </w:rPr>
        <w:t>simit dhe Aft</w:t>
      </w:r>
      <w:r w:rsidR="006F6C77" w:rsidRPr="00024D5A">
        <w:rPr>
          <w:rFonts w:ascii="Garamond" w:eastAsia="Times New Roman" w:hAnsi="Garamond"/>
          <w:lang w:eastAsia="en-US"/>
        </w:rPr>
        <w:t>ë</w:t>
      </w:r>
      <w:r w:rsidR="00BD0663" w:rsidRPr="00024D5A">
        <w:rPr>
          <w:rFonts w:ascii="Garamond" w:eastAsia="Times New Roman" w:hAnsi="Garamond"/>
          <w:lang w:eastAsia="en-US"/>
        </w:rPr>
        <w:t>sive</w:t>
      </w:r>
      <w:r w:rsidRPr="00024D5A">
        <w:rPr>
          <w:rFonts w:ascii="Garamond" w:eastAsia="Times New Roman" w:hAnsi="Garamond"/>
          <w:lang w:eastAsia="en-US"/>
        </w:rPr>
        <w:t xml:space="preserve"> 2023</w:t>
      </w:r>
      <w:r w:rsidR="00EF478B" w:rsidRPr="00024D5A">
        <w:rPr>
          <w:rFonts w:ascii="Garamond" w:eastAsia="Times New Roman" w:hAnsi="Garamond"/>
          <w:lang w:eastAsia="en-US"/>
        </w:rPr>
        <w:t>–</w:t>
      </w:r>
      <w:r w:rsidRPr="00024D5A">
        <w:rPr>
          <w:rFonts w:ascii="Garamond" w:eastAsia="Times New Roman" w:hAnsi="Garamond"/>
          <w:lang w:eastAsia="en-US"/>
        </w:rPr>
        <w:t>2030, duke synuar rritjen e pjesëmarrjes në tregun e punës dhe kalimin drejt fuqizimit ekonomik të personave me aftësi të kufizuara.</w:t>
      </w:r>
    </w:p>
    <w:p w14:paraId="4FCC312E" w14:textId="668AF9E4"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Në arsim, PKVPAK</w:t>
      </w:r>
      <w:r w:rsidR="00BD55C6" w:rsidRPr="00024D5A">
        <w:rPr>
          <w:rFonts w:ascii="Garamond" w:eastAsia="Times New Roman" w:hAnsi="Garamond"/>
          <w:lang w:eastAsia="en-US"/>
        </w:rPr>
        <w:t>-ja</w:t>
      </w:r>
      <w:r w:rsidRPr="00024D5A">
        <w:rPr>
          <w:rFonts w:ascii="Garamond" w:eastAsia="Times New Roman" w:hAnsi="Garamond"/>
          <w:lang w:eastAsia="en-US"/>
        </w:rPr>
        <w:t xml:space="preserve"> përputhet me Strategjinë</w:t>
      </w:r>
      <w:r w:rsidRPr="00024D5A">
        <w:rPr>
          <w:rStyle w:val="FootnoteReference"/>
          <w:rFonts w:ascii="Garamond" w:eastAsia="Times New Roman" w:hAnsi="Garamond"/>
          <w:lang w:eastAsia="en-US"/>
        </w:rPr>
        <w:footnoteReference w:id="12"/>
      </w:r>
      <w:r w:rsidRPr="00024D5A">
        <w:rPr>
          <w:rFonts w:ascii="Garamond" w:eastAsia="Times New Roman" w:hAnsi="Garamond"/>
          <w:lang w:eastAsia="en-US"/>
        </w:rPr>
        <w:t xml:space="preserve"> Kombëtare për Arsimin 2021</w:t>
      </w:r>
      <w:r w:rsidR="00BD55C6" w:rsidRPr="00024D5A">
        <w:rPr>
          <w:rFonts w:ascii="Garamond" w:eastAsia="Times New Roman" w:hAnsi="Garamond"/>
          <w:lang w:eastAsia="en-US"/>
        </w:rPr>
        <w:t>–</w:t>
      </w:r>
      <w:r w:rsidRPr="00024D5A">
        <w:rPr>
          <w:rFonts w:ascii="Garamond" w:eastAsia="Times New Roman" w:hAnsi="Garamond"/>
          <w:lang w:eastAsia="en-US"/>
        </w:rPr>
        <w:t>2026, duke mbështetur zhvillimin e arsimit gjithëpërfshirës dhe transformimin e sistemit arsimor në një sistem</w:t>
      </w:r>
      <w:r w:rsidR="002D4B1D" w:rsidRPr="00024D5A">
        <w:rPr>
          <w:rFonts w:ascii="Garamond" w:eastAsia="Times New Roman" w:hAnsi="Garamond"/>
          <w:lang w:eastAsia="en-US"/>
        </w:rPr>
        <w:t>,</w:t>
      </w:r>
      <w:r w:rsidRPr="00024D5A">
        <w:rPr>
          <w:rFonts w:ascii="Garamond" w:eastAsia="Times New Roman" w:hAnsi="Garamond"/>
          <w:lang w:eastAsia="en-US"/>
        </w:rPr>
        <w:t xml:space="preserve"> që garanton mundësi të barabarta për të gjithë nxënësit.</w:t>
      </w:r>
    </w:p>
    <w:p w14:paraId="678792B4" w14:textId="5D3ABEF6"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Në fushën e mbrojtjes sociale, ai harmonizohet me Strategjinë Kombëtare për Mbrojtjen</w:t>
      </w:r>
      <w:r w:rsidRPr="00024D5A">
        <w:rPr>
          <w:rStyle w:val="FootnoteReference"/>
          <w:rFonts w:ascii="Garamond" w:eastAsia="Times New Roman" w:hAnsi="Garamond"/>
          <w:lang w:eastAsia="en-US"/>
        </w:rPr>
        <w:footnoteReference w:id="13"/>
      </w:r>
      <w:r w:rsidRPr="00024D5A">
        <w:rPr>
          <w:rFonts w:ascii="Garamond" w:eastAsia="Times New Roman" w:hAnsi="Garamond"/>
          <w:lang w:eastAsia="en-US"/>
        </w:rPr>
        <w:t xml:space="preserve"> Sociale 2024</w:t>
      </w:r>
      <w:r w:rsidR="002D4B1D" w:rsidRPr="00024D5A">
        <w:rPr>
          <w:rFonts w:ascii="Garamond" w:eastAsia="Times New Roman" w:hAnsi="Garamond"/>
          <w:lang w:eastAsia="en-US"/>
        </w:rPr>
        <w:t>–</w:t>
      </w:r>
      <w:r w:rsidRPr="00024D5A">
        <w:rPr>
          <w:rFonts w:ascii="Garamond" w:eastAsia="Times New Roman" w:hAnsi="Garamond"/>
          <w:lang w:eastAsia="en-US"/>
        </w:rPr>
        <w:t>2030, duke mbështetur ndërthurjen mes sistemit të pagesave</w:t>
      </w:r>
      <w:r w:rsidR="008F29FA" w:rsidRPr="00024D5A">
        <w:rPr>
          <w:rFonts w:ascii="Garamond" w:eastAsia="Times New Roman" w:hAnsi="Garamond"/>
          <w:lang w:eastAsia="en-US"/>
        </w:rPr>
        <w:t xml:space="preserve"> </w:t>
      </w:r>
      <w:r w:rsidRPr="00024D5A">
        <w:rPr>
          <w:rFonts w:ascii="Garamond" w:eastAsia="Times New Roman" w:hAnsi="Garamond"/>
          <w:lang w:eastAsia="en-US"/>
        </w:rPr>
        <w:t>në para me sistemin e shërbimeve në komunitet dhe jetesën e pavarur.</w:t>
      </w:r>
    </w:p>
    <w:p w14:paraId="5713F595" w14:textId="30297222"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Në fushën e shëndetësisë, PKVPAK lidhet me Strategjinë</w:t>
      </w:r>
      <w:r w:rsidRPr="00024D5A">
        <w:rPr>
          <w:rStyle w:val="FootnoteReference"/>
          <w:rFonts w:ascii="Garamond" w:eastAsia="Times New Roman" w:hAnsi="Garamond"/>
          <w:lang w:eastAsia="en-US"/>
        </w:rPr>
        <w:footnoteReference w:id="14"/>
      </w:r>
      <w:r w:rsidRPr="00024D5A">
        <w:rPr>
          <w:rFonts w:ascii="Garamond" w:eastAsia="Times New Roman" w:hAnsi="Garamond"/>
          <w:lang w:eastAsia="en-US"/>
        </w:rPr>
        <w:t xml:space="preserve"> Kombëtare të Shëndetësisë 2021</w:t>
      </w:r>
      <w:r w:rsidR="002D4B1D" w:rsidRPr="00024D5A">
        <w:rPr>
          <w:rFonts w:ascii="Garamond" w:eastAsia="Times New Roman" w:hAnsi="Garamond"/>
          <w:lang w:eastAsia="en-US"/>
        </w:rPr>
        <w:t>–</w:t>
      </w:r>
      <w:r w:rsidRPr="00024D5A">
        <w:rPr>
          <w:rFonts w:ascii="Garamond" w:eastAsia="Times New Roman" w:hAnsi="Garamond"/>
          <w:lang w:eastAsia="en-US"/>
        </w:rPr>
        <w:t>2030, zhvillimin</w:t>
      </w:r>
      <w:r w:rsidRPr="00024D5A">
        <w:rPr>
          <w:rStyle w:val="FootnoteReference"/>
          <w:rFonts w:ascii="Garamond" w:eastAsia="Times New Roman" w:hAnsi="Garamond"/>
          <w:lang w:eastAsia="en-US"/>
        </w:rPr>
        <w:footnoteReference w:id="15"/>
      </w:r>
      <w:r w:rsidRPr="00024D5A">
        <w:rPr>
          <w:rFonts w:ascii="Garamond" w:eastAsia="Times New Roman" w:hAnsi="Garamond"/>
          <w:lang w:eastAsia="en-US"/>
        </w:rPr>
        <w:t xml:space="preserve"> e kujdesit shëndetësor parësor dhe ato të lidhura me shëndetin mendor, duke synuar akses të barabartë në shërbime shëndetësore dhe rehabilituese.</w:t>
      </w:r>
    </w:p>
    <w:p w14:paraId="33C12813"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Në kulturë</w:t>
      </w:r>
      <w:r w:rsidRPr="00024D5A">
        <w:rPr>
          <w:rStyle w:val="FootnoteReference"/>
          <w:rFonts w:ascii="Garamond" w:eastAsia="Times New Roman" w:hAnsi="Garamond"/>
          <w:lang w:eastAsia="en-US"/>
        </w:rPr>
        <w:footnoteReference w:id="16"/>
      </w:r>
      <w:r w:rsidRPr="00024D5A">
        <w:rPr>
          <w:rFonts w:ascii="Garamond" w:eastAsia="Times New Roman" w:hAnsi="Garamond"/>
          <w:lang w:eastAsia="en-US"/>
        </w:rPr>
        <w:t>, turizëm</w:t>
      </w:r>
      <w:r w:rsidRPr="00024D5A">
        <w:rPr>
          <w:rStyle w:val="FootnoteReference"/>
          <w:rFonts w:ascii="Garamond" w:eastAsia="Times New Roman" w:hAnsi="Garamond"/>
          <w:lang w:eastAsia="en-US"/>
        </w:rPr>
        <w:footnoteReference w:id="17"/>
      </w:r>
      <w:r w:rsidRPr="00024D5A">
        <w:rPr>
          <w:rFonts w:ascii="Garamond" w:eastAsia="Times New Roman" w:hAnsi="Garamond"/>
          <w:lang w:eastAsia="en-US"/>
        </w:rPr>
        <w:t xml:space="preserve"> dhe sport</w:t>
      </w:r>
      <w:r w:rsidRPr="00024D5A">
        <w:rPr>
          <w:rStyle w:val="FootnoteReference"/>
          <w:rFonts w:ascii="Garamond" w:eastAsia="Times New Roman" w:hAnsi="Garamond"/>
          <w:lang w:eastAsia="en-US"/>
        </w:rPr>
        <w:footnoteReference w:id="18"/>
      </w:r>
      <w:r w:rsidRPr="00024D5A">
        <w:rPr>
          <w:rFonts w:ascii="Garamond" w:eastAsia="Times New Roman" w:hAnsi="Garamond"/>
          <w:lang w:eastAsia="en-US"/>
        </w:rPr>
        <w:t>, ai mbështetet në strategjitë përkatëse kombëtare për kulturën, turizmin dhe sportin, duke promovuar pjesëmarrjen kulturore, rekreative dhe sportive si pjesë e jetës komunitare.</w:t>
      </w:r>
    </w:p>
    <w:p w14:paraId="6CA013C9" w14:textId="5171C01A" w:rsidR="003E1630" w:rsidRPr="00024D5A" w:rsidRDefault="00331B8C" w:rsidP="00791B1A">
      <w:pPr>
        <w:ind w:firstLine="284"/>
        <w:jc w:val="both"/>
        <w:rPr>
          <w:rStyle w:val="Heading2Char"/>
          <w:rFonts w:ascii="Garamond" w:hAnsi="Garamond"/>
          <w:color w:val="auto"/>
          <w:sz w:val="24"/>
          <w:szCs w:val="24"/>
        </w:rPr>
      </w:pPr>
      <w:r w:rsidRPr="00024D5A">
        <w:rPr>
          <w:rStyle w:val="IntenseReference"/>
          <w:rFonts w:ascii="Garamond" w:hAnsi="Garamond"/>
          <w:b w:val="0"/>
          <w:color w:val="auto"/>
        </w:rPr>
        <w:t>1</w:t>
      </w:r>
      <w:r w:rsidR="00137017" w:rsidRPr="00024D5A">
        <w:rPr>
          <w:rStyle w:val="IntenseReference"/>
          <w:rFonts w:ascii="Garamond" w:hAnsi="Garamond"/>
          <w:b w:val="0"/>
          <w:color w:val="auto"/>
        </w:rPr>
        <w:t>.4</w:t>
      </w:r>
      <w:r w:rsidR="00F54ECF" w:rsidRPr="00024D5A">
        <w:rPr>
          <w:rStyle w:val="IntenseReference"/>
          <w:rFonts w:ascii="Garamond" w:hAnsi="Garamond"/>
          <w:bCs w:val="0"/>
          <w:color w:val="auto"/>
        </w:rPr>
        <w:t xml:space="preserve"> </w:t>
      </w:r>
      <w:r w:rsidR="005743A8" w:rsidRPr="00024D5A">
        <w:rPr>
          <w:rStyle w:val="Heading2Char"/>
          <w:rFonts w:ascii="Garamond" w:hAnsi="Garamond"/>
          <w:color w:val="auto"/>
          <w:sz w:val="24"/>
          <w:szCs w:val="24"/>
        </w:rPr>
        <w:t>Lidhja me procesin e integrimit evropian</w:t>
      </w:r>
    </w:p>
    <w:p w14:paraId="54240938" w14:textId="50C6FB51"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Përtej harmonizimit me strategjitë kombëtare, PKVPAK </w:t>
      </w:r>
      <w:r w:rsidR="00657405" w:rsidRPr="00024D5A">
        <w:rPr>
          <w:rFonts w:ascii="Garamond" w:eastAsia="Times New Roman" w:hAnsi="Garamond"/>
          <w:lang w:eastAsia="en-US"/>
        </w:rPr>
        <w:t>2026–2030</w:t>
      </w:r>
      <w:r w:rsidRPr="00024D5A">
        <w:rPr>
          <w:rFonts w:ascii="Garamond" w:eastAsia="Times New Roman" w:hAnsi="Garamond"/>
          <w:lang w:eastAsia="en-US"/>
        </w:rPr>
        <w:t xml:space="preserve"> lidhet drejtpërdrejt me procesin e anëtarësimit të Shqipërisë në Bashkimin Evropian. Politikat për personat me aftësi të kufizuara janë ndërsektoriale dhe kontribuojnë në përmbushjen e detyrimeve që rrjedhin nga disa kapituj</w:t>
      </w:r>
      <w:r w:rsidRPr="00024D5A">
        <w:rPr>
          <w:rStyle w:val="FootnoteReference"/>
          <w:rFonts w:ascii="Garamond" w:eastAsia="Times New Roman" w:hAnsi="Garamond"/>
          <w:lang w:eastAsia="en-US"/>
        </w:rPr>
        <w:footnoteReference w:id="19"/>
      </w:r>
      <w:r w:rsidRPr="00024D5A">
        <w:rPr>
          <w:rFonts w:ascii="Garamond" w:eastAsia="Times New Roman" w:hAnsi="Garamond"/>
          <w:lang w:eastAsia="en-US"/>
        </w:rPr>
        <w:t xml:space="preserve"> të </w:t>
      </w:r>
      <w:r w:rsidRPr="00024D5A">
        <w:rPr>
          <w:rFonts w:ascii="Garamond" w:eastAsia="Times New Roman" w:hAnsi="Garamond"/>
          <w:i/>
          <w:lang w:eastAsia="en-US"/>
        </w:rPr>
        <w:t>acquis communautaire</w:t>
      </w:r>
      <w:r w:rsidRPr="00024D5A">
        <w:rPr>
          <w:rFonts w:ascii="Garamond" w:eastAsia="Times New Roman" w:hAnsi="Garamond"/>
          <w:lang w:eastAsia="en-US"/>
        </w:rPr>
        <w:t>, veçanërisht ata që lidhen me të drejtat themelore, politikat sociale dhe punësimin, arsimin, shëndetësinë dhe mbrojtjen e konsumatorit.</w:t>
      </w:r>
    </w:p>
    <w:p w14:paraId="05828549" w14:textId="2EA4505C"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Në këtë kuadër, zbatimi i PKVPAK</w:t>
      </w:r>
      <w:r w:rsidR="002D4B1D" w:rsidRPr="00024D5A">
        <w:rPr>
          <w:rFonts w:ascii="Garamond" w:eastAsia="Times New Roman" w:hAnsi="Garamond"/>
          <w:lang w:eastAsia="en-US"/>
        </w:rPr>
        <w:t>-së</w:t>
      </w:r>
      <w:r w:rsidRPr="00024D5A">
        <w:rPr>
          <w:rFonts w:ascii="Garamond" w:eastAsia="Times New Roman" w:hAnsi="Garamond"/>
          <w:lang w:eastAsia="en-US"/>
        </w:rPr>
        <w:t xml:space="preserve"> kontribuon në zhvillimin e standardeve në fushën e të drejtave themelore dhe të mosdiskriminimit, përmirësimin e politikave sociale dhe të punësimit, garantimin e aksesit në shërbime publike dhe rritjen e cilësisë së jetës. Përfshirja e personave me aftësi të kufizuara shërben kështu si indikator i funksionimit të shtetit të së drejtës dhe i kapacitetit administrativ të institucioneve publike.</w:t>
      </w:r>
    </w:p>
    <w:p w14:paraId="7B3FF01F" w14:textId="44BE1649"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PKVPAK </w:t>
      </w:r>
      <w:r w:rsidR="00657405" w:rsidRPr="00024D5A">
        <w:rPr>
          <w:rFonts w:ascii="Garamond" w:eastAsia="Times New Roman" w:hAnsi="Garamond"/>
          <w:lang w:eastAsia="en-US"/>
        </w:rPr>
        <w:t>2026–2030</w:t>
      </w:r>
      <w:r w:rsidRPr="00024D5A">
        <w:rPr>
          <w:rFonts w:ascii="Garamond" w:eastAsia="Times New Roman" w:hAnsi="Garamond"/>
          <w:lang w:eastAsia="en-US"/>
        </w:rPr>
        <w:t xml:space="preserve"> përfaqëson mekanizmin që lidh angazhimet ndërkombëtare, reformat e integrimit evropian dhe politikat kombëtare sektoriale në një sistem të vetëm veprimi. Ai synon të kalojë nga njohja ligjore e të drejtave drejt realizimit praktik të tyre, duke ndërtuar një model qeverisjeje, ku përfshirja e personave me aftësi të kufizuara bëhet pjesë e funksionimit normal të institucioneve publike. </w:t>
      </w:r>
    </w:p>
    <w:p w14:paraId="184C4946" w14:textId="5D72A974" w:rsidR="003E1630" w:rsidRPr="00024D5A" w:rsidRDefault="00522644" w:rsidP="008F29FA">
      <w:pPr>
        <w:pStyle w:val="Heading1"/>
        <w:spacing w:before="0" w:line="240" w:lineRule="auto"/>
        <w:ind w:firstLine="284"/>
        <w:rPr>
          <w:rFonts w:ascii="Garamond" w:hAnsi="Garamond"/>
          <w:bCs w:val="0"/>
          <w:color w:val="auto"/>
          <w:sz w:val="24"/>
          <w:szCs w:val="24"/>
          <w:lang w:val="sq-AL" w:eastAsia="en-US"/>
        </w:rPr>
      </w:pPr>
      <w:bookmarkStart w:id="8" w:name="_Toc231489613"/>
      <w:bookmarkEnd w:id="4"/>
      <w:r w:rsidRPr="00024D5A">
        <w:rPr>
          <w:rStyle w:val="IntenseReference"/>
          <w:rFonts w:ascii="Garamond" w:eastAsia="Calibri" w:hAnsi="Garamond"/>
          <w:bCs/>
          <w:color w:val="auto"/>
          <w:sz w:val="24"/>
          <w:szCs w:val="24"/>
          <w:lang w:val="sq-AL"/>
        </w:rPr>
        <w:t xml:space="preserve">2. </w:t>
      </w:r>
      <w:r w:rsidR="005743A8" w:rsidRPr="00024D5A">
        <w:rPr>
          <w:rStyle w:val="IntenseReference"/>
          <w:rFonts w:ascii="Garamond" w:eastAsia="Calibri" w:hAnsi="Garamond"/>
          <w:bCs/>
          <w:color w:val="auto"/>
          <w:sz w:val="24"/>
          <w:szCs w:val="24"/>
          <w:lang w:val="sq-AL"/>
        </w:rPr>
        <w:t>ANALIZA E GJENDJES AKTUALE</w:t>
      </w:r>
      <w:bookmarkEnd w:id="8"/>
    </w:p>
    <w:p w14:paraId="41A3BF46" w14:textId="7485E768"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Raporti i monitorimit të zbatimit të Planit Kombëtar të Veprimit për Personat me Aftësi të Kufizuara 2021</w:t>
      </w:r>
      <w:r w:rsidR="00183F5B" w:rsidRPr="00024D5A">
        <w:rPr>
          <w:rFonts w:ascii="Garamond" w:eastAsia="Times New Roman" w:hAnsi="Garamond"/>
          <w:lang w:eastAsia="en-US"/>
        </w:rPr>
        <w:t>–</w:t>
      </w:r>
      <w:r w:rsidRPr="00024D5A">
        <w:rPr>
          <w:rFonts w:ascii="Garamond" w:eastAsia="Times New Roman" w:hAnsi="Garamond"/>
          <w:lang w:eastAsia="en-US"/>
        </w:rPr>
        <w:t xml:space="preserve">2025 tregon se Shqipëria ka bërë përparime në ndërtimin e kuadrit ligjor, zhvillimin e instrumenteve të politikave dhe zgjerimin e disa shërbimeve publike, veçanërisht në mbrojtjen sociale, arsimin gjithëpërfshirës, shëndetësinë dhe aksesin në drejtësi. Reforma e vlerësimit biopsikosocial, konsolidimi i ndihmës juridike falas dhe zgjerimi gradual i shërbimeve komunitare, përbëjnë arritje strukturore me ndikim afatgjatë. Megjithatë, monitorimi ndërsektorial evidenton se sfida kryesore mbetet hendeku midis të drejtave të njohura në legjislacion dhe zbatimit efektiv të tyre në praktikë. Koordinimi i pamjaftueshëm ndërinstitucional, kapacitetet e kufizuara profesionale, mungesa e mekanizmave të qëndrueshëm financiarë, e të dhënave të integruara, si dhe pabarazitë territoriale në ofrimin e shërbimeve, vijojnë të kufizojnë përfshirjen reale të personave me aftësi të kufizuara në jetën sociale, ekonomike dhe publike. Për rrjedhojë, Plani i ri </w:t>
      </w:r>
      <w:r w:rsidR="00657405" w:rsidRPr="00024D5A">
        <w:rPr>
          <w:rFonts w:ascii="Garamond" w:eastAsia="Times New Roman" w:hAnsi="Garamond"/>
          <w:lang w:eastAsia="en-US"/>
        </w:rPr>
        <w:t>2026–2030</w:t>
      </w:r>
      <w:r w:rsidRPr="00024D5A">
        <w:rPr>
          <w:rFonts w:ascii="Garamond" w:eastAsia="Times New Roman" w:hAnsi="Garamond"/>
          <w:lang w:eastAsia="en-US"/>
        </w:rPr>
        <w:t xml:space="preserve"> synon të kalojë nga zgjerimi i politikave dhe programeve drejt konsolidimit të zbatimit, duke përqendruar ndërhyrjet në forcimin e qeverisjes së politikave të aftësisë së kufizuar, garantimin e financimit të qëndrueshëm dhe ndërtimin e mekanizmave të detyrueshëm të monitorimit dhe llogaridhënies, në mënyrë që përparimet e arritura të përkthehen në përmirësim të qëndrueshëm të cilësisë së jetës.</w:t>
      </w:r>
    </w:p>
    <w:p w14:paraId="55245C5D" w14:textId="519C0C33" w:rsidR="003E1630" w:rsidRPr="00024D5A" w:rsidRDefault="0058487E" w:rsidP="00791B1A">
      <w:pPr>
        <w:pStyle w:val="Heading1"/>
        <w:spacing w:before="0" w:line="240" w:lineRule="auto"/>
        <w:ind w:firstLine="284"/>
        <w:rPr>
          <w:rStyle w:val="IntenseReference"/>
          <w:rFonts w:ascii="Garamond" w:eastAsia="Calibri" w:hAnsi="Garamond"/>
          <w:color w:val="auto"/>
          <w:sz w:val="24"/>
          <w:szCs w:val="24"/>
          <w:lang w:val="sq-AL"/>
        </w:rPr>
      </w:pPr>
      <w:bookmarkStart w:id="9" w:name="_Toc231489614"/>
      <w:r w:rsidRPr="00024D5A">
        <w:rPr>
          <w:rStyle w:val="IntenseReference"/>
          <w:rFonts w:ascii="Garamond" w:eastAsia="Calibri" w:hAnsi="Garamond"/>
          <w:color w:val="auto"/>
          <w:sz w:val="24"/>
          <w:szCs w:val="24"/>
          <w:lang w:val="sq-AL"/>
        </w:rPr>
        <w:t>2</w:t>
      </w:r>
      <w:r w:rsidR="00137017" w:rsidRPr="00024D5A">
        <w:rPr>
          <w:rStyle w:val="IntenseReference"/>
          <w:rFonts w:ascii="Garamond" w:eastAsia="Calibri" w:hAnsi="Garamond"/>
          <w:color w:val="auto"/>
          <w:sz w:val="24"/>
          <w:szCs w:val="24"/>
          <w:lang w:val="sq-AL"/>
        </w:rPr>
        <w:t>.1</w:t>
      </w:r>
      <w:r w:rsidR="00F54ECF" w:rsidRPr="00024D5A">
        <w:rPr>
          <w:rStyle w:val="IntenseReference"/>
          <w:rFonts w:ascii="Garamond" w:eastAsia="Calibri" w:hAnsi="Garamond"/>
          <w:color w:val="auto"/>
          <w:sz w:val="24"/>
          <w:szCs w:val="24"/>
          <w:lang w:val="sq-AL"/>
        </w:rPr>
        <w:t xml:space="preserve"> </w:t>
      </w:r>
      <w:r w:rsidR="005743A8" w:rsidRPr="00024D5A">
        <w:rPr>
          <w:rStyle w:val="IntenseReference"/>
          <w:rFonts w:ascii="Garamond" w:eastAsia="Calibri" w:hAnsi="Garamond"/>
          <w:color w:val="auto"/>
          <w:sz w:val="24"/>
          <w:szCs w:val="24"/>
          <w:lang w:val="sq-AL"/>
        </w:rPr>
        <w:t>Analiza e gjendjes aktuale në fushën e aksesueshmërisë</w:t>
      </w:r>
      <w:bookmarkEnd w:id="9"/>
    </w:p>
    <w:p w14:paraId="6EF8327A" w14:textId="623A0EF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Gjatë zbatimit të PKVPAK 2021</w:t>
      </w:r>
      <w:r w:rsidR="00EA1342" w:rsidRPr="00024D5A">
        <w:rPr>
          <w:rFonts w:ascii="Garamond" w:eastAsia="Times New Roman" w:hAnsi="Garamond"/>
          <w:lang w:eastAsia="en-US"/>
        </w:rPr>
        <w:t>–</w:t>
      </w:r>
      <w:r w:rsidRPr="00024D5A">
        <w:rPr>
          <w:rFonts w:ascii="Garamond" w:eastAsia="Times New Roman" w:hAnsi="Garamond"/>
          <w:lang w:eastAsia="en-US"/>
        </w:rPr>
        <w:t>2025, në fushën e aksesueshmërisë u përcaktua si qëllim strategjik realizimi i aksesit të personave me aftësi të kufizuara në mjedise, transport, informacion dhe komunikim, me synim reduktimin e barrierave fizike, sociale dhe digjitale në jetën publike.</w:t>
      </w:r>
    </w:p>
    <w:p w14:paraId="42B5523B" w14:textId="547382FA" w:rsidR="003E1630" w:rsidRPr="00024D5A" w:rsidRDefault="005743A8" w:rsidP="00791B1A">
      <w:pPr>
        <w:ind w:firstLine="284"/>
        <w:jc w:val="both"/>
        <w:rPr>
          <w:rFonts w:ascii="Garamond" w:hAnsi="Garamond"/>
        </w:rPr>
      </w:pPr>
      <w:r w:rsidRPr="00024D5A">
        <w:rPr>
          <w:rFonts w:ascii="Garamond" w:hAnsi="Garamond"/>
        </w:rPr>
        <w:t xml:space="preserve">Komiteti për të Drejtat e Personave me Aftësi të Kufizuara në OKB, lidhur me zbatimin e </w:t>
      </w:r>
      <w:r w:rsidR="00622478" w:rsidRPr="00024D5A">
        <w:rPr>
          <w:rFonts w:ascii="Garamond" w:hAnsi="Garamond"/>
        </w:rPr>
        <w:t xml:space="preserve">nenit </w:t>
      </w:r>
      <w:r w:rsidRPr="00024D5A">
        <w:rPr>
          <w:rFonts w:ascii="Garamond" w:hAnsi="Garamond"/>
        </w:rPr>
        <w:t>9 të KDPAK</w:t>
      </w:r>
      <w:r w:rsidR="00622478" w:rsidRPr="00024D5A">
        <w:rPr>
          <w:rFonts w:ascii="Garamond" w:hAnsi="Garamond"/>
        </w:rPr>
        <w:t>-së</w:t>
      </w:r>
      <w:r w:rsidRPr="00024D5A">
        <w:rPr>
          <w:rFonts w:ascii="Garamond" w:hAnsi="Garamond"/>
        </w:rPr>
        <w:t xml:space="preserve">, </w:t>
      </w:r>
      <w:r w:rsidR="0078161D" w:rsidRPr="00024D5A">
        <w:rPr>
          <w:rFonts w:ascii="Garamond" w:hAnsi="Garamond"/>
          <w:i/>
          <w:iCs/>
        </w:rPr>
        <w:t>“</w:t>
      </w:r>
      <w:r w:rsidRPr="00024D5A">
        <w:rPr>
          <w:rFonts w:ascii="Garamond" w:hAnsi="Garamond"/>
          <w:i/>
          <w:iCs/>
        </w:rPr>
        <w:t>Aksesueshmëria</w:t>
      </w:r>
      <w:r w:rsidR="0078161D" w:rsidRPr="00024D5A">
        <w:rPr>
          <w:rFonts w:ascii="Garamond" w:hAnsi="Garamond"/>
          <w:i/>
          <w:iCs/>
        </w:rPr>
        <w:t>”</w:t>
      </w:r>
      <w:r w:rsidRPr="00024D5A">
        <w:rPr>
          <w:rFonts w:ascii="Garamond" w:hAnsi="Garamond"/>
          <w:i/>
          <w:iCs/>
        </w:rPr>
        <w:t>,</w:t>
      </w:r>
      <w:r w:rsidRPr="00024D5A">
        <w:rPr>
          <w:rFonts w:ascii="Garamond" w:hAnsi="Garamond"/>
        </w:rPr>
        <w:t xml:space="preserve"> tërheq vëmendjen e Qeverisë Shqiptare</w:t>
      </w:r>
      <w:r w:rsidR="00622478" w:rsidRPr="00024D5A">
        <w:rPr>
          <w:rFonts w:ascii="Garamond" w:hAnsi="Garamond"/>
        </w:rPr>
        <w:t>,</w:t>
      </w:r>
      <w:r w:rsidRPr="00024D5A">
        <w:rPr>
          <w:rFonts w:ascii="Garamond" w:hAnsi="Garamond"/>
        </w:rPr>
        <w:t xml:space="preserve"> në lidhje me: </w:t>
      </w:r>
      <w:r w:rsidRPr="00024D5A">
        <w:rPr>
          <w:rFonts w:ascii="Garamond" w:hAnsi="Garamond"/>
          <w:i/>
          <w:iCs/>
        </w:rPr>
        <w:t>i</w:t>
      </w:r>
      <w:r w:rsidR="00622478" w:rsidRPr="00024D5A">
        <w:rPr>
          <w:rFonts w:ascii="Garamond" w:hAnsi="Garamond"/>
          <w:i/>
          <w:iCs/>
        </w:rPr>
        <w:t>.</w:t>
      </w:r>
      <w:r w:rsidRPr="00024D5A">
        <w:rPr>
          <w:rFonts w:ascii="Garamond" w:hAnsi="Garamond"/>
          <w:i/>
          <w:iCs/>
        </w:rPr>
        <w:t xml:space="preserve"> mungesën e një plani kombëtar gjithëpërfshirës mbi zbatimin e </w:t>
      </w:r>
      <w:r w:rsidR="00622478" w:rsidRPr="00024D5A">
        <w:rPr>
          <w:rFonts w:ascii="Garamond" w:hAnsi="Garamond"/>
          <w:i/>
          <w:iCs/>
        </w:rPr>
        <w:t>ligjit</w:t>
      </w:r>
      <w:r w:rsidRPr="00024D5A">
        <w:rPr>
          <w:rFonts w:ascii="Garamond" w:hAnsi="Garamond"/>
          <w:i/>
          <w:iCs/>
          <w:vertAlign w:val="superscript"/>
        </w:rPr>
        <w:footnoteReference w:id="20"/>
      </w:r>
      <w:r w:rsidRPr="00024D5A">
        <w:rPr>
          <w:rFonts w:ascii="Garamond" w:hAnsi="Garamond"/>
          <w:i/>
          <w:iCs/>
        </w:rPr>
        <w:t xml:space="preserve"> </w:t>
      </w:r>
      <w:r w:rsidR="00622478" w:rsidRPr="00024D5A">
        <w:rPr>
          <w:rFonts w:ascii="Garamond" w:hAnsi="Garamond"/>
          <w:i/>
          <w:iCs/>
        </w:rPr>
        <w:t>nr</w:t>
      </w:r>
      <w:r w:rsidRPr="00024D5A">
        <w:rPr>
          <w:rFonts w:ascii="Garamond" w:hAnsi="Garamond"/>
          <w:i/>
          <w:iCs/>
        </w:rPr>
        <w:t>. 93/2014 dhe VKM</w:t>
      </w:r>
      <w:r w:rsidRPr="00024D5A">
        <w:rPr>
          <w:rFonts w:ascii="Garamond" w:hAnsi="Garamond"/>
          <w:i/>
          <w:iCs/>
          <w:vertAlign w:val="superscript"/>
        </w:rPr>
        <w:footnoteReference w:id="21"/>
      </w:r>
      <w:r w:rsidRPr="00024D5A">
        <w:rPr>
          <w:rFonts w:ascii="Garamond" w:hAnsi="Garamond"/>
          <w:i/>
          <w:iCs/>
        </w:rPr>
        <w:t xml:space="preserve"> </w:t>
      </w:r>
      <w:r w:rsidR="00622478" w:rsidRPr="00024D5A">
        <w:rPr>
          <w:rFonts w:ascii="Garamond" w:hAnsi="Garamond"/>
          <w:i/>
          <w:iCs/>
        </w:rPr>
        <w:t>nr</w:t>
      </w:r>
      <w:r w:rsidRPr="00024D5A">
        <w:rPr>
          <w:rFonts w:ascii="Garamond" w:hAnsi="Garamond"/>
          <w:i/>
          <w:iCs/>
        </w:rPr>
        <w:t>. 1074/2015 mbi heqjen e barrierave mjedisore dhe infrastrukturore në shërbimet publike; ii</w:t>
      </w:r>
      <w:r w:rsidR="00622478" w:rsidRPr="00024D5A">
        <w:rPr>
          <w:rFonts w:ascii="Garamond" w:hAnsi="Garamond"/>
          <w:i/>
          <w:iCs/>
        </w:rPr>
        <w:t>.</w:t>
      </w:r>
      <w:r w:rsidRPr="00024D5A">
        <w:rPr>
          <w:rFonts w:ascii="Garamond" w:hAnsi="Garamond"/>
          <w:i/>
          <w:iCs/>
        </w:rPr>
        <w:t xml:space="preserve"> mungesën e të dhënave mbi aplikimin e penaliteteve administrative dhe financiare për mosplotësimin e standardeve të aksesueshmërisë, duke përfshirë</w:t>
      </w:r>
      <w:r w:rsidRPr="00024D5A">
        <w:rPr>
          <w:rFonts w:ascii="Garamond" w:hAnsi="Garamond"/>
          <w:b/>
          <w:bCs/>
          <w:i/>
          <w:iCs/>
        </w:rPr>
        <w:t xml:space="preserve"> </w:t>
      </w:r>
      <w:r w:rsidRPr="00024D5A">
        <w:rPr>
          <w:rFonts w:ascii="Garamond" w:hAnsi="Garamond"/>
          <w:i/>
          <w:iCs/>
        </w:rPr>
        <w:t>ndërtesat e vjetra në shërbim të publikut; iii</w:t>
      </w:r>
      <w:r w:rsidR="00622478" w:rsidRPr="00024D5A">
        <w:rPr>
          <w:rFonts w:ascii="Garamond" w:hAnsi="Garamond"/>
          <w:i/>
          <w:iCs/>
        </w:rPr>
        <w:t>.</w:t>
      </w:r>
      <w:r w:rsidRPr="00024D5A">
        <w:rPr>
          <w:rFonts w:ascii="Garamond" w:hAnsi="Garamond"/>
          <w:i/>
          <w:iCs/>
        </w:rPr>
        <w:t xml:space="preserve"> mungesën e informacionit mbi aksesueshmërinë në medi</w:t>
      </w:r>
      <w:r w:rsidR="00622478" w:rsidRPr="00024D5A">
        <w:rPr>
          <w:rFonts w:ascii="Garamond" w:hAnsi="Garamond"/>
          <w:i/>
          <w:iCs/>
        </w:rPr>
        <w:t>e</w:t>
      </w:r>
      <w:r w:rsidRPr="00024D5A">
        <w:rPr>
          <w:rFonts w:ascii="Garamond" w:hAnsi="Garamond"/>
          <w:i/>
          <w:iCs/>
        </w:rPr>
        <w:t>t elektronike, përfshi edhe medien sociale.</w:t>
      </w:r>
    </w:p>
    <w:p w14:paraId="41206817" w14:textId="28EFC204" w:rsidR="003E1630" w:rsidRPr="00024D5A" w:rsidRDefault="005743A8" w:rsidP="00791B1A">
      <w:pPr>
        <w:ind w:firstLine="284"/>
        <w:jc w:val="both"/>
        <w:rPr>
          <w:rFonts w:ascii="Garamond" w:hAnsi="Garamond"/>
          <w:lang w:eastAsia="en-US"/>
        </w:rPr>
      </w:pPr>
      <w:r w:rsidRPr="00024D5A">
        <w:rPr>
          <w:rFonts w:ascii="Garamond" w:hAnsi="Garamond"/>
          <w:lang w:eastAsia="en-US"/>
        </w:rPr>
        <w:t>Shpesh aksesueshmëria në mjedise identifikohet vetëm me vendosjen e një rampe në hyrje të ndërtesës, e cila në shumë raste rezulton jashtë standardeve.</w:t>
      </w:r>
      <w:r w:rsidRPr="00024D5A">
        <w:rPr>
          <w:rFonts w:ascii="Garamond" w:hAnsi="Garamond"/>
          <w:b/>
          <w:lang w:eastAsia="en-US"/>
        </w:rPr>
        <w:t xml:space="preserve"> </w:t>
      </w:r>
      <w:r w:rsidRPr="00024D5A">
        <w:rPr>
          <w:rFonts w:ascii="Garamond" w:hAnsi="Garamond"/>
          <w:lang w:eastAsia="en-US"/>
        </w:rPr>
        <w:t>Më pak vëmendje i kushtohet aplikimit të element</w:t>
      </w:r>
      <w:r w:rsidR="00622478" w:rsidRPr="00024D5A">
        <w:rPr>
          <w:rFonts w:ascii="Garamond" w:hAnsi="Garamond"/>
          <w:lang w:eastAsia="en-US"/>
        </w:rPr>
        <w:t>e</w:t>
      </w:r>
      <w:r w:rsidRPr="00024D5A">
        <w:rPr>
          <w:rFonts w:ascii="Garamond" w:hAnsi="Garamond"/>
          <w:lang w:eastAsia="en-US"/>
        </w:rPr>
        <w:t>ve të aksesueshmërisë për personat që nuk shikojnë ose kanë vështirësi në shikim dhe personat që nuk dëgjojnë ose kanë vështirësi në dëgjim.</w:t>
      </w:r>
      <w:r w:rsidRPr="00024D5A">
        <w:rPr>
          <w:rFonts w:ascii="Garamond" w:hAnsi="Garamond"/>
          <w:b/>
          <w:lang w:eastAsia="en-US"/>
        </w:rPr>
        <w:t xml:space="preserve"> </w:t>
      </w:r>
      <w:r w:rsidRPr="00024D5A">
        <w:rPr>
          <w:rFonts w:ascii="Garamond" w:hAnsi="Garamond"/>
          <w:bCs/>
          <w:lang w:eastAsia="en-US"/>
        </w:rPr>
        <w:t xml:space="preserve">Gjithashtu, pak vëmendje ka në produktet dhe shërbimet e aksesueshme. Mungesa e një strukture </w:t>
      </w:r>
      <w:r w:rsidRPr="00024D5A">
        <w:rPr>
          <w:rFonts w:ascii="Garamond" w:hAnsi="Garamond"/>
          <w:lang w:eastAsia="en-US"/>
        </w:rPr>
        <w:t>të specializuar mbi kontrollin e territori</w:t>
      </w:r>
      <w:r w:rsidR="00622478" w:rsidRPr="00024D5A">
        <w:rPr>
          <w:rFonts w:ascii="Garamond" w:hAnsi="Garamond"/>
          <w:lang w:eastAsia="en-US"/>
        </w:rPr>
        <w:t>,</w:t>
      </w:r>
      <w:r w:rsidRPr="00024D5A">
        <w:rPr>
          <w:rFonts w:ascii="Garamond" w:hAnsi="Garamond"/>
          <w:lang w:eastAsia="en-US"/>
        </w:rPr>
        <w:t xml:space="preserve">t në lidhje me nivelin e aksesueshmërisë, ka lejuar krijimin në vazhdimësi të barrierave të reja në mjedis. </w:t>
      </w:r>
    </w:p>
    <w:p w14:paraId="13461F36" w14:textId="1C0DA162" w:rsidR="003E1630" w:rsidRPr="00024D5A" w:rsidRDefault="005743A8" w:rsidP="00791B1A">
      <w:pPr>
        <w:ind w:firstLine="284"/>
        <w:jc w:val="both"/>
        <w:rPr>
          <w:rFonts w:ascii="Garamond" w:hAnsi="Garamond"/>
        </w:rPr>
      </w:pPr>
      <w:r w:rsidRPr="00024D5A">
        <w:rPr>
          <w:rFonts w:ascii="Garamond" w:hAnsi="Garamond"/>
        </w:rPr>
        <w:t>Gjatë viteve të fundit</w:t>
      </w:r>
      <w:r w:rsidR="00622478" w:rsidRPr="00024D5A">
        <w:rPr>
          <w:rFonts w:ascii="Garamond" w:hAnsi="Garamond"/>
        </w:rPr>
        <w:t>,</w:t>
      </w:r>
      <w:r w:rsidRPr="00024D5A">
        <w:rPr>
          <w:rFonts w:ascii="Garamond" w:hAnsi="Garamond"/>
        </w:rPr>
        <w:t xml:space="preserve"> aksesueshmëria në mjedise ka pasur përmirësime kryesisht në qytetin e Tiranës, por në shumë raste</w:t>
      </w:r>
      <w:r w:rsidR="007247B2" w:rsidRPr="00024D5A">
        <w:rPr>
          <w:rFonts w:ascii="Garamond" w:hAnsi="Garamond"/>
        </w:rPr>
        <w:t>,</w:t>
      </w:r>
      <w:r w:rsidRPr="00024D5A">
        <w:rPr>
          <w:rFonts w:ascii="Garamond" w:hAnsi="Garamond"/>
        </w:rPr>
        <w:t xml:space="preserve"> jo sipas standardeve të kërkuara dhe</w:t>
      </w:r>
      <w:r w:rsidR="007247B2" w:rsidRPr="00024D5A">
        <w:rPr>
          <w:rFonts w:ascii="Garamond" w:hAnsi="Garamond"/>
        </w:rPr>
        <w:t>,</w:t>
      </w:r>
      <w:r w:rsidRPr="00024D5A">
        <w:rPr>
          <w:rFonts w:ascii="Garamond" w:hAnsi="Garamond"/>
        </w:rPr>
        <w:t xml:space="preserve"> sigurisht, janë akoma të pamjaftueshme. Përdoruesit e karrigeve me rrota mendojnë që rampat e realizuara janë jashtë standardeve, ndërsa personat me probleme shikimi mendojnë se edhe relievi në rrugë për ta nuk është në përputhje me standardet. </w:t>
      </w:r>
    </w:p>
    <w:p w14:paraId="042820D4" w14:textId="62BDB591" w:rsidR="003E1630" w:rsidRPr="00024D5A" w:rsidRDefault="005743A8" w:rsidP="00791B1A">
      <w:pPr>
        <w:ind w:firstLine="284"/>
        <w:jc w:val="both"/>
        <w:rPr>
          <w:rFonts w:ascii="Garamond" w:eastAsia="Times New Roman" w:hAnsi="Garamond"/>
          <w:lang w:eastAsia="en-US"/>
        </w:rPr>
      </w:pPr>
      <w:r w:rsidRPr="00024D5A">
        <w:rPr>
          <w:rFonts w:ascii="Garamond" w:hAnsi="Garamond"/>
          <w:lang w:eastAsia="en-US"/>
        </w:rPr>
        <w:t>Inspektorati Kombëtar i Mbrojtjes së Territorit (IKMT), objektin kryesor të punës së tij e mbështet në</w:t>
      </w:r>
      <w:r w:rsidRPr="00024D5A">
        <w:rPr>
          <w:rFonts w:ascii="Garamond" w:hAnsi="Garamond"/>
          <w:b/>
          <w:bCs/>
          <w:lang w:eastAsia="en-US"/>
        </w:rPr>
        <w:t xml:space="preserve"> </w:t>
      </w:r>
      <w:r w:rsidR="007247B2" w:rsidRPr="00024D5A">
        <w:rPr>
          <w:rFonts w:ascii="Garamond" w:hAnsi="Garamond"/>
          <w:lang w:eastAsia="en-US"/>
        </w:rPr>
        <w:t xml:space="preserve">ligjin </w:t>
      </w:r>
      <w:r w:rsidRPr="00024D5A">
        <w:rPr>
          <w:rFonts w:ascii="Garamond" w:hAnsi="Garamond"/>
          <w:lang w:eastAsia="en-US"/>
        </w:rPr>
        <w:t xml:space="preserve">nr. 9780, datë 16.7.2007, </w:t>
      </w:r>
      <w:r w:rsidR="0078161D" w:rsidRPr="00024D5A">
        <w:rPr>
          <w:rFonts w:ascii="Garamond" w:hAnsi="Garamond"/>
          <w:lang w:eastAsia="en-US"/>
        </w:rPr>
        <w:t>“</w:t>
      </w:r>
      <w:r w:rsidRPr="00024D5A">
        <w:rPr>
          <w:rFonts w:ascii="Garamond" w:hAnsi="Garamond"/>
          <w:lang w:eastAsia="en-US"/>
        </w:rPr>
        <w:t>Për</w:t>
      </w:r>
      <w:r w:rsidRPr="00024D5A">
        <w:rPr>
          <w:rFonts w:ascii="Garamond" w:hAnsi="Garamond"/>
          <w:b/>
          <w:bCs/>
          <w:lang w:eastAsia="en-US"/>
        </w:rPr>
        <w:t xml:space="preserve"> </w:t>
      </w:r>
      <w:r w:rsidRPr="00024D5A">
        <w:rPr>
          <w:rFonts w:ascii="Garamond" w:hAnsi="Garamond"/>
          <w:lang w:eastAsia="en-US"/>
        </w:rPr>
        <w:t>inspektimin dhe mbrojtjen e territorit nga ndërtimet e kundërligjshme</w:t>
      </w:r>
      <w:r w:rsidR="0078161D" w:rsidRPr="00024D5A">
        <w:rPr>
          <w:rFonts w:ascii="Garamond" w:hAnsi="Garamond"/>
          <w:lang w:eastAsia="en-US"/>
        </w:rPr>
        <w:t>”</w:t>
      </w:r>
      <w:r w:rsidR="007247B2" w:rsidRPr="00024D5A">
        <w:rPr>
          <w:rFonts w:ascii="Garamond" w:hAnsi="Garamond"/>
          <w:lang w:eastAsia="en-US"/>
        </w:rPr>
        <w:t>,</w:t>
      </w:r>
      <w:r w:rsidRPr="00024D5A">
        <w:rPr>
          <w:rFonts w:ascii="Garamond" w:hAnsi="Garamond"/>
          <w:lang w:eastAsia="en-US"/>
        </w:rPr>
        <w:t xml:space="preserve"> të ndryshuar,</w:t>
      </w:r>
      <w:r w:rsidRPr="00024D5A">
        <w:rPr>
          <w:rFonts w:ascii="Garamond" w:hAnsi="Garamond"/>
          <w:b/>
          <w:bCs/>
          <w:lang w:eastAsia="en-US"/>
        </w:rPr>
        <w:t xml:space="preserve"> </w:t>
      </w:r>
      <w:r w:rsidRPr="00024D5A">
        <w:rPr>
          <w:rFonts w:ascii="Garamond" w:hAnsi="Garamond"/>
          <w:lang w:eastAsia="en-US"/>
        </w:rPr>
        <w:t xml:space="preserve">por Policia Bashkiake nuk ka të specifikuar në objektin e saj të punës, kontrollin e zbatimit të lejeve të ndërtimit në zbatimin e kërkesave të përshtatshmërisë në ndërtim dhe infrastrukturë për personat me aftësi të kufizuara. </w:t>
      </w:r>
      <w:r w:rsidRPr="00024D5A">
        <w:rPr>
          <w:rFonts w:ascii="Garamond" w:eastAsia="Times New Roman" w:hAnsi="Garamond"/>
          <w:lang w:eastAsia="en-US"/>
        </w:rPr>
        <w:t xml:space="preserve">Rezultatet e raporteve të </w:t>
      </w:r>
      <w:r w:rsidR="007247B2" w:rsidRPr="00024D5A">
        <w:rPr>
          <w:rFonts w:ascii="Garamond" w:eastAsia="Times New Roman" w:hAnsi="Garamond"/>
          <w:lang w:eastAsia="en-US"/>
        </w:rPr>
        <w:t xml:space="preserve">monitorimit </w:t>
      </w:r>
      <w:r w:rsidRPr="00024D5A">
        <w:rPr>
          <w:rFonts w:ascii="Garamond" w:eastAsia="Times New Roman" w:hAnsi="Garamond"/>
          <w:lang w:eastAsia="en-US"/>
        </w:rPr>
        <w:t>të zbatimit të Planit 2021</w:t>
      </w:r>
      <w:r w:rsidR="007247B2" w:rsidRPr="00024D5A">
        <w:rPr>
          <w:rFonts w:ascii="Garamond" w:eastAsia="Times New Roman" w:hAnsi="Garamond"/>
          <w:lang w:eastAsia="en-US"/>
        </w:rPr>
        <w:t>–</w:t>
      </w:r>
      <w:r w:rsidRPr="00024D5A">
        <w:rPr>
          <w:rFonts w:ascii="Garamond" w:eastAsia="Times New Roman" w:hAnsi="Garamond"/>
          <w:lang w:eastAsia="en-US"/>
        </w:rPr>
        <w:t xml:space="preserve">2025 treguan se në sajë të masave të ndërmarra ka pasur zhvillime pozitive në disa sektorë, por progresi ka qenë i pabarabartë dhe i pamjaftueshëm në raport me objektivat. Në aksesueshmërinë në mjedise është rritur numri i institucioneve publike që gjatë ndërtimeve ose rikonstruksioneve janë pajisur me elemente përshtatshmërie, por jo gjithnjë në përputhje me standardet, ndërkohë që kuadri ligjor ekziston dhe konsiderohet bashkëkohor. Megjithatë, zbatimi i tij ka mbetur i ngadalshëm dhe i fragmentuar, për shkak se aksesueshmëria nuk përbën kompetencë të një institucioni të vetëm, mungon një autoritet koordinues dhe nuk është ngritur </w:t>
      </w:r>
      <w:r w:rsidR="00F5183F" w:rsidRPr="00024D5A">
        <w:rPr>
          <w:rFonts w:ascii="Garamond" w:eastAsia="Times New Roman" w:hAnsi="Garamond"/>
          <w:lang w:eastAsia="en-US"/>
        </w:rPr>
        <w:t xml:space="preserve">një </w:t>
      </w:r>
      <w:r w:rsidRPr="00024D5A">
        <w:rPr>
          <w:rFonts w:ascii="Garamond" w:eastAsia="Times New Roman" w:hAnsi="Garamond"/>
          <w:lang w:eastAsia="en-US"/>
        </w:rPr>
        <w:t>struktur</w:t>
      </w:r>
      <w:r w:rsidR="00F5183F" w:rsidRPr="00024D5A">
        <w:rPr>
          <w:rFonts w:ascii="Garamond" w:eastAsia="Times New Roman" w:hAnsi="Garamond"/>
          <w:lang w:eastAsia="en-US"/>
        </w:rPr>
        <w:t>ë</w:t>
      </w:r>
      <w:r w:rsidRPr="00024D5A">
        <w:rPr>
          <w:rFonts w:ascii="Garamond" w:eastAsia="Times New Roman" w:hAnsi="Garamond"/>
          <w:lang w:eastAsia="en-US"/>
        </w:rPr>
        <w:t xml:space="preserve"> e </w:t>
      </w:r>
      <w:r w:rsidR="00F5183F" w:rsidRPr="00024D5A">
        <w:rPr>
          <w:rFonts w:ascii="Garamond" w:eastAsia="Times New Roman" w:hAnsi="Garamond"/>
          <w:lang w:eastAsia="en-US"/>
        </w:rPr>
        <w:t>dedikuar</w:t>
      </w:r>
      <w:r w:rsidRPr="00024D5A">
        <w:rPr>
          <w:rFonts w:ascii="Garamond" w:eastAsia="Times New Roman" w:hAnsi="Garamond"/>
          <w:lang w:eastAsia="en-US"/>
        </w:rPr>
        <w:t xml:space="preserve"> për monitorimin e standardeve. Inspektimi institucional mbetet i kufizuar dhe josistematik, ndërsa bashkëpunimi ndërinstitucional dhe shkëmbimi i informacionit mbi nivelin e aksesueshmërisë vijon të jetë i dobët. Në këto kushte, megjithëse ekziston legjislacion i plotë, ai nuk shoqërohet me mekanizma efektivë zbatimi, me planifikim buxhetor dhe me sanksione, çka ka sjellë moszbatim të akteve nënligjore për eliminimin e pengesave në komunikim dhe infrastrukturë, produkte e shërbime.</w:t>
      </w:r>
    </w:p>
    <w:p w14:paraId="12802010" w14:textId="3B98E95B"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Në fushën e transportit, situata paraqitet më problematike. Mungesa e transportit të aksesueshëm vazhdon të jetë një nga barrierat kryesore për punësimin, arsimin, shërbime shëndetësore dhe pjesëmarrjen sociale të personave me aftësi të kufizuara. Megjithëse kuadri ligjor për transportin rrugor është përafruar me standardet e Bashkimit Evropian dhe janë vendosur kërkesa për parametrat e aksesueshmërisë së mjeteve dhe asistencën ndaj pasagjerëve, zbatimi praktik mbetet i kufizuar. Angazhimi institucional për përmirësimin e transportit publik ka qenë i ulët dhe nuk ka të dhëna të mjaftueshme mbi pajisjen reale të mjeteve me elemente aksesueshmërie. Ndërsa, nëse në terminalet e reja janë bërë hapa pozitiv</w:t>
      </w:r>
      <w:r w:rsidR="009F12B2" w:rsidRPr="00024D5A">
        <w:rPr>
          <w:rFonts w:ascii="Garamond" w:eastAsia="Times New Roman" w:hAnsi="Garamond"/>
          <w:lang w:eastAsia="en-US"/>
        </w:rPr>
        <w:t>ë,</w:t>
      </w:r>
      <w:r w:rsidRPr="00024D5A">
        <w:rPr>
          <w:rFonts w:ascii="Garamond" w:eastAsia="Times New Roman" w:hAnsi="Garamond"/>
          <w:lang w:eastAsia="en-US"/>
        </w:rPr>
        <w:t xml:space="preserve"> në lidhje me aksesin, terminalet ekzistuese vazhdojnë të kenë mungesa të konsiderueshme. Trajnimi i stafit dhe ofrimi i asistencës janë realizuar pjesërisht dhe udhëzuesit informues për përdoruesit nuk janë publikuar ende. Për rrjedhojë, aksesueshmëria në transport vazhdon të mbetet një pengesë e madhe strukturore për integrimin e personave me aftësi të kufizuara.</w:t>
      </w:r>
    </w:p>
    <w:p w14:paraId="585ABE62" w14:textId="743D1A6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Informacioni dhe komunikimi janë veçanërisht të rëndësishëm për personat me aftësi të kufizuara. Ndërkohë</w:t>
      </w:r>
      <w:r w:rsidR="009F12B2" w:rsidRPr="00024D5A">
        <w:rPr>
          <w:rFonts w:ascii="Garamond" w:eastAsia="Times New Roman" w:hAnsi="Garamond"/>
          <w:lang w:eastAsia="en-US"/>
        </w:rPr>
        <w:t>,</w:t>
      </w:r>
      <w:r w:rsidRPr="00024D5A">
        <w:rPr>
          <w:rFonts w:ascii="Garamond" w:eastAsia="Times New Roman" w:hAnsi="Garamond"/>
          <w:lang w:eastAsia="en-US"/>
        </w:rPr>
        <w:t xml:space="preserve"> shumë</w:t>
      </w:r>
      <w:r w:rsidR="008F29FA" w:rsidRPr="00024D5A">
        <w:rPr>
          <w:rFonts w:ascii="Garamond" w:eastAsia="Times New Roman" w:hAnsi="Garamond"/>
          <w:lang w:eastAsia="en-US"/>
        </w:rPr>
        <w:t xml:space="preserve"> </w:t>
      </w:r>
      <w:r w:rsidRPr="00024D5A">
        <w:rPr>
          <w:rFonts w:ascii="Garamond" w:eastAsia="Times New Roman" w:hAnsi="Garamond"/>
          <w:lang w:eastAsia="en-US"/>
        </w:rPr>
        <w:t xml:space="preserve">prej tyre mund të kenë vështirësi të kuptojnë informacionin e ofruar. Ata mund të jenë me vështirësi në shikim, në të dëgjuar, apo mund të kenë pamundësi ose vështirësi në të lexuar. </w:t>
      </w:r>
      <w:r w:rsidRPr="00024D5A">
        <w:rPr>
          <w:rFonts w:ascii="Garamond" w:hAnsi="Garamond"/>
          <w:lang w:eastAsia="en-US"/>
        </w:rPr>
        <w:t>Që</w:t>
      </w:r>
      <w:r w:rsidRPr="00024D5A">
        <w:rPr>
          <w:rFonts w:ascii="Garamond" w:eastAsia="Batang" w:hAnsi="Garamond"/>
          <w:lang w:eastAsia="en-US"/>
        </w:rPr>
        <w:t xml:space="preserve"> personat me aftësi të kufizuara të ushtrojnë të drejtat e tyre në mënyrë aktive, të marrin pjesë dhe të bëjnë zgjedhje në lidhje me jetën e tyre, është thelbësore që të kenë mundësi të përdorin informacionin përmes sistemeve të përshtatshme të komunikimit.</w:t>
      </w:r>
    </w:p>
    <w:p w14:paraId="2C4694C3" w14:textId="0DD97C71"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Në fushën e informacionit dhe </w:t>
      </w:r>
      <w:r w:rsidR="009F12B2" w:rsidRPr="00024D5A">
        <w:rPr>
          <w:rFonts w:ascii="Garamond" w:eastAsia="Times New Roman" w:hAnsi="Garamond"/>
          <w:lang w:eastAsia="en-US"/>
        </w:rPr>
        <w:t xml:space="preserve">të </w:t>
      </w:r>
      <w:r w:rsidRPr="00024D5A">
        <w:rPr>
          <w:rFonts w:ascii="Garamond" w:eastAsia="Times New Roman" w:hAnsi="Garamond"/>
          <w:lang w:eastAsia="en-US"/>
        </w:rPr>
        <w:t xml:space="preserve">komunikimit është konstatuar progres më i kënaqshëm. Janë ndërmarrë përmirësime ligjore dhe institucionale për aksesueshmërinë digjitale, përfshirë përafrimin e legjislacionit me standardet evropiane dhe integrimin e kërkesave të aksesueshmërisë në shërbimet e qeverisjes elektronike. </w:t>
      </w:r>
    </w:p>
    <w:p w14:paraId="2AC5CA8B"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Platforma e shërbimeve publike digjitale është në proces përshtatjeje sipas standardeve ndërkombëtare të aksesueshmërisë, ndërsa janë krijuar lehtësira në rrjetet e komunikimeve elektronike dhe shërbimet telefonike. Gjithashtu, ndryshimet në legjislacionin e medieve audiovizive dhe kodi i ri i transmetimit kanë përforcuar detyrimet për përdorimin e gjuhës së shenjave, titrimin dhe aksesin në informacion publik, duke mundësuar informim më të gjerë për personat me aftësi të kufizuara. Megjithatë, fusha mbetet komplekse dhe kërkon standardizim të mëtejshëm, rritje të përdorimit të teknologjive asistuese dhe trajnime për përdoruesit.</w:t>
      </w:r>
    </w:p>
    <w:p w14:paraId="00F7F7D6" w14:textId="27456B09"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Në përmbledhje, analiza e periudhës </w:t>
      </w:r>
      <w:r w:rsidR="007247B2" w:rsidRPr="00024D5A">
        <w:rPr>
          <w:rFonts w:ascii="Garamond" w:eastAsia="Times New Roman" w:hAnsi="Garamond"/>
          <w:lang w:eastAsia="en-US"/>
        </w:rPr>
        <w:t>2021–2025</w:t>
      </w:r>
      <w:r w:rsidRPr="00024D5A">
        <w:rPr>
          <w:rFonts w:ascii="Garamond" w:eastAsia="Times New Roman" w:hAnsi="Garamond"/>
          <w:lang w:eastAsia="en-US"/>
        </w:rPr>
        <w:t xml:space="preserve"> tregon se vendi ndodhet në një fazë tranzicioni nga krijimi i kuadrit normativ drejt zbatimit praktik të aksesueshmërisë. Nga 60 aktivitetet e planifikuara, vetëm një pjesë e vogël janë realizuar plotësisht, kryesisht në informacion dhe komunikim, ndërsa progresi rezulton i dobët në mjedis dhe transport.</w:t>
      </w:r>
    </w:p>
    <w:p w14:paraId="43EB8F34" w14:textId="3C0AEC65" w:rsidR="003E1630" w:rsidRPr="00024D5A" w:rsidRDefault="005743A8" w:rsidP="00791B1A">
      <w:pPr>
        <w:autoSpaceDE w:val="0"/>
        <w:autoSpaceDN w:val="0"/>
        <w:adjustRightInd w:val="0"/>
        <w:ind w:firstLine="284"/>
        <w:jc w:val="both"/>
        <w:rPr>
          <w:rFonts w:ascii="Garamond" w:hAnsi="Garamond"/>
          <w:lang w:eastAsia="en-US"/>
        </w:rPr>
      </w:pPr>
      <w:r w:rsidRPr="00024D5A">
        <w:rPr>
          <w:rFonts w:ascii="Garamond" w:hAnsi="Garamond"/>
          <w:lang w:eastAsia="en-US"/>
        </w:rPr>
        <w:t xml:space="preserve">Pushteti vendor luan një rol të rëndësishëm dhe ka përgjegjësi të madhe në realizimin e aksesueshmërisë fizike. Nga ana e bashkive ka një mungesë të theksuar të njohjes dhe zbatimit të </w:t>
      </w:r>
      <w:r w:rsidRPr="00024D5A">
        <w:rPr>
          <w:rFonts w:ascii="Garamond" w:eastAsia="Times New Roman" w:hAnsi="Garamond"/>
          <w:lang w:eastAsia="en-US"/>
        </w:rPr>
        <w:t>VKM</w:t>
      </w:r>
      <w:r w:rsidR="002E7889" w:rsidRPr="00024D5A">
        <w:rPr>
          <w:rFonts w:ascii="Garamond" w:eastAsia="Times New Roman" w:hAnsi="Garamond"/>
          <w:lang w:eastAsia="en-US"/>
        </w:rPr>
        <w:t>-së</w:t>
      </w:r>
      <w:r w:rsidRPr="00024D5A">
        <w:rPr>
          <w:rFonts w:ascii="Garamond" w:hAnsi="Garamond"/>
          <w:b/>
          <w:lang w:eastAsia="en-US"/>
        </w:rPr>
        <w:t xml:space="preserve"> </w:t>
      </w:r>
      <w:r w:rsidR="002E7889" w:rsidRPr="00024D5A">
        <w:rPr>
          <w:rFonts w:ascii="Garamond" w:hAnsi="Garamond"/>
          <w:lang w:eastAsia="en-US"/>
        </w:rPr>
        <w:t>n</w:t>
      </w:r>
      <w:r w:rsidRPr="00024D5A">
        <w:rPr>
          <w:rFonts w:ascii="Garamond" w:hAnsi="Garamond"/>
          <w:lang w:eastAsia="en-US"/>
        </w:rPr>
        <w:t>r. 1074, datë 23.12.2015</w:t>
      </w:r>
      <w:r w:rsidR="002E7889" w:rsidRPr="00024D5A">
        <w:rPr>
          <w:rFonts w:ascii="Garamond" w:hAnsi="Garamond"/>
          <w:lang w:eastAsia="en-US"/>
        </w:rPr>
        <w:t>,</w:t>
      </w:r>
      <w:r w:rsidRPr="00024D5A">
        <w:rPr>
          <w:rFonts w:ascii="Garamond" w:hAnsi="Garamond"/>
          <w:lang w:eastAsia="en-US"/>
        </w:rPr>
        <w:t xml:space="preserve"> </w:t>
      </w:r>
      <w:r w:rsidR="0078161D" w:rsidRPr="00024D5A">
        <w:rPr>
          <w:rFonts w:ascii="Garamond" w:hAnsi="Garamond"/>
          <w:iCs/>
          <w:lang w:eastAsia="en-US"/>
        </w:rPr>
        <w:t>“</w:t>
      </w:r>
      <w:r w:rsidRPr="00024D5A">
        <w:rPr>
          <w:rFonts w:ascii="Garamond" w:hAnsi="Garamond"/>
          <w:iCs/>
          <w:lang w:eastAsia="en-US"/>
        </w:rPr>
        <w:t>Për përcaktimin e masave për mënjanimin e pengesave në komunikim dhe infrastrukturë në ofrimin e shërbimeve publike për personat me aftësi të kufizuara</w:t>
      </w:r>
      <w:r w:rsidR="0078161D" w:rsidRPr="00024D5A">
        <w:rPr>
          <w:rFonts w:ascii="Garamond" w:hAnsi="Garamond"/>
          <w:iCs/>
          <w:lang w:eastAsia="en-US"/>
        </w:rPr>
        <w:t>”</w:t>
      </w:r>
      <w:r w:rsidRPr="00024D5A">
        <w:rPr>
          <w:rFonts w:ascii="Garamond" w:hAnsi="Garamond"/>
          <w:iCs/>
          <w:lang w:eastAsia="en-US"/>
        </w:rPr>
        <w:t>.</w:t>
      </w:r>
      <w:r w:rsidRPr="00024D5A">
        <w:rPr>
          <w:rFonts w:ascii="Garamond" w:hAnsi="Garamond"/>
          <w:lang w:eastAsia="en-US"/>
        </w:rPr>
        <w:t xml:space="preserve"> Një ndikim të fuqishëm ka bashkëpunimi dhe ndërveprimi i koordinuar i dy pushteteve në përmirësimin e aksesueshmërisë.</w:t>
      </w:r>
    </w:p>
    <w:p w14:paraId="3EE19C27" w14:textId="3828D69C"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Problemet kryesore lidhen me mungesën e një strukture kombëtare monitorimi, koordinimin e pamjaftueshëm ndërinstitucional, mungesën e statistikave dhe raportimit, financimin e kufizuar, si dhe mosshoqërimin e legjislacionit me mekanizma detyrues dhe sanksione.</w:t>
      </w:r>
    </w:p>
    <w:p w14:paraId="70305670" w14:textId="57E7E4F4"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Për rrjedhojë, Plani i ri </w:t>
      </w:r>
      <w:r w:rsidR="00657405" w:rsidRPr="00024D5A">
        <w:rPr>
          <w:rFonts w:ascii="Garamond" w:eastAsia="Times New Roman" w:hAnsi="Garamond"/>
          <w:lang w:eastAsia="en-US"/>
        </w:rPr>
        <w:t>2026–2030</w:t>
      </w:r>
      <w:r w:rsidRPr="00024D5A">
        <w:rPr>
          <w:rFonts w:ascii="Garamond" w:eastAsia="Times New Roman" w:hAnsi="Garamond"/>
          <w:lang w:eastAsia="en-US"/>
        </w:rPr>
        <w:t xml:space="preserve"> do të fokusohet jo vetëm në ndërhyrje infrastrukturore apo teknologji, por në ndërtimin e një sistemi funksional të qeverisjes së aksesueshmërisë, që përfshin koordinim institucional, monitorim të detyrueshëm, raportim kombëtar periodik, rishikim të legjislacionit me masa zbatuese dhe rritje të investimeve, në mënyrë që aksesueshmëria të kalohet nga një politikë formale në një standard të garantuar realisht për të gjithë personat me aftësi të kufizuara.</w:t>
      </w:r>
    </w:p>
    <w:p w14:paraId="0970F177" w14:textId="4EA16059"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Objektivi është që aksesueshmëria të mos mbetet një standard formal, por një e drejtë e garantuar realisht për çdo person me aftësi të kufizuara.</w:t>
      </w:r>
    </w:p>
    <w:p w14:paraId="171DDD09" w14:textId="6CA4EC2C" w:rsidR="003E1630" w:rsidRPr="00024D5A" w:rsidRDefault="0058487E" w:rsidP="00791B1A">
      <w:pPr>
        <w:pStyle w:val="Heading2"/>
        <w:spacing w:before="0"/>
        <w:ind w:firstLine="284"/>
        <w:rPr>
          <w:rStyle w:val="IntenseReference"/>
          <w:rFonts w:ascii="Garamond" w:hAnsi="Garamond"/>
          <w:b w:val="0"/>
          <w:color w:val="auto"/>
          <w:sz w:val="24"/>
          <w:szCs w:val="24"/>
        </w:rPr>
      </w:pPr>
      <w:bookmarkStart w:id="10" w:name="_Toc231489615"/>
      <w:r w:rsidRPr="00024D5A">
        <w:rPr>
          <w:rStyle w:val="IntenseReference"/>
          <w:rFonts w:ascii="Garamond" w:hAnsi="Garamond"/>
          <w:b w:val="0"/>
          <w:color w:val="auto"/>
          <w:sz w:val="24"/>
          <w:szCs w:val="24"/>
        </w:rPr>
        <w:t>2</w:t>
      </w:r>
      <w:r w:rsidR="00137017" w:rsidRPr="00024D5A">
        <w:rPr>
          <w:rStyle w:val="IntenseReference"/>
          <w:rFonts w:ascii="Garamond" w:hAnsi="Garamond"/>
          <w:b w:val="0"/>
          <w:color w:val="auto"/>
          <w:sz w:val="24"/>
          <w:szCs w:val="24"/>
        </w:rPr>
        <w:t>.2</w:t>
      </w:r>
      <w:r w:rsidR="00F54ECF" w:rsidRPr="00024D5A">
        <w:rPr>
          <w:rStyle w:val="IntenseReference"/>
          <w:rFonts w:ascii="Garamond" w:hAnsi="Garamond"/>
          <w:b w:val="0"/>
          <w:color w:val="auto"/>
          <w:sz w:val="24"/>
          <w:szCs w:val="24"/>
        </w:rPr>
        <w:t xml:space="preserve"> </w:t>
      </w:r>
      <w:r w:rsidR="005743A8" w:rsidRPr="00024D5A">
        <w:rPr>
          <w:rStyle w:val="IntenseReference"/>
          <w:rFonts w:ascii="Garamond" w:hAnsi="Garamond"/>
          <w:b w:val="0"/>
          <w:color w:val="auto"/>
          <w:sz w:val="24"/>
          <w:szCs w:val="24"/>
        </w:rPr>
        <w:t>Analizë e gjendjes aktuale në fushën e aksesit në drejtësi dhe barazisë para ligjit</w:t>
      </w:r>
      <w:bookmarkEnd w:id="10"/>
    </w:p>
    <w:p w14:paraId="6FB54DF3" w14:textId="71495C03"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Gjatë zbatimit të Planit Kombëtar të Veprimit për Personat me Aftësi të Kufizuara </w:t>
      </w:r>
      <w:r w:rsidR="007247B2" w:rsidRPr="00024D5A">
        <w:rPr>
          <w:rFonts w:ascii="Garamond" w:eastAsia="Times New Roman" w:hAnsi="Garamond"/>
          <w:lang w:eastAsia="en-US"/>
        </w:rPr>
        <w:t>2021–2025</w:t>
      </w:r>
      <w:r w:rsidRPr="00024D5A">
        <w:rPr>
          <w:rStyle w:val="FootnoteReference"/>
          <w:rFonts w:ascii="Garamond" w:eastAsia="Times New Roman" w:hAnsi="Garamond"/>
          <w:lang w:eastAsia="en-US"/>
        </w:rPr>
        <w:footnoteReference w:id="22"/>
      </w:r>
      <w:r w:rsidRPr="00024D5A">
        <w:rPr>
          <w:rFonts w:ascii="Garamond" w:eastAsia="Times New Roman" w:hAnsi="Garamond"/>
          <w:lang w:eastAsia="en-US"/>
        </w:rPr>
        <w:t xml:space="preserve">, fusha e barazisë në sistemin e drejtësisë synoi garantimin e aksesit të barabartë në drejtësi për personat me aftësi të kufizuara nëpërmjet rritjes së përdorimit të ndihmës juridike falas, njohjes së barabartë para ligjit dhe respektimit të të drejtave të tyre në institucionet e dënimit. </w:t>
      </w:r>
    </w:p>
    <w:p w14:paraId="197C5F83"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Vlerësimi i periudhës tregon se progresi më i prekshëm është arritur në dimensionin praktik të aksesit fillestar në drejtësi, ndërsa reformat strukturore të barazisë juridike mbeten ende të papërfunduara.</w:t>
      </w:r>
    </w:p>
    <w:p w14:paraId="5368DE5C" w14:textId="3C27F6F9"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Arritja më e dukshme lidhet me konsolidimin e sistemit të Ndihmës Juridike Falas. Integrimi i plotë i Qendrave të Shërbimit të Ndihmës Juridike Parësore në buxhetin e Ministrisë së Drejtësisë në vitin 2025 ka shënuar kalimin nga një shërbim i mbështetur kryesisht nga donatorët në një shërbim publik të qëndrueshëm financiarisht. Kjo reformë është reflektuar drejtpërdrejt në rritjen e numrit të përfituesve. Në vitet 2024</w:t>
      </w:r>
      <w:r w:rsidR="00597574" w:rsidRPr="00024D5A">
        <w:rPr>
          <w:rFonts w:ascii="Garamond" w:eastAsia="Times New Roman" w:hAnsi="Garamond"/>
          <w:lang w:eastAsia="en-US"/>
        </w:rPr>
        <w:t>–</w:t>
      </w:r>
      <w:r w:rsidRPr="00024D5A">
        <w:rPr>
          <w:rFonts w:ascii="Garamond" w:eastAsia="Times New Roman" w:hAnsi="Garamond"/>
          <w:lang w:eastAsia="en-US"/>
        </w:rPr>
        <w:t>2025, 11,636 persona me aftësi të kufizuara përfituan ndihmë juridike parësore dhe 955 persona ndihmë juridike dytësore.</w:t>
      </w:r>
    </w:p>
    <w:p w14:paraId="79274AFB" w14:textId="259E25CE"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Krahasuar me tre v</w:t>
      </w:r>
      <w:r w:rsidR="00EB61C0" w:rsidRPr="00024D5A">
        <w:rPr>
          <w:rFonts w:ascii="Garamond" w:eastAsia="Times New Roman" w:hAnsi="Garamond"/>
          <w:lang w:eastAsia="en-US"/>
        </w:rPr>
        <w:t>jetët</w:t>
      </w:r>
      <w:r w:rsidRPr="00024D5A">
        <w:rPr>
          <w:rFonts w:ascii="Garamond" w:eastAsia="Times New Roman" w:hAnsi="Garamond"/>
          <w:lang w:eastAsia="en-US"/>
        </w:rPr>
        <w:t xml:space="preserve"> e par</w:t>
      </w:r>
      <w:r w:rsidR="00EB61C0" w:rsidRPr="00024D5A">
        <w:rPr>
          <w:rFonts w:ascii="Garamond" w:eastAsia="Times New Roman" w:hAnsi="Garamond"/>
          <w:lang w:eastAsia="en-US"/>
        </w:rPr>
        <w:t>ë</w:t>
      </w:r>
      <w:r w:rsidRPr="00024D5A">
        <w:rPr>
          <w:rFonts w:ascii="Garamond" w:eastAsia="Times New Roman" w:hAnsi="Garamond"/>
          <w:lang w:eastAsia="en-US"/>
        </w:rPr>
        <w:t xml:space="preserve"> të zbatimit të planit (913 përfitues), numri i përfituesve të ndihmës juridike parësore është rritur rreth 12 herë, duke përbërë një nga treguesit më të fortë të progresit real në të gjithë Planin. Vetëm gjatë vitit 2024 përfituan 6,220 persona me aftësi të kufizuara, ndërsa në vitin 2025 përfituan 5,416, të dhëna të cilat tregojnë jo vetëm rritje, por stabilizim të kërkesës dhe funksionim të konsoliduar të sistemit. </w:t>
      </w:r>
    </w:p>
    <w:p w14:paraId="73747E09"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Zgjerimi i aksesit është mbështetur edhe nga 13 klinika ligjore universitare dhe financimi i organizatave të shoqërisë civile për shtrirjen e shërbimit në komunitete të përjashtuara.</w:t>
      </w:r>
    </w:p>
    <w:p w14:paraId="57140D0A"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Një tjetër element progresi është rritja e informimit dhe ndërgjegjësimit. Vetëm gjatë vitit 2025 janë realizuar 543 aktivitete informuese në nivel kombëtar, nga të cilat 19 të dedikuara posaçërisht për personat me aftësi të kufizuara.</w:t>
      </w:r>
    </w:p>
    <w:p w14:paraId="37451685"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Për herë të parë janë prodhuar materiale informuese në gjuhë të thjeshtë, audio, gjuhën e shenjave dhe Braille, duke mundësuar akses të drejtpërdrejtë në informacion për kategori të ndryshme aftësie të kufizuar. Po ashtu, është ofruar shërbim lëvizës i ndihmës juridike për personat me pamundësi lëvizjeje dhe për zonat me akses të kufizuar.</w:t>
      </w:r>
    </w:p>
    <w:p w14:paraId="707DB6A5"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Në drejtim të kapaciteteve profesionale janë realizuar trajnime për aktorët e sistemit të drejtësisë: vetëm përmes bashkëpunimit me institucionet e arsimit të lartë janë trajnuar 293 studentë të klinikave ligjore, si dhe punonjës të qendrave të ndihmës juridike, avokatë dhe organizata jofitimprurëse. Gjithashtu, janë zhvilluar 5 trajnime për përfaqësues të institucioneve të drejtësisë në disa qytete dhe 7 seanca trajnuese nga Shkolla e Magjistraturës për mbrojtjen nga diskriminimi. </w:t>
      </w:r>
    </w:p>
    <w:p w14:paraId="21D4B8FA"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Këto ndërhyrje kanë rritur aftësinë e sistemit për të trajtuar rastet e personave me aftësi të kufizuara, por nuk kanë qenë të mjaftueshme për të ndryshuar praktikën gjyqësore në mënyrë sistemike.</w:t>
      </w:r>
    </w:p>
    <w:p w14:paraId="78C90AFC" w14:textId="0D4F1375"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Ndryshe nga progresi i dukshëm në ndihmën juridike, njohja e barabartë para ligjit mbetet sfida më e madhe strukturore. Legjislacioni shqiptar, veçanërisht dispozitat e Kodit Civil, Kodit të Procedurës Civile dhe Kodit të Familjes, nuk është përshtatur ende plotësisht me parimet e Konventës për të Drejtat e Personave me Aftësi të Kufizuara</w:t>
      </w:r>
      <w:r w:rsidR="00BF2B76" w:rsidRPr="00024D5A">
        <w:rPr>
          <w:rFonts w:ascii="Garamond" w:eastAsia="Times New Roman" w:hAnsi="Garamond"/>
          <w:lang w:eastAsia="en-US"/>
        </w:rPr>
        <w:t>,</w:t>
      </w:r>
      <w:r w:rsidRPr="00024D5A">
        <w:rPr>
          <w:rFonts w:ascii="Garamond" w:eastAsia="Times New Roman" w:hAnsi="Garamond"/>
          <w:lang w:eastAsia="en-US"/>
        </w:rPr>
        <w:t xml:space="preserve"> në lidhje me zotësinë</w:t>
      </w:r>
      <w:r w:rsidR="008F29FA" w:rsidRPr="00024D5A">
        <w:rPr>
          <w:rFonts w:ascii="Garamond" w:eastAsia="Times New Roman" w:hAnsi="Garamond"/>
          <w:lang w:eastAsia="en-US"/>
        </w:rPr>
        <w:t xml:space="preserve"> </w:t>
      </w:r>
      <w:r w:rsidRPr="00024D5A">
        <w:rPr>
          <w:rFonts w:ascii="Garamond" w:eastAsia="Times New Roman" w:hAnsi="Garamond"/>
          <w:lang w:eastAsia="en-US"/>
        </w:rPr>
        <w:t>për të vepruar. Edhe pse është miratuar kuadri për vendimmarrjen e mbështetur, ai nuk shoqërohet ende me ndryshime të plota ligjore dhe procedurale, çka bën që personat me aftësi të kufizuara, veçanërisht ata me aftësi të kufizuara mendore, të mos e ushtrojnë plotësisht kapacitetin juridik në praktikë.</w:t>
      </w:r>
    </w:p>
    <w:p w14:paraId="53B76047" w14:textId="2DAA3111"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Në institucionet e dënimit janë ndërmarrë masa për përmirësimin e trajtimit dhe monitorimit, përfshirë raportime të rregullta shëndetësore dhe përpjekje për zbatimin e rekomandimeve ndërkombëtare, si dhe planifikimin e ndërtimit të një spitali forensik të specializuar. Megjithatë, disa rregullime ligjore dhe procedurale mbeten të pamiratuara. </w:t>
      </w:r>
    </w:p>
    <w:p w14:paraId="3CF57203" w14:textId="7529308A"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Gjatë periudhës </w:t>
      </w:r>
      <w:r w:rsidR="007247B2" w:rsidRPr="00024D5A">
        <w:rPr>
          <w:rFonts w:ascii="Garamond" w:eastAsia="Times New Roman" w:hAnsi="Garamond"/>
          <w:lang w:eastAsia="en-US"/>
        </w:rPr>
        <w:t>2021–2025</w:t>
      </w:r>
      <w:r w:rsidRPr="00024D5A">
        <w:rPr>
          <w:rFonts w:ascii="Garamond" w:eastAsia="Times New Roman" w:hAnsi="Garamond"/>
          <w:lang w:eastAsia="en-US"/>
        </w:rPr>
        <w:t xml:space="preserve">, aksesi fillestar në drejtësi është përmirësuar ndjeshëm, përmes shumëfishimit të ndihmës juridike falas, ndërsa barazia para ligjit mbetet kryesisht një objektiv normativ i parealizuar plotësisht. Sfidat kryesore lidhen me mungesën e reformës së plotë ligjore për zotësinë juridike për të vepruar, koordinimin ndërinstitucional dhe kapacitetet profesionale të sistemit të drejtësisë. Për rrjedhojë, Plani Kombëtar i Veprimit për Personat me Aftësi të Kufizuara </w:t>
      </w:r>
      <w:r w:rsidR="00657405" w:rsidRPr="00024D5A">
        <w:rPr>
          <w:rFonts w:ascii="Garamond" w:eastAsia="Times New Roman" w:hAnsi="Garamond"/>
          <w:lang w:eastAsia="en-US"/>
        </w:rPr>
        <w:t>2026–2030</w:t>
      </w:r>
      <w:r w:rsidRPr="00024D5A">
        <w:rPr>
          <w:rFonts w:ascii="Garamond" w:eastAsia="Times New Roman" w:hAnsi="Garamond"/>
          <w:lang w:eastAsia="en-US"/>
        </w:rPr>
        <w:t xml:space="preserve"> do të fokusohet në reforma strukturore, duke kaluar nga garantimi i aksesit formal në shërbime juridike drejt garantimit të ushtrimit real dhe të plotë të të drejtave për personat me aftësi të kufizuara.</w:t>
      </w:r>
    </w:p>
    <w:p w14:paraId="094A2D55" w14:textId="4AB0C336" w:rsidR="003E1630" w:rsidRPr="00024D5A" w:rsidRDefault="0058487E" w:rsidP="00791B1A">
      <w:pPr>
        <w:pStyle w:val="Heading2"/>
        <w:spacing w:before="0"/>
        <w:ind w:firstLine="284"/>
        <w:rPr>
          <w:rStyle w:val="IntenseReference"/>
          <w:rFonts w:ascii="Garamond" w:hAnsi="Garamond"/>
          <w:b w:val="0"/>
          <w:bCs w:val="0"/>
          <w:color w:val="auto"/>
          <w:sz w:val="24"/>
          <w:szCs w:val="24"/>
        </w:rPr>
      </w:pPr>
      <w:bookmarkStart w:id="11" w:name="_Toc231489616"/>
      <w:r w:rsidRPr="00024D5A">
        <w:rPr>
          <w:rStyle w:val="IntenseReference"/>
          <w:rFonts w:ascii="Garamond" w:hAnsi="Garamond"/>
          <w:b w:val="0"/>
          <w:bCs w:val="0"/>
          <w:color w:val="auto"/>
          <w:sz w:val="24"/>
          <w:szCs w:val="24"/>
        </w:rPr>
        <w:t>2</w:t>
      </w:r>
      <w:r w:rsidR="002F00F4" w:rsidRPr="00024D5A">
        <w:rPr>
          <w:rStyle w:val="IntenseReference"/>
          <w:rFonts w:ascii="Garamond" w:hAnsi="Garamond"/>
          <w:b w:val="0"/>
          <w:bCs w:val="0"/>
          <w:color w:val="auto"/>
          <w:sz w:val="24"/>
          <w:szCs w:val="24"/>
        </w:rPr>
        <w:t>.3</w:t>
      </w:r>
      <w:r w:rsidR="00F54ECF" w:rsidRPr="00024D5A">
        <w:rPr>
          <w:rStyle w:val="IntenseReference"/>
          <w:rFonts w:ascii="Garamond" w:hAnsi="Garamond"/>
          <w:b w:val="0"/>
          <w:bCs w:val="0"/>
          <w:color w:val="auto"/>
          <w:sz w:val="24"/>
          <w:szCs w:val="24"/>
        </w:rPr>
        <w:t xml:space="preserve"> </w:t>
      </w:r>
      <w:r w:rsidR="005743A8" w:rsidRPr="00024D5A">
        <w:rPr>
          <w:rStyle w:val="IntenseReference"/>
          <w:rFonts w:ascii="Garamond" w:hAnsi="Garamond"/>
          <w:b w:val="0"/>
          <w:bCs w:val="0"/>
          <w:color w:val="auto"/>
          <w:sz w:val="24"/>
          <w:szCs w:val="24"/>
        </w:rPr>
        <w:t>Analiza e gjendjes aktuale në fushën e punësimit dhe aftësimit</w:t>
      </w:r>
      <w:bookmarkEnd w:id="11"/>
    </w:p>
    <w:p w14:paraId="7DB9D6EA" w14:textId="0D2DFB55"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Gjatë zbatimit të Planit Kombëtar të Veprimit për Personat me Aftësi të Kufizuara </w:t>
      </w:r>
      <w:r w:rsidR="007247B2" w:rsidRPr="00024D5A">
        <w:rPr>
          <w:rFonts w:ascii="Garamond" w:eastAsia="Times New Roman" w:hAnsi="Garamond"/>
          <w:lang w:eastAsia="en-US"/>
        </w:rPr>
        <w:t>2021–2025</w:t>
      </w:r>
      <w:r w:rsidRPr="00024D5A">
        <w:rPr>
          <w:rFonts w:ascii="Garamond" w:eastAsia="Times New Roman" w:hAnsi="Garamond"/>
          <w:lang w:eastAsia="en-US"/>
        </w:rPr>
        <w:t>, fusha e punësimit dhe aftësimit profesional kishte si qëllim rritjen e pjesëmarrjes së personave me aftësi të kufizuara në tregun e punës dhe krijimin e mundësive të barabarta për punë të denjë, përmes përmirësimit të arsimit dhe formimit profesional, zgjerimit të programeve të nxitjes së punësimit dhe rritjes së cilësisë së shërbimeve të integrimit në tregun e punës.</w:t>
      </w:r>
    </w:p>
    <w:p w14:paraId="5D76C252" w14:textId="48F42828"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Monitorimi i periudhës </w:t>
      </w:r>
      <w:r w:rsidR="007247B2" w:rsidRPr="00024D5A">
        <w:rPr>
          <w:rFonts w:ascii="Garamond" w:eastAsia="Times New Roman" w:hAnsi="Garamond"/>
          <w:lang w:eastAsia="en-US"/>
        </w:rPr>
        <w:t>2021–2025</w:t>
      </w:r>
      <w:r w:rsidRPr="00024D5A">
        <w:rPr>
          <w:rFonts w:ascii="Garamond" w:eastAsia="Times New Roman" w:hAnsi="Garamond"/>
          <w:lang w:eastAsia="en-US"/>
        </w:rPr>
        <w:t xml:space="preserve"> tregon se në këtë fushë janë ndërmarrë masa të rëndësishme dhe është shënuar progres i dukshëm në aspektin e përfshirjes, por rezultatet mbeten të pjesshme dhe të paqëndrueshme, pasi shumë prej mekanizmave mbështetës nuk janë institucionalizuar plotësisht dhe nuk kanë arritur ende të përkthehen në punësim të qëndrueshëm.</w:t>
      </w:r>
    </w:p>
    <w:p w14:paraId="3009B29C"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Në dimensionin e arsimit dhe formimit profesional, zhvillimi më pozitiv lidhet me rritjen graduale të pjesëmarrjes së personave me aftësi të kufizuara. Numri i kursantëve në kurset e formimit profesional u rrit nga 94 në vitin 2024 në 233 persona në vitin 2025, duke reflektuar një trend të qartë të zgjerimit të aksesit në trajnim profesional. </w:t>
      </w:r>
    </w:p>
    <w:p w14:paraId="7F15D6F2" w14:textId="5F646CBC"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Edhe në arsimin e mesëm profesional vërehet një rritje e vazhdueshme: nga 212 nxënës me aftësi të kufizuara në vitin shkollor 2023</w:t>
      </w:r>
      <w:r w:rsidR="00BF2B76" w:rsidRPr="00024D5A">
        <w:rPr>
          <w:rFonts w:ascii="Garamond" w:eastAsia="Times New Roman" w:hAnsi="Garamond"/>
          <w:lang w:eastAsia="en-US"/>
        </w:rPr>
        <w:t>–</w:t>
      </w:r>
      <w:r w:rsidRPr="00024D5A">
        <w:rPr>
          <w:rFonts w:ascii="Garamond" w:eastAsia="Times New Roman" w:hAnsi="Garamond"/>
          <w:lang w:eastAsia="en-US"/>
        </w:rPr>
        <w:t>2024, në 242 nxënës me aftësi të kufizuara në vitin 2024</w:t>
      </w:r>
      <w:r w:rsidR="005267CC" w:rsidRPr="00024D5A">
        <w:rPr>
          <w:rFonts w:ascii="Garamond" w:eastAsia="Times New Roman" w:hAnsi="Garamond"/>
          <w:lang w:eastAsia="en-US"/>
        </w:rPr>
        <w:t>–</w:t>
      </w:r>
      <w:r w:rsidRPr="00024D5A">
        <w:rPr>
          <w:rFonts w:ascii="Garamond" w:eastAsia="Times New Roman" w:hAnsi="Garamond"/>
          <w:lang w:eastAsia="en-US"/>
        </w:rPr>
        <w:t>2025, ndërkohë që numri i mësuesve ndihmës u rrit nga 51 në 57. Ky zhvillim tregon një zgjerim real të sistemit gjithëpërfshirës, si dhe një përpjekje për të respektuar standardet nënligjore të mbështetjes arsimore.</w:t>
      </w:r>
    </w:p>
    <w:p w14:paraId="03E3FEAC"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Një hap i rëndësishëm cilësor është hartimi i Manualit për Gjithëpërfshirjen e Nxënësve dhe Kursantëve me Aftësi të Kufizuara në Arsimin dhe Formimin Profesional, i cili përcakton standarde për vlerësimin, planet individuale të mbështetjes, përshtatjen e arsyeshme dhe metodat e të nxënit të aksesueshëm. Për herë të parë u krijua mundësia e financimit të përshtatjes së arsyeshme deri në 200,000 lekë për kursantët me aftësi të kufizuara, duke përfshirë përshtatjen e kurrikulave dhe përgatitjen e instruktorëve për trajnim të posaçëm. Këto masa përbëjnë një ndryshim të rëndësishëm konceptual, pasi sistemi tentoi të kalojë nga integrimi formal në përpjekje për mbështetje individuale, të bazuar në nevojat e personit.</w:t>
      </w:r>
    </w:p>
    <w:p w14:paraId="5CADD098"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Megjithatë, këto zhvillime mbeten ende të kufizuara në shtrirje. Manualet dhe standardet janë në fazë pilotimi dhe nuk janë bërë pjesë e detyrueshme e sistemit. Mungojnë programe të strukturuara dhe të certifikuara trajnimi për mësuesit lëndorë, instruktorët dhe mësuesit ndihmës, të cilat ndikojnë drejtpërdrejt në cilësinë e shërbimeve arsimore dhe në zbatimin real të gjithëpërfshirjes. </w:t>
      </w:r>
    </w:p>
    <w:p w14:paraId="13283555" w14:textId="2AAC5E3C"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Financimi për përshtatjen e arsyeshme ekziston, por u aplikua në mënyrë të kufizuar</w:t>
      </w:r>
      <w:r w:rsidR="005267CC" w:rsidRPr="00024D5A">
        <w:rPr>
          <w:rFonts w:ascii="Garamond" w:eastAsia="Times New Roman" w:hAnsi="Garamond"/>
          <w:lang w:eastAsia="en-US"/>
        </w:rPr>
        <w:t>,</w:t>
      </w:r>
      <w:r w:rsidRPr="00024D5A">
        <w:rPr>
          <w:rFonts w:ascii="Garamond" w:eastAsia="Times New Roman" w:hAnsi="Garamond"/>
          <w:lang w:eastAsia="en-US"/>
        </w:rPr>
        <w:t xml:space="preserve"> për shkak të mungesës së udhëzimeve procedurale. Po ashtu, nuk arritën të realizohen masa të rëndësishme si ofrimi falas i kurseve të gjuhëve të huaja dhe teknologjisë së informacionit, ndërsa përgatitja e interpretëve të gjuhës së shenjave ka mbetur pa progres, çka tregon se sistemi arsimor profesional është në proces transformimi, por ende nuk ka arritur të krijojë një model të plotë dhe të qëndrueshëm përfshirjeje.</w:t>
      </w:r>
    </w:p>
    <w:p w14:paraId="0892B6C1" w14:textId="0F38EE0C"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Në dimensionin e punësimit, progresi është më i dukshëm në rritjen e pjesëmarrjes në programe sesa në punësimin real. Numri i personave me aftësi të kufizuara që përfituan nga programet e nxitjes së punësimit u rrit nga 103 në vitin 2024 në 242 persona në vitin 2025. Edhe skema e Garancisë Rinore përfshiu 71 të rinj me aftësi të kufizuara gjatë dy v</w:t>
      </w:r>
      <w:r w:rsidR="005267CC" w:rsidRPr="00024D5A">
        <w:rPr>
          <w:rFonts w:ascii="Garamond" w:eastAsia="Times New Roman" w:hAnsi="Garamond"/>
          <w:lang w:eastAsia="en-US"/>
        </w:rPr>
        <w:t>jetëve</w:t>
      </w:r>
      <w:r w:rsidRPr="00024D5A">
        <w:rPr>
          <w:rFonts w:ascii="Garamond" w:eastAsia="Times New Roman" w:hAnsi="Garamond"/>
          <w:lang w:eastAsia="en-US"/>
        </w:rPr>
        <w:t>.</w:t>
      </w:r>
    </w:p>
    <w:p w14:paraId="7F79B86A" w14:textId="0D1B03A3"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Paralelisht, u rrit edhe numri i personave të regjistruar si punëkërkues, nga 3,347 në vitin 2024 në 3,429 persona në vitin 2025. Këta tregues dëshmojnë një rritje të kontaktit të personave me aftësi të kufizuara me shërbimet e punësimit dhe një besim më të madh ndaj institucioneve publike. Megjithatë, këto zhvillime nuk janë përkthyer ende në rritje të qëndrueshme të punësimit. Në vitin 2024 u punësuan 379 persona me aftësi të kufizuara, ndërsa në vitin 2025 u punësuan 266. Ky kontrast mes regjistrimit dhe punësimit nxjerr në pah që sistemi funksionon më mirë në regjistrimin</w:t>
      </w:r>
      <w:r w:rsidR="00E8496D" w:rsidRPr="00024D5A">
        <w:rPr>
          <w:rFonts w:ascii="Garamond" w:eastAsia="Times New Roman" w:hAnsi="Garamond"/>
          <w:lang w:eastAsia="en-US"/>
        </w:rPr>
        <w:t>,</w:t>
      </w:r>
      <w:r w:rsidRPr="00024D5A">
        <w:rPr>
          <w:rFonts w:ascii="Garamond" w:eastAsia="Times New Roman" w:hAnsi="Garamond"/>
          <w:lang w:eastAsia="en-US"/>
        </w:rPr>
        <w:t xml:space="preserve"> sesa në ndërmjetësimin efektiv me punëdhënësit dhe garantimin e një punësimi të qëndrueshëm të punëkërkuesve të papunë me aftësi të kufizuara.</w:t>
      </w:r>
    </w:p>
    <w:p w14:paraId="7BA4C473" w14:textId="0191991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Gjatë periudhës së mëparshme, janë ndërmarrë hapa për përmirësimin e shërbimeve publike të punësimit, përfshirë manuale për këshillim karriere, profilizim dhe punësim me mbështetje, si dhe përmirësim të bazës së të dhënave për punëkërkuesit me aftësi të kufizuara. Megjithatë, kët</w:t>
      </w:r>
      <w:r w:rsidR="007675EC" w:rsidRPr="00024D5A">
        <w:rPr>
          <w:rFonts w:ascii="Garamond" w:eastAsia="Times New Roman" w:hAnsi="Garamond"/>
          <w:lang w:eastAsia="en-US"/>
        </w:rPr>
        <w:t>a</w:t>
      </w:r>
      <w:r w:rsidRPr="00024D5A">
        <w:rPr>
          <w:rFonts w:ascii="Garamond" w:eastAsia="Times New Roman" w:hAnsi="Garamond"/>
          <w:lang w:eastAsia="en-US"/>
        </w:rPr>
        <w:t xml:space="preserve"> mekanizma janë ende në konsolidim dhe ndikimi i tyre mbetet i kufizuar. Sfidat kryesore rezultojnë strukturore. Fondi Social i Punësimit, i cili do të mundësonte mbështetje për vetëpunësim dhe integrim afatgjatë, nuk është ende funksional. Mungon një studim kombëtar për situatën e personave me aftësi të kufizuara në tregun e punës, çka kufizon planifikimin strategjik. Bashkëpunimi me sektorin privat mbetet i dobët dhe përshtatja e arsyeshme në vendin e punës nuk aplikohet. </w:t>
      </w:r>
    </w:p>
    <w:p w14:paraId="7B11590C" w14:textId="7759801B"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Monitorimi i zbatimit të PKVPAK</w:t>
      </w:r>
      <w:r w:rsidR="00C752D3" w:rsidRPr="00024D5A">
        <w:rPr>
          <w:rFonts w:ascii="Garamond" w:eastAsia="Times New Roman" w:hAnsi="Garamond"/>
          <w:lang w:eastAsia="en-US"/>
        </w:rPr>
        <w:t>-së</w:t>
      </w:r>
      <w:r w:rsidRPr="00024D5A">
        <w:rPr>
          <w:rFonts w:ascii="Garamond" w:eastAsia="Times New Roman" w:hAnsi="Garamond"/>
          <w:lang w:eastAsia="en-US"/>
        </w:rPr>
        <w:t xml:space="preserve"> për periudhën </w:t>
      </w:r>
      <w:r w:rsidR="007247B2" w:rsidRPr="00024D5A">
        <w:rPr>
          <w:rFonts w:ascii="Garamond" w:eastAsia="Times New Roman" w:hAnsi="Garamond"/>
          <w:lang w:eastAsia="en-US"/>
        </w:rPr>
        <w:t>2021–2025</w:t>
      </w:r>
      <w:r w:rsidRPr="00024D5A">
        <w:rPr>
          <w:rFonts w:ascii="Garamond" w:eastAsia="Times New Roman" w:hAnsi="Garamond"/>
          <w:lang w:eastAsia="en-US"/>
        </w:rPr>
        <w:t xml:space="preserve"> tregon një progres real në aksesin në arsim profesional dhe në pjesëmarrjen në programe punësimi, por një progres shumë më të kufizuar në punësimin e qëndrueshëm. Sistemi aktual ka arritur të afrojë personat me aftësi të kufizuara pranë tregut të punës, por ende nuk ka krijuar mekanizma efektivë për t’i mbajtur ata në të. Për këtë arsye, Plani Kombëtar i Veprimit për Personat me Aftësi të Kufizuara </w:t>
      </w:r>
      <w:r w:rsidR="00657405" w:rsidRPr="00024D5A">
        <w:rPr>
          <w:rFonts w:ascii="Garamond" w:eastAsia="Times New Roman" w:hAnsi="Garamond"/>
          <w:lang w:eastAsia="en-US"/>
        </w:rPr>
        <w:t>2026–2030</w:t>
      </w:r>
      <w:r w:rsidRPr="00024D5A">
        <w:rPr>
          <w:rFonts w:ascii="Garamond" w:eastAsia="Times New Roman" w:hAnsi="Garamond"/>
          <w:lang w:eastAsia="en-US"/>
        </w:rPr>
        <w:t xml:space="preserve"> duhet të kalojë nga qasja e përfshirjes sociale drejt gjithëpërfshirjes ekonomike reale, duke institucionalizuar standardet e arsimit profesional gjithëpërfshirës, funksionalizuar mekanizmat financiarë të punësimit, zhvilluar punësimin me mbështetje dhe forcuar ndërmjetësimin me punëdhënësit, në mënyrë që punësimi i personave me aftësi të kufizuara të mos mbetet rezultat projektesh apo programesh të përkohshme, por të bëhet një proces i qëndrueshëm dhe pjesë e zakonshme e tregut të punës.</w:t>
      </w:r>
    </w:p>
    <w:p w14:paraId="794F1559" w14:textId="50136A0B" w:rsidR="003E1630" w:rsidRPr="00024D5A" w:rsidRDefault="0058487E" w:rsidP="00791B1A">
      <w:pPr>
        <w:pStyle w:val="Heading2"/>
        <w:spacing w:before="0"/>
        <w:ind w:firstLine="284"/>
        <w:rPr>
          <w:rFonts w:ascii="Garamond" w:hAnsi="Garamond"/>
          <w:b/>
          <w:bCs/>
          <w:color w:val="auto"/>
          <w:sz w:val="24"/>
          <w:szCs w:val="24"/>
        </w:rPr>
      </w:pPr>
      <w:bookmarkStart w:id="12" w:name="_Toc231489617"/>
      <w:r w:rsidRPr="00024D5A">
        <w:rPr>
          <w:rStyle w:val="IntenseReference"/>
          <w:rFonts w:ascii="Garamond" w:hAnsi="Garamond"/>
          <w:b w:val="0"/>
          <w:bCs w:val="0"/>
          <w:color w:val="auto"/>
          <w:sz w:val="24"/>
          <w:szCs w:val="24"/>
        </w:rPr>
        <w:t>2</w:t>
      </w:r>
      <w:r w:rsidR="002F00F4" w:rsidRPr="00024D5A">
        <w:rPr>
          <w:rStyle w:val="IntenseReference"/>
          <w:rFonts w:ascii="Garamond" w:hAnsi="Garamond"/>
          <w:b w:val="0"/>
          <w:bCs w:val="0"/>
          <w:color w:val="auto"/>
          <w:sz w:val="24"/>
          <w:szCs w:val="24"/>
        </w:rPr>
        <w:t>.4.</w:t>
      </w:r>
      <w:r w:rsidR="00F54ECF" w:rsidRPr="00024D5A">
        <w:rPr>
          <w:rStyle w:val="IntenseReference"/>
          <w:rFonts w:ascii="Garamond" w:hAnsi="Garamond"/>
          <w:b w:val="0"/>
          <w:bCs w:val="0"/>
          <w:color w:val="auto"/>
          <w:sz w:val="24"/>
          <w:szCs w:val="24"/>
        </w:rPr>
        <w:t xml:space="preserve"> </w:t>
      </w:r>
      <w:r w:rsidR="005743A8" w:rsidRPr="00024D5A">
        <w:rPr>
          <w:rStyle w:val="IntenseReference"/>
          <w:rFonts w:ascii="Garamond" w:hAnsi="Garamond"/>
          <w:b w:val="0"/>
          <w:bCs w:val="0"/>
          <w:color w:val="auto"/>
          <w:sz w:val="24"/>
          <w:szCs w:val="24"/>
        </w:rPr>
        <w:t>Analiza e gjendjes aktuale në fushën e arsimit</w:t>
      </w:r>
      <w:bookmarkEnd w:id="12"/>
      <w:r w:rsidR="005743A8" w:rsidRPr="00024D5A">
        <w:rPr>
          <w:rFonts w:ascii="Garamond" w:hAnsi="Garamond"/>
          <w:b/>
          <w:bCs/>
          <w:color w:val="auto"/>
          <w:sz w:val="24"/>
          <w:szCs w:val="24"/>
        </w:rPr>
        <w:t xml:space="preserve"> </w:t>
      </w:r>
    </w:p>
    <w:p w14:paraId="69F2EF37" w14:textId="3CF81F22"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Gjatë zbatimit të Planit Kombëtar të Veprimit për Personat me Aftësi të Kufizuara </w:t>
      </w:r>
      <w:r w:rsidR="007247B2" w:rsidRPr="00024D5A">
        <w:rPr>
          <w:rFonts w:ascii="Garamond" w:eastAsia="Times New Roman" w:hAnsi="Garamond"/>
          <w:lang w:eastAsia="en-US"/>
        </w:rPr>
        <w:t>2021–2025</w:t>
      </w:r>
      <w:r w:rsidRPr="00024D5A">
        <w:rPr>
          <w:rFonts w:ascii="Garamond" w:eastAsia="Times New Roman" w:hAnsi="Garamond"/>
          <w:lang w:eastAsia="en-US"/>
        </w:rPr>
        <w:t xml:space="preserve">, në fushën e arsimit u përcaktua si objektiv strategjik ofrimi i arsimit gjithëpërfshirës dhe cilësor për të gjithë fëmijët me aftësi të kufizuara, përmes rritjes së pjesëmarrjes së tyre në arsimin e zakonshëm dhe transformimit të shkollave speciale në qendra burimore. </w:t>
      </w:r>
    </w:p>
    <w:p w14:paraId="27D002CC" w14:textId="1750F2A9"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 Monitorimi i zbatimit të këtij Plani Kombëtar i Veprimit për Personat me Aftësi të Kufizuara tregon se janë hedhur baza të rëndësishme institucionale në arsim gjithëpërfshirës, ndërsa rezultatet janë më të dukshme në aksesin në shkollë dhe ngritjen e strukturave mbështetëse, se sa në cilësinë e qëndrueshme të përfshirjes.</w:t>
      </w:r>
    </w:p>
    <w:p w14:paraId="72082293" w14:textId="68030013"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Një nga treguesit më të qartë të progresit është rritja e numrit të fëmijëve me aftësi të kufizuara të përfshirë në arsimin parauniversitar publik. Në vitin shkollor 2025</w:t>
      </w:r>
      <w:r w:rsidR="00647FD3" w:rsidRPr="00024D5A">
        <w:rPr>
          <w:rFonts w:ascii="Garamond" w:eastAsia="Times New Roman" w:hAnsi="Garamond"/>
          <w:lang w:eastAsia="en-US"/>
        </w:rPr>
        <w:t>–</w:t>
      </w:r>
      <w:r w:rsidRPr="00024D5A">
        <w:rPr>
          <w:rFonts w:ascii="Garamond" w:eastAsia="Times New Roman" w:hAnsi="Garamond"/>
          <w:lang w:eastAsia="en-US"/>
        </w:rPr>
        <w:t>2026 sistemi arsimor përfshin 5,208 nxënës me aftësi të kufizuara, nga 4,682 një vit më parë. Kjo rritje reflekton përmirësim të identifikimit dhe referimit të fëmijëve, por edhe rritje të besimit të familjeve ndaj arsimit gjithëpërfshirës. Nuk janë raportuar raste të braktisjes të shkollës, megjithëse mungesa e të dhënave të detajuara sipas faktorëve socialë dhe ekonomikë e bën të vështirë analizën e plotë të vijueshmërisë.</w:t>
      </w:r>
    </w:p>
    <w:p w14:paraId="3D2352C5" w14:textId="39B6F415"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Në mbështetje të përfshirjes, është ndërtuar një sistem vlerësimi ndërdisiplinor. Komisionet Multidisiplinare për Vlerësimin e Nevojave të Nxënësve me Aftësi të Kufizuara (KMVA) kryejnë vlerësime psikopedagogjike dhe funksionale, rekomandojnë masa mbështetëse dhe hartojnë Plane Edukative Individuale, duke bashkëpunuar me shkollat, prindërit dhe shërbimet psikosociale. Miratimi në vitin 2024 i udhëzuesit të standardizuar sipas modelit biopsikosocial ka rritur transparencën dhe koherencën e vendimmarrjes arsimore. Megjithatë, bashkëpunimi i këtyre komisioneve me strukturat e vlerësimit në sistemin e mbrojtjes sociale nuk është ende i institucionalizuar, duke krijuar fragmentarizim në mbështetjen e fëmijëve.</w:t>
      </w:r>
    </w:p>
    <w:p w14:paraId="0F2B22AA" w14:textId="0A895E81" w:rsidR="003E1630" w:rsidRPr="00024D5A" w:rsidRDefault="005743A8" w:rsidP="00791B1A">
      <w:pPr>
        <w:ind w:firstLine="284"/>
        <w:jc w:val="both"/>
        <w:rPr>
          <w:rFonts w:ascii="Garamond" w:hAnsi="Garamond"/>
        </w:rPr>
      </w:pPr>
      <w:r w:rsidRPr="00024D5A">
        <w:rPr>
          <w:rFonts w:ascii="Garamond" w:hAnsi="Garamond"/>
        </w:rPr>
        <w:t>Mbështetja brenda shkollës është përmirësuar ndjeshëm. Raporti mesatar nxënës-mësues ndihmës është 2.24 në 2025</w:t>
      </w:r>
      <w:r w:rsidR="00516221" w:rsidRPr="00024D5A">
        <w:rPr>
          <w:rFonts w:ascii="Garamond" w:eastAsia="Times New Roman" w:hAnsi="Garamond"/>
          <w:lang w:eastAsia="en-US"/>
        </w:rPr>
        <w:t>–</w:t>
      </w:r>
      <w:r w:rsidRPr="00024D5A">
        <w:rPr>
          <w:rFonts w:ascii="Garamond" w:hAnsi="Garamond"/>
        </w:rPr>
        <w:t>2026, ndërsa rregullimi i ri lejon që një mësues ndihmës të punojë edhe me një nxënës të vetëm, në rastet kur e rekomandon KMD</w:t>
      </w:r>
      <w:r w:rsidR="00A55D78" w:rsidRPr="00024D5A">
        <w:rPr>
          <w:rFonts w:ascii="Garamond" w:hAnsi="Garamond"/>
        </w:rPr>
        <w:t>-në</w:t>
      </w:r>
      <w:r w:rsidRPr="00024D5A">
        <w:rPr>
          <w:rFonts w:ascii="Garamond" w:hAnsi="Garamond"/>
        </w:rPr>
        <w:t xml:space="preserve"> në ZVAP. Janë miratuar standardet profesionale të mësuesve ndihmës dhe është realizuar një proces i gjerë trajnimi. Në kuadër të projektit EU4inclusive teaching janë trajnuar 15,000 mësues për arsimin gjithëpërfshirës.</w:t>
      </w:r>
    </w:p>
    <w:p w14:paraId="04DD9819"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Në këtë aspekt, janë monitoruar 52 zyra arsimore vendore dhe janë inspektuar 157 institucione arsimore për cilësinë e përfshirjes së nxënësve me aftësi të kufizuara. </w:t>
      </w:r>
    </w:p>
    <w:p w14:paraId="44209D5F" w14:textId="6BA10DB1"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Infrastruktura mbështetëse është përmirësuar gjatë viteve të zbatimit të PKVPK </w:t>
      </w:r>
      <w:r w:rsidR="007247B2" w:rsidRPr="00024D5A">
        <w:rPr>
          <w:rFonts w:ascii="Garamond" w:eastAsia="Times New Roman" w:hAnsi="Garamond"/>
          <w:lang w:eastAsia="en-US"/>
        </w:rPr>
        <w:t>2021–2025</w:t>
      </w:r>
      <w:r w:rsidRPr="00024D5A">
        <w:rPr>
          <w:rFonts w:ascii="Garamond" w:eastAsia="Times New Roman" w:hAnsi="Garamond"/>
          <w:lang w:eastAsia="en-US"/>
        </w:rPr>
        <w:t>. Numri i klasave burimore u rrit nga 291 në vitin shkollor 2024</w:t>
      </w:r>
      <w:r w:rsidR="00CE01F8" w:rsidRPr="00024D5A">
        <w:rPr>
          <w:rFonts w:ascii="Garamond" w:eastAsia="Times New Roman" w:hAnsi="Garamond"/>
          <w:lang w:eastAsia="en-US"/>
        </w:rPr>
        <w:t>–</w:t>
      </w:r>
      <w:r w:rsidRPr="00024D5A">
        <w:rPr>
          <w:rFonts w:ascii="Garamond" w:eastAsia="Times New Roman" w:hAnsi="Garamond"/>
          <w:lang w:eastAsia="en-US"/>
        </w:rPr>
        <w:t>2025 në 317 në atë 2025</w:t>
      </w:r>
      <w:r w:rsidR="00CE01F8" w:rsidRPr="00024D5A">
        <w:rPr>
          <w:rFonts w:ascii="Garamond" w:eastAsia="Times New Roman" w:hAnsi="Garamond"/>
          <w:lang w:eastAsia="en-US"/>
        </w:rPr>
        <w:t>–</w:t>
      </w:r>
      <w:r w:rsidRPr="00024D5A">
        <w:rPr>
          <w:rFonts w:ascii="Garamond" w:eastAsia="Times New Roman" w:hAnsi="Garamond"/>
          <w:lang w:eastAsia="en-US"/>
        </w:rPr>
        <w:t xml:space="preserve">2026. </w:t>
      </w:r>
    </w:p>
    <w:p w14:paraId="32421862" w14:textId="0A1FCDE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Paralelisht, ka filluar transformimi i shkollave speciale në qendra burimore. Tr</w:t>
      </w:r>
      <w:r w:rsidR="00124C8D" w:rsidRPr="00024D5A">
        <w:rPr>
          <w:rFonts w:ascii="Garamond" w:eastAsia="Times New Roman" w:hAnsi="Garamond"/>
          <w:lang w:eastAsia="en-US"/>
        </w:rPr>
        <w:t>i</w:t>
      </w:r>
      <w:r w:rsidRPr="00024D5A">
        <w:rPr>
          <w:rFonts w:ascii="Garamond" w:eastAsia="Times New Roman" w:hAnsi="Garamond"/>
          <w:lang w:eastAsia="en-US"/>
        </w:rPr>
        <w:t xml:space="preserve"> institucione tashmë funksionojnë</w:t>
      </w:r>
      <w:r w:rsidR="00124C8D" w:rsidRPr="00024D5A">
        <w:rPr>
          <w:rFonts w:ascii="Garamond" w:eastAsia="Times New Roman" w:hAnsi="Garamond"/>
          <w:lang w:eastAsia="en-US"/>
        </w:rPr>
        <w:t>,</w:t>
      </w:r>
      <w:r w:rsidRPr="00024D5A">
        <w:rPr>
          <w:rFonts w:ascii="Garamond" w:eastAsia="Times New Roman" w:hAnsi="Garamond"/>
          <w:lang w:eastAsia="en-US"/>
        </w:rPr>
        <w:t xml:space="preserve"> si struktura referimi për ekspertizë profesionale dhe mbështetje metodologjike për shkollat e zakonshme. Janë zhvilluar module për gjuhën e shenjave dhe materiale didaktike të specializuara, ndërsa Kodi Braille është unifikuar në nivel kombëtar, edhe pse institucionalizimi i plotë ligjor mbetet në proces. </w:t>
      </w:r>
    </w:p>
    <w:p w14:paraId="2CAE3D65" w14:textId="0C517FBA"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Megjithatë, përtej progresit në akses, cilësia e përfshirjes mbetet sfida kryesore. Ndërhyrjet mbështetëse varen ende nga kapacitetet profesionale lokale dhe zbatimi i Planeve Edukative Individuale nuk është i njëtrajtshëm. Monitorimi i ndikimit real të masave mbështetëse në progresin akademik dhe social të nxënësve mbetet i kufizuar. </w:t>
      </w:r>
    </w:p>
    <w:p w14:paraId="337624B5"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Një problem tjetër është mbështetja sociale e pamjaftueshme për të ndjekur shkollën. Skema e transportit falas ka përfshirë vetëm 30 nxënës në vitin 2024 dhe 32 në vitin 2025, çka tregon se mekanizmat e aksesit nuk janë ende efektivë për shumicën e fëmijëve me aftësi të kufizuara. Gjithashtu, furnizimi me materiale didaktike të përshtatura dhe financimi i tyre mbetet i pamjaftueshëm në shumë shkolla.</w:t>
      </w:r>
    </w:p>
    <w:p w14:paraId="566B0580" w14:textId="2A7BBBBC"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Në periudhën </w:t>
      </w:r>
      <w:r w:rsidR="007247B2" w:rsidRPr="00024D5A">
        <w:rPr>
          <w:rFonts w:ascii="Garamond" w:eastAsia="Times New Roman" w:hAnsi="Garamond"/>
          <w:lang w:eastAsia="en-US"/>
        </w:rPr>
        <w:t>2021–2025</w:t>
      </w:r>
      <w:r w:rsidRPr="00024D5A">
        <w:rPr>
          <w:rFonts w:ascii="Garamond" w:eastAsia="Times New Roman" w:hAnsi="Garamond"/>
          <w:lang w:eastAsia="en-US"/>
        </w:rPr>
        <w:t>, Shqipëria ka kaluar nga faza e përjashtimit në arsim drejt përfshirjes në sistem, por ende jo drejt gjithëpërfshirjes cilësore. Sistemi arsimor ka arritur të përfshijë një numër më të madh fëmijësh dhe të krijojë struktura mbështetëse, por nuk ka arritur ende të garantojë standarde të njëtrajtshme cilësie në të gjithë territorin.</w:t>
      </w:r>
    </w:p>
    <w:p w14:paraId="62BEDFDB" w14:textId="3CC2C4EF"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Për këtë arsye, Plani Kombëtar i Veprimit për Personat me Aftësi të Kufizuara, </w:t>
      </w:r>
      <w:r w:rsidR="00657405" w:rsidRPr="00024D5A">
        <w:rPr>
          <w:rFonts w:ascii="Garamond" w:eastAsia="Times New Roman" w:hAnsi="Garamond"/>
          <w:lang w:eastAsia="en-US"/>
        </w:rPr>
        <w:t>2026–2030</w:t>
      </w:r>
      <w:r w:rsidRPr="00024D5A">
        <w:rPr>
          <w:rFonts w:ascii="Garamond" w:eastAsia="Times New Roman" w:hAnsi="Garamond"/>
          <w:lang w:eastAsia="en-US"/>
        </w:rPr>
        <w:t xml:space="preserve"> do të fokusohet në konsolidimin e reformës dhe jo vetëm në zgjerimin e aksesit. Prioritetet do të përfshijnë institucionalizimin e bashkëpunimit ndërmjet sistemit arsimor dhe atij të mbrojtjes sociale, përfundimin e transformimit të shkollave speciale në qendra burimore funksionale, forcimin e kapaciteteve profesionale të mësuesve dhe mësuesve ndihmës, garantimin e shërbimeve mbështetëse si transporti dhe materialet didaktike, si dhe krijimin e një sistemi të plotë të monitorimit të rezultateve arsimore. </w:t>
      </w:r>
    </w:p>
    <w:p w14:paraId="18F969AC" w14:textId="61AFA87F" w:rsidR="003E1630" w:rsidRPr="00024D5A" w:rsidRDefault="0058487E" w:rsidP="00791B1A">
      <w:pPr>
        <w:pStyle w:val="Heading2"/>
        <w:spacing w:before="0"/>
        <w:ind w:firstLine="284"/>
        <w:rPr>
          <w:rFonts w:ascii="Garamond" w:hAnsi="Garamond"/>
          <w:color w:val="auto"/>
          <w:sz w:val="24"/>
          <w:szCs w:val="24"/>
          <w:lang w:eastAsia="en-US"/>
        </w:rPr>
      </w:pPr>
      <w:bookmarkStart w:id="13" w:name="_Toc231489618"/>
      <w:r w:rsidRPr="00024D5A">
        <w:rPr>
          <w:rFonts w:ascii="Garamond" w:hAnsi="Garamond"/>
          <w:color w:val="auto"/>
          <w:sz w:val="24"/>
          <w:szCs w:val="24"/>
          <w:lang w:eastAsia="en-US"/>
        </w:rPr>
        <w:t>2</w:t>
      </w:r>
      <w:r w:rsidR="005743A8" w:rsidRPr="00024D5A">
        <w:rPr>
          <w:rFonts w:ascii="Garamond" w:hAnsi="Garamond"/>
          <w:color w:val="auto"/>
          <w:sz w:val="24"/>
          <w:szCs w:val="24"/>
          <w:lang w:eastAsia="en-US"/>
        </w:rPr>
        <w:t>.5. Analiza e gjendjes aktuale në fushën e mbrojtjes sociale</w:t>
      </w:r>
      <w:bookmarkEnd w:id="13"/>
    </w:p>
    <w:p w14:paraId="3357B3F1" w14:textId="45F5D536"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Në Planin Kombëtar të Veprimit për Personat me Aftësi të Kufizuara </w:t>
      </w:r>
      <w:r w:rsidR="007247B2" w:rsidRPr="00024D5A">
        <w:rPr>
          <w:rFonts w:ascii="Garamond" w:eastAsia="Times New Roman" w:hAnsi="Garamond"/>
          <w:lang w:eastAsia="en-US"/>
        </w:rPr>
        <w:t>2021–2025</w:t>
      </w:r>
      <w:r w:rsidRPr="00024D5A">
        <w:rPr>
          <w:rFonts w:ascii="Garamond" w:eastAsia="Times New Roman" w:hAnsi="Garamond"/>
          <w:lang w:eastAsia="en-US"/>
        </w:rPr>
        <w:t>, fusha e mbrojtjes sociale synoi përmirësimin e cilësisë së jetës së personave me aftësi të kufizuara përmes përfitimeve dhe shërbimeve të aksesueshme, të përballueshme dhe të orientuara drejt nevojave individuale.</w:t>
      </w:r>
    </w:p>
    <w:p w14:paraId="469EF0D4" w14:textId="1D49589A"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Monitorimi i zbatimit të këtij Plani</w:t>
      </w:r>
      <w:r w:rsidR="00E724C7" w:rsidRPr="00024D5A">
        <w:rPr>
          <w:rFonts w:ascii="Garamond" w:eastAsia="Times New Roman" w:hAnsi="Garamond"/>
          <w:lang w:eastAsia="en-US"/>
        </w:rPr>
        <w:t xml:space="preserve"> </w:t>
      </w:r>
      <w:r w:rsidRPr="00024D5A">
        <w:rPr>
          <w:rFonts w:ascii="Garamond" w:eastAsia="Times New Roman" w:hAnsi="Garamond"/>
          <w:lang w:eastAsia="en-US"/>
        </w:rPr>
        <w:t>tregon se kjo është një nga fushat ku është arritur progresi më i dukshëm strukturor, veçanërisht me konsolidimin e reformës së vlerësimit të aftësisë së kufizuar dhe zgjerimin e rrjetit të shërbimeve komunitare. Megjithatë sistemi mbetet ende në një fazë tranzicioni nga përfitimet financiare drejt një modeli të plotë të kujdesit social dhe jetesës së pavarur</w:t>
      </w:r>
      <w:r w:rsidR="008F29FA" w:rsidRPr="00024D5A">
        <w:rPr>
          <w:rFonts w:ascii="Garamond" w:eastAsia="Times New Roman" w:hAnsi="Garamond"/>
          <w:lang w:eastAsia="en-US"/>
        </w:rPr>
        <w:t xml:space="preserve"> </w:t>
      </w:r>
      <w:r w:rsidRPr="00024D5A">
        <w:rPr>
          <w:rFonts w:ascii="Garamond" w:eastAsia="Times New Roman" w:hAnsi="Garamond"/>
          <w:lang w:eastAsia="en-US"/>
        </w:rPr>
        <w:t>që ndërthur përfitimet në para me shërbimet e integruara.</w:t>
      </w:r>
    </w:p>
    <w:p w14:paraId="5A89CB68" w14:textId="333C4031" w:rsidR="003E1630" w:rsidRPr="00024D5A" w:rsidRDefault="005743A8" w:rsidP="00791B1A">
      <w:pPr>
        <w:ind w:firstLine="284"/>
        <w:jc w:val="both"/>
        <w:rPr>
          <w:rFonts w:ascii="Garamond" w:eastAsia="Times New Roman" w:hAnsi="Garamond"/>
        </w:rPr>
      </w:pPr>
      <w:r w:rsidRPr="00024D5A">
        <w:rPr>
          <w:rFonts w:ascii="Garamond" w:eastAsia="Times New Roman" w:hAnsi="Garamond"/>
          <w:lang w:eastAsia="en-US"/>
        </w:rPr>
        <w:t>Një nga zhvillimet kryesore në këtë drejtim është konsolidimi në shkallë kombëtare i reformës së vlerësimit biopsikosocial. Reforma tashmë është shtrirë në të gjithë territorin e vendit, përmes funksionimit të 37 komisioneve të vlerësimit, të shpërndara sipas popullsisë dhe numrit të përfituesve. Gjatë kësaj periudhe është investuar në rritjen e kapaciteteve profesionale. Në vitin 2024 janë trajnuar 123 profesionistë të komisioneve (mjekë, punonjës socialë dhe operatorë), s i dhe stafe të shërbimeve sociale dhe të kujdesit shëndetësor, ndërsa trajnimet vijuan edhe në vitin 2025.</w:t>
      </w:r>
      <w:r w:rsidR="008F29FA" w:rsidRPr="00024D5A">
        <w:rPr>
          <w:rFonts w:ascii="Garamond" w:eastAsia="Times New Roman" w:hAnsi="Garamond"/>
          <w:lang w:eastAsia="en-US"/>
        </w:rPr>
        <w:t xml:space="preserve"> </w:t>
      </w:r>
    </w:p>
    <w:p w14:paraId="734D3F2D" w14:textId="498350B2"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Reforma ka mundësuar</w:t>
      </w:r>
      <w:r w:rsidR="00C41261" w:rsidRPr="00024D5A">
        <w:rPr>
          <w:rFonts w:ascii="Garamond" w:eastAsia="Times New Roman" w:hAnsi="Garamond"/>
        </w:rPr>
        <w:t>,</w:t>
      </w:r>
      <w:r w:rsidRPr="00024D5A">
        <w:rPr>
          <w:rFonts w:ascii="Garamond" w:eastAsia="Times New Roman" w:hAnsi="Garamond"/>
        </w:rPr>
        <w:t xml:space="preserve"> gjithashtu</w:t>
      </w:r>
      <w:r w:rsidR="00C41261" w:rsidRPr="00024D5A">
        <w:rPr>
          <w:rFonts w:ascii="Garamond" w:eastAsia="Times New Roman" w:hAnsi="Garamond"/>
        </w:rPr>
        <w:t>,</w:t>
      </w:r>
      <w:r w:rsidRPr="00024D5A">
        <w:rPr>
          <w:rFonts w:ascii="Garamond" w:eastAsia="Times New Roman" w:hAnsi="Garamond"/>
        </w:rPr>
        <w:t xml:space="preserve"> zgjerimin e skemës së mbështetjes, duke përfshirë në procesin e vlerësimit kategori dhe tipologji të reja të aftësisë së kufizuar që më parë nuk trajtoheshin nga sistemi, si p</w:t>
      </w:r>
      <w:r w:rsidR="00656D21" w:rsidRPr="00024D5A">
        <w:rPr>
          <w:rFonts w:ascii="Garamond" w:eastAsia="Times New Roman" w:hAnsi="Garamond"/>
        </w:rPr>
        <w:t>.</w:t>
      </w:r>
      <w:r w:rsidRPr="00024D5A">
        <w:rPr>
          <w:rFonts w:ascii="Garamond" w:eastAsia="Times New Roman" w:hAnsi="Garamond"/>
        </w:rPr>
        <w:t>sh., personat që nuk dëgjojnë mbi 21 vjeç, më shumë raste me probleme të shëndetit mendor etj.</w:t>
      </w:r>
    </w:p>
    <w:p w14:paraId="757D9EDA" w14:textId="6160E472"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Përfitimet monetare</w:t>
      </w:r>
      <w:r w:rsidR="008F29FA" w:rsidRPr="00024D5A">
        <w:rPr>
          <w:rFonts w:ascii="Garamond" w:eastAsia="Times New Roman" w:hAnsi="Garamond"/>
        </w:rPr>
        <w:t xml:space="preserve"> </w:t>
      </w:r>
      <w:r w:rsidRPr="00024D5A">
        <w:rPr>
          <w:rFonts w:ascii="Garamond" w:eastAsia="Times New Roman" w:hAnsi="Garamond"/>
        </w:rPr>
        <w:t>vijojnë të përbëjnë një komponent të rëndësishëm të mbështetjes sociale për personat me aftësi të kufizuara</w:t>
      </w:r>
      <w:r w:rsidRPr="00024D5A">
        <w:rPr>
          <w:rFonts w:ascii="Garamond" w:eastAsia="Times New Roman" w:hAnsi="Garamond"/>
          <w:lang w:eastAsia="en-US"/>
        </w:rPr>
        <w:t>. Numri i personave që marrin pagesë për aftësinë e kufizuar u rrit nga 73,559 persona në vitin 2024 në 76,586 në vitin 2025. Janë përfshirë në përfitimin e fishave të diabetit falas të gjithë personat me aftësi të kufizuar</w:t>
      </w:r>
      <w:r w:rsidR="00170447" w:rsidRPr="00024D5A">
        <w:rPr>
          <w:rFonts w:ascii="Garamond" w:eastAsia="Times New Roman" w:hAnsi="Garamond"/>
          <w:lang w:eastAsia="en-US"/>
        </w:rPr>
        <w:t>a.</w:t>
      </w:r>
      <w:r w:rsidRPr="00024D5A">
        <w:rPr>
          <w:rFonts w:ascii="Garamond" w:eastAsia="Times New Roman" w:hAnsi="Garamond"/>
          <w:lang w:eastAsia="en-US"/>
        </w:rPr>
        <w:t xml:space="preserve"> Po ashtu, është rishikuar pagesa mujore për mbulimin e</w:t>
      </w:r>
      <w:r w:rsidR="008F29FA" w:rsidRPr="00024D5A">
        <w:rPr>
          <w:rFonts w:ascii="Garamond" w:eastAsia="Times New Roman" w:hAnsi="Garamond"/>
          <w:lang w:eastAsia="en-US"/>
        </w:rPr>
        <w:t xml:space="preserve"> </w:t>
      </w:r>
      <w:r w:rsidRPr="00024D5A">
        <w:rPr>
          <w:rFonts w:ascii="Garamond" w:eastAsia="Times New Roman" w:hAnsi="Garamond"/>
          <w:lang w:eastAsia="en-US"/>
        </w:rPr>
        <w:t>paketës higjieno-sanitare, duke u rritur me 4,000 lekë dhe duke u indeksuar çdo vit në bazë të indeksit të çmimeve të konsumit. Megjithatë, ende nuk është realizuar një analizë e plotë për përshtatjen e kësaj pakete sipas nevojave individuale. Nëpërmjet Fondit Social janë ngritur 39 shërbime të dedikuara për personat me aftësi të kufizuara, nga të cilat përfitojnë rreth 11,000 persona. Këto përfshijnë 18 shërbime lëvizëse me ekipe shumëdisiplinore, që ofrojnë kujdes në familje, 20 qendra ditore rehabilituese dhe një shërbim të specializuar për mjete ndihmëse, që ofron karrige me rrota dhe pajisje mbështetëse çdo vit, nga ku mbi 650 persona përfitojnë karrige me rrota të përshtatura sipas nevojave individuale. Shërbimet lëvizëse kanë rezultuar ndër më efektivet për të arritur përfituesit në komunitet. Megjithatë, shërbimet mbeten të pabarabarta dhe të fragmentuara. Personat mbi 16 vjeç kanë më pak akses në kujdes social dhe të rriturit përbëjnë rreth një të tretën e përfituesve. Ndërkohë, ende nuk ekziston një cikël i plotë i gjurmimit të shërbimit. Sistemi i të dhënave nuk mundëson të dihet, nëse personat e referuar nga komisionet e vlerësimit e marrin realisht shërbimin. Edhe pse ekziston regjistri elektronik i aftësisë së kufizuar dhe realizohet referimi drejt shërbimeve, mungon monitorimi i impaktit në jetën e përfituesit.</w:t>
      </w:r>
    </w:p>
    <w:p w14:paraId="6F43F49F" w14:textId="7CF4C1B4"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Një tjetër zhvillim i rëndësishëm është avancimi i deinstitucionalizimit. Numri i personave me aftësi të kufi</w:t>
      </w:r>
      <w:r w:rsidR="000A632A" w:rsidRPr="00024D5A">
        <w:rPr>
          <w:rFonts w:ascii="Garamond" w:eastAsia="Times New Roman" w:hAnsi="Garamond"/>
          <w:lang w:eastAsia="en-US"/>
        </w:rPr>
        <w:t>zu</w:t>
      </w:r>
      <w:r w:rsidRPr="00024D5A">
        <w:rPr>
          <w:rFonts w:ascii="Garamond" w:eastAsia="Times New Roman" w:hAnsi="Garamond"/>
          <w:lang w:eastAsia="en-US"/>
        </w:rPr>
        <w:t xml:space="preserve">ara, që jetojnë në institucione rezidenciale u ul në 207 në vitin 2024 dhe 213 në vitin 2025, nga 263 në vitin 2023. Janë hartuar plane individuale mbështetjeje dhe janë zhvilluar modele të reja të jetesës së pavarur, përfshirë shërbimet komunitare dhe përfshirjen në familje kujdestare. Miratimi i ligjit për kujdesin alternativ në familje 92/2025 përforcon këtë drejtim. </w:t>
      </w:r>
    </w:p>
    <w:p w14:paraId="1D0C7977"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Politikat e strehimit social janë zgjeruar për të garantuar akses dhe përfshirje të personave me aftësi të kufizuara. Rreth 18% e përfituesve të programeve të strehimit social janë persona me aftësi të kufizuara dhe subvencioni i qirasë është forma më e përdorur e mbështetjes. Ndryshimet ligjore parashikojnë edhe banesa të përshtatura dhe prioritet në aplikim për familjet që kanë anëtarë me aftësi të kufizuara. </w:t>
      </w:r>
    </w:p>
    <w:p w14:paraId="029C8DE5" w14:textId="46B7F305"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Disa sfida me karakter strukturor mbeten për t’u adresuar më tej. Ndërkohë që janë ndërmarrë hapa të rëndësishëm për përmirësimin e koordinimit dhe planifikimit të shërbimeve, përfshirë hartën kombëtare të shërbimeve sociale që përditësohet periodikisht, mekanizmin e financimit përmes Fondit Social dhe analizat e nevojave të realizuara nga njësitë e vetëqeverisjes vendore</w:t>
      </w:r>
      <w:r w:rsidR="003B34C2" w:rsidRPr="00024D5A">
        <w:rPr>
          <w:rFonts w:ascii="Garamond" w:eastAsia="Times New Roman" w:hAnsi="Garamond"/>
        </w:rPr>
        <w:t>,</w:t>
      </w:r>
      <w:r w:rsidRPr="00024D5A">
        <w:rPr>
          <w:rFonts w:ascii="Garamond" w:eastAsia="Times New Roman" w:hAnsi="Garamond"/>
        </w:rPr>
        <w:t xml:space="preserve"> në kuadër të planeve sociale vendore, ende nevojitet forcimi i mëtejshëm i një sistemi të integruar monitorimi që të lidhë procesin e vlerësimit të nevojave me aksesin efektiv në shërbime dhe me ndikimin e tyre në cilësinë e jetës së personave me aftësi të kufizuara. Kapacitetet e bashkive, veçanërisht në zonat rurale duhet të fuqizohen, ndërsa po ndërmerren masa për të rritur qëndrueshmërinë financiare të shërbimeve përmes forcimit të mekanizmave të financimit, përfshirë edhe krijimin e Fondit Social Vendor. Gjithashtu, kuadri i shërbimeve për jetesë të pavarur kërkon zhvillim të mëtejshëm, veçanërisht përmes avancimit të skemës së asistentit personal, mekanizmave të vendimmarrjes së mbështetur dhe shërbimeve të strukturuara të mbështetjes për familjen.</w:t>
      </w:r>
    </w:p>
    <w:p w14:paraId="4AFC3E7E" w14:textId="19F2F27E"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Në tërësi, periudha </w:t>
      </w:r>
      <w:r w:rsidR="007247B2" w:rsidRPr="00024D5A">
        <w:rPr>
          <w:rFonts w:ascii="Garamond" w:eastAsia="Times New Roman" w:hAnsi="Garamond"/>
          <w:lang w:eastAsia="en-US"/>
        </w:rPr>
        <w:t>2021–2025</w:t>
      </w:r>
      <w:r w:rsidRPr="00024D5A">
        <w:rPr>
          <w:rFonts w:ascii="Garamond" w:eastAsia="Times New Roman" w:hAnsi="Garamond"/>
          <w:lang w:eastAsia="en-US"/>
        </w:rPr>
        <w:t xml:space="preserve"> tregon një transformim gradual të sistemit nga një model i bazuar kryesisht në pagesa financiare drejt një modeli që ndërthur përfitimet në para me shërbimet sociale komunitare. Megjithatë, sistemi ende nuk garanton mbështetje të integruar dhe të personalizuar për çdo individ. Për këtë arsye, Plani Kombëtar i Veprimit për Personat me Aftësi të Kufizuara </w:t>
      </w:r>
      <w:r w:rsidR="00657405" w:rsidRPr="00024D5A">
        <w:rPr>
          <w:rFonts w:ascii="Garamond" w:eastAsia="Times New Roman" w:hAnsi="Garamond"/>
          <w:lang w:eastAsia="en-US"/>
        </w:rPr>
        <w:t>2026–2030</w:t>
      </w:r>
      <w:r w:rsidRPr="00024D5A">
        <w:rPr>
          <w:rFonts w:ascii="Garamond" w:eastAsia="Times New Roman" w:hAnsi="Garamond"/>
          <w:lang w:eastAsia="en-US"/>
        </w:rPr>
        <w:t xml:space="preserve"> do të përqendrohet në ndërtimin e një sistemi të plotë të jetesës së pavarur. Ai do të mundësojë lidhjen funksionale ndërmjet vlerësimit biopsikosocial dhe përfitimit real të shërbimeve, krijimin e shërbimeve të reja si ndihmësi personal dhe kujdesi në banesë, zgjerimin e strehimit të përshtatur, garantimin e mjeteve ndihmëse sipas nevojës individuale nëpërmjet sistemit shëndetësor, forcimin e kapaciteteve të bashkive dhe sigurimin e financimit të qëndrueshëm të shërbimeve. </w:t>
      </w:r>
    </w:p>
    <w:p w14:paraId="0603DAF1" w14:textId="70868F49" w:rsidR="003E1630" w:rsidRPr="00024D5A" w:rsidRDefault="0058487E" w:rsidP="00791B1A">
      <w:pPr>
        <w:pStyle w:val="Heading2"/>
        <w:spacing w:before="0"/>
        <w:ind w:firstLine="284"/>
        <w:rPr>
          <w:rFonts w:ascii="Garamond" w:hAnsi="Garamond"/>
          <w:color w:val="auto"/>
          <w:sz w:val="24"/>
          <w:szCs w:val="24"/>
          <w:lang w:eastAsia="en-US"/>
        </w:rPr>
      </w:pPr>
      <w:bookmarkStart w:id="14" w:name="_Toc231489619"/>
      <w:r w:rsidRPr="00024D5A">
        <w:rPr>
          <w:rFonts w:ascii="Garamond" w:hAnsi="Garamond"/>
          <w:color w:val="auto"/>
          <w:sz w:val="24"/>
          <w:szCs w:val="24"/>
          <w:lang w:eastAsia="en-US"/>
        </w:rPr>
        <w:t>2</w:t>
      </w:r>
      <w:r w:rsidR="005743A8" w:rsidRPr="00024D5A">
        <w:rPr>
          <w:rFonts w:ascii="Garamond" w:hAnsi="Garamond"/>
          <w:color w:val="auto"/>
          <w:sz w:val="24"/>
          <w:szCs w:val="24"/>
          <w:lang w:eastAsia="en-US"/>
        </w:rPr>
        <w:t>.6. Analizë e gjendjes aktuale në fushën e shëndetësisë</w:t>
      </w:r>
      <w:bookmarkEnd w:id="14"/>
      <w:r w:rsidR="005743A8" w:rsidRPr="00024D5A">
        <w:rPr>
          <w:rFonts w:ascii="Garamond" w:hAnsi="Garamond"/>
          <w:color w:val="auto"/>
          <w:sz w:val="24"/>
          <w:szCs w:val="24"/>
          <w:lang w:eastAsia="en-US"/>
        </w:rPr>
        <w:t xml:space="preserve"> </w:t>
      </w:r>
    </w:p>
    <w:p w14:paraId="5CF2F277" w14:textId="184D7FED"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Në Planin Kombëtar të Veprimit për Personat me Aftësi të Kufizuara </w:t>
      </w:r>
      <w:r w:rsidR="007247B2" w:rsidRPr="00024D5A">
        <w:rPr>
          <w:rFonts w:ascii="Garamond" w:eastAsia="Times New Roman" w:hAnsi="Garamond"/>
          <w:lang w:eastAsia="en-US"/>
        </w:rPr>
        <w:t>2021–2025</w:t>
      </w:r>
      <w:r w:rsidRPr="00024D5A">
        <w:rPr>
          <w:rFonts w:ascii="Garamond" w:eastAsia="Times New Roman" w:hAnsi="Garamond"/>
          <w:lang w:eastAsia="en-US"/>
        </w:rPr>
        <w:t xml:space="preserve">, në fushën e politikave shëndetësore u përcaktua si qëllim strategjik sigurimi i një kujdesi shëndetësor të aksesueshëm dhe të përballueshëm për të gjitha kategoritë e personave me aftësi të kufizuara, nëpërmjet lehtësimit të përdorimit të shërbimeve shëndetësore dhe zhvillimit të shërbimeve të parandalimit, ndërhyrjes së hershme dhe rehabilitimit. </w:t>
      </w:r>
    </w:p>
    <w:p w14:paraId="6F4CB1CB" w14:textId="10C5F704"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Monitorimi i periudhës </w:t>
      </w:r>
      <w:r w:rsidR="007247B2" w:rsidRPr="00024D5A">
        <w:rPr>
          <w:rFonts w:ascii="Garamond" w:eastAsia="Times New Roman" w:hAnsi="Garamond"/>
          <w:lang w:eastAsia="en-US"/>
        </w:rPr>
        <w:t>2021–2025</w:t>
      </w:r>
      <w:r w:rsidRPr="00024D5A">
        <w:rPr>
          <w:rFonts w:ascii="Garamond" w:eastAsia="Times New Roman" w:hAnsi="Garamond"/>
          <w:lang w:eastAsia="en-US"/>
        </w:rPr>
        <w:t xml:space="preserve"> tregon se sektori i shëndetësisë ka shënuar progres të qëndrueshëm në zgjerimin e shërbimeve dhe në rritjen e kapaciteteve profesionale, megjithatë një pjesë e rëndësishme e ndërhyrjeve mbetet e pjesshme ose ende në proces zhvillimi.</w:t>
      </w:r>
    </w:p>
    <w:p w14:paraId="6C4DAE88" w14:textId="702A0762"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Një nga zhvillimet më të rëndësishme është integrimi gradual i kujdesit shëndetësor me atë social në nivel komuniteti. Që nga viti 2023 janë ngritur dhe funksionojnë 103 qendra socioshëndetësore, ku ekipit tradicional të mjekëve të familjes </w:t>
      </w:r>
      <w:r w:rsidR="00886978" w:rsidRPr="00024D5A">
        <w:rPr>
          <w:rFonts w:ascii="Garamond" w:eastAsia="Times New Roman" w:hAnsi="Garamond"/>
          <w:lang w:eastAsia="en-US"/>
        </w:rPr>
        <w:t>u</w:t>
      </w:r>
      <w:r w:rsidRPr="00024D5A">
        <w:rPr>
          <w:rFonts w:ascii="Garamond" w:eastAsia="Times New Roman" w:hAnsi="Garamond"/>
          <w:lang w:eastAsia="en-US"/>
        </w:rPr>
        <w:t xml:space="preserve"> janë shtuar profesionistë psikosocialë</w:t>
      </w:r>
      <w:r w:rsidR="00886978" w:rsidRPr="00024D5A">
        <w:rPr>
          <w:rFonts w:ascii="Garamond" w:eastAsia="Times New Roman" w:hAnsi="Garamond"/>
          <w:lang w:eastAsia="en-US"/>
        </w:rPr>
        <w:t>,</w:t>
      </w:r>
      <w:r w:rsidRPr="00024D5A">
        <w:rPr>
          <w:rFonts w:ascii="Garamond" w:eastAsia="Times New Roman" w:hAnsi="Garamond"/>
          <w:lang w:eastAsia="en-US"/>
        </w:rPr>
        <w:t xml:space="preserve"> si</w:t>
      </w:r>
      <w:r w:rsidR="00886978" w:rsidRPr="00024D5A">
        <w:rPr>
          <w:rFonts w:ascii="Garamond" w:eastAsia="Times New Roman" w:hAnsi="Garamond"/>
          <w:lang w:eastAsia="en-US"/>
        </w:rPr>
        <w:t>:</w:t>
      </w:r>
      <w:r w:rsidRPr="00024D5A">
        <w:rPr>
          <w:rFonts w:ascii="Garamond" w:eastAsia="Times New Roman" w:hAnsi="Garamond"/>
          <w:lang w:eastAsia="en-US"/>
        </w:rPr>
        <w:t xml:space="preserve"> psikologë, punonjës socialë, të cilët ofrojnë shërbime edhe për personat me aftësi të kufizuara. Këto ekipe ndërdisiplinore kanë vijuar funksionimin gjatë viteve 2024</w:t>
      </w:r>
      <w:r w:rsidR="006C287E" w:rsidRPr="00024D5A">
        <w:rPr>
          <w:rFonts w:ascii="Garamond" w:eastAsia="Times New Roman" w:hAnsi="Garamond"/>
          <w:lang w:eastAsia="en-US"/>
        </w:rPr>
        <w:t>–</w:t>
      </w:r>
      <w:r w:rsidRPr="00024D5A">
        <w:rPr>
          <w:rFonts w:ascii="Garamond" w:eastAsia="Times New Roman" w:hAnsi="Garamond"/>
          <w:lang w:eastAsia="en-US"/>
        </w:rPr>
        <w:t>2025 dhe kanë kontribuar në rritjen e aksesit në shërbime, veçanërisht për grupet vulnerabël. Gjithashtu, janë vendosur pika kontakti pranë operatorëve përkatës për koordinimin e çështjeve që lidhen me personat me aftësi të kufizuara.</w:t>
      </w:r>
    </w:p>
    <w:p w14:paraId="7B2D85EC"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Në të njëjtën kohë është zgjeruar kujdesi shëndetësor në banesë, i cili mbulon 325 qendra shëndetësore në nivel kombëtar dhe shoqërohet me trajnimin e 3,142 profesionistëve shëndetësorë për menaxhimin e sëmundjeve kronike dhe të problemeve të shëndetit mendor. Ky shërbim përbën një nga arritjet më të rëndësishme praktike, pasi lehtëson aksesin në kujdes për personat me kufizime në lëvizje ose me nevoja të vazhdueshme trajtimi.</w:t>
      </w:r>
    </w:p>
    <w:p w14:paraId="1C77ABF1" w14:textId="1A606D69"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Përmirësim është vërejtur edhe në fushën e shëndetit mendor. Janë realizuar 43 seanca fuqizimi kapacitetesh për identifikimin dhe ndërhyrjen e hershme të problemeve të shëndetit mendor, me 437 pjesëmarrës, si dhe aktivitete informuese ndërsektoriale me rreth 500 profesionistë. Në vijim të reformës në shërbimet e kujdesit parësor është zbatuar udhëzimi për menaxhimin e çrregullimeve të shëndetit mendor, i orientuar drejt qasjes komunitare dhe garantimit të të drejtave të personave me aftësi të kufizuara. Në kuadër të deinstitucionalizimit ka filluar procesi i vlerësimit socioshëndetësor dhe i riintegrimit në komunitet për personat me aftësi të kufizuara intelektuale rezidentë në spitalet psikiatrike, në bashkëpunim me pushtetin vendor. Paralelisht është ngritur grupi i punës për hartimin e standardeve të cilësisë për shërbimet e specializuara të shëndetit mendor dhe për shtëpitë e mbështetura.</w:t>
      </w:r>
    </w:p>
    <w:p w14:paraId="360C041C" w14:textId="005225D9"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Megjithëse 171 persona pajisen me mjete të tjera ndihmëse lëvizëse krahas karrigeve me rrota, ende nuk ka një sistem të</w:t>
      </w:r>
      <w:r w:rsidR="00944DFD" w:rsidRPr="00024D5A">
        <w:rPr>
          <w:rFonts w:ascii="Garamond" w:eastAsia="Times New Roman" w:hAnsi="Garamond"/>
          <w:lang w:eastAsia="en-US"/>
        </w:rPr>
        <w:t xml:space="preserve"> qartë</w:t>
      </w:r>
      <w:r w:rsidRPr="00024D5A">
        <w:rPr>
          <w:rFonts w:ascii="Garamond" w:eastAsia="Times New Roman" w:hAnsi="Garamond"/>
          <w:lang w:eastAsia="en-US"/>
        </w:rPr>
        <w:t xml:space="preserve"> për mjetet ndihmëse sipas nevojave të personave me aftësi së kufizuar</w:t>
      </w:r>
      <w:r w:rsidR="0030621C" w:rsidRPr="00024D5A">
        <w:rPr>
          <w:rFonts w:ascii="Garamond" w:eastAsia="Times New Roman" w:hAnsi="Garamond"/>
          <w:lang w:eastAsia="en-US"/>
        </w:rPr>
        <w:t>a</w:t>
      </w:r>
      <w:r w:rsidRPr="00024D5A">
        <w:rPr>
          <w:rFonts w:ascii="Garamond" w:eastAsia="Times New Roman" w:hAnsi="Garamond"/>
          <w:lang w:eastAsia="en-US"/>
        </w:rPr>
        <w:t>.</w:t>
      </w:r>
    </w:p>
    <w:p w14:paraId="06066B8F" w14:textId="044AF2F2"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Përfituesit e kujdesit shëndetësor në banesë janë mbështetur</w:t>
      </w:r>
      <w:r w:rsidR="00D24B54" w:rsidRPr="00024D5A">
        <w:rPr>
          <w:rFonts w:ascii="Garamond" w:eastAsia="Times New Roman" w:hAnsi="Garamond"/>
          <w:lang w:eastAsia="en-US"/>
        </w:rPr>
        <w:t>,</w:t>
      </w:r>
      <w:r w:rsidRPr="00024D5A">
        <w:rPr>
          <w:rFonts w:ascii="Garamond" w:eastAsia="Times New Roman" w:hAnsi="Garamond"/>
          <w:lang w:eastAsia="en-US"/>
        </w:rPr>
        <w:t xml:space="preserve"> gjithashtu</w:t>
      </w:r>
      <w:r w:rsidR="00D24B54" w:rsidRPr="00024D5A">
        <w:rPr>
          <w:rFonts w:ascii="Garamond" w:eastAsia="Times New Roman" w:hAnsi="Garamond"/>
          <w:lang w:eastAsia="en-US"/>
        </w:rPr>
        <w:t>,</w:t>
      </w:r>
      <w:r w:rsidRPr="00024D5A">
        <w:rPr>
          <w:rFonts w:ascii="Garamond" w:eastAsia="Times New Roman" w:hAnsi="Garamond"/>
          <w:lang w:eastAsia="en-US"/>
        </w:rPr>
        <w:t xml:space="preserve"> me pajisje ndihmëse sipas vlerësimit funksional. Paralelisht, është zgjeruar infrastruktura e shërbimit stomatologjik përmes hapjes së kabineteve të reja dentare pranë shkollave dhe forcimit të strukturave ekzistuese.</w:t>
      </w:r>
    </w:p>
    <w:p w14:paraId="3F590811"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Megjithatë, progresi i arritur shoqërohet me një sërë boshllëqesh strukturore. Shumë masa të lehtësimit të vizitave mjekësore zbatohen në praktikë, por nuk janë të formalizuara në protokolle zyrtare, duke krijuar pabarazi në akses sipas institucioneve. Nuk ekziston ende një udhëzim i detyrueshëm për mënyrën e ofrimit të shërbimeve shëndetësore për personat me aftësi të kufizuara dhe ofrimi i interpretimit në gjuhën e shenjave gjatë vizitave mbetet i kufizuar. Gjithashtu, aktivitetet informuese për komunitetin e personave që nuk dëgjojnë kanë qenë relativisht të ulëta.</w:t>
      </w:r>
    </w:p>
    <w:p w14:paraId="55975A14"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Mbështetja me mjete ndihmëse mbetet e pjesshme: financimi shtetëror mbulon kryesisht karriget me rrota, ndërsa për proteza dhe mjete e teknologji të tjera ndihmëse nuk ekziston një planifikim i plotë sipas nevojave individuale. Nuk është kryer ende një analizë kombëtare e nevojave për këto pajisje dhe as identifikimi i prodhuesve potencialë në treg. Njëkohësisht, shërbimet e rehabilitimit mjekësor janë të kufizuara dhe ende në zhvillim, megjithëse janë ngritur disa njësi fizioterapie në sistemin parësor dhe spitalor.</w:t>
      </w:r>
    </w:p>
    <w:p w14:paraId="2A678C4E" w14:textId="02DAD55D"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Në tërësi, periudha </w:t>
      </w:r>
      <w:r w:rsidR="007247B2" w:rsidRPr="00024D5A">
        <w:rPr>
          <w:rFonts w:ascii="Garamond" w:eastAsia="Times New Roman" w:hAnsi="Garamond"/>
          <w:lang w:eastAsia="en-US"/>
        </w:rPr>
        <w:t>2021–2025</w:t>
      </w:r>
      <w:r w:rsidRPr="00024D5A">
        <w:rPr>
          <w:rFonts w:ascii="Garamond" w:eastAsia="Times New Roman" w:hAnsi="Garamond"/>
          <w:lang w:eastAsia="en-US"/>
        </w:rPr>
        <w:t xml:space="preserve"> tregon një kalim gradual nga një model i kujdesit shëndetësor të fokusuar në trajtimin spitalor, drejt një modeli komunitar dhe të integruar me shërbimet sociale. Megjithatë, sistemi ende nuk garanton akses të barabartë dhe të standardizuar për të gjitha kategoritë e personave me aftësi të kufizuara. Për këtë arsye, PKVPAK </w:t>
      </w:r>
      <w:r w:rsidR="00657405" w:rsidRPr="00024D5A">
        <w:rPr>
          <w:rFonts w:ascii="Garamond" w:eastAsia="Times New Roman" w:hAnsi="Garamond"/>
          <w:lang w:eastAsia="en-US"/>
        </w:rPr>
        <w:t>2026–2030</w:t>
      </w:r>
      <w:r w:rsidRPr="00024D5A">
        <w:rPr>
          <w:rFonts w:ascii="Garamond" w:eastAsia="Times New Roman" w:hAnsi="Garamond"/>
          <w:lang w:eastAsia="en-US"/>
        </w:rPr>
        <w:t xml:space="preserve"> do të përqendrohet në formalizimin dhe standardizimin e shërbimeve shëndetësore për personat me aftësi të kufizuara, duke përfshirë miratimin e protokolleve të detyrueshme për aksesin në shërbime, zgjerimin e shërbimeve të shëndetit mendor për të rriturit, planifikimin e mbulimit financiar të mjeteve ndihmëse sipas nevojave individuale dhe zgjerimin e shërbimeve të rehabilitimit. Gjithashtu, do të forcohet koordinimi ndërinstitucional me shërbimet sociale dhe pushtetin vendor, në mënyrë që kujdesi shëndetësor të mos kufizohet vetëm në trajtim mjekësor, por të mbështesë jetesën e pavarur dhe përfshirjen sociale të personave me aftësi të kufizuara.</w:t>
      </w:r>
    </w:p>
    <w:p w14:paraId="617E5A69" w14:textId="58C0521A" w:rsidR="003E1630" w:rsidRPr="00024D5A" w:rsidRDefault="0058487E" w:rsidP="00791B1A">
      <w:pPr>
        <w:pStyle w:val="Heading2"/>
        <w:spacing w:before="0"/>
        <w:ind w:firstLine="284"/>
        <w:rPr>
          <w:rFonts w:ascii="Garamond" w:hAnsi="Garamond"/>
          <w:color w:val="auto"/>
          <w:sz w:val="24"/>
          <w:szCs w:val="24"/>
          <w:lang w:eastAsia="en-US"/>
        </w:rPr>
      </w:pPr>
      <w:bookmarkStart w:id="15" w:name="_Toc231489620"/>
      <w:r w:rsidRPr="00024D5A">
        <w:rPr>
          <w:rFonts w:ascii="Garamond" w:hAnsi="Garamond"/>
          <w:color w:val="auto"/>
          <w:sz w:val="24"/>
          <w:szCs w:val="24"/>
          <w:lang w:eastAsia="en-US"/>
        </w:rPr>
        <w:t>2</w:t>
      </w:r>
      <w:r w:rsidR="005743A8" w:rsidRPr="00024D5A">
        <w:rPr>
          <w:rFonts w:ascii="Garamond" w:hAnsi="Garamond"/>
          <w:color w:val="auto"/>
          <w:sz w:val="24"/>
          <w:szCs w:val="24"/>
          <w:lang w:eastAsia="en-US"/>
        </w:rPr>
        <w:t>.7 Analizë e gjendjes aktuale në fushën e pjesëmarrjes</w:t>
      </w:r>
      <w:bookmarkEnd w:id="15"/>
    </w:p>
    <w:p w14:paraId="475F5253" w14:textId="478A1640" w:rsidR="003E1630" w:rsidRPr="00024D5A" w:rsidRDefault="0058487E" w:rsidP="00791B1A">
      <w:pPr>
        <w:pStyle w:val="Heading2"/>
        <w:spacing w:before="0"/>
        <w:ind w:firstLine="284"/>
        <w:rPr>
          <w:rFonts w:ascii="Garamond" w:hAnsi="Garamond"/>
          <w:color w:val="auto"/>
          <w:sz w:val="24"/>
          <w:szCs w:val="24"/>
          <w:lang w:eastAsia="en-US"/>
        </w:rPr>
      </w:pPr>
      <w:bookmarkStart w:id="16" w:name="_Toc231489621"/>
      <w:r w:rsidRPr="00024D5A">
        <w:rPr>
          <w:rFonts w:ascii="Garamond" w:hAnsi="Garamond"/>
          <w:color w:val="auto"/>
          <w:sz w:val="24"/>
          <w:szCs w:val="24"/>
          <w:lang w:eastAsia="en-US"/>
        </w:rPr>
        <w:t>2</w:t>
      </w:r>
      <w:r w:rsidR="005743A8" w:rsidRPr="00024D5A">
        <w:rPr>
          <w:rFonts w:ascii="Garamond" w:hAnsi="Garamond"/>
          <w:color w:val="auto"/>
          <w:sz w:val="24"/>
          <w:szCs w:val="24"/>
          <w:lang w:eastAsia="en-US"/>
        </w:rPr>
        <w:t>.7.1 Pjesëmarrja në jetën politike</w:t>
      </w:r>
      <w:bookmarkEnd w:id="16"/>
    </w:p>
    <w:p w14:paraId="2EE60E60" w14:textId="3AD12873"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Gjatë zbatimit të Planit Kombëtar të Veprimit </w:t>
      </w:r>
      <w:r w:rsidR="007247B2" w:rsidRPr="00024D5A">
        <w:rPr>
          <w:rFonts w:ascii="Garamond" w:eastAsia="Times New Roman" w:hAnsi="Garamond"/>
          <w:lang w:eastAsia="en-US"/>
        </w:rPr>
        <w:t>2021–2025</w:t>
      </w:r>
      <w:r w:rsidRPr="00024D5A">
        <w:rPr>
          <w:rFonts w:ascii="Garamond" w:eastAsia="Times New Roman" w:hAnsi="Garamond"/>
          <w:lang w:eastAsia="en-US"/>
        </w:rPr>
        <w:t xml:space="preserve"> janë ndërmarrë hapa të rëndësishëm për të garantuar ushtrimin e së drejtës së votës nga personat me aftësi të kufizuara. Procesi zgjedhor i vitit 2025 përfaqëson për herë të parë një përpjekje më të strukturuar institucionale për të adresuar aksesin në votim. Komisioni Qendror i Zgjedhjeve hartoi një program të veçantë për edukimin dhe ndërgjegjësimin e zgjedhësve me aftësi të kufizuara, i cili synoi informimin dhe krijimin e kushteve reale për ushtrimin e </w:t>
      </w:r>
      <w:r w:rsidR="00C927DA" w:rsidRPr="00024D5A">
        <w:rPr>
          <w:rFonts w:ascii="Garamond" w:eastAsia="Times New Roman" w:hAnsi="Garamond"/>
          <w:lang w:eastAsia="en-US"/>
        </w:rPr>
        <w:t>s</w:t>
      </w:r>
      <w:r w:rsidRPr="00024D5A">
        <w:rPr>
          <w:rFonts w:ascii="Garamond" w:eastAsia="Times New Roman" w:hAnsi="Garamond"/>
          <w:lang w:eastAsia="en-US"/>
        </w:rPr>
        <w:t xml:space="preserve">ë drejtës së votës. </w:t>
      </w:r>
    </w:p>
    <w:p w14:paraId="4AC232A5"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Fushata informuese u përshtat në gjuhën e shenjave, u prodhuan materiale audiovizive të aksesueshme, 5,500 postera sensibilizues u vendosën në qendrat e votimit dhe u zhvilluan takime informuese në të gjithë vendin. </w:t>
      </w:r>
    </w:p>
    <w:p w14:paraId="171DBF82"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Një arritje e rëndësishme ishte përdorimi i fletës së votimit në alfabetin Braille, që mundësoi votim të pavarur për personat që nuk shohin. Po ashtu, faqja zyrtare e KQZ u bë e aksesueshme dhe administrata zgjedhore u trajnua për të adresuar nevojat specifike të votuesve me aftësi të kufizuara. Janë ndërmarrë masa për zhvendosjen e qendrave të votimit në kate përdhese kur ishte e nevojshme dhe janë përdorur të dhënat për planifikimin paraprak të aksesueshmërisë. </w:t>
      </w:r>
    </w:p>
    <w:p w14:paraId="6B48905A" w14:textId="04309B4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Megjithatë, progresi i arritur ka qenë kryesisht në nivel zbatimi praktik, ndërsa dimensioni sistemik mbetet i paadresuar plotësisht. Kodi Zgjedhor nuk parashikon ende forma </w:t>
      </w:r>
      <w:r w:rsidR="00944DFD" w:rsidRPr="00024D5A">
        <w:rPr>
          <w:rFonts w:ascii="Garamond" w:eastAsia="Times New Roman" w:hAnsi="Garamond"/>
          <w:lang w:eastAsia="en-US"/>
        </w:rPr>
        <w:t>al</w:t>
      </w:r>
      <w:r w:rsidRPr="00024D5A">
        <w:rPr>
          <w:rFonts w:ascii="Garamond" w:eastAsia="Times New Roman" w:hAnsi="Garamond"/>
          <w:lang w:eastAsia="en-US"/>
        </w:rPr>
        <w:t>ternative votimi, si votimi nga banesa, me postë apo në mënyrë elektronike, për personat që nuk mund të paraqiten fizikisht në qendrën e votimit. Një pjesë e konsiderueshme e qendrave të votimit vijojnë të jenë fizikisht të paarritshme, ndërsa mbledhja dhe raportimi i të dhënave mbi aksesueshmërinë nuk realizohet sipas një standardi të unifikuar ndërinstitucional. Gjithashtu, nuk është evidentuar përparim në drejtim të rritjes së përfaqësimit të personave me aftësi të kufizuara në këshillat bashkiakë përmes mekanizmave të kuotave.</w:t>
      </w:r>
    </w:p>
    <w:p w14:paraId="59D6BA64" w14:textId="1B75CCEE"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Në thelb, periudha </w:t>
      </w:r>
      <w:r w:rsidR="007247B2" w:rsidRPr="00024D5A">
        <w:rPr>
          <w:rFonts w:ascii="Garamond" w:eastAsia="Times New Roman" w:hAnsi="Garamond"/>
          <w:lang w:eastAsia="en-US"/>
        </w:rPr>
        <w:t>2021–2025</w:t>
      </w:r>
      <w:r w:rsidRPr="00024D5A">
        <w:rPr>
          <w:rFonts w:ascii="Garamond" w:eastAsia="Times New Roman" w:hAnsi="Garamond"/>
          <w:lang w:eastAsia="en-US"/>
        </w:rPr>
        <w:t xml:space="preserve"> ka përmirësuar aksesin në informacion dhe ndërgjegjësim për votimin, por nuk ka garantuar ende akses universal në ushtrimin e kësaj të drejte politike.</w:t>
      </w:r>
    </w:p>
    <w:p w14:paraId="1DB9652C" w14:textId="05099D65"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PKVPAK</w:t>
      </w:r>
      <w:r w:rsidR="00C927DA" w:rsidRPr="00024D5A">
        <w:rPr>
          <w:rFonts w:ascii="Garamond" w:eastAsia="Times New Roman" w:hAnsi="Garamond"/>
          <w:lang w:eastAsia="en-US"/>
        </w:rPr>
        <w:t xml:space="preserve"> </w:t>
      </w:r>
      <w:r w:rsidR="00657405" w:rsidRPr="00024D5A">
        <w:rPr>
          <w:rFonts w:ascii="Garamond" w:eastAsia="Times New Roman" w:hAnsi="Garamond"/>
          <w:lang w:eastAsia="en-US"/>
        </w:rPr>
        <w:t>2026–2030</w:t>
      </w:r>
      <w:r w:rsidRPr="00024D5A">
        <w:rPr>
          <w:rFonts w:ascii="Garamond" w:eastAsia="Times New Roman" w:hAnsi="Garamond"/>
          <w:lang w:eastAsia="en-US"/>
        </w:rPr>
        <w:t xml:space="preserve"> do të kalojë nga masa lehtësuese drejt garantimit ligjor të së drejtës së votës. Ai duhet të përfshijë ndryshime në Kodin Zgjedhor për forma alternative votimi, standarde të detyrueshme për aksesueshmërinë e qendrave të votimit, sistem kombëtar raportimi për aksesueshmërinë, trajnime të detyrueshme për administratën zgjedhore dhe mekanizma për përfaqësim real politik, përfshirë nxitjen e kandidimit dhe pjesëmarrjes në organet vendimmarrëse.</w:t>
      </w:r>
    </w:p>
    <w:p w14:paraId="6C6B1077" w14:textId="44F35799" w:rsidR="003E1630" w:rsidRPr="00024D5A" w:rsidRDefault="0058487E" w:rsidP="00791B1A">
      <w:pPr>
        <w:pStyle w:val="Heading2"/>
        <w:spacing w:before="0"/>
        <w:ind w:firstLine="284"/>
        <w:rPr>
          <w:rFonts w:ascii="Garamond" w:hAnsi="Garamond"/>
          <w:color w:val="auto"/>
          <w:sz w:val="24"/>
          <w:szCs w:val="24"/>
          <w:lang w:eastAsia="en-US"/>
        </w:rPr>
      </w:pPr>
      <w:bookmarkStart w:id="17" w:name="_Toc231489622"/>
      <w:r w:rsidRPr="00024D5A">
        <w:rPr>
          <w:rFonts w:ascii="Garamond" w:hAnsi="Garamond"/>
          <w:color w:val="auto"/>
          <w:sz w:val="24"/>
          <w:szCs w:val="24"/>
          <w:lang w:eastAsia="en-US"/>
        </w:rPr>
        <w:t>2</w:t>
      </w:r>
      <w:r w:rsidR="005743A8" w:rsidRPr="00024D5A">
        <w:rPr>
          <w:rFonts w:ascii="Garamond" w:hAnsi="Garamond"/>
          <w:color w:val="auto"/>
          <w:sz w:val="24"/>
          <w:szCs w:val="24"/>
          <w:lang w:eastAsia="en-US"/>
        </w:rPr>
        <w:t>.7.2 Pjesëmarrja në jetën artistike dhe kulturore</w:t>
      </w:r>
      <w:bookmarkEnd w:id="17"/>
    </w:p>
    <w:p w14:paraId="62638A02" w14:textId="16B1793A"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Në fushën e kulturës, periudha </w:t>
      </w:r>
      <w:r w:rsidR="007247B2" w:rsidRPr="00024D5A">
        <w:rPr>
          <w:rFonts w:ascii="Garamond" w:eastAsia="Times New Roman" w:hAnsi="Garamond"/>
          <w:lang w:eastAsia="en-US"/>
        </w:rPr>
        <w:t>2021–2025</w:t>
      </w:r>
      <w:r w:rsidRPr="00024D5A">
        <w:rPr>
          <w:rFonts w:ascii="Garamond" w:eastAsia="Times New Roman" w:hAnsi="Garamond"/>
          <w:lang w:eastAsia="en-US"/>
        </w:rPr>
        <w:t xml:space="preserve"> shënon një rritje të ndërgjegjësimit institucional dhe mbështetjes financiare për aktivitetet kulturore që përfshijnë personat me aftësi të kufizuara. Ndryshimet në </w:t>
      </w:r>
      <w:r w:rsidR="00F958F2" w:rsidRPr="00024D5A">
        <w:rPr>
          <w:rFonts w:ascii="Garamond" w:eastAsia="Times New Roman" w:hAnsi="Garamond"/>
          <w:lang w:eastAsia="en-US"/>
        </w:rPr>
        <w:t xml:space="preserve">ligjin për të drejtën e autorit </w:t>
      </w:r>
      <w:r w:rsidRPr="00024D5A">
        <w:rPr>
          <w:rFonts w:ascii="Garamond" w:eastAsia="Times New Roman" w:hAnsi="Garamond"/>
          <w:lang w:eastAsia="en-US"/>
        </w:rPr>
        <w:t xml:space="preserve">përafruan legjislacionin me standardet e Bashkimit Evropian dhe krijuan mundësi për publikimin e librave dhe materialeve në formate të aksesueshme për personat e verbër. </w:t>
      </w:r>
    </w:p>
    <w:p w14:paraId="1FB25468" w14:textId="5AF14323"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Institucionet kulturore organizuan aktivitete gjithëpërfshirëse dhe programe edukimi përmes artit. Në periudhën 2024</w:t>
      </w:r>
      <w:r w:rsidR="00C927DA" w:rsidRPr="00024D5A">
        <w:rPr>
          <w:rFonts w:ascii="Garamond" w:eastAsia="Times New Roman" w:hAnsi="Garamond"/>
          <w:lang w:eastAsia="en-US"/>
        </w:rPr>
        <w:t>–</w:t>
      </w:r>
      <w:r w:rsidRPr="00024D5A">
        <w:rPr>
          <w:rFonts w:ascii="Garamond" w:eastAsia="Times New Roman" w:hAnsi="Garamond"/>
          <w:lang w:eastAsia="en-US"/>
        </w:rPr>
        <w:t xml:space="preserve">2025, në institucionet kulturore kombëtare morën pjesë 51 persona me aftësi të kufizuara në programe edukimi dhe 697 si vizitorë. </w:t>
      </w:r>
    </w:p>
    <w:p w14:paraId="175CDFEB"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U financuan projekte artistike të dedikuara dhe aktivitetet në muze, teatro dhe institucione kulturore u ofruan falas për fëmijët me aftësi të kufizuara Megjithatë, pjesëmarrja mbetet e ulët dhe shpesh e varur nga projekte të përkohshme. Nuk ekziston një program i qëndrueshëm kombëtar për kulturën gjithëpërfshirëse dhe bashkëpunimi institucional me organizatat e personave me aftësi të kufizuara mbetet sporadik. Sistemi statistikor kulturor nuk gjeneron të dhëna të rregullta për pjesëmarrjen dhe aksesueshmëria fizike dhe në informacion në institucionet kulturore mbetet e pjesshme. </w:t>
      </w:r>
    </w:p>
    <w:p w14:paraId="6106EE72" w14:textId="57F8BE58"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PKVPAK</w:t>
      </w:r>
      <w:r w:rsidR="00C8053E" w:rsidRPr="00024D5A">
        <w:rPr>
          <w:rFonts w:ascii="Garamond" w:eastAsia="Times New Roman" w:hAnsi="Garamond"/>
          <w:lang w:eastAsia="en-US"/>
        </w:rPr>
        <w:t xml:space="preserve"> </w:t>
      </w:r>
      <w:r w:rsidR="00657405" w:rsidRPr="00024D5A">
        <w:rPr>
          <w:rFonts w:ascii="Garamond" w:eastAsia="Times New Roman" w:hAnsi="Garamond"/>
          <w:lang w:eastAsia="en-US"/>
        </w:rPr>
        <w:t>2026–2030</w:t>
      </w:r>
      <w:r w:rsidRPr="00024D5A">
        <w:rPr>
          <w:rFonts w:ascii="Garamond" w:eastAsia="Times New Roman" w:hAnsi="Garamond"/>
          <w:lang w:eastAsia="en-US"/>
        </w:rPr>
        <w:t xml:space="preserve"> synon të institucionalizojë kulturën gjithëpërfshirëse. Ai do të përfshijë standarde të detyrueshme aksesueshmërie për institucionet kulturore, financim të dedikuar për krijimtarinë artistike të personave me aftësi të kufizuara, programe të edukimit kulturor, akses në libra dhe informacion në formate të aksesueshme dhe një sistem të rregullt monitorimi statistikor të pjesëmarrjes kulturore.</w:t>
      </w:r>
    </w:p>
    <w:p w14:paraId="61F66E78" w14:textId="7C12C255" w:rsidR="003E1630" w:rsidRPr="00024D5A" w:rsidRDefault="0058487E" w:rsidP="00791B1A">
      <w:pPr>
        <w:pStyle w:val="Heading2"/>
        <w:spacing w:before="0"/>
        <w:ind w:firstLine="284"/>
        <w:rPr>
          <w:rFonts w:ascii="Garamond" w:hAnsi="Garamond"/>
          <w:color w:val="auto"/>
          <w:sz w:val="24"/>
          <w:szCs w:val="24"/>
          <w:lang w:eastAsia="en-US"/>
        </w:rPr>
      </w:pPr>
      <w:bookmarkStart w:id="18" w:name="_Toc231489623"/>
      <w:r w:rsidRPr="00024D5A">
        <w:rPr>
          <w:rFonts w:ascii="Garamond" w:hAnsi="Garamond"/>
          <w:color w:val="auto"/>
          <w:sz w:val="24"/>
          <w:szCs w:val="24"/>
          <w:lang w:eastAsia="en-US"/>
        </w:rPr>
        <w:t>2</w:t>
      </w:r>
      <w:r w:rsidR="005743A8" w:rsidRPr="00024D5A">
        <w:rPr>
          <w:rFonts w:ascii="Garamond" w:hAnsi="Garamond"/>
          <w:color w:val="auto"/>
          <w:sz w:val="24"/>
          <w:szCs w:val="24"/>
          <w:lang w:eastAsia="en-US"/>
        </w:rPr>
        <w:t>.7.3 Pjesëmarrja në sporte dhe aktivitete rekreative</w:t>
      </w:r>
      <w:bookmarkEnd w:id="18"/>
    </w:p>
    <w:p w14:paraId="45F8D061" w14:textId="24DBE3DF"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Në fushën e sportit, arritja më e rëndësishme e periudhës </w:t>
      </w:r>
      <w:r w:rsidR="007247B2" w:rsidRPr="00024D5A">
        <w:rPr>
          <w:rFonts w:ascii="Garamond" w:eastAsia="Times New Roman" w:hAnsi="Garamond"/>
          <w:lang w:eastAsia="en-US"/>
        </w:rPr>
        <w:t>2021–2025</w:t>
      </w:r>
      <w:r w:rsidRPr="00024D5A">
        <w:rPr>
          <w:rFonts w:ascii="Garamond" w:eastAsia="Times New Roman" w:hAnsi="Garamond"/>
          <w:lang w:eastAsia="en-US"/>
        </w:rPr>
        <w:t xml:space="preserve"> është ndryshimi i ligjit </w:t>
      </w:r>
      <w:r w:rsidR="0078161D" w:rsidRPr="00024D5A">
        <w:rPr>
          <w:rFonts w:ascii="Garamond" w:eastAsia="Times New Roman" w:hAnsi="Garamond"/>
          <w:lang w:eastAsia="en-US"/>
        </w:rPr>
        <w:t>“</w:t>
      </w:r>
      <w:r w:rsidRPr="00024D5A">
        <w:rPr>
          <w:rFonts w:ascii="Garamond" w:eastAsia="Times New Roman" w:hAnsi="Garamond"/>
          <w:lang w:eastAsia="en-US"/>
        </w:rPr>
        <w:t>Për sportin</w:t>
      </w:r>
      <w:r w:rsidR="0078161D" w:rsidRPr="00024D5A">
        <w:rPr>
          <w:rFonts w:ascii="Garamond" w:eastAsia="Times New Roman" w:hAnsi="Garamond"/>
          <w:lang w:eastAsia="en-US"/>
        </w:rPr>
        <w:t>”</w:t>
      </w:r>
      <w:r w:rsidRPr="00024D5A">
        <w:rPr>
          <w:rFonts w:ascii="Garamond" w:eastAsia="Times New Roman" w:hAnsi="Garamond"/>
          <w:lang w:eastAsia="en-US"/>
        </w:rPr>
        <w:t>, i cili njohu për herë të parë Komitetin Paraolimpik Shqiptar dhe Lëvizjen Speciale Olimpike si struktura të pavarura dhe me financim shtetëror. Ky zhvillim përfaqëson një hap të rëndësishëm drejt institucionalizimit të sportit për personat me aftësi të kufizuara dhe drejt përfaqësimit ndërkombëtar.</w:t>
      </w:r>
    </w:p>
    <w:p w14:paraId="755EEA75"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Gjatë periudhës së monitorimit, janë zhvilluar disa aktivitete sportive dhe projekte promovuese me pjesëmarrjen e sportistëve me aftësi të kufizuara, përfshirë iniciativa rajonale dhe bashkëpunime ndërkombëtare. Megjithatë, pjesëmarrja mbetet e kufizuar në numër dhe e varur nga projekte të veçuara. Problemi kryesor mbetet infrastruktura. Nuk ka terrene sportive të dedikuara apo të aksesueshme falas për stërvitje dhe shumica e ambienteve sportive nuk plotësojnë standardet e aksesueshmërisë. Nuk ka pasur përfaqësim të personave me aftësi të kufizuara në organet drejtuese sportive dhe as mbështetje për pjesëmarrje në aktivitete ndërkombëtare.</w:t>
      </w:r>
    </w:p>
    <w:p w14:paraId="555586CF" w14:textId="5848454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Plani i ri do të kalojë nga njohja ligjore drejt zhvillimit real të sportit paraolimpik. Ai duhet të përfshijë financim të qëndrueshëm për sportin dhe personat me aftësi së kufizuar, standarde të detyrueshme aksesueshmërie për të gjitha terrenet sportive, programe sportive në shkolla dhe komunitet, mbështetje për pjesëmarrjen ndërkombëtare dhe përfaqësim në strukturat drejtuese sportive.</w:t>
      </w:r>
    </w:p>
    <w:p w14:paraId="4D219A3A" w14:textId="44FF0E4F" w:rsidR="003E1630" w:rsidRPr="00024D5A" w:rsidRDefault="0058487E" w:rsidP="00791B1A">
      <w:pPr>
        <w:pStyle w:val="Heading2"/>
        <w:spacing w:before="0"/>
        <w:ind w:firstLine="284"/>
        <w:rPr>
          <w:rFonts w:ascii="Garamond" w:hAnsi="Garamond"/>
          <w:color w:val="auto"/>
          <w:sz w:val="24"/>
          <w:szCs w:val="24"/>
          <w:lang w:eastAsia="en-US"/>
        </w:rPr>
      </w:pPr>
      <w:bookmarkStart w:id="19" w:name="_Toc231489624"/>
      <w:r w:rsidRPr="00024D5A">
        <w:rPr>
          <w:rFonts w:ascii="Garamond" w:hAnsi="Garamond"/>
          <w:color w:val="auto"/>
          <w:sz w:val="24"/>
          <w:szCs w:val="24"/>
          <w:lang w:eastAsia="en-US"/>
        </w:rPr>
        <w:t>2</w:t>
      </w:r>
      <w:r w:rsidR="005743A8" w:rsidRPr="00024D5A">
        <w:rPr>
          <w:rFonts w:ascii="Garamond" w:hAnsi="Garamond"/>
          <w:color w:val="auto"/>
          <w:sz w:val="24"/>
          <w:szCs w:val="24"/>
          <w:lang w:eastAsia="en-US"/>
        </w:rPr>
        <w:t>.8 Analizë e gjendjes aktuale në fushën e bashkëpunimit</w:t>
      </w:r>
      <w:bookmarkEnd w:id="19"/>
      <w:r w:rsidR="005743A8" w:rsidRPr="00024D5A">
        <w:rPr>
          <w:rFonts w:ascii="Garamond" w:hAnsi="Garamond"/>
          <w:color w:val="auto"/>
          <w:sz w:val="24"/>
          <w:szCs w:val="24"/>
          <w:lang w:eastAsia="en-US"/>
        </w:rPr>
        <w:t xml:space="preserve"> </w:t>
      </w:r>
    </w:p>
    <w:p w14:paraId="1D26738C" w14:textId="7A11B13D"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Gjatë zbatimit të Planit Kombëtar të Veprimit për Personat me Aftësi të Kufizuara </w:t>
      </w:r>
      <w:r w:rsidR="007247B2" w:rsidRPr="00024D5A">
        <w:rPr>
          <w:rFonts w:ascii="Garamond" w:eastAsia="Times New Roman" w:hAnsi="Garamond"/>
          <w:lang w:eastAsia="en-US"/>
        </w:rPr>
        <w:t>2021–2025</w:t>
      </w:r>
      <w:r w:rsidRPr="00024D5A">
        <w:rPr>
          <w:rFonts w:ascii="Garamond" w:eastAsia="Times New Roman" w:hAnsi="Garamond"/>
          <w:lang w:eastAsia="en-US"/>
        </w:rPr>
        <w:t xml:space="preserve"> janë bërë përpjekje për të përmirësuar bashkëpunimin ndërinstitucional, veçanërisht ndërmjet institucioneve qendrore dhe bashkive. MSHMS</w:t>
      </w:r>
      <w:r w:rsidR="00FC5900" w:rsidRPr="00024D5A">
        <w:rPr>
          <w:rFonts w:ascii="Garamond" w:eastAsia="Times New Roman" w:hAnsi="Garamond"/>
          <w:lang w:eastAsia="en-US"/>
        </w:rPr>
        <w:t>-ja</w:t>
      </w:r>
      <w:r w:rsidRPr="00024D5A">
        <w:rPr>
          <w:rFonts w:ascii="Garamond" w:eastAsia="Times New Roman" w:hAnsi="Garamond"/>
          <w:lang w:eastAsia="en-US"/>
        </w:rPr>
        <w:t xml:space="preserve"> ka organizuar takime periodike me njësitë e vetëqeverisjes vendore dhe me ministritë e linjës, si dhe ka përfshirë çështjet e aftësisë së kufizuar në mekanizma konsultativë ndërinstitucionalë dhe platforma dialogu. Në vitin 2025, u publikua udhërrëfyesi për njësitë vendore për shërbimet sociale, i cili orienton bashkitë në planifikimin dhe ofrimin e shërbimeve për personat me aftësi të kufizuara. Gjithashtu, ndryshimet në legjislacionin e mbrojtjes sociale kanë përcaktuar</w:t>
      </w:r>
      <w:r w:rsidR="00944DFD" w:rsidRPr="00024D5A">
        <w:rPr>
          <w:rFonts w:ascii="Garamond" w:eastAsia="Times New Roman" w:hAnsi="Garamond"/>
          <w:lang w:eastAsia="en-US"/>
        </w:rPr>
        <w:t xml:space="preserve"> më mirë</w:t>
      </w:r>
      <w:r w:rsidRPr="00024D5A">
        <w:rPr>
          <w:rFonts w:ascii="Garamond" w:eastAsia="Times New Roman" w:hAnsi="Garamond"/>
          <w:lang w:eastAsia="en-US"/>
        </w:rPr>
        <w:t xml:space="preserve"> ndërveprimin mes strukturave vendore dhe Shërbimit Social Shtetëror.</w:t>
      </w:r>
    </w:p>
    <w:p w14:paraId="672B787B"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Megjithatë, përfshirja e bashkive në zbatimin e politikave për aftësinë e kufizuar varet ende nga kapacitetet dhe prioritetet lokale. Shumë bashki kanë nevojë për mbështetje metodologjike të vazhdueshme, veçanërisht në vlerësimin e nevojave, planifikimin e buxhetit dhe investimet për realizimin e aksesueshmërisë. Duhet theksuar se mungon një udhëzim i detyrueshëm për përfshirjen sistematike të organizatave të personave me aftësi të kufizuara në vendimmarrje.</w:t>
      </w:r>
    </w:p>
    <w:p w14:paraId="09B9F07C" w14:textId="0AF954FA" w:rsidR="003E1630" w:rsidRPr="00024D5A" w:rsidRDefault="0058487E" w:rsidP="00791B1A">
      <w:pPr>
        <w:pStyle w:val="Heading2"/>
        <w:spacing w:before="0"/>
        <w:ind w:firstLine="284"/>
        <w:rPr>
          <w:rFonts w:ascii="Garamond" w:hAnsi="Garamond"/>
          <w:color w:val="auto"/>
          <w:sz w:val="24"/>
          <w:szCs w:val="24"/>
          <w:lang w:eastAsia="en-US"/>
        </w:rPr>
      </w:pPr>
      <w:bookmarkStart w:id="20" w:name="_Toc231489625"/>
      <w:r w:rsidRPr="00024D5A">
        <w:rPr>
          <w:rFonts w:ascii="Garamond" w:hAnsi="Garamond"/>
          <w:color w:val="auto"/>
          <w:sz w:val="24"/>
          <w:szCs w:val="24"/>
          <w:lang w:eastAsia="en-US"/>
        </w:rPr>
        <w:t>2</w:t>
      </w:r>
      <w:r w:rsidR="005743A8" w:rsidRPr="00024D5A">
        <w:rPr>
          <w:rFonts w:ascii="Garamond" w:hAnsi="Garamond"/>
          <w:color w:val="auto"/>
          <w:sz w:val="24"/>
          <w:szCs w:val="24"/>
          <w:lang w:eastAsia="en-US"/>
        </w:rPr>
        <w:t>.8.1 Përmirësimi i funksionimit të mekanizmit kombëtar të koordinimit të politikave</w:t>
      </w:r>
      <w:bookmarkEnd w:id="20"/>
    </w:p>
    <w:p w14:paraId="3D4B8ACE" w14:textId="323FAC42"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Gjatë periudhës </w:t>
      </w:r>
      <w:r w:rsidR="007247B2" w:rsidRPr="00024D5A">
        <w:rPr>
          <w:rFonts w:ascii="Garamond" w:eastAsia="Times New Roman" w:hAnsi="Garamond"/>
          <w:lang w:eastAsia="en-US"/>
        </w:rPr>
        <w:t>2021–2025</w:t>
      </w:r>
      <w:r w:rsidRPr="00024D5A">
        <w:rPr>
          <w:rFonts w:ascii="Garamond" w:eastAsia="Times New Roman" w:hAnsi="Garamond"/>
          <w:lang w:eastAsia="en-US"/>
        </w:rPr>
        <w:t xml:space="preserve"> është përmirësuar koordinimi horizontal ndërmjet institucioneve qendrore përmes funksionimit të Këshillit Kombëtar për Aftësinë e Kufizuar (KKAK), i cili shërben si platformë dialogu ndërmjet</w:t>
      </w:r>
      <w:r w:rsidR="008F29FA" w:rsidRPr="00024D5A">
        <w:rPr>
          <w:rFonts w:ascii="Garamond" w:eastAsia="Times New Roman" w:hAnsi="Garamond"/>
          <w:lang w:eastAsia="en-US"/>
        </w:rPr>
        <w:t xml:space="preserve"> </w:t>
      </w:r>
      <w:r w:rsidRPr="00024D5A">
        <w:rPr>
          <w:rFonts w:ascii="Garamond" w:eastAsia="Times New Roman" w:hAnsi="Garamond"/>
          <w:lang w:eastAsia="en-US"/>
        </w:rPr>
        <w:t xml:space="preserve">institucioneve dhe organizatave të personave me aftësi të kufizuara. Janë zhvilluar katër mbledhje të Këshillit dhe monitorimi i Planit është kryer në bashkëpunim me ministritë e linjës. Po ashtu, janë realizuar raportimet periodike për zbatimin e Konventës së OKB-së dhe është kryer analiza e legjislacionit për përafrimin me Aktin Evropian të Aksesueshmërisë. </w:t>
      </w:r>
    </w:p>
    <w:p w14:paraId="1618DECD"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Megjithatë, koordinimi funksionon më mirë në nivel qendror sesa në atë vendor dhe kapacitetet administrative për koordinimin e politikave mbeten të kufizuara. Numri i stafit përgjegjës për koordinimin e politikave për aftësinë e kufizuar është i pamjaftueshëm për të përmbushur këtë rol në mënyrë efektive. Për pasojë, shumë politika mbeten sektoriale dhe jo të integruara.</w:t>
      </w:r>
    </w:p>
    <w:p w14:paraId="53280968" w14:textId="2D40CE66"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PKVPAK </w:t>
      </w:r>
      <w:r w:rsidR="00657405" w:rsidRPr="00024D5A">
        <w:rPr>
          <w:rFonts w:ascii="Garamond" w:eastAsia="Times New Roman" w:hAnsi="Garamond"/>
          <w:lang w:eastAsia="en-US"/>
        </w:rPr>
        <w:t>2026–2030</w:t>
      </w:r>
      <w:r w:rsidRPr="00024D5A">
        <w:rPr>
          <w:rFonts w:ascii="Garamond" w:eastAsia="Times New Roman" w:hAnsi="Garamond"/>
          <w:lang w:eastAsia="en-US"/>
        </w:rPr>
        <w:t xml:space="preserve"> do të forcojë mekanizmin kombëtar të koordinimit, duke rritur kapacitetet institucionale, duke fuqizuar rrjetin e pikave fokale për aftësinë e kufizuar në çdo institucion dhe duke vendosur detyrime raportimi periodik. </w:t>
      </w:r>
    </w:p>
    <w:p w14:paraId="63097610" w14:textId="77777777" w:rsidR="00D6085B" w:rsidRPr="00024D5A" w:rsidRDefault="00D6085B" w:rsidP="00791B1A">
      <w:pPr>
        <w:keepNext/>
        <w:keepLines/>
        <w:ind w:firstLine="284"/>
        <w:outlineLvl w:val="1"/>
        <w:rPr>
          <w:rFonts w:ascii="Garamond" w:eastAsiaTheme="majorEastAsia" w:hAnsi="Garamond" w:cstheme="majorBidi"/>
          <w:lang w:eastAsia="en-US"/>
        </w:rPr>
      </w:pPr>
      <w:bookmarkStart w:id="21" w:name="_Toc231489626"/>
      <w:r w:rsidRPr="00024D5A">
        <w:rPr>
          <w:rFonts w:ascii="Garamond" w:eastAsiaTheme="majorEastAsia" w:hAnsi="Garamond" w:cstheme="majorBidi"/>
          <w:lang w:eastAsia="en-US"/>
        </w:rPr>
        <w:t>2.8.2 Ngritja e një sistemi administrativ të qëndrueshëm për aftësinë e kufizuar</w:t>
      </w:r>
      <w:bookmarkEnd w:id="21"/>
    </w:p>
    <w:p w14:paraId="7D032A3C" w14:textId="1D656DDE" w:rsidR="00D6085B" w:rsidRPr="00024D5A" w:rsidRDefault="00D6085B"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Në periudhën </w:t>
      </w:r>
      <w:r w:rsidR="007247B2" w:rsidRPr="00024D5A">
        <w:rPr>
          <w:rFonts w:ascii="Garamond" w:eastAsia="Times New Roman" w:hAnsi="Garamond"/>
          <w:lang w:eastAsia="en-US"/>
        </w:rPr>
        <w:t>2021–2025</w:t>
      </w:r>
      <w:r w:rsidRPr="00024D5A">
        <w:rPr>
          <w:rFonts w:ascii="Garamond" w:eastAsia="Times New Roman" w:hAnsi="Garamond"/>
          <w:lang w:eastAsia="en-US"/>
        </w:rPr>
        <w:t xml:space="preserve"> janë bërë disa hapa drejt përmirësimit të të dhënave, veçanërisht përmes përfshirjes së pyetjeve të Grupit të Uashingtonit në Censin e Popullsisë 2023, i cili për herë të parë prodhoi të dhëna të detajuara për aftësinë e kufizuar në Shqipëri. </w:t>
      </w:r>
    </w:p>
    <w:p w14:paraId="7D784B9C" w14:textId="1CFA7B36" w:rsidR="00D6085B" w:rsidRPr="00024D5A" w:rsidRDefault="00D6085B" w:rsidP="00791B1A">
      <w:pPr>
        <w:ind w:firstLine="284"/>
        <w:jc w:val="both"/>
        <w:rPr>
          <w:rFonts w:ascii="Garamond" w:eastAsia="Times New Roman" w:hAnsi="Garamond"/>
          <w:lang w:eastAsia="en-US"/>
        </w:rPr>
      </w:pPr>
      <w:r w:rsidRPr="00024D5A">
        <w:rPr>
          <w:rFonts w:ascii="Garamond" w:eastAsia="Times New Roman" w:hAnsi="Garamond"/>
          <w:lang w:eastAsia="en-US"/>
        </w:rPr>
        <w:t>INSTAT</w:t>
      </w:r>
      <w:r w:rsidR="00C8053E" w:rsidRPr="00024D5A">
        <w:rPr>
          <w:rFonts w:ascii="Garamond" w:eastAsia="Times New Roman" w:hAnsi="Garamond"/>
          <w:lang w:eastAsia="en-US"/>
        </w:rPr>
        <w:t>-i</w:t>
      </w:r>
      <w:r w:rsidRPr="00024D5A">
        <w:rPr>
          <w:rFonts w:ascii="Garamond" w:eastAsia="Times New Roman" w:hAnsi="Garamond"/>
          <w:lang w:eastAsia="en-US"/>
        </w:rPr>
        <w:t xml:space="preserve"> publikon çdo vit të statistika zyrtare mbi përfituesit dhe kategoritë e aftësisë së kufizuar, të gjeneruara nga të dhënat administrative të marra nga Ministria e Shëndetësisë dhe ISSH. Megjithatë, infrastruktura për ngritjen, mirëmbajtjen dhe përshtatjen e regjistrave administrativë për prodhimin statistikor paraqet ende fragmentarizim dhe mungesë koordinimi. Raportimi institucional i të dhënave nuk është i harmonizuar plotësisht dhe mungon një sistem kombëtar i integruar për mbledhjen dhe përpunimin e informacionit në të gjitha fushat përkatëse. Të dhënat ekzistuese janë të kufizuara dhe të papërshtatshme sipas klasifikimeve statistikore dhe standardeve të tjera ndërkombëtare. Të dhënat janë të përqendruara kryesisht në mbrojtjen sociale, ndërkohë që në sektorë të tjerë informacioni është minimal ose mungon. Kjo situatë e vështirëson vlerësimin objektiv të progresit të politikave publike. Në këtë kuadër, Plani i ri parashikon ngritjen e një sistemi të detyrueshëm kombëtar raportimi, i cili do të mundësojë, veç të tjerave, edhe rritjen e cilësisë së burimeve administrative për qëllime statistikore. Në këtë mënyrë do të mundësohet zhvillimi i indikatorëve të standardizuar të monitorimit në të gjithë sektorët. Me qëllim përmirësimin e statistikave dhe zgjerimin e gamës së statistikave zyrtare të kësaj fushe, Plani i Veprimit do ti shërbejë Programit të ri për Statistikat Zyrtare 2027</w:t>
      </w:r>
      <w:r w:rsidR="00702A5B" w:rsidRPr="00024D5A">
        <w:rPr>
          <w:rFonts w:ascii="Garamond" w:eastAsia="Times New Roman" w:hAnsi="Garamond"/>
          <w:lang w:eastAsia="en-US"/>
        </w:rPr>
        <w:t>–</w:t>
      </w:r>
      <w:r w:rsidRPr="00024D5A">
        <w:rPr>
          <w:rFonts w:ascii="Garamond" w:eastAsia="Times New Roman" w:hAnsi="Garamond"/>
          <w:lang w:eastAsia="en-US"/>
        </w:rPr>
        <w:t>2031 për të specifikuar kategoritë e të dhënave që do të mblidhen në 5 v</w:t>
      </w:r>
      <w:r w:rsidR="007675EC" w:rsidRPr="00024D5A">
        <w:rPr>
          <w:rFonts w:ascii="Garamond" w:eastAsia="Times New Roman" w:hAnsi="Garamond"/>
          <w:lang w:eastAsia="en-US"/>
        </w:rPr>
        <w:t>jetët</w:t>
      </w:r>
      <w:r w:rsidRPr="00024D5A">
        <w:rPr>
          <w:rFonts w:ascii="Garamond" w:eastAsia="Times New Roman" w:hAnsi="Garamond"/>
          <w:lang w:eastAsia="en-US"/>
        </w:rPr>
        <w:t xml:space="preserve"> e ardhsh</w:t>
      </w:r>
      <w:r w:rsidR="007675EC" w:rsidRPr="00024D5A">
        <w:rPr>
          <w:rFonts w:ascii="Garamond" w:eastAsia="Times New Roman" w:hAnsi="Garamond"/>
          <w:lang w:eastAsia="en-US"/>
        </w:rPr>
        <w:t>ë</w:t>
      </w:r>
      <w:r w:rsidRPr="00024D5A">
        <w:rPr>
          <w:rFonts w:ascii="Garamond" w:eastAsia="Times New Roman" w:hAnsi="Garamond"/>
          <w:lang w:eastAsia="en-US"/>
        </w:rPr>
        <w:t>m për qëllime statistikore si dhe përgjegjësitë konkrete të institucioneve publike në lidhje me detyrimet e tyre për të krijuar dhe përshtatur sistemin administrativ për aftësinë e kufizuar për qëllime statistikore zyrtare.</w:t>
      </w:r>
    </w:p>
    <w:p w14:paraId="0AF99DC8" w14:textId="000DE14B" w:rsidR="00D6085B" w:rsidRPr="00024D5A" w:rsidRDefault="00D6085B" w:rsidP="00791B1A">
      <w:pPr>
        <w:ind w:firstLine="284"/>
        <w:jc w:val="both"/>
        <w:rPr>
          <w:rFonts w:ascii="Garamond" w:eastAsia="Times New Roman" w:hAnsi="Garamond"/>
          <w:lang w:eastAsia="en-US"/>
        </w:rPr>
      </w:pPr>
      <w:r w:rsidRPr="00024D5A">
        <w:rPr>
          <w:rFonts w:ascii="Garamond" w:eastAsia="Times New Roman" w:hAnsi="Garamond"/>
          <w:lang w:eastAsia="en-US"/>
        </w:rPr>
        <w:t>Në vetvete, sistemi administrativ për aftësinë e kufizuar do të konsiderohet tërësia e informacionit që mblidhet nga institucionet publike</w:t>
      </w:r>
      <w:r w:rsidR="00984FDC" w:rsidRPr="00024D5A">
        <w:rPr>
          <w:rFonts w:ascii="Garamond" w:eastAsia="Times New Roman" w:hAnsi="Garamond"/>
          <w:lang w:eastAsia="en-US"/>
        </w:rPr>
        <w:t>,</w:t>
      </w:r>
      <w:r w:rsidRPr="00024D5A">
        <w:rPr>
          <w:rFonts w:ascii="Garamond" w:eastAsia="Times New Roman" w:hAnsi="Garamond"/>
          <w:lang w:eastAsia="en-US"/>
        </w:rPr>
        <w:t xml:space="preserve"> të cilat mbulojnë fushën e shëndetësisë dhe mirëqenies sociale, </w:t>
      </w:r>
      <w:r w:rsidR="00984FDC" w:rsidRPr="00024D5A">
        <w:rPr>
          <w:rFonts w:ascii="Garamond" w:eastAsia="Times New Roman" w:hAnsi="Garamond"/>
          <w:lang w:eastAsia="en-US"/>
        </w:rPr>
        <w:t>informacion</w:t>
      </w:r>
      <w:r w:rsidRPr="00024D5A">
        <w:rPr>
          <w:rFonts w:ascii="Garamond" w:eastAsia="Times New Roman" w:hAnsi="Garamond"/>
          <w:lang w:eastAsia="en-US"/>
        </w:rPr>
        <w:t xml:space="preserve"> i cili mund të përdoret edhe për të prodhuar statistika zyrtare të fushës.</w:t>
      </w:r>
    </w:p>
    <w:p w14:paraId="2F83D305" w14:textId="4DB02036" w:rsidR="003E1630" w:rsidRPr="00024D5A" w:rsidRDefault="0058487E" w:rsidP="00791B1A">
      <w:pPr>
        <w:pStyle w:val="Heading2"/>
        <w:spacing w:before="0"/>
        <w:ind w:firstLine="284"/>
        <w:rPr>
          <w:rFonts w:ascii="Garamond" w:hAnsi="Garamond"/>
          <w:color w:val="auto"/>
          <w:sz w:val="24"/>
          <w:szCs w:val="24"/>
          <w:lang w:eastAsia="en-US"/>
        </w:rPr>
      </w:pPr>
      <w:bookmarkStart w:id="22" w:name="_Toc231489627"/>
      <w:r w:rsidRPr="00024D5A">
        <w:rPr>
          <w:rFonts w:ascii="Garamond" w:hAnsi="Garamond"/>
          <w:color w:val="auto"/>
          <w:sz w:val="24"/>
          <w:szCs w:val="24"/>
          <w:lang w:eastAsia="en-US"/>
        </w:rPr>
        <w:t>2</w:t>
      </w:r>
      <w:r w:rsidR="005743A8" w:rsidRPr="00024D5A">
        <w:rPr>
          <w:rFonts w:ascii="Garamond" w:hAnsi="Garamond"/>
          <w:color w:val="auto"/>
          <w:sz w:val="24"/>
          <w:szCs w:val="24"/>
          <w:lang w:eastAsia="en-US"/>
        </w:rPr>
        <w:t>.8.3 Bashkëpunimi rajonal dhe ndërkombëtar</w:t>
      </w:r>
      <w:bookmarkEnd w:id="22"/>
    </w:p>
    <w:p w14:paraId="6F433BB5" w14:textId="171AA584"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Gjatë periudhës </w:t>
      </w:r>
      <w:r w:rsidR="007247B2" w:rsidRPr="00024D5A">
        <w:rPr>
          <w:rFonts w:ascii="Garamond" w:eastAsia="Times New Roman" w:hAnsi="Garamond"/>
          <w:lang w:eastAsia="en-US"/>
        </w:rPr>
        <w:t>2021–2025</w:t>
      </w:r>
      <w:r w:rsidRPr="00024D5A">
        <w:rPr>
          <w:rFonts w:ascii="Garamond" w:eastAsia="Times New Roman" w:hAnsi="Garamond"/>
          <w:lang w:eastAsia="en-US"/>
        </w:rPr>
        <w:t xml:space="preserve"> Shqipëria ka marrë pjesë në procese rajonale dhe ndërkombëtare për zbatimin e Konventës së OKB-së, ka shkëmbyer praktika me organizata ndërkombëtare. Janë organizuar aktivitete kombëtare, përfshirë konferencën e parë për pajisjet ndihmëse dhe pjesëmarrje në raportimet pranë institucioneve evropiane. Megjithatë, bashkëpunimi rajonal mbetet sporadik dhe nuk ka qenë i strukturuar në programe të rregullta shkëmbimi eksperiencash ose projekte të përbashkëta. </w:t>
      </w:r>
    </w:p>
    <w:p w14:paraId="0156873E" w14:textId="32FCA8BB"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Në tërësi, periudha </w:t>
      </w:r>
      <w:r w:rsidR="007247B2" w:rsidRPr="00024D5A">
        <w:rPr>
          <w:rFonts w:ascii="Garamond" w:eastAsia="Times New Roman" w:hAnsi="Garamond"/>
          <w:lang w:eastAsia="en-US"/>
        </w:rPr>
        <w:t>2021–2025</w:t>
      </w:r>
      <w:r w:rsidRPr="00024D5A">
        <w:rPr>
          <w:rFonts w:ascii="Garamond" w:eastAsia="Times New Roman" w:hAnsi="Garamond"/>
          <w:lang w:eastAsia="en-US"/>
        </w:rPr>
        <w:t xml:space="preserve"> ka vendosur bazat e koordinimit institucional, por sistemi mbetet ende i fragmentuar dhe i varur nga iniciativa individuale të institucioneve. Sfida kryesore për Planin është ndërtimi i një sistemi të qëndrueshëm qeverisës për politikat e aftësisë së kufizuar, të dhëna të matshme dhe përgjegjësi të </w:t>
      </w:r>
      <w:r w:rsidR="00944DFD" w:rsidRPr="00024D5A">
        <w:rPr>
          <w:rFonts w:ascii="Garamond" w:eastAsia="Times New Roman" w:hAnsi="Garamond"/>
          <w:lang w:eastAsia="en-US"/>
        </w:rPr>
        <w:t xml:space="preserve">mirëpërcaktuara </w:t>
      </w:r>
      <w:r w:rsidRPr="00024D5A">
        <w:rPr>
          <w:rFonts w:ascii="Garamond" w:eastAsia="Times New Roman" w:hAnsi="Garamond"/>
          <w:lang w:eastAsia="en-US"/>
        </w:rPr>
        <w:t xml:space="preserve">institucionale. </w:t>
      </w:r>
    </w:p>
    <w:p w14:paraId="6F8F0BFE" w14:textId="75437D58" w:rsidR="003E1630" w:rsidRPr="00024D5A" w:rsidRDefault="0058487E" w:rsidP="00791B1A">
      <w:pPr>
        <w:pStyle w:val="Heading2"/>
        <w:spacing w:before="0"/>
        <w:ind w:firstLine="284"/>
        <w:rPr>
          <w:rFonts w:ascii="Garamond" w:hAnsi="Garamond"/>
          <w:color w:val="auto"/>
          <w:sz w:val="24"/>
          <w:szCs w:val="24"/>
          <w:lang w:eastAsia="en-US"/>
        </w:rPr>
      </w:pPr>
      <w:bookmarkStart w:id="23" w:name="_Toc231489628"/>
      <w:r w:rsidRPr="00024D5A">
        <w:rPr>
          <w:rFonts w:ascii="Garamond" w:hAnsi="Garamond"/>
          <w:color w:val="auto"/>
          <w:sz w:val="24"/>
          <w:szCs w:val="24"/>
          <w:lang w:eastAsia="en-US"/>
        </w:rPr>
        <w:t>2</w:t>
      </w:r>
      <w:r w:rsidR="005743A8" w:rsidRPr="00024D5A">
        <w:rPr>
          <w:rFonts w:ascii="Garamond" w:hAnsi="Garamond"/>
          <w:color w:val="auto"/>
          <w:sz w:val="24"/>
          <w:szCs w:val="24"/>
          <w:lang w:eastAsia="en-US"/>
        </w:rPr>
        <w:t>.9 Perceptimi i grupeve të interesit</w:t>
      </w:r>
      <w:bookmarkEnd w:id="23"/>
      <w:r w:rsidR="005743A8" w:rsidRPr="00024D5A">
        <w:rPr>
          <w:rFonts w:ascii="Garamond" w:hAnsi="Garamond"/>
          <w:color w:val="auto"/>
          <w:sz w:val="24"/>
          <w:szCs w:val="24"/>
          <w:lang w:eastAsia="en-US"/>
        </w:rPr>
        <w:t xml:space="preserve"> </w:t>
      </w:r>
    </w:p>
    <w:p w14:paraId="5DCC1180" w14:textId="6E245B09"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Procesi i monitorimit të Planit Kombëtar të Veprimit për Personat me Aftësi të kufizuara </w:t>
      </w:r>
      <w:r w:rsidR="007247B2" w:rsidRPr="00024D5A">
        <w:rPr>
          <w:rFonts w:ascii="Garamond" w:eastAsia="Times New Roman" w:hAnsi="Garamond"/>
          <w:lang w:eastAsia="en-US"/>
        </w:rPr>
        <w:t>2021–2025</w:t>
      </w:r>
      <w:r w:rsidRPr="00024D5A">
        <w:rPr>
          <w:rFonts w:ascii="Garamond" w:eastAsia="Times New Roman" w:hAnsi="Garamond"/>
          <w:lang w:eastAsia="en-US"/>
        </w:rPr>
        <w:t xml:space="preserve"> u shoqërua me konsultime dhe fokus-grupe me persona me aftësi të kufizuara, prindër dhe organizata përfaqësuese në disa qarqe të vendit, të cilat ofruan një pasqyrë të drejtpërdrejtë mbi ndikimin e politikave në jetën e përditshme.</w:t>
      </w:r>
    </w:p>
    <w:p w14:paraId="78C83509" w14:textId="318E1055"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Në përgjithësi, pjesëmarrësit vlerësuan se gjatë viteve të fundit janë ndërmarrë hapa pozitivë, veçanërisht në zgjerimin e disa shërbimeve sociale, informimin për ndihmën juridike falas dhe përmirësime të pjesshme të aksesueshmërisë në disa institucione publike. Megjithatë, perceptimi i përgjithshëm mbetet se ndërhyrjet janë të fragmentuara dhe jo gjithmonë krijojnë një zinxhir të plotë shërbimesh që garantojnë jetesë të pavarur dhe pjesëmarrje të barabartë në shoqëri. Grupet e interesit theksuan veçanërisht vështirësitë në aksesin praktik në shërbime, pabarazitë territoriale, mungesën e informacionit të aksesueshëm dhe zbatimin jo të njëtrajtshëm të legjislacionit. Për këtë arsye, Plani Kombëtar i Veprimit për Personat me Aftësi të kufizuara </w:t>
      </w:r>
      <w:r w:rsidR="00657405" w:rsidRPr="00024D5A">
        <w:rPr>
          <w:rFonts w:ascii="Garamond" w:eastAsia="Times New Roman" w:hAnsi="Garamond"/>
          <w:lang w:eastAsia="en-US"/>
        </w:rPr>
        <w:t>2026–2030</w:t>
      </w:r>
      <w:r w:rsidRPr="00024D5A">
        <w:rPr>
          <w:rFonts w:ascii="Garamond" w:eastAsia="Times New Roman" w:hAnsi="Garamond"/>
          <w:lang w:eastAsia="en-US"/>
        </w:rPr>
        <w:t xml:space="preserve"> duhet të mbështetet më fort në konsultimin e vazhdueshëm me organizatat përfaqësuese, të forcojë mekanizmat e dialogut institucional dhe të parashikojë monitorim të rregullt të politikave bazuar në përvojën reale të përfituesve, me qëllim kalimin nga masa të pjesshme në politika të qëndrueshme dhe të zbatueshme në praktikë.</w:t>
      </w:r>
    </w:p>
    <w:p w14:paraId="09A75209" w14:textId="7909FE69" w:rsidR="003E1630" w:rsidRPr="00024D5A" w:rsidRDefault="00C86A62" w:rsidP="00791B1A">
      <w:pPr>
        <w:pStyle w:val="ListParagraph"/>
        <w:tabs>
          <w:tab w:val="left" w:pos="360"/>
        </w:tabs>
        <w:ind w:left="0"/>
        <w:contextualSpacing w:val="0"/>
        <w:jc w:val="both"/>
        <w:rPr>
          <w:rStyle w:val="IntenseReference"/>
          <w:rFonts w:ascii="Garamond" w:hAnsi="Garamond"/>
          <w:b w:val="0"/>
          <w:bCs w:val="0"/>
          <w:color w:val="auto"/>
        </w:rPr>
      </w:pPr>
      <w:r w:rsidRPr="00024D5A">
        <w:rPr>
          <w:rStyle w:val="IntenseReference"/>
          <w:rFonts w:ascii="Garamond" w:hAnsi="Garamond"/>
          <w:b w:val="0"/>
          <w:bCs w:val="0"/>
          <w:color w:val="auto"/>
        </w:rPr>
        <w:tab/>
      </w:r>
      <w:r w:rsidR="003F1E3A" w:rsidRPr="00024D5A">
        <w:rPr>
          <w:rStyle w:val="IntenseReference"/>
          <w:rFonts w:ascii="Garamond" w:hAnsi="Garamond"/>
          <w:b w:val="0"/>
          <w:bCs w:val="0"/>
          <w:color w:val="auto"/>
        </w:rPr>
        <w:t xml:space="preserve">3. </w:t>
      </w:r>
      <w:r w:rsidR="005743A8" w:rsidRPr="00024D5A">
        <w:rPr>
          <w:rStyle w:val="IntenseReference"/>
          <w:rFonts w:ascii="Garamond" w:hAnsi="Garamond"/>
          <w:b w:val="0"/>
          <w:bCs w:val="0"/>
          <w:color w:val="auto"/>
        </w:rPr>
        <w:t xml:space="preserve">QËLLIMI I POLITIKAVE DHE OBJEKTIVAT SPECIFIKË TË PKVPAK </w:t>
      </w:r>
      <w:r w:rsidR="00657405" w:rsidRPr="00024D5A">
        <w:rPr>
          <w:rStyle w:val="IntenseReference"/>
          <w:rFonts w:ascii="Garamond" w:hAnsi="Garamond"/>
          <w:b w:val="0"/>
          <w:bCs w:val="0"/>
          <w:color w:val="auto"/>
        </w:rPr>
        <w:t>2026–2030</w:t>
      </w:r>
    </w:p>
    <w:p w14:paraId="7302CF53" w14:textId="77777777" w:rsidR="003E1630" w:rsidRPr="00024D5A" w:rsidRDefault="005743A8" w:rsidP="00791B1A">
      <w:pPr>
        <w:pStyle w:val="NormalWeb"/>
        <w:spacing w:before="0" w:beforeAutospacing="0" w:after="0" w:afterAutospacing="0"/>
        <w:ind w:firstLine="284"/>
        <w:jc w:val="both"/>
        <w:rPr>
          <w:rFonts w:ascii="Garamond" w:hAnsi="Garamond"/>
          <w:i/>
          <w:iCs/>
          <w:lang w:val="sq-AL"/>
        </w:rPr>
      </w:pPr>
      <w:r w:rsidRPr="00024D5A">
        <w:rPr>
          <w:rFonts w:ascii="Garamond" w:hAnsi="Garamond"/>
          <w:b/>
          <w:bCs/>
          <w:i/>
          <w:iCs/>
          <w:lang w:val="sq-AL"/>
        </w:rPr>
        <w:t>Vizioni:</w:t>
      </w:r>
      <w:r w:rsidRPr="00024D5A">
        <w:rPr>
          <w:rFonts w:ascii="Garamond" w:hAnsi="Garamond"/>
          <w:i/>
          <w:iCs/>
          <w:lang w:val="sq-AL"/>
        </w:rPr>
        <w:t xml:space="preserve"> Një Shqipëri gjithëpërfshirëse dhe e aksesueshme, ku personat me aftësi të kufizuara jetojnë të pavarur, ushtrojnë plotësisht të drejtat e tyre dhe marrin pjesë në mënyrë të barabartë në çdo aspekt të jetës shoqërore dhe ekonomike.</w:t>
      </w:r>
    </w:p>
    <w:p w14:paraId="4DD89BDC" w14:textId="77777777" w:rsidR="003E1630" w:rsidRPr="00024D5A" w:rsidRDefault="005743A8" w:rsidP="00791B1A">
      <w:pPr>
        <w:ind w:firstLine="284"/>
        <w:jc w:val="both"/>
        <w:rPr>
          <w:rFonts w:ascii="Garamond" w:eastAsia="Times New Roman" w:hAnsi="Garamond"/>
          <w:b/>
          <w:bCs/>
        </w:rPr>
      </w:pPr>
      <w:r w:rsidRPr="00024D5A">
        <w:rPr>
          <w:rFonts w:ascii="Garamond" w:eastAsia="Times New Roman" w:hAnsi="Garamond"/>
          <w:b/>
          <w:bCs/>
          <w:i/>
          <w:iCs/>
          <w:lang w:eastAsia="en-US"/>
        </w:rPr>
        <w:t>Misioni:</w:t>
      </w:r>
      <w:r w:rsidRPr="00024D5A">
        <w:rPr>
          <w:rFonts w:ascii="Garamond" w:eastAsia="Times New Roman" w:hAnsi="Garamond"/>
          <w:i/>
          <w:iCs/>
          <w:lang w:eastAsia="en-US"/>
        </w:rPr>
        <w:t xml:space="preserve"> </w:t>
      </w:r>
      <w:r w:rsidRPr="00024D5A">
        <w:rPr>
          <w:rFonts w:ascii="Garamond" w:eastAsia="Times New Roman" w:hAnsi="Garamond"/>
          <w:lang w:eastAsia="en-US"/>
        </w:rPr>
        <w:t>Zhvillimi dhe zbatimi i politikave të integruara, të bazuara në të drejtat e njeriut, për të garantuar përfshirjen reale, autonominë, mirëqenien dhe barazinë e personave me aftësi të kufizuara, në përputhje me standardet ndërkombëtare dhe evropiane.</w:t>
      </w:r>
    </w:p>
    <w:p w14:paraId="09E038BE" w14:textId="7E000A1C" w:rsidR="003E1630" w:rsidRPr="00024D5A" w:rsidRDefault="0058487E" w:rsidP="00791B1A">
      <w:pPr>
        <w:pStyle w:val="Heading2"/>
        <w:spacing w:before="0"/>
        <w:ind w:firstLine="284"/>
        <w:rPr>
          <w:rFonts w:ascii="Garamond" w:hAnsi="Garamond"/>
          <w:color w:val="auto"/>
          <w:sz w:val="24"/>
          <w:szCs w:val="24"/>
        </w:rPr>
      </w:pPr>
      <w:bookmarkStart w:id="24" w:name="_Toc231489629"/>
      <w:r w:rsidRPr="00024D5A">
        <w:rPr>
          <w:rFonts w:ascii="Garamond" w:hAnsi="Garamond"/>
          <w:color w:val="auto"/>
          <w:sz w:val="24"/>
          <w:szCs w:val="24"/>
        </w:rPr>
        <w:t>3</w:t>
      </w:r>
      <w:r w:rsidR="005743A8" w:rsidRPr="00024D5A">
        <w:rPr>
          <w:rFonts w:ascii="Garamond" w:hAnsi="Garamond"/>
          <w:color w:val="auto"/>
          <w:sz w:val="24"/>
          <w:szCs w:val="24"/>
        </w:rPr>
        <w:t>.1 Aksesueshmëria</w:t>
      </w:r>
      <w:bookmarkEnd w:id="24"/>
    </w:p>
    <w:p w14:paraId="79ED8120" w14:textId="670571A8" w:rsidR="003E1630" w:rsidRPr="00024D5A" w:rsidRDefault="0058487E" w:rsidP="00791B1A">
      <w:pPr>
        <w:pStyle w:val="Heading2"/>
        <w:spacing w:before="0"/>
        <w:ind w:firstLine="284"/>
        <w:rPr>
          <w:rFonts w:ascii="Garamond" w:hAnsi="Garamond"/>
          <w:color w:val="auto"/>
          <w:sz w:val="24"/>
          <w:szCs w:val="24"/>
        </w:rPr>
      </w:pPr>
      <w:bookmarkStart w:id="25" w:name="_Toc231489630"/>
      <w:r w:rsidRPr="00024D5A">
        <w:rPr>
          <w:rFonts w:ascii="Garamond" w:hAnsi="Garamond"/>
          <w:color w:val="auto"/>
          <w:sz w:val="24"/>
          <w:szCs w:val="24"/>
        </w:rPr>
        <w:t>3</w:t>
      </w:r>
      <w:r w:rsidR="005743A8" w:rsidRPr="00024D5A">
        <w:rPr>
          <w:rFonts w:ascii="Garamond" w:hAnsi="Garamond"/>
          <w:color w:val="auto"/>
          <w:sz w:val="24"/>
          <w:szCs w:val="24"/>
        </w:rPr>
        <w:t>.1.1 Konteksti strategjik</w:t>
      </w:r>
      <w:bookmarkEnd w:id="25"/>
      <w:r w:rsidR="005743A8" w:rsidRPr="00024D5A">
        <w:rPr>
          <w:rFonts w:ascii="Garamond" w:hAnsi="Garamond"/>
          <w:color w:val="auto"/>
          <w:sz w:val="24"/>
          <w:szCs w:val="24"/>
        </w:rPr>
        <w:t xml:space="preserve"> </w:t>
      </w:r>
    </w:p>
    <w:p w14:paraId="277F99FE" w14:textId="23132A9E"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 xml:space="preserve">Fusha e aksesueshmërisë në Planin e Veprimit për Personat me Aftësi të Kufizuara </w:t>
      </w:r>
      <w:r w:rsidR="00657405" w:rsidRPr="00024D5A">
        <w:rPr>
          <w:rFonts w:ascii="Garamond" w:eastAsia="Times New Roman" w:hAnsi="Garamond"/>
        </w:rPr>
        <w:t>2026–2030</w:t>
      </w:r>
      <w:r w:rsidRPr="00024D5A">
        <w:rPr>
          <w:rFonts w:ascii="Garamond" w:eastAsia="Times New Roman" w:hAnsi="Garamond"/>
        </w:rPr>
        <w:t xml:space="preserve"> mbështetet në një kuadër të konsoliduar dokumentesh ndërkombëtare, evropiane dhe kombëtare, të cilat përcaktojnë standardet, parimet dhe drejtimin politik për garantimin e pjesëmarrjes së barabartë të personave me aftësi të kufizuara në shoqëri. Për këtë arsye, planifikimi në këtë fushë nuk paraqet një ndërhyrje të veçuar, por një vijimësi të angazhimeve të ndërmarra nga Republika e Shqipërisë në nivel ndërkombëtar dhe në procesin e integrimit evropian.</w:t>
      </w:r>
    </w:p>
    <w:p w14:paraId="6543785E" w14:textId="77777777"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Në nivel ndërkombëtar, referenca themelore është Konventa e Kombeve të Bashkuara për të Drejtat e Personave me Aftësi të Kufizuara (KDPAK).</w:t>
      </w:r>
      <w:r w:rsidRPr="00024D5A">
        <w:rPr>
          <w:rStyle w:val="FootnoteReference"/>
          <w:rFonts w:ascii="Garamond" w:eastAsia="Times New Roman" w:hAnsi="Garamond"/>
        </w:rPr>
        <w:footnoteReference w:id="23"/>
      </w:r>
      <w:r w:rsidRPr="00024D5A">
        <w:rPr>
          <w:rFonts w:ascii="Garamond" w:eastAsia="Times New Roman" w:hAnsi="Garamond"/>
        </w:rPr>
        <w:t xml:space="preserve"> Konventa e trajton aksesueshmërinë si një nga kushtet bazë për ushtrimin e të drejtave të njeriut dhe për një jetesë të pavarur, duke kërkuar nga shtetet të sigurojnë akses në mjedisin fizik, transport, informacion dhe komunikim, si dhe në shërbime të hapura për publikun, në baza të barabarta. </w:t>
      </w:r>
    </w:p>
    <w:p w14:paraId="686D98D8" w14:textId="29ABA5F3"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Në nivel evropian, politikat e Bashkimit Evropian e zhvillojnë më tej këtë qasje. Strategjia e BE-së për të Drejtat e Personave me Aftësi të Kufizuara 2021</w:t>
      </w:r>
      <w:r w:rsidR="0039439A" w:rsidRPr="00024D5A">
        <w:rPr>
          <w:rFonts w:ascii="Garamond" w:eastAsia="Times New Roman" w:hAnsi="Garamond"/>
        </w:rPr>
        <w:t>–</w:t>
      </w:r>
      <w:r w:rsidRPr="00024D5A">
        <w:rPr>
          <w:rFonts w:ascii="Garamond" w:eastAsia="Times New Roman" w:hAnsi="Garamond"/>
        </w:rPr>
        <w:t>2030</w:t>
      </w:r>
      <w:r w:rsidRPr="00024D5A">
        <w:rPr>
          <w:rStyle w:val="FootnoteReference"/>
          <w:rFonts w:ascii="Garamond" w:eastAsia="Times New Roman" w:hAnsi="Garamond"/>
        </w:rPr>
        <w:footnoteReference w:id="24"/>
      </w:r>
      <w:r w:rsidRPr="00024D5A">
        <w:rPr>
          <w:rFonts w:ascii="Garamond" w:eastAsia="Times New Roman" w:hAnsi="Garamond"/>
        </w:rPr>
        <w:t>, e konsideron aksesueshmërinë një prioritet ndërsektorial dhe kërkon integrimin e saj në të gjitha politikat publike, me qëllim që personat me aftësi të kufizuara të jetojnë në mënyrë të pavarur dhe të përdorin shërbimet publike në kushte të barabarta. Kjo qasje konkretizohet në instrumente ligjore të posaçme të Bashkimit Evropian, si Direktiva (BE) 2019/882</w:t>
      </w:r>
      <w:r w:rsidRPr="00024D5A">
        <w:rPr>
          <w:rStyle w:val="FootnoteReference"/>
          <w:rFonts w:ascii="Garamond" w:eastAsia="Times New Roman" w:hAnsi="Garamond"/>
        </w:rPr>
        <w:footnoteReference w:id="25"/>
      </w:r>
      <w:r w:rsidRPr="00024D5A">
        <w:rPr>
          <w:rFonts w:ascii="Garamond" w:eastAsia="Times New Roman" w:hAnsi="Garamond"/>
        </w:rPr>
        <w:t xml:space="preserve">, e cila vendos kërkesa të përbashkëta të aksesueshmërisë për produkte dhe shërbime, si dhe </w:t>
      </w:r>
      <w:r w:rsidR="00401CC1" w:rsidRPr="00024D5A">
        <w:rPr>
          <w:rFonts w:ascii="Garamond" w:eastAsia="Times New Roman" w:hAnsi="Garamond"/>
        </w:rPr>
        <w:t xml:space="preserve">direktiva </w:t>
      </w:r>
      <w:r w:rsidRPr="00024D5A">
        <w:rPr>
          <w:rFonts w:ascii="Garamond" w:eastAsia="Times New Roman" w:hAnsi="Garamond"/>
        </w:rPr>
        <w:t>(BE) 2016/2102</w:t>
      </w:r>
      <w:r w:rsidRPr="00024D5A">
        <w:rPr>
          <w:rStyle w:val="FootnoteReference"/>
          <w:rFonts w:ascii="Garamond" w:eastAsia="Times New Roman" w:hAnsi="Garamond"/>
        </w:rPr>
        <w:footnoteReference w:id="26"/>
      </w:r>
      <w:r w:rsidRPr="00024D5A">
        <w:rPr>
          <w:rFonts w:ascii="Garamond" w:eastAsia="Times New Roman" w:hAnsi="Garamond"/>
        </w:rPr>
        <w:t xml:space="preserve"> për aksesueshmërinë e faqeve të internetit dhe aplikacioneve mobile të institucioneve publike. Këto standarde përbëjnë bazën e aksesueshmërisë në tregun e brendshëm evropian dhe në ofrimin e shërbimeve publike digjitale.</w:t>
      </w:r>
    </w:p>
    <w:p w14:paraId="4F8D897C" w14:textId="34E52967"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Në nivel kombëtar, kuadri i aksesueshmërisë mbështetet në dokumentet strategjike</w:t>
      </w:r>
      <w:r w:rsidRPr="00024D5A">
        <w:rPr>
          <w:rStyle w:val="FootnoteReference"/>
          <w:rFonts w:ascii="Garamond" w:eastAsia="Times New Roman" w:hAnsi="Garamond"/>
        </w:rPr>
        <w:footnoteReference w:id="27"/>
      </w:r>
      <w:r w:rsidRPr="00024D5A">
        <w:rPr>
          <w:rFonts w:ascii="Garamond" w:eastAsia="Times New Roman" w:hAnsi="Garamond"/>
        </w:rPr>
        <w:t xml:space="preserve"> të politikave sociale dhe të të drejtave të personave me aftësi të kufizuara, të cilat e konsiderojnë aksesueshmërinë kusht për ushtrimin e të drejtave në arsim, punësim, shërbime publike dhe jetesë të pavarur. Dokumentet sektoriale të zhvillimit, përfshirë ato në fushën e shërbimeve dhe turizmit</w:t>
      </w:r>
      <w:r w:rsidRPr="00024D5A">
        <w:rPr>
          <w:rStyle w:val="FootnoteReference"/>
          <w:rFonts w:ascii="Garamond" w:eastAsia="Times New Roman" w:hAnsi="Garamond"/>
        </w:rPr>
        <w:footnoteReference w:id="28"/>
      </w:r>
      <w:r w:rsidRPr="00024D5A">
        <w:rPr>
          <w:rFonts w:ascii="Garamond" w:eastAsia="Times New Roman" w:hAnsi="Garamond"/>
        </w:rPr>
        <w:t xml:space="preserve"> theksojnë nevojën për standarde gjithëpërfshirëse dhe përdorim të barabartë të hapësirave dhe shërbimeve publike.</w:t>
      </w:r>
    </w:p>
    <w:p w14:paraId="03E02CEC" w14:textId="77777777"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Në tërësi, ky kuadër politikash e vendos aksesueshmërinë si detyrim ligjor, social dhe zhvillimor, të lidhur ngushtë me respektimin e të drejtave të njeriut, përfshirjen sociale dhe procesin e integrimit evropian.</w:t>
      </w:r>
    </w:p>
    <w:p w14:paraId="4A28092A" w14:textId="3D13AB65" w:rsidR="003E1630" w:rsidRPr="00024D5A" w:rsidRDefault="0058487E" w:rsidP="00791B1A">
      <w:pPr>
        <w:pStyle w:val="Heading2"/>
        <w:spacing w:before="0"/>
        <w:ind w:firstLine="284"/>
        <w:rPr>
          <w:rFonts w:ascii="Garamond" w:hAnsi="Garamond"/>
          <w:color w:val="auto"/>
          <w:sz w:val="24"/>
          <w:szCs w:val="24"/>
        </w:rPr>
      </w:pPr>
      <w:bookmarkStart w:id="26" w:name="_Toc231489631"/>
      <w:r w:rsidRPr="00024D5A">
        <w:rPr>
          <w:rFonts w:ascii="Garamond" w:hAnsi="Garamond"/>
          <w:color w:val="auto"/>
          <w:sz w:val="24"/>
          <w:szCs w:val="24"/>
        </w:rPr>
        <w:t>3</w:t>
      </w:r>
      <w:r w:rsidR="005743A8" w:rsidRPr="00024D5A">
        <w:rPr>
          <w:rFonts w:ascii="Garamond" w:hAnsi="Garamond"/>
          <w:color w:val="auto"/>
          <w:sz w:val="24"/>
          <w:szCs w:val="24"/>
        </w:rPr>
        <w:t>.1.2 Qëllimi, objektivat dhe masat prioritare</w:t>
      </w:r>
      <w:bookmarkEnd w:id="26"/>
      <w:r w:rsidR="005743A8" w:rsidRPr="00024D5A">
        <w:rPr>
          <w:rFonts w:ascii="Garamond" w:hAnsi="Garamond"/>
          <w:color w:val="auto"/>
          <w:sz w:val="24"/>
          <w:szCs w:val="24"/>
        </w:rPr>
        <w:t xml:space="preserve"> </w:t>
      </w:r>
    </w:p>
    <w:p w14:paraId="7CF46945" w14:textId="67CEE2FE" w:rsidR="003E1630" w:rsidRPr="00024D5A" w:rsidRDefault="005743A8" w:rsidP="00791B1A">
      <w:pPr>
        <w:ind w:firstLine="284"/>
        <w:jc w:val="both"/>
        <w:rPr>
          <w:rFonts w:ascii="Garamond" w:eastAsia="Times New Roman" w:hAnsi="Garamond"/>
          <w:i/>
          <w:iCs/>
        </w:rPr>
      </w:pPr>
      <w:r w:rsidRPr="00024D5A">
        <w:rPr>
          <w:rFonts w:ascii="Garamond" w:eastAsia="Times New Roman" w:hAnsi="Garamond"/>
          <w:b/>
          <w:bCs/>
          <w:i/>
          <w:iCs/>
        </w:rPr>
        <w:t xml:space="preserve">Qëllimi i </w:t>
      </w:r>
      <w:r w:rsidR="00DC0102" w:rsidRPr="00024D5A">
        <w:rPr>
          <w:rFonts w:ascii="Garamond" w:eastAsia="Times New Roman" w:hAnsi="Garamond"/>
          <w:b/>
          <w:bCs/>
          <w:i/>
          <w:iCs/>
        </w:rPr>
        <w:t xml:space="preserve">politikës </w:t>
      </w:r>
      <w:r w:rsidRPr="00024D5A">
        <w:rPr>
          <w:rFonts w:ascii="Garamond" w:eastAsia="Times New Roman" w:hAnsi="Garamond"/>
          <w:b/>
          <w:bCs/>
          <w:i/>
          <w:iCs/>
        </w:rPr>
        <w:t>1:</w:t>
      </w:r>
      <w:r w:rsidRPr="00024D5A">
        <w:rPr>
          <w:rFonts w:ascii="Garamond" w:eastAsia="Times New Roman" w:hAnsi="Garamond"/>
          <w:i/>
          <w:iCs/>
        </w:rPr>
        <w:t xml:space="preserve"> Realizimi i aksesueshmërisë në mjedise, shërbime, transport dhe informacion për personat me aftësi të kufizuara.</w:t>
      </w:r>
    </w:p>
    <w:p w14:paraId="4777742D" w14:textId="65318BD8"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 xml:space="preserve">Plani i Veprimit për Aksesueshmërinë </w:t>
      </w:r>
      <w:r w:rsidR="00657405" w:rsidRPr="00024D5A">
        <w:rPr>
          <w:rFonts w:ascii="Garamond" w:eastAsia="Times New Roman" w:hAnsi="Garamond"/>
        </w:rPr>
        <w:t>2026–2030</w:t>
      </w:r>
      <w:r w:rsidRPr="00024D5A">
        <w:rPr>
          <w:rFonts w:ascii="Garamond" w:eastAsia="Times New Roman" w:hAnsi="Garamond"/>
        </w:rPr>
        <w:t xml:space="preserve">, ka për qëllim realizimin gradual dhe të qëndrueshëm të aksesueshmërisë për personat me aftësi të kufizuara në mjedise, shërbime, transport dhe informacion. </w:t>
      </w:r>
    </w:p>
    <w:p w14:paraId="4CB0C2C8" w14:textId="77777777"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Aksesueshmëria konsiderohet një parakusht për përfshirje sociale, pavarësi dhe pjesëmarrje të plotë në të gjitha fushat e jetës.</w:t>
      </w:r>
    </w:p>
    <w:p w14:paraId="342D43BB" w14:textId="0CEA653D"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Plani strukturohet mbi katër objektiva specifik</w:t>
      </w:r>
      <w:r w:rsidR="00A92F2B" w:rsidRPr="00024D5A">
        <w:rPr>
          <w:rFonts w:ascii="Garamond" w:eastAsia="Times New Roman" w:hAnsi="Garamond"/>
        </w:rPr>
        <w:t>ë,</w:t>
      </w:r>
      <w:r w:rsidRPr="00024D5A">
        <w:rPr>
          <w:rFonts w:ascii="Garamond" w:eastAsia="Times New Roman" w:hAnsi="Garamond"/>
        </w:rPr>
        <w:t xml:space="preserve"> që mbulojnë dimensionet kryesore të aksesueshmërisë: i</w:t>
      </w:r>
      <w:r w:rsidR="00C86A62" w:rsidRPr="00024D5A">
        <w:rPr>
          <w:rFonts w:ascii="Garamond" w:eastAsia="Times New Roman" w:hAnsi="Garamond"/>
        </w:rPr>
        <w:t>.</w:t>
      </w:r>
      <w:r w:rsidRPr="00024D5A">
        <w:rPr>
          <w:rFonts w:ascii="Garamond" w:eastAsia="Times New Roman" w:hAnsi="Garamond"/>
        </w:rPr>
        <w:t xml:space="preserve"> mjedisin e ndërtuar, infrastrukturën dhe shërbimet; ii</w:t>
      </w:r>
      <w:r w:rsidR="00F903C6" w:rsidRPr="00024D5A">
        <w:rPr>
          <w:rFonts w:ascii="Garamond" w:eastAsia="Times New Roman" w:hAnsi="Garamond"/>
        </w:rPr>
        <w:t>.</w:t>
      </w:r>
      <w:r w:rsidRPr="00024D5A">
        <w:rPr>
          <w:rFonts w:ascii="Garamond" w:eastAsia="Times New Roman" w:hAnsi="Garamond"/>
        </w:rPr>
        <w:t xml:space="preserve"> transportin dhe lëvizshmërinë; iii</w:t>
      </w:r>
      <w:r w:rsidR="00C86A62" w:rsidRPr="00024D5A">
        <w:rPr>
          <w:rFonts w:ascii="Garamond" w:eastAsia="Times New Roman" w:hAnsi="Garamond"/>
        </w:rPr>
        <w:t>.</w:t>
      </w:r>
      <w:r w:rsidRPr="00024D5A">
        <w:rPr>
          <w:rFonts w:ascii="Garamond" w:eastAsia="Times New Roman" w:hAnsi="Garamond"/>
        </w:rPr>
        <w:t xml:space="preserve"> informacionin, komunikimin dhe mediet; iv</w:t>
      </w:r>
      <w:r w:rsidR="008C23DB" w:rsidRPr="00024D5A">
        <w:rPr>
          <w:rFonts w:ascii="Garamond" w:eastAsia="Times New Roman" w:hAnsi="Garamond"/>
        </w:rPr>
        <w:t>.</w:t>
      </w:r>
      <w:r w:rsidRPr="00024D5A">
        <w:rPr>
          <w:rFonts w:ascii="Garamond" w:eastAsia="Times New Roman" w:hAnsi="Garamond"/>
        </w:rPr>
        <w:t xml:space="preserve"> turizmin dhe trashëgiminë kulturore.</w:t>
      </w:r>
    </w:p>
    <w:p w14:paraId="478C24F1" w14:textId="77777777"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Për realizimin e këtyre objektivave janë parashikuar gjashtë masa prioritare, të shoqëruara me 31 ndërhyrje konkrete, të cilat synojnë eliminimin e barrierave ekzistuese dhe parandalimin e krijimit të barrierave të reja.</w:t>
      </w:r>
    </w:p>
    <w:p w14:paraId="6671FA61" w14:textId="575F2B58" w:rsidR="003E1630" w:rsidRPr="00024D5A" w:rsidRDefault="005743A8" w:rsidP="00791B1A">
      <w:pPr>
        <w:ind w:firstLine="284"/>
        <w:jc w:val="both"/>
        <w:rPr>
          <w:rFonts w:ascii="Garamond" w:hAnsi="Garamond"/>
          <w:b/>
          <w:bCs/>
          <w:lang w:eastAsia="en-US"/>
        </w:rPr>
      </w:pPr>
      <w:r w:rsidRPr="00024D5A">
        <w:rPr>
          <w:rFonts w:ascii="Garamond" w:eastAsia="Times New Roman" w:hAnsi="Garamond"/>
          <w:b/>
          <w:bCs/>
          <w:i/>
          <w:iCs/>
        </w:rPr>
        <w:t xml:space="preserve">Objektivi </w:t>
      </w:r>
      <w:r w:rsidR="00226D2C" w:rsidRPr="00024D5A">
        <w:rPr>
          <w:rFonts w:ascii="Garamond" w:eastAsia="Times New Roman" w:hAnsi="Garamond"/>
          <w:b/>
          <w:bCs/>
          <w:i/>
          <w:iCs/>
        </w:rPr>
        <w:t xml:space="preserve">specifik </w:t>
      </w:r>
      <w:r w:rsidRPr="00024D5A">
        <w:rPr>
          <w:rFonts w:ascii="Garamond" w:eastAsia="Times New Roman" w:hAnsi="Garamond"/>
          <w:b/>
          <w:bCs/>
          <w:i/>
          <w:iCs/>
        </w:rPr>
        <w:t>1:</w:t>
      </w:r>
      <w:r w:rsidRPr="00024D5A">
        <w:rPr>
          <w:rFonts w:ascii="Garamond" w:eastAsia="Times New Roman" w:hAnsi="Garamond"/>
          <w:b/>
          <w:bCs/>
        </w:rPr>
        <w:t xml:space="preserve"> </w:t>
      </w:r>
      <w:r w:rsidRPr="00024D5A">
        <w:rPr>
          <w:rFonts w:ascii="Garamond" w:hAnsi="Garamond"/>
          <w:i/>
          <w:iCs/>
          <w:lang w:eastAsia="en-US"/>
        </w:rPr>
        <w:t xml:space="preserve">Realizimi i aksesueshmërisë në </w:t>
      </w:r>
      <w:r w:rsidRPr="00024D5A">
        <w:rPr>
          <w:rFonts w:ascii="Garamond" w:eastAsia="Times New Roman" w:hAnsi="Garamond"/>
          <w:i/>
          <w:iCs/>
        </w:rPr>
        <w:t>mjedisin e ndërtuar, infrastrukturën dhe shërbimet</w:t>
      </w:r>
      <w:r w:rsidRPr="00024D5A">
        <w:rPr>
          <w:rFonts w:ascii="Garamond" w:hAnsi="Garamond"/>
          <w:i/>
          <w:iCs/>
          <w:lang w:eastAsia="en-US"/>
        </w:rPr>
        <w:t xml:space="preserve"> për personat me aftësi të kufizuara.</w:t>
      </w:r>
    </w:p>
    <w:p w14:paraId="3D9F4A5B" w14:textId="1EA06620" w:rsidR="003E1630" w:rsidRPr="00024D5A" w:rsidRDefault="005743A8" w:rsidP="00791B1A">
      <w:pPr>
        <w:ind w:firstLine="284"/>
        <w:jc w:val="both"/>
        <w:rPr>
          <w:rFonts w:ascii="Garamond" w:eastAsia="Times New Roman" w:hAnsi="Garamond"/>
          <w:b/>
          <w:bCs/>
          <w:i/>
          <w:iCs/>
        </w:rPr>
      </w:pPr>
      <w:r w:rsidRPr="00024D5A">
        <w:rPr>
          <w:rFonts w:ascii="Garamond" w:eastAsia="Times New Roman" w:hAnsi="Garamond"/>
          <w:b/>
          <w:bCs/>
          <w:i/>
          <w:iCs/>
        </w:rPr>
        <w:t xml:space="preserve">Masa </w:t>
      </w:r>
      <w:r w:rsidR="00226D2C" w:rsidRPr="00024D5A">
        <w:rPr>
          <w:rFonts w:ascii="Garamond" w:eastAsia="Times New Roman" w:hAnsi="Garamond"/>
          <w:b/>
          <w:bCs/>
          <w:i/>
          <w:iCs/>
        </w:rPr>
        <w:t>prioritare</w:t>
      </w:r>
      <w:r w:rsidR="00110C9A">
        <w:rPr>
          <w:rFonts w:ascii="Garamond" w:eastAsia="Times New Roman" w:hAnsi="Garamond"/>
          <w:b/>
          <w:bCs/>
          <w:i/>
          <w:iCs/>
        </w:rPr>
        <w:t>:</w:t>
      </w:r>
      <w:r w:rsidR="00226D2C" w:rsidRPr="00024D5A">
        <w:rPr>
          <w:rFonts w:ascii="Garamond" w:eastAsia="Times New Roman" w:hAnsi="Garamond"/>
          <w:b/>
          <w:bCs/>
          <w:i/>
          <w:iCs/>
        </w:rPr>
        <w:t xml:space="preserve"> </w:t>
      </w:r>
    </w:p>
    <w:p w14:paraId="22F46D36" w14:textId="58A8193D"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 xml:space="preserve">1.1 Rishikimi i bazës ligjore për aksesueshmërinë dhe fuqizimi i monitorimit të zbatimit të saj. </w:t>
      </w:r>
    </w:p>
    <w:p w14:paraId="160E7687" w14:textId="77777777"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1.2 Vlerësimi i nivelit të aksesueshmërisë së aseteve publike (ndërtesa dhe infrastrukturë), përgatitja e një plani veprimi të strukturuar me masa prioritare për garantimin e standardeve të aksesueshmërisë dhe ngritja e një regjistri përkatës për ndjekjen dhe raportimin e progresit.</w:t>
      </w:r>
    </w:p>
    <w:p w14:paraId="43E5DE94" w14:textId="77777777"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 xml:space="preserve">Objektivi i parë i fushës së aksesueshmërisë synon të sigurojë që mjedisi i ndërtuar të jetë i përdorshëm dhe i arritshëm për personat me aftësi të kufizuara, si një parakusht për integrimin e tyre dhe për pjesëmarrje të barabartë në të gjitha fushat e jetës shoqërore. Qasja e këtij objektivi nuk kufizohet vetëm në përshtatjen e ndërtesave, por përfshin në mënyrë të integruar infrastrukturën, produktet dhe shërbimet e ofruara për publikun, duke synuar njëkohësisht eliminimin e barrierave ekzistuese dhe parandalimin e krijimit të barrierave të reja. </w:t>
      </w:r>
    </w:p>
    <w:p w14:paraId="4DC501F3" w14:textId="6B4C9739" w:rsidR="003E1630" w:rsidRPr="00024D5A" w:rsidRDefault="005743A8" w:rsidP="00791B1A">
      <w:pPr>
        <w:ind w:firstLine="284"/>
        <w:jc w:val="both"/>
        <w:rPr>
          <w:rFonts w:ascii="Garamond" w:eastAsia="Times New Roman" w:hAnsi="Garamond"/>
        </w:rPr>
      </w:pPr>
      <w:bookmarkStart w:id="27" w:name="_Hlk228803986"/>
      <w:r w:rsidRPr="00024D5A">
        <w:rPr>
          <w:rFonts w:ascii="Garamond" w:eastAsia="Times New Roman" w:hAnsi="Garamond"/>
        </w:rPr>
        <w:t xml:space="preserve">Në thelb të këtij objektivi qëndron forcimi i kuadrit ligjor dhe institucional që rregullon aksesueshmërinë. Parashikohet rishikimi i legjislacionit përkatës përmes miratimit të </w:t>
      </w:r>
      <w:r w:rsidR="00800646" w:rsidRPr="00024D5A">
        <w:rPr>
          <w:rFonts w:ascii="Garamond" w:eastAsia="Times New Roman" w:hAnsi="Garamond"/>
        </w:rPr>
        <w:t xml:space="preserve">ligjit </w:t>
      </w:r>
      <w:r w:rsidRPr="00024D5A">
        <w:rPr>
          <w:rFonts w:ascii="Garamond" w:eastAsia="Times New Roman" w:hAnsi="Garamond"/>
        </w:rPr>
        <w:t xml:space="preserve">të rishikuar </w:t>
      </w:r>
      <w:r w:rsidR="0078161D" w:rsidRPr="00024D5A">
        <w:rPr>
          <w:rFonts w:ascii="Garamond" w:eastAsia="Times New Roman" w:hAnsi="Garamond"/>
        </w:rPr>
        <w:t>“</w:t>
      </w:r>
      <w:r w:rsidRPr="00024D5A">
        <w:rPr>
          <w:rFonts w:ascii="Garamond" w:eastAsia="Times New Roman" w:hAnsi="Garamond"/>
        </w:rPr>
        <w:t>Për përfshirjen dhe aksesueshmërinë e personave me aftësi të kufizuara</w:t>
      </w:r>
      <w:r w:rsidR="0078161D" w:rsidRPr="00024D5A">
        <w:rPr>
          <w:rFonts w:ascii="Garamond" w:eastAsia="Times New Roman" w:hAnsi="Garamond"/>
        </w:rPr>
        <w:t>”</w:t>
      </w:r>
      <w:r w:rsidRPr="00024D5A">
        <w:rPr>
          <w:rFonts w:ascii="Garamond" w:eastAsia="Times New Roman" w:hAnsi="Garamond"/>
        </w:rPr>
        <w:t xml:space="preserve"> dhe harmonizimi i tij me standardet evropiane për produktet dhe shërbimet. Ky proces shoqërohet me rishikimin e akteve ekzistuese nënligjore dhe plotësimin e tyre me instrumente të reja zbatimi, në mënyrë që kërkesat për aksesueshmëri të jenë të qarta, të detyrueshme dhe të zbatueshme në praktikë</w:t>
      </w:r>
      <w:r w:rsidR="00F16C54" w:rsidRPr="00024D5A">
        <w:rPr>
          <w:rFonts w:ascii="Garamond" w:eastAsia="Times New Roman" w:hAnsi="Garamond"/>
        </w:rPr>
        <w:t xml:space="preserve"> duke p</w:t>
      </w:r>
      <w:r w:rsidR="000726DB" w:rsidRPr="00024D5A">
        <w:rPr>
          <w:rFonts w:ascii="Garamond" w:eastAsia="Times New Roman" w:hAnsi="Garamond"/>
        </w:rPr>
        <w:t>ë</w:t>
      </w:r>
      <w:r w:rsidR="00F16C54" w:rsidRPr="00024D5A">
        <w:rPr>
          <w:rFonts w:ascii="Garamond" w:eastAsia="Times New Roman" w:hAnsi="Garamond"/>
        </w:rPr>
        <w:t>rcaktuar qart</w:t>
      </w:r>
      <w:r w:rsidR="000726DB" w:rsidRPr="00024D5A">
        <w:rPr>
          <w:rFonts w:ascii="Garamond" w:eastAsia="Times New Roman" w:hAnsi="Garamond"/>
        </w:rPr>
        <w:t>ë</w:t>
      </w:r>
      <w:r w:rsidR="00F16C54" w:rsidRPr="00024D5A">
        <w:rPr>
          <w:rFonts w:ascii="Garamond" w:eastAsia="Times New Roman" w:hAnsi="Garamond"/>
        </w:rPr>
        <w:t xml:space="preserve"> p</w:t>
      </w:r>
      <w:r w:rsidR="000726DB" w:rsidRPr="00024D5A">
        <w:rPr>
          <w:rFonts w:ascii="Garamond" w:eastAsia="Times New Roman" w:hAnsi="Garamond"/>
        </w:rPr>
        <w:t>ë</w:t>
      </w:r>
      <w:r w:rsidR="00F16C54" w:rsidRPr="00024D5A">
        <w:rPr>
          <w:rFonts w:ascii="Garamond" w:eastAsia="Times New Roman" w:hAnsi="Garamond"/>
        </w:rPr>
        <w:t>rgjegj</w:t>
      </w:r>
      <w:r w:rsidR="000726DB" w:rsidRPr="00024D5A">
        <w:rPr>
          <w:rFonts w:ascii="Garamond" w:eastAsia="Times New Roman" w:hAnsi="Garamond"/>
        </w:rPr>
        <w:t>ë</w:t>
      </w:r>
      <w:r w:rsidR="00F16C54" w:rsidRPr="00024D5A">
        <w:rPr>
          <w:rFonts w:ascii="Garamond" w:eastAsia="Times New Roman" w:hAnsi="Garamond"/>
        </w:rPr>
        <w:t>sit</w:t>
      </w:r>
      <w:r w:rsidR="000726DB" w:rsidRPr="00024D5A">
        <w:rPr>
          <w:rFonts w:ascii="Garamond" w:eastAsia="Times New Roman" w:hAnsi="Garamond"/>
        </w:rPr>
        <w:t>ë</w:t>
      </w:r>
      <w:r w:rsidR="00F16C54" w:rsidRPr="00024D5A">
        <w:rPr>
          <w:rFonts w:ascii="Garamond" w:eastAsia="Times New Roman" w:hAnsi="Garamond"/>
        </w:rPr>
        <w:t xml:space="preserve"> institucionale t</w:t>
      </w:r>
      <w:r w:rsidR="000726DB" w:rsidRPr="00024D5A">
        <w:rPr>
          <w:rFonts w:ascii="Garamond" w:eastAsia="Times New Roman" w:hAnsi="Garamond"/>
        </w:rPr>
        <w:t>ë</w:t>
      </w:r>
      <w:r w:rsidR="00F16C54" w:rsidRPr="00024D5A">
        <w:rPr>
          <w:rFonts w:ascii="Garamond" w:eastAsia="Times New Roman" w:hAnsi="Garamond"/>
        </w:rPr>
        <w:t xml:space="preserve"> fragmentuara</w:t>
      </w:r>
      <w:r w:rsidR="007203C8" w:rsidRPr="00024D5A">
        <w:rPr>
          <w:rFonts w:ascii="Garamond" w:eastAsia="Times New Roman" w:hAnsi="Garamond"/>
        </w:rPr>
        <w:t>.</w:t>
      </w:r>
      <w:r w:rsidR="00F16C54" w:rsidRPr="00024D5A">
        <w:rPr>
          <w:rFonts w:ascii="Garamond" w:hAnsi="Garamond"/>
          <w:w w:val="105"/>
          <w:highlight w:val="yellow"/>
        </w:rPr>
        <w:t xml:space="preserve"> </w:t>
      </w:r>
      <w:bookmarkEnd w:id="27"/>
    </w:p>
    <w:p w14:paraId="19E8A311" w14:textId="77777777"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Objektivi parashikon edhe zhvillimin e kapaciteteve profesionale dhe institucionale. Do të organizohen programe trajnimi për stafet e institucioneve publike, për strukturat e monitorimit, për profesionistët e projektimit dhe ndërtimit, për operatorët ekonomikë dhe për institucionet arsimore. Trajnimet synojnë jo vetëm njohjen e standardeve teknike të aksesueshmërisë, por edhe përmirësimin e komunikimit dhe të sjelljes profesionale ndaj personave me aftësi të kufizuara. Paralelisht, do të zhvillohen fushata ndërgjegjësimi për personat me aftësi të kufizuara dhe familjet e tyre, me qëllim njohjen e të drejtave dhe mundësive që ofron legjislacioni në këtë fushë.</w:t>
      </w:r>
    </w:p>
    <w:p w14:paraId="0CC48A36" w14:textId="0B165D05"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Një tjetër komponent i rëndësishëm është vlerësimi sistematik i nivelit të aksesueshmërisë së aseteve publike. Institucionet do të kryejnë vlerësime teknike të ndërtesave dhe infrastrukturës në përdorim, duke identifikuar pengesat ekzistuese dhe duke përcaktuar prioritetet e ndërhyrjes. Rezultatet do të regjistrohen në një</w:t>
      </w:r>
      <w:r w:rsidR="008F29FA" w:rsidRPr="00024D5A">
        <w:rPr>
          <w:rFonts w:ascii="Garamond" w:eastAsia="Times New Roman" w:hAnsi="Garamond"/>
        </w:rPr>
        <w:t xml:space="preserve"> </w:t>
      </w:r>
      <w:r w:rsidR="00BD2A4E" w:rsidRPr="00024D5A">
        <w:rPr>
          <w:rFonts w:ascii="Garamond" w:eastAsia="Times New Roman" w:hAnsi="Garamond"/>
        </w:rPr>
        <w:t xml:space="preserve">databazë </w:t>
      </w:r>
      <w:r w:rsidRPr="00024D5A">
        <w:rPr>
          <w:rFonts w:ascii="Garamond" w:eastAsia="Times New Roman" w:hAnsi="Garamond"/>
        </w:rPr>
        <w:t>dhe do të shoqërohen me planifikim financiar vjetor për eliminimin e barrierave. Në këtë kuadër, do të hartohet çdo vit një raport kombëtar mbi realizimin e aksesueshmërisë, i cili do të shërbejë si instrument monitorimi, planifikimi dhe transparence, si dhe do të organizohet një konferencë kombëtare vjetore për prezantimin e progresit dhe përcaktimin e prioriteteve të mëtejshme.</w:t>
      </w:r>
    </w:p>
    <w:p w14:paraId="6AF6F495" w14:textId="77777777"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Përveç planifikimit dhe vlerësimit, objektivi përfshin monitorimin e vazhdueshëm të zbatimit të standardeve. Parashikohet forcimi i mekanizmave të kontrollit për projektet e reja të ndërtimit dhe për investimet publike, në mënyrë që kërkesat e aksesueshmërisë të respektohen që në fazën e projektimit dhe të mos trajtohen vetëm si masa korrigjuese pas ndërtimit. Kontrollet do të shoqërohen me përgjegjësi administrative dhe masa ndëshkuese në rast moszbatimi, ndërsa monitorimet do të shtrihen edhe mbi ndërtesat e sektorëve të arsimit, shëndetësisë, kujdesit social, drejtësisë dhe tregut të punës. Krahas kësaj, do të promovohen praktikat e mira përmes fushatave të komunikimit publik dhe shkëmbimit të përvojave pozitive.</w:t>
      </w:r>
    </w:p>
    <w:p w14:paraId="1F11F676" w14:textId="77777777"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Objektivi i parë, synon të vendosë një sistem funksional të aksesueshmërisë që fillon nga legjislacioni dhe standardet, vijon me planifikimin dhe financimin e ndërhyrjeve dhe përfundon me monitorimin dhe ndërgjegjësimin shoqëror. Në këtë mënyrë, aksesueshmëria bëhet pjesë e detyrueshme e projektimit, ndërtimit dhe ofrimit të çdo shërbimi publik, duke kaluar nga një qasje korrigjuese në një qasje parandaluese dhe të integruar në politikat publike.</w:t>
      </w:r>
    </w:p>
    <w:p w14:paraId="0F28C9F0" w14:textId="4D279424" w:rsidR="003E1630" w:rsidRPr="00024D5A" w:rsidRDefault="005743A8" w:rsidP="00791B1A">
      <w:pPr>
        <w:ind w:firstLine="284"/>
        <w:jc w:val="both"/>
        <w:rPr>
          <w:rFonts w:ascii="Garamond" w:hAnsi="Garamond"/>
          <w:i/>
          <w:iCs/>
          <w:lang w:eastAsia="en-US"/>
        </w:rPr>
      </w:pPr>
      <w:r w:rsidRPr="00024D5A">
        <w:rPr>
          <w:rFonts w:ascii="Garamond" w:eastAsia="Times New Roman" w:hAnsi="Garamond"/>
          <w:b/>
          <w:bCs/>
          <w:i/>
          <w:iCs/>
        </w:rPr>
        <w:t xml:space="preserve">Objektivi </w:t>
      </w:r>
      <w:r w:rsidR="00AC5DA9" w:rsidRPr="00024D5A">
        <w:rPr>
          <w:rFonts w:ascii="Garamond" w:eastAsia="Times New Roman" w:hAnsi="Garamond"/>
          <w:b/>
          <w:bCs/>
          <w:i/>
          <w:iCs/>
        </w:rPr>
        <w:t xml:space="preserve">specifik </w:t>
      </w:r>
      <w:r w:rsidRPr="00024D5A">
        <w:rPr>
          <w:rFonts w:ascii="Garamond" w:eastAsia="Times New Roman" w:hAnsi="Garamond"/>
          <w:b/>
          <w:bCs/>
          <w:i/>
          <w:iCs/>
        </w:rPr>
        <w:t xml:space="preserve">2: </w:t>
      </w:r>
      <w:r w:rsidRPr="00024D5A">
        <w:rPr>
          <w:rFonts w:ascii="Garamond" w:eastAsia="Times New Roman" w:hAnsi="Garamond"/>
          <w:i/>
          <w:iCs/>
        </w:rPr>
        <w:t>R</w:t>
      </w:r>
      <w:r w:rsidRPr="00024D5A">
        <w:rPr>
          <w:rFonts w:ascii="Garamond" w:hAnsi="Garamond"/>
          <w:i/>
          <w:iCs/>
          <w:lang w:eastAsia="en-US"/>
        </w:rPr>
        <w:t xml:space="preserve">ealizimi i aksesueshmërisë në </w:t>
      </w:r>
      <w:r w:rsidRPr="00024D5A">
        <w:rPr>
          <w:rFonts w:ascii="Garamond" w:eastAsia="Times New Roman" w:hAnsi="Garamond"/>
          <w:i/>
          <w:iCs/>
        </w:rPr>
        <w:t>transportin dhe lëvizshmërinë</w:t>
      </w:r>
      <w:r w:rsidRPr="00024D5A">
        <w:rPr>
          <w:rFonts w:ascii="Garamond" w:hAnsi="Garamond"/>
          <w:i/>
          <w:iCs/>
          <w:lang w:eastAsia="en-US"/>
        </w:rPr>
        <w:t xml:space="preserve"> për personat me aftësi të kufizuara.</w:t>
      </w:r>
    </w:p>
    <w:p w14:paraId="2AD7B117" w14:textId="0A7AAC46" w:rsidR="003E1630" w:rsidRPr="00024D5A" w:rsidRDefault="005743A8" w:rsidP="00791B1A">
      <w:pPr>
        <w:ind w:firstLine="284"/>
        <w:jc w:val="both"/>
        <w:rPr>
          <w:rFonts w:ascii="Garamond" w:eastAsia="Times New Roman" w:hAnsi="Garamond"/>
          <w:b/>
          <w:bCs/>
          <w:i/>
          <w:iCs/>
        </w:rPr>
      </w:pPr>
      <w:r w:rsidRPr="00024D5A">
        <w:rPr>
          <w:rFonts w:ascii="Garamond" w:eastAsia="Times New Roman" w:hAnsi="Garamond"/>
          <w:b/>
          <w:bCs/>
          <w:i/>
          <w:iCs/>
        </w:rPr>
        <w:t>Masa prioritare</w:t>
      </w:r>
      <w:r w:rsidR="00110C9A">
        <w:rPr>
          <w:rFonts w:ascii="Garamond" w:eastAsia="Times New Roman" w:hAnsi="Garamond"/>
          <w:b/>
          <w:bCs/>
          <w:i/>
          <w:iCs/>
        </w:rPr>
        <w:t>:</w:t>
      </w:r>
      <w:r w:rsidRPr="00024D5A">
        <w:rPr>
          <w:rFonts w:ascii="Garamond" w:eastAsia="Times New Roman" w:hAnsi="Garamond"/>
          <w:b/>
          <w:bCs/>
          <w:i/>
          <w:iCs/>
        </w:rPr>
        <w:t xml:space="preserve"> </w:t>
      </w:r>
    </w:p>
    <w:p w14:paraId="2FB17BF9" w14:textId="19D00018"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 xml:space="preserve">2.1 </w:t>
      </w:r>
      <w:r w:rsidR="0006644D" w:rsidRPr="00024D5A">
        <w:rPr>
          <w:rFonts w:ascii="Garamond" w:hAnsi="Garamond"/>
          <w:shd w:val="clear" w:color="auto" w:fill="FFFFFF"/>
        </w:rPr>
        <w:t>Zbatimi praktik dhe monitorimi i standardeve të aksesueshmërisë në transportin publik, në përputhje me standardet e Bashkimit Evropian, përmes përmirësimit të aksesueshmërisë në mjetet e transportit publik urban dhe ndërqytetas, zhvillimit të infrastrukturës dhe shërbimeve të përshtatura për personat me aftësi të kufizuara, forcimit të bashkëpunimit ndërinstitucional dhe ndërmarrjes së masave ndërgjegjësuese për ndryshimin e qasjeve dhe sjelljeve ndaj kësaj kategorie</w:t>
      </w:r>
      <w:r w:rsidRPr="00024D5A">
        <w:rPr>
          <w:rFonts w:ascii="Garamond" w:eastAsia="Times New Roman" w:hAnsi="Garamond"/>
        </w:rPr>
        <w:t>.</w:t>
      </w:r>
    </w:p>
    <w:p w14:paraId="46EDD746" w14:textId="77777777"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Objektivi i dytë synon të rrisë nivelin e aksesueshmërisë në transportin publik, duke përfshirë mjetet e transportit dhe shërbimet për udhëtarët me aftësi të kufizuara, si dhe duke mundësuar udhëtimin falas për ta. Ky objektiv bazohet në parimin se lëvizshmëria është thelbësore për pjesëmarrjen në arsim, punësim, shërbime publike dhe jetën sociale, dhe se mungesa e transportit të aksesueshëm është një pengesë kryesore për përfshirjen shoqërore.</w:t>
      </w:r>
    </w:p>
    <w:p w14:paraId="2D686DC6" w14:textId="77777777"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Në këtë kuadër, parashikohet përafrimi i kuadrit ligjor dhe praktikave me standardet e Bashkimit Evropian</w:t>
      </w:r>
      <w:r w:rsidRPr="00024D5A">
        <w:rPr>
          <w:rStyle w:val="FootnoteReference"/>
          <w:rFonts w:ascii="Garamond" w:eastAsia="Times New Roman" w:hAnsi="Garamond"/>
        </w:rPr>
        <w:footnoteReference w:id="29"/>
      </w:r>
      <w:r w:rsidRPr="00024D5A">
        <w:rPr>
          <w:rFonts w:ascii="Garamond" w:eastAsia="Times New Roman" w:hAnsi="Garamond"/>
        </w:rPr>
        <w:t xml:space="preserve"> për të drejtat e pasagjerëve me aftësi të kufizuara në të gjitha mënyrat e transportit, përfshirë atë rrugor, hekurudhor, detar dhe ajror. Synimi është që personat me aftësi të kufizuara të kenë të drejtë dhe mundësi reale për të përdorur shërbimet e transportit në mënyrë të pavarur dhe të sigurt, në kushte të barabarta me qytetarët e tjerë.</w:t>
      </w:r>
    </w:p>
    <w:p w14:paraId="1A481A80" w14:textId="30BA003D"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Një nga drejtimet kryesore të këtij objektivi është përmirësimi i aksesueshmërisë fizike të mjeteve dhe infrastrukturës së transportit. Parashikohet rritja graduale e numrit të autobusëve të përshtatur me platforma dhe pajisje ndihmëse për përdoruesit e karrigeve me rrota, si dhe përmbushja e standardeve të aksesueshmërisë në terminalet e autobusëve,</w:t>
      </w:r>
      <w:r w:rsidR="00BB6DFF" w:rsidRPr="00024D5A">
        <w:rPr>
          <w:rFonts w:ascii="Garamond" w:eastAsia="Times New Roman" w:hAnsi="Garamond"/>
        </w:rPr>
        <w:t xml:space="preserve"> terminalet e autobusëve</w:t>
      </w:r>
      <w:r w:rsidR="005327E2" w:rsidRPr="00024D5A">
        <w:rPr>
          <w:rFonts w:ascii="Garamond" w:eastAsia="Times New Roman" w:hAnsi="Garamond"/>
        </w:rPr>
        <w:t>,</w:t>
      </w:r>
      <w:r w:rsidR="00BB6DFF" w:rsidRPr="00024D5A">
        <w:rPr>
          <w:rFonts w:ascii="Garamond" w:eastAsia="Times New Roman" w:hAnsi="Garamond"/>
        </w:rPr>
        <w:t xml:space="preserve"> si edhe n</w:t>
      </w:r>
      <w:r w:rsidR="00B678F1" w:rsidRPr="00024D5A">
        <w:rPr>
          <w:rFonts w:ascii="Garamond" w:eastAsia="Times New Roman" w:hAnsi="Garamond"/>
        </w:rPr>
        <w:t>ë</w:t>
      </w:r>
      <w:r w:rsidR="00BB6DFF" w:rsidRPr="00024D5A">
        <w:rPr>
          <w:rFonts w:ascii="Garamond" w:eastAsia="Times New Roman" w:hAnsi="Garamond"/>
        </w:rPr>
        <w:t xml:space="preserve"> vendparkimet p</w:t>
      </w:r>
      <w:r w:rsidR="000D5711" w:rsidRPr="00024D5A">
        <w:rPr>
          <w:rFonts w:ascii="Garamond" w:eastAsia="Times New Roman" w:hAnsi="Garamond"/>
        </w:rPr>
        <w:t>ë</w:t>
      </w:r>
      <w:r w:rsidR="00BB6DFF" w:rsidRPr="00024D5A">
        <w:rPr>
          <w:rFonts w:ascii="Garamond" w:eastAsia="Times New Roman" w:hAnsi="Garamond"/>
        </w:rPr>
        <w:t xml:space="preserve">r personat me </w:t>
      </w:r>
      <w:r w:rsidR="00C86A62" w:rsidRPr="00024D5A">
        <w:rPr>
          <w:rFonts w:ascii="Garamond" w:eastAsia="Times New Roman" w:hAnsi="Garamond"/>
        </w:rPr>
        <w:t>aftësi</w:t>
      </w:r>
      <w:r w:rsidR="00BB6DFF" w:rsidRPr="00024D5A">
        <w:rPr>
          <w:rFonts w:ascii="Garamond" w:eastAsia="Times New Roman" w:hAnsi="Garamond"/>
        </w:rPr>
        <w:t xml:space="preserve"> t</w:t>
      </w:r>
      <w:r w:rsidR="00C86A62" w:rsidRPr="00024D5A">
        <w:rPr>
          <w:rFonts w:ascii="Garamond" w:eastAsia="Times New Roman" w:hAnsi="Garamond"/>
        </w:rPr>
        <w:t>ë</w:t>
      </w:r>
      <w:r w:rsidR="00BB6DFF" w:rsidRPr="00024D5A">
        <w:rPr>
          <w:rFonts w:ascii="Garamond" w:eastAsia="Times New Roman" w:hAnsi="Garamond"/>
        </w:rPr>
        <w:t xml:space="preserve"> kufizuara,</w:t>
      </w:r>
      <w:r w:rsidR="008F29FA" w:rsidRPr="00024D5A">
        <w:rPr>
          <w:rFonts w:ascii="Garamond" w:eastAsia="Times New Roman" w:hAnsi="Garamond"/>
        </w:rPr>
        <w:t xml:space="preserve"> </w:t>
      </w:r>
      <w:r w:rsidRPr="00024D5A">
        <w:rPr>
          <w:rFonts w:ascii="Garamond" w:eastAsia="Times New Roman" w:hAnsi="Garamond"/>
        </w:rPr>
        <w:t>stacionet hekurudhore, portet dhe aeroportet. Krahas përshtatjeve fizike, transporti publik do të pajiset edhe me sisteme informacioni audiovizuale për orientimin e pasagjerëve, duke përmirësuar aksesin për personat me dëmtime në shikim dhe dëgjim.</w:t>
      </w:r>
    </w:p>
    <w:p w14:paraId="5B2D649C" w14:textId="4A5D90F2"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Plani parashikon</w:t>
      </w:r>
      <w:r w:rsidR="005327E2" w:rsidRPr="00024D5A">
        <w:rPr>
          <w:rFonts w:ascii="Garamond" w:eastAsia="Times New Roman" w:hAnsi="Garamond"/>
        </w:rPr>
        <w:t>,</w:t>
      </w:r>
      <w:r w:rsidRPr="00024D5A">
        <w:rPr>
          <w:rFonts w:ascii="Garamond" w:eastAsia="Times New Roman" w:hAnsi="Garamond"/>
        </w:rPr>
        <w:t xml:space="preserve"> gjithashtu</w:t>
      </w:r>
      <w:r w:rsidR="005327E2" w:rsidRPr="00024D5A">
        <w:rPr>
          <w:rFonts w:ascii="Garamond" w:eastAsia="Times New Roman" w:hAnsi="Garamond"/>
        </w:rPr>
        <w:t>,</w:t>
      </w:r>
      <w:r w:rsidRPr="00024D5A">
        <w:rPr>
          <w:rFonts w:ascii="Garamond" w:eastAsia="Times New Roman" w:hAnsi="Garamond"/>
        </w:rPr>
        <w:t xml:space="preserve"> ofrimin e shërbimeve mbështetëse, duke përfshirë transportin </w:t>
      </w:r>
      <w:r w:rsidR="0078161D" w:rsidRPr="00024D5A">
        <w:rPr>
          <w:rFonts w:ascii="Garamond" w:eastAsia="Times New Roman" w:hAnsi="Garamond"/>
        </w:rPr>
        <w:t>“</w:t>
      </w:r>
      <w:r w:rsidRPr="00024D5A">
        <w:rPr>
          <w:rFonts w:ascii="Garamond" w:eastAsia="Times New Roman" w:hAnsi="Garamond"/>
        </w:rPr>
        <w:t>derë më derë</w:t>
      </w:r>
      <w:r w:rsidR="0078161D" w:rsidRPr="00024D5A">
        <w:rPr>
          <w:rFonts w:ascii="Garamond" w:eastAsia="Times New Roman" w:hAnsi="Garamond"/>
        </w:rPr>
        <w:t>”</w:t>
      </w:r>
      <w:r w:rsidRPr="00024D5A">
        <w:rPr>
          <w:rFonts w:ascii="Garamond" w:eastAsia="Times New Roman" w:hAnsi="Garamond"/>
        </w:rPr>
        <w:t xml:space="preserve"> për personat me aftësi të kufizuara që kanë kufizime të rënda lëvizjeje. Në të njëjtën kohë do të forcohet monitorimi i zbatimit të kuadrit ligjor nga operatorët e transportit përmes strukturave inspektuese dhe task-forcave të dedikuara në nivel qendror dhe vendor.</w:t>
      </w:r>
    </w:p>
    <w:p w14:paraId="777992C7" w14:textId="77777777"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Një komponent i rëndësishëm i objektivit është përmirësimi i cilësisë së shërbimit dhe i komunikimit me udhëtarët me aftësi të kufizuara. Do të organizohen trajnime për stafin e transportit publik, përfshirë drejtuesit e mjeteve dhe personelin e shërbimit, për mënyrën e trajtimit dhe komunikimit të duhur me këtë kategori udhëtarësh. Gjithashtu, parashikohet hartimi i një kodi etike për ndërveprimin me pasagjerët me aftësi të kufizuara, si dhe zhvillimi i fushatave ndërgjegjësuese dhe materialeve informuese për të drejtat në transport dhe mënyrat e përdorimit të shërbimeve të aksesueshme.</w:t>
      </w:r>
    </w:p>
    <w:p w14:paraId="0E00E1E5" w14:textId="2A5FAE0B"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Objektivi përfshin edhe masat për sigurimin e transportit falas për personat me aftësi të kufizuara. Për këtë qëllim, do të rishikohet legjislacioni për rimbursimin e shërbimeve të transportit dhe do të krijohen mekanizma financimi që mbulojnë kategoritë përfituese, përfshirë edhe kujdestarët kur është e nevojshme. Parashikohet</w:t>
      </w:r>
      <w:r w:rsidR="00B47620" w:rsidRPr="00024D5A">
        <w:rPr>
          <w:rFonts w:ascii="Garamond" w:eastAsia="Times New Roman" w:hAnsi="Garamond"/>
        </w:rPr>
        <w:t>,</w:t>
      </w:r>
      <w:r w:rsidRPr="00024D5A">
        <w:rPr>
          <w:rFonts w:ascii="Garamond" w:eastAsia="Times New Roman" w:hAnsi="Garamond"/>
        </w:rPr>
        <w:t xml:space="preserve"> krijimi i kartës së posaçme të aftësisë së kufizuar për transportin, e cila do të shërbejë si mjet identifikimi dhe përfitimi nga shërbimet e subvencionuara, si dhe përshtatja e sistemeve për bileta elektronike</w:t>
      </w:r>
      <w:r w:rsidR="008F29FA" w:rsidRPr="00024D5A">
        <w:rPr>
          <w:rFonts w:ascii="Garamond" w:eastAsia="Times New Roman" w:hAnsi="Garamond"/>
        </w:rPr>
        <w:t xml:space="preserve"> </w:t>
      </w:r>
      <w:r w:rsidRPr="00024D5A">
        <w:rPr>
          <w:rFonts w:ascii="Garamond" w:eastAsia="Times New Roman" w:hAnsi="Garamond"/>
        </w:rPr>
        <w:t>për të garantuar aksesueshmërinë e tyre.</w:t>
      </w:r>
    </w:p>
    <w:p w14:paraId="52E6BC92" w14:textId="77777777"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Objektivi i dytë synon të kalojë nga një sistem transporti që ofron shërbime të përgjithshme, por jo gjithmonë të përdorshme për të gjithë, drejt një sistemi transporti gjithëpërfshirës. Ai kombinon përshtatjet infrastrukturore, përmirësimin e shërbimit, mbështetjen financiare dhe rritjen e ndërgjegjësimit, me qëllim që transporti të mos përbëjë më pengesë për pjesëmarrjen e personave me aftësi të kufizuara në jetën shoqërore dhe ekonomike.</w:t>
      </w:r>
    </w:p>
    <w:p w14:paraId="78DD1795" w14:textId="7F31381B" w:rsidR="003E1630" w:rsidRPr="00024D5A" w:rsidRDefault="005743A8" w:rsidP="00791B1A">
      <w:pPr>
        <w:ind w:firstLine="284"/>
        <w:jc w:val="both"/>
        <w:rPr>
          <w:rFonts w:ascii="Garamond" w:eastAsia="Times New Roman" w:hAnsi="Garamond"/>
          <w:b/>
          <w:bCs/>
          <w:i/>
          <w:iCs/>
        </w:rPr>
      </w:pPr>
      <w:r w:rsidRPr="00024D5A">
        <w:rPr>
          <w:rFonts w:ascii="Garamond" w:eastAsia="Times New Roman" w:hAnsi="Garamond"/>
          <w:b/>
          <w:bCs/>
          <w:i/>
          <w:iCs/>
        </w:rPr>
        <w:t xml:space="preserve">Objektivi </w:t>
      </w:r>
      <w:r w:rsidR="005327E2" w:rsidRPr="00024D5A">
        <w:rPr>
          <w:rFonts w:ascii="Garamond" w:eastAsia="Times New Roman" w:hAnsi="Garamond"/>
          <w:b/>
          <w:bCs/>
          <w:i/>
          <w:iCs/>
        </w:rPr>
        <w:t xml:space="preserve">specifik </w:t>
      </w:r>
      <w:r w:rsidRPr="00024D5A">
        <w:rPr>
          <w:rFonts w:ascii="Garamond" w:eastAsia="Times New Roman" w:hAnsi="Garamond"/>
          <w:b/>
          <w:bCs/>
          <w:i/>
          <w:iCs/>
        </w:rPr>
        <w:t>3</w:t>
      </w:r>
      <w:r w:rsidR="00AC5DA9">
        <w:rPr>
          <w:rFonts w:ascii="Garamond" w:eastAsia="Times New Roman" w:hAnsi="Garamond"/>
          <w:b/>
          <w:bCs/>
          <w:i/>
          <w:iCs/>
        </w:rPr>
        <w:t xml:space="preserve">: </w:t>
      </w:r>
      <w:r w:rsidRPr="00024D5A">
        <w:rPr>
          <w:rFonts w:ascii="Garamond" w:eastAsia="Times New Roman" w:hAnsi="Garamond"/>
          <w:i/>
          <w:iCs/>
        </w:rPr>
        <w:t>Realizimi i aksesueshmërisë në informacion, komunikim dhe mediat për personat me aftësi të kufizuara.</w:t>
      </w:r>
    </w:p>
    <w:p w14:paraId="54DEBA92" w14:textId="1F2FBA52" w:rsidR="003E1630" w:rsidRPr="00024D5A" w:rsidRDefault="005743A8" w:rsidP="00791B1A">
      <w:pPr>
        <w:ind w:firstLine="284"/>
        <w:jc w:val="both"/>
        <w:rPr>
          <w:rFonts w:ascii="Garamond" w:eastAsia="Times New Roman" w:hAnsi="Garamond"/>
          <w:b/>
          <w:bCs/>
          <w:i/>
          <w:iCs/>
        </w:rPr>
      </w:pPr>
      <w:r w:rsidRPr="00024D5A">
        <w:rPr>
          <w:rFonts w:ascii="Garamond" w:eastAsia="Times New Roman" w:hAnsi="Garamond"/>
          <w:b/>
          <w:bCs/>
          <w:i/>
          <w:iCs/>
        </w:rPr>
        <w:t xml:space="preserve">Masa </w:t>
      </w:r>
      <w:r w:rsidR="005327E2" w:rsidRPr="00024D5A">
        <w:rPr>
          <w:rFonts w:ascii="Garamond" w:eastAsia="Times New Roman" w:hAnsi="Garamond"/>
          <w:b/>
          <w:bCs/>
          <w:i/>
          <w:iCs/>
        </w:rPr>
        <w:t>prioritare</w:t>
      </w:r>
      <w:r w:rsidR="00110C9A">
        <w:rPr>
          <w:rFonts w:ascii="Garamond" w:eastAsia="Times New Roman" w:hAnsi="Garamond"/>
          <w:b/>
          <w:bCs/>
          <w:i/>
          <w:iCs/>
        </w:rPr>
        <w:t>:</w:t>
      </w:r>
      <w:r w:rsidR="005327E2" w:rsidRPr="00024D5A">
        <w:rPr>
          <w:rFonts w:ascii="Garamond" w:eastAsia="Times New Roman" w:hAnsi="Garamond"/>
          <w:b/>
          <w:bCs/>
          <w:i/>
          <w:iCs/>
        </w:rPr>
        <w:t xml:space="preserve"> </w:t>
      </w:r>
    </w:p>
    <w:p w14:paraId="7FA84E39" w14:textId="77777777"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3.1 Përmirësime ligjore dhe përshtatja e standardeve ndërkombëtare të sigurimit të aksesueshmërisë në TIK. Strukturat për monitorimin dhe inspektimin e zbatimit të kuadrit ligjor.</w:t>
      </w:r>
    </w:p>
    <w:p w14:paraId="76CDE314" w14:textId="77777777"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3.2 Sigurimi i produkteve dhe shërbimeve të aksesueshme për informacion dhe komunikim për personat me aftësi të kufizuara.</w:t>
      </w:r>
    </w:p>
    <w:p w14:paraId="538D7891" w14:textId="77777777"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Objektivi i tretë synon të sigurojë akses të barabartë dhe gjithëpërfshirës në informacion, komunikim dhe media për të gjitha kategoritë e personave me aftësi të kufizuara në çdo shërbim dhe platformë të ofruar për publikun, duke përfshirë sportelet fizike, portalet dhe faqet e internetit, pajisjet dhe shërbimet celulare, transmetimet televizive, publikimet, si edhe takimet dhe aktivitetet publike. Ky objektiv, mbështetet në parimin se qasja në informacion dhe komunikim është kusht thelbësor për ushtrimin e të drejtave, për pjesëmarrjen qytetare dhe për përdorimin efektiv të shërbimeve publike në kushte të barabarta me të tjerët.</w:t>
      </w:r>
    </w:p>
    <w:p w14:paraId="755727B7" w14:textId="577ECBEC"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Një drejtim i parë i rëndësishëm është përmirësimi i kuadrit ligjor dhe përafrimi i tij me standardet ndërkombëtare të aksesueshmërisë në teknologjinë e informacionit dhe komunikimit (TIK). Parashikohet rishikimi i legjislacionit që rregullon ofrimin e shërbimeve publike në sportel dhe i akteve nënligjore përkatëse, me qëllim përfshirjen e kërkesave të aksesueshmërisë për personat me aftësi të kufizuara, në përputhje me standardet evropiane për faqet e internetit dhe aplikacionet mobile të institucioneve publike. Në këtë kuadër do të përshtaten standarde ndërkombëtare për aksesueshmërinë në portalet</w:t>
      </w:r>
      <w:r w:rsidRPr="00024D5A">
        <w:rPr>
          <w:rStyle w:val="FootnoteReference"/>
          <w:rFonts w:ascii="Garamond" w:eastAsia="Times New Roman" w:hAnsi="Garamond"/>
        </w:rPr>
        <w:footnoteReference w:id="30"/>
      </w:r>
      <w:r w:rsidRPr="00024D5A">
        <w:rPr>
          <w:rFonts w:ascii="Garamond" w:eastAsia="Times New Roman" w:hAnsi="Garamond"/>
        </w:rPr>
        <w:t xml:space="preserve"> qeveritare, në komunikimin institucional, në publikime dhe në organizimin e aktiviteteve publike. Gjithashtu, do të vendosen standarde që sigurojnë bashkërendimin e shërbimeve televizive me pajisjet teknologjike</w:t>
      </w:r>
      <w:r w:rsidR="00A36C34" w:rsidRPr="00024D5A">
        <w:rPr>
          <w:rFonts w:ascii="Garamond" w:eastAsia="Times New Roman" w:hAnsi="Garamond"/>
        </w:rPr>
        <w:t>,</w:t>
      </w:r>
      <w:r w:rsidRPr="00024D5A">
        <w:rPr>
          <w:rFonts w:ascii="Garamond" w:eastAsia="Times New Roman" w:hAnsi="Garamond"/>
        </w:rPr>
        <w:t xml:space="preserve"> që mundësojnë përdorimin e tyre nga personat me aftësi të kufizuara.</w:t>
      </w:r>
    </w:p>
    <w:p w14:paraId="2B9B9DE7" w14:textId="77777777"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 xml:space="preserve">Në praktikë, kjo do të përfshijë zbatimin e kërkesave të aksesueshmërisë në portalin </w:t>
      </w:r>
      <w:r w:rsidRPr="00024D5A">
        <w:rPr>
          <w:rFonts w:ascii="Garamond" w:eastAsia="Times New Roman" w:hAnsi="Garamond"/>
          <w:i/>
          <w:iCs/>
        </w:rPr>
        <w:t>e-Albania</w:t>
      </w:r>
      <w:r w:rsidRPr="00024D5A">
        <w:rPr>
          <w:rFonts w:ascii="Garamond" w:eastAsia="Times New Roman" w:hAnsi="Garamond"/>
        </w:rPr>
        <w:t xml:space="preserve"> dhe në të gjitha platformat e tjera ndërvepruese me publikun, si dhe zhvillimin e programeve teknologjike mbështetëse, përfshirë aplikacione për leximin e tekstit </w:t>
      </w:r>
      <w:r w:rsidRPr="00024D5A">
        <w:rPr>
          <w:rFonts w:ascii="Garamond" w:eastAsia="Times New Roman" w:hAnsi="Garamond"/>
          <w:i/>
          <w:iCs/>
        </w:rPr>
        <w:t xml:space="preserve">(text-to-speech) </w:t>
      </w:r>
      <w:r w:rsidRPr="00024D5A">
        <w:rPr>
          <w:rFonts w:ascii="Garamond" w:eastAsia="Times New Roman" w:hAnsi="Garamond"/>
        </w:rPr>
        <w:t>për personat me dëmtime në shikim. Paralelisht, do të rishikohen dhe forcohen strukturat përgjegjëse për monitorimin dhe inspektimin e zbatimit të kërkesave të aksesueshmërisë në informacion dhe komunikim, me qëllim garantimin e respektimit të standardeve në mënyrë të vazhdueshme.</w:t>
      </w:r>
    </w:p>
    <w:p w14:paraId="0C057BAA" w14:textId="77777777"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Objektivi përfshin edhe rritjen e kapaciteteve institucionale dhe profesionale. Do të organizohen trajnime për stafet e institucioneve publike mbi mënyrën e ofrimit të shërbimit ndaj personave me aftësi të kufizuara dhe mbi përdorimin e informacionit të aksesueshëm në sportele dhe portale publike. Njëkohësisht, do të krijohen grupe trajnerësh të specializuar brenda institucioneve për të garantuar përhapjen e njohurive dhe praktikave të aksesueshmërisë. Personat me aftësi të kufizuara dhe organizatat e tyre do të informohen dhe trajnohen për përdorimin e shërbimeve të aksesueshme dhe të teknologjive të komunikimit, përfshirë telefoninë e lëvizshme dhe platformat digjitale.</w:t>
      </w:r>
    </w:p>
    <w:p w14:paraId="4965ECF1" w14:textId="11AA8C9F"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Përmirësimi i cilësisë së shërbimit do të shoqërohet me trajnime për personelin që ndërvepron drejtpërdrejt me qytetarët dhe me ndërgjegjësimin e ofruesve të mediave dhe komunikimeve elektronike. Institucionet arsimore të larta dhe ato të formimit profesional do të inkurajohen të zhvillojnë programe mësimore për aksesueshmërinë e faqeve të internetit, duke kontribuar në krijimin e kapaciteteve profesionale në këtë fushë. Po ashtu, do të zhvillohen fushata informimi për të drejtat e personave me aftësi të kufizuara</w:t>
      </w:r>
      <w:r w:rsidR="00C12D9D" w:rsidRPr="00024D5A">
        <w:rPr>
          <w:rFonts w:ascii="Garamond" w:eastAsia="Times New Roman" w:hAnsi="Garamond"/>
        </w:rPr>
        <w:t>,</w:t>
      </w:r>
      <w:r w:rsidRPr="00024D5A">
        <w:rPr>
          <w:rFonts w:ascii="Garamond" w:eastAsia="Times New Roman" w:hAnsi="Garamond"/>
        </w:rPr>
        <w:t xml:space="preserve"> në lidhje me transmetimet televizive të aksesueshme.</w:t>
      </w:r>
    </w:p>
    <w:p w14:paraId="663FBEA1" w14:textId="0D79FE61"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 xml:space="preserve">Një komponent tjetër thelbësor është sigurimi i produkteve dhe </w:t>
      </w:r>
      <w:r w:rsidR="00C12D9D" w:rsidRPr="00024D5A">
        <w:rPr>
          <w:rFonts w:ascii="Garamond" w:eastAsia="Times New Roman" w:hAnsi="Garamond"/>
        </w:rPr>
        <w:t xml:space="preserve">i </w:t>
      </w:r>
      <w:r w:rsidRPr="00024D5A">
        <w:rPr>
          <w:rFonts w:ascii="Garamond" w:eastAsia="Times New Roman" w:hAnsi="Garamond"/>
        </w:rPr>
        <w:t>shërbimeve të aksesueshme në praktikë. Institucionet publike do të marrin masa që pajisjet dhe shërbimet e tyre të jenë të përdorueshme edhe nga persona me dëmtime në shikim, dëgjim, lëvizje apo me aftësi të kufizuara intelektuale, përmes përdorimit të ikonave universale, programeve të leximit të ekranit, pajisjeve audio, mundësisë për zmadhimin e tekstit dhe përdorimit Braille. Informacioni zyrtar, përfshirë ligje, vendime, strategji dhe plane veprimi, do të ofrohet në formate alternative dhe të kuptueshme, ndërsa komunikimet publike dhe aktivitetet institucionale do të organizohen në mënyrë të aksesueshme për të gjithë.</w:t>
      </w:r>
    </w:p>
    <w:p w14:paraId="3681019A" w14:textId="77777777"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Në fushën e medies do të sigurohet përdorimi i titrave, përshkrimeve audio dhe gjuhës së shenjave në programe të caktuara, si dhe monitorimi i zbatimit të këtyre kërkesave nga ofruesit e licencuar. Po ashtu, do të promovohet shkëmbimi i përvojave me vende të tjera për të përmirësuar praktikat e aksesueshmërisë.</w:t>
      </w:r>
    </w:p>
    <w:p w14:paraId="0E2745FE" w14:textId="2DCC1579"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Objektivi i tretë synon të garantojë që askush të mos përjashtohet nga informacioni, komunikimi dhe jeta publike për shkak të barrierave komunikative ose teknologjike.</w:t>
      </w:r>
      <w:r w:rsidR="008F29FA" w:rsidRPr="00024D5A">
        <w:rPr>
          <w:rFonts w:ascii="Garamond" w:eastAsia="Times New Roman" w:hAnsi="Garamond"/>
        </w:rPr>
        <w:t xml:space="preserve"> </w:t>
      </w:r>
      <w:r w:rsidRPr="00024D5A">
        <w:rPr>
          <w:rFonts w:ascii="Garamond" w:eastAsia="Times New Roman" w:hAnsi="Garamond"/>
        </w:rPr>
        <w:t>Ai e zhvendos fokusin nga thjesht disponueshmëria e informacionit drejt shfrytëzimit të tij në praktikë, duke e bërë aksesueshmërinë digjitale dhe mediatike pjesë integrale të ofrimit të shërbimeve publike dhe të komunikimit institucional.</w:t>
      </w:r>
    </w:p>
    <w:p w14:paraId="13B4DAF9" w14:textId="372567DB" w:rsidR="003E1630" w:rsidRPr="00024D5A" w:rsidRDefault="005743A8" w:rsidP="00791B1A">
      <w:pPr>
        <w:ind w:firstLine="284"/>
        <w:jc w:val="both"/>
        <w:rPr>
          <w:rFonts w:ascii="Garamond" w:eastAsia="Times New Roman" w:hAnsi="Garamond"/>
          <w:b/>
          <w:bCs/>
          <w:i/>
          <w:iCs/>
        </w:rPr>
      </w:pPr>
      <w:r w:rsidRPr="00024D5A">
        <w:rPr>
          <w:rFonts w:ascii="Garamond" w:eastAsia="Times New Roman" w:hAnsi="Garamond"/>
          <w:b/>
          <w:bCs/>
          <w:i/>
          <w:iCs/>
        </w:rPr>
        <w:t xml:space="preserve">Objektivi </w:t>
      </w:r>
      <w:r w:rsidR="00AC5DA9" w:rsidRPr="00024D5A">
        <w:rPr>
          <w:rFonts w:ascii="Garamond" w:eastAsia="Times New Roman" w:hAnsi="Garamond"/>
          <w:b/>
          <w:bCs/>
          <w:i/>
          <w:iCs/>
        </w:rPr>
        <w:t xml:space="preserve">specifik </w:t>
      </w:r>
      <w:r w:rsidRPr="00024D5A">
        <w:rPr>
          <w:rFonts w:ascii="Garamond" w:eastAsia="Times New Roman" w:hAnsi="Garamond"/>
          <w:b/>
          <w:bCs/>
          <w:i/>
          <w:iCs/>
        </w:rPr>
        <w:t xml:space="preserve">4: </w:t>
      </w:r>
      <w:r w:rsidRPr="00024D5A">
        <w:rPr>
          <w:rFonts w:ascii="Garamond" w:eastAsia="Times New Roman" w:hAnsi="Garamond"/>
          <w:i/>
          <w:iCs/>
        </w:rPr>
        <w:t xml:space="preserve">Realizimi i aksesueshmërisë në </w:t>
      </w:r>
      <w:r w:rsidR="00C07F10" w:rsidRPr="00024D5A">
        <w:rPr>
          <w:rFonts w:ascii="Garamond" w:eastAsia="Times New Roman" w:hAnsi="Garamond"/>
          <w:i/>
          <w:iCs/>
        </w:rPr>
        <w:t xml:space="preserve">institucionet qendrore të artit dhe kulturës, </w:t>
      </w:r>
      <w:r w:rsidRPr="00024D5A">
        <w:rPr>
          <w:rFonts w:ascii="Garamond" w:eastAsia="Times New Roman" w:hAnsi="Garamond"/>
          <w:i/>
          <w:iCs/>
        </w:rPr>
        <w:t>objektet dhe shërbimet turistike dhe të trashëgimisë kulturore.</w:t>
      </w:r>
    </w:p>
    <w:p w14:paraId="1C4130B1" w14:textId="050B9ACF" w:rsidR="003E1630" w:rsidRPr="00024D5A" w:rsidRDefault="005743A8" w:rsidP="00791B1A">
      <w:pPr>
        <w:ind w:firstLine="284"/>
        <w:jc w:val="both"/>
        <w:rPr>
          <w:rFonts w:ascii="Garamond" w:hAnsi="Garamond"/>
          <w:b/>
          <w:bCs/>
          <w:i/>
          <w:iCs/>
        </w:rPr>
      </w:pPr>
      <w:r w:rsidRPr="00024D5A">
        <w:rPr>
          <w:rFonts w:ascii="Garamond" w:hAnsi="Garamond"/>
          <w:b/>
          <w:bCs/>
          <w:i/>
          <w:iCs/>
        </w:rPr>
        <w:t xml:space="preserve">Masa </w:t>
      </w:r>
      <w:r w:rsidR="00AC5DA9" w:rsidRPr="00024D5A">
        <w:rPr>
          <w:rFonts w:ascii="Garamond" w:hAnsi="Garamond"/>
          <w:b/>
          <w:bCs/>
          <w:i/>
          <w:iCs/>
        </w:rPr>
        <w:t>prioritare</w:t>
      </w:r>
      <w:r w:rsidR="00110C9A">
        <w:rPr>
          <w:rFonts w:ascii="Garamond" w:hAnsi="Garamond"/>
          <w:b/>
          <w:bCs/>
          <w:i/>
          <w:iCs/>
        </w:rPr>
        <w:t>:</w:t>
      </w:r>
    </w:p>
    <w:p w14:paraId="0BF5AC8D" w14:textId="77777777" w:rsidR="003E1630" w:rsidRPr="00024D5A" w:rsidRDefault="005743A8" w:rsidP="00791B1A">
      <w:pPr>
        <w:ind w:firstLine="284"/>
        <w:jc w:val="both"/>
        <w:rPr>
          <w:rFonts w:ascii="Garamond" w:eastAsia="Times New Roman" w:hAnsi="Garamond"/>
          <w:b/>
          <w:bCs/>
        </w:rPr>
      </w:pPr>
      <w:r w:rsidRPr="00024D5A">
        <w:rPr>
          <w:rFonts w:ascii="Garamond" w:hAnsi="Garamond"/>
        </w:rPr>
        <w:t>4.1 Të realizohet aksesueshmëria fizike dhe e shërbimeve në objekte turistike dhe të trashëgimisë kulturore, në parqe kombëtare dhe plazhe, në ambientet sportive dhe shërbimet e guidave turistike.</w:t>
      </w:r>
    </w:p>
    <w:p w14:paraId="6AE9642D" w14:textId="77777777"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Objektivi i katërt synon të sigurojë që personat me aftësi të kufizuara të kenë mundësi reale për të përdorur dhe përfituar nga objektet dhe shërbimet turistike, si dhe pasuritë e trashëgimisë kulturore, në mënyrë të barabartë me qytetarët e tjerë. Ky objektiv mbështetet në parimin se pjesëmarrja në jetën kulturore, rekreative dhe turistike është pjesë e mirëqenies sociale dhe e integrimit shoqëror dhe nuk duhet të kufizohet nga barrierat fizike, informuese apo organizative.</w:t>
      </w:r>
    </w:p>
    <w:p w14:paraId="16B51314" w14:textId="5ADC2ABC"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Një drejtim i parë i rëndësishëm është përfshirja e kërkesave të aksesueshmërisë në kuadrin rregullator të turizmit dhe trashëgimisë kulturore. Parashikohen ndryshime ligjore dhe nënligjore që standardet e aksesueshmërisë të bëhen pjesë e kritereve të vlerësimit për licencimin e strukturave akomoduese, të objekteve të turizmit kulturor dhe të shërbimeve përkatëse.</w:t>
      </w:r>
      <w:r w:rsidR="008F29FA" w:rsidRPr="00024D5A">
        <w:rPr>
          <w:rFonts w:ascii="Garamond" w:eastAsia="Times New Roman" w:hAnsi="Garamond"/>
        </w:rPr>
        <w:t xml:space="preserve"> </w:t>
      </w:r>
      <w:r w:rsidRPr="00024D5A">
        <w:rPr>
          <w:rFonts w:ascii="Garamond" w:eastAsia="Times New Roman" w:hAnsi="Garamond"/>
        </w:rPr>
        <w:t>Në këtë mënyrë, aksesueshmëria nuk konsiderohet më thjesht si një zgjedhje, por bëhet një kusht i domosdoshëm për funksionimin e strukturave turistike dhe për ofrimin e shërbimeve ndaj publikut.</w:t>
      </w:r>
    </w:p>
    <w:p w14:paraId="3BA99C24" w14:textId="77777777"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Për të siguruar zbatimin efektiv, do të realizohet një vlerësim sistematik i nivelit të aksesueshmërisë në objektet turistike dhe të trashëgimisë kulturore, i shoqëruar me rekomandime konkrete për përmirësime. Rezultatet e këtij procesi do të përfshihen në një regjistër të posaçëm të aksesueshmërisë, i cili do të shërbejë si instrument informimi dhe planifikimi për institucionet dhe operatorët. Në të njëjtën kohë, parashikohet përshtatja e mjediseve të hapura, si parqet natyrore, plazhet dhe hapësirat rekreative, sipas standardeve të aksesueshmërisë, me qëllim që përdorimi i tyre të jetë i mundur nga të gjithë.</w:t>
      </w:r>
    </w:p>
    <w:p w14:paraId="74D7DB8E" w14:textId="77777777"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Përveç infrastrukturës, objektivi adreson edhe përmbajtjen dhe mënyrën e ofrimit të shërbimeve turistike. Parashikohet përfshirja e standardeve të aksesueshmërisë në paketat turistike, duke përfshirë transport të përshtatur, guida audio, materiale informuese në Braille ose në gjuhë të thjeshtuar dhe interpretim në gjuhën e shenjave. Operatorët turistikë do të ndërgjegjësohen për rëndësinë e turizmit gjithëpërfshirës dhe për nevojën e përshtatjes së shërbimeve për kategori të ndryshme përdoruesish.</w:t>
      </w:r>
    </w:p>
    <w:p w14:paraId="180EC58F" w14:textId="4C53E37E"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Një element tjetër i rëndësishëm është sigurimi i informacionit të aksesueshëm për vizitorët.</w:t>
      </w:r>
      <w:r w:rsidR="008F29FA" w:rsidRPr="00024D5A">
        <w:rPr>
          <w:rFonts w:ascii="Garamond" w:eastAsia="Times New Roman" w:hAnsi="Garamond"/>
        </w:rPr>
        <w:t xml:space="preserve"> </w:t>
      </w:r>
      <w:r w:rsidRPr="00024D5A">
        <w:rPr>
          <w:rFonts w:ascii="Garamond" w:eastAsia="Times New Roman" w:hAnsi="Garamond"/>
        </w:rPr>
        <w:t>Faqet e internetit dhe aplikacionet turistike duhet të jenë të aksesueshme për personat me aftësi të kufizuara dhe informacioni për destinacionet, shërbimet dhe pikat turistike të ofrohet në mënyrë të përshtatshme dhe të kuptueshme. Do të përgatiten edhe broshura dhe materiale informuese të aksesueshme, në mënyrë që planifikimi dhe realizimi i vizitave turistike të jetë i mundur në mënyrë të pavarur.</w:t>
      </w:r>
    </w:p>
    <w:p w14:paraId="09BDB2E1" w14:textId="77777777"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Objektivi i katërt synon të zhvillojë një model turizmi gjithëpërfshirës, ku personat me aftësi të kufizuara të mos jenë vetëm përfitues pasivë, por pjesëmarrës aktivë në jetën kulturore dhe turistike. Duke kombinuar përshtatjen e infrastrukturës, përmirësimin e shërbimeve dhe ofrimin e informacionit të aksesueshëm, ky objektiv kontribuon jo vetëm në respektimin e të drejtave, por edhe në zhvillimin e një oferte turistike më të hapur, cilësore dhe të qëndrueshme për të gjithë.</w:t>
      </w:r>
    </w:p>
    <w:p w14:paraId="4D84107E" w14:textId="02CC19C8" w:rsidR="003E1630" w:rsidRPr="00024D5A" w:rsidRDefault="003A0569" w:rsidP="00791B1A">
      <w:pPr>
        <w:pStyle w:val="Heading2"/>
        <w:spacing w:before="0"/>
        <w:ind w:firstLine="284"/>
        <w:rPr>
          <w:rFonts w:ascii="Garamond" w:hAnsi="Garamond"/>
          <w:color w:val="auto"/>
          <w:sz w:val="24"/>
          <w:szCs w:val="24"/>
          <w:lang w:eastAsia="en-US"/>
        </w:rPr>
      </w:pPr>
      <w:bookmarkStart w:id="28" w:name="_Toc231489632"/>
      <w:r w:rsidRPr="00024D5A">
        <w:rPr>
          <w:rFonts w:ascii="Garamond" w:hAnsi="Garamond"/>
          <w:color w:val="auto"/>
          <w:sz w:val="24"/>
          <w:szCs w:val="24"/>
          <w:lang w:eastAsia="en-US"/>
        </w:rPr>
        <w:t>3</w:t>
      </w:r>
      <w:r w:rsidR="005743A8" w:rsidRPr="00024D5A">
        <w:rPr>
          <w:rFonts w:ascii="Garamond" w:hAnsi="Garamond"/>
          <w:color w:val="auto"/>
          <w:sz w:val="24"/>
          <w:szCs w:val="24"/>
          <w:lang w:eastAsia="en-US"/>
        </w:rPr>
        <w:t xml:space="preserve">.2. Aksesi në </w:t>
      </w:r>
      <w:r w:rsidR="00865AED" w:rsidRPr="00024D5A">
        <w:rPr>
          <w:rFonts w:ascii="Garamond" w:hAnsi="Garamond"/>
          <w:color w:val="auto"/>
          <w:sz w:val="24"/>
          <w:szCs w:val="24"/>
          <w:lang w:eastAsia="en-US"/>
        </w:rPr>
        <w:t>drejtësi dhe barazia para ligjit</w:t>
      </w:r>
      <w:bookmarkEnd w:id="28"/>
      <w:r w:rsidR="00865AED" w:rsidRPr="00024D5A">
        <w:rPr>
          <w:rFonts w:ascii="Garamond" w:hAnsi="Garamond"/>
          <w:color w:val="auto"/>
          <w:sz w:val="24"/>
          <w:szCs w:val="24"/>
          <w:lang w:eastAsia="en-US"/>
        </w:rPr>
        <w:t xml:space="preserve"> </w:t>
      </w:r>
    </w:p>
    <w:p w14:paraId="5E7998CC" w14:textId="755AFAF3" w:rsidR="003E1630" w:rsidRPr="00024D5A" w:rsidRDefault="003A0569" w:rsidP="00791B1A">
      <w:pPr>
        <w:pStyle w:val="Heading2"/>
        <w:spacing w:before="0"/>
        <w:ind w:firstLine="284"/>
        <w:rPr>
          <w:rFonts w:ascii="Garamond" w:hAnsi="Garamond"/>
          <w:color w:val="auto"/>
          <w:sz w:val="24"/>
          <w:szCs w:val="24"/>
          <w:lang w:eastAsia="en-US"/>
        </w:rPr>
      </w:pPr>
      <w:bookmarkStart w:id="29" w:name="_Toc231489633"/>
      <w:r w:rsidRPr="00024D5A">
        <w:rPr>
          <w:rFonts w:ascii="Garamond" w:hAnsi="Garamond"/>
          <w:color w:val="auto"/>
          <w:sz w:val="24"/>
          <w:szCs w:val="24"/>
          <w:lang w:eastAsia="en-US"/>
        </w:rPr>
        <w:t>3</w:t>
      </w:r>
      <w:r w:rsidR="005743A8" w:rsidRPr="00024D5A">
        <w:rPr>
          <w:rFonts w:ascii="Garamond" w:hAnsi="Garamond"/>
          <w:color w:val="auto"/>
          <w:sz w:val="24"/>
          <w:szCs w:val="24"/>
          <w:lang w:eastAsia="en-US"/>
        </w:rPr>
        <w:t>.2.1. Konteksti strategjik</w:t>
      </w:r>
      <w:bookmarkEnd w:id="29"/>
      <w:r w:rsidR="005743A8" w:rsidRPr="00024D5A">
        <w:rPr>
          <w:rFonts w:ascii="Garamond" w:hAnsi="Garamond"/>
          <w:color w:val="auto"/>
          <w:sz w:val="24"/>
          <w:szCs w:val="24"/>
          <w:lang w:eastAsia="en-US"/>
        </w:rPr>
        <w:t xml:space="preserve"> </w:t>
      </w:r>
    </w:p>
    <w:p w14:paraId="79E7C0F1" w14:textId="6B05C3FA"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Fusha e drejtësisë në Planin e Veprimit për Personat me Aftësi të Kufizuara </w:t>
      </w:r>
      <w:r w:rsidR="00657405" w:rsidRPr="00024D5A">
        <w:rPr>
          <w:rFonts w:ascii="Garamond" w:eastAsia="Times New Roman" w:hAnsi="Garamond"/>
          <w:lang w:eastAsia="en-US"/>
        </w:rPr>
        <w:t>2026–2030</w:t>
      </w:r>
      <w:r w:rsidRPr="00024D5A">
        <w:rPr>
          <w:rFonts w:ascii="Garamond" w:eastAsia="Times New Roman" w:hAnsi="Garamond"/>
          <w:lang w:eastAsia="en-US"/>
        </w:rPr>
        <w:t xml:space="preserve"> mbështetet në një kuadër të gjerë standardesh ndërkombëtare të të drejtave të njeriut, instrumentesh evropiane dhe dokumentesh strategjike kombëtare. Qasja e këtij kapitulli bazohet në parimin se aksesimi i sistemit të drejtësisë nuk është vetëm një shërbim publik, por një e drejtë themelore, e lidhur drejtpërdrejt me barazinë para ligjit, me mbrojtjen nga diskriminimi dhe me garantimin e dinjitetit njerëzor. Në këtë kuptim, ndërhyrjet në fushën e drejtësisë nuk ndërtohen si politika të veçuara sociale, por si pjesë e detyrimeve shtetërore për respektimin e të drejtave themelore dhe për përmbushjen e standardeve të integrimit evropian.</w:t>
      </w:r>
    </w:p>
    <w:p w14:paraId="4AE1E0E6" w14:textId="550F8AD9"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Në nivel ndërkombëtar, referenca kryesore është Konventa e Kombeve të Bashkuara për të Drejtat e Personave me Aftësi të Kufizuara</w:t>
      </w:r>
      <w:r w:rsidRPr="00024D5A">
        <w:rPr>
          <w:rFonts w:ascii="Garamond" w:eastAsia="Times New Roman" w:hAnsi="Garamond"/>
          <w:vertAlign w:val="superscript"/>
          <w:lang w:eastAsia="en-US"/>
        </w:rPr>
        <w:footnoteReference w:id="31"/>
      </w:r>
      <w:r w:rsidRPr="00024D5A">
        <w:rPr>
          <w:rFonts w:ascii="Garamond" w:eastAsia="Times New Roman" w:hAnsi="Garamond"/>
          <w:lang w:eastAsia="en-US"/>
        </w:rPr>
        <w:t>. Konventa njeh të drejtën e personave me aftësi të kufizuara për njohje të barabartë para ligjit dhe për ushtrimin e plotë të zotësisë juridike (neni 12), si dhe detyrimin e shtetit për të siguruar akses efektiv në drejtësi në të gjitha fazat e procedurave ligjore (neni 13). Ajo kërkon që shtetet të ofrojnë akomodime procedurale dhe mbështetje të përshtatshme, në mënyrë që personat me aftësi të kufizuara të mund të marrin pjesë në procedurat gjyqësore si palë, dëshmitarë apo viktima. Komenti i Përgjithshëm nr. 1 i Komitetit të</w:t>
      </w:r>
      <w:r w:rsidR="008F29FA" w:rsidRPr="00024D5A">
        <w:rPr>
          <w:rFonts w:ascii="Garamond" w:eastAsia="Times New Roman" w:hAnsi="Garamond"/>
        </w:rPr>
        <w:t xml:space="preserve"> </w:t>
      </w:r>
      <w:r w:rsidRPr="00024D5A">
        <w:rPr>
          <w:rFonts w:ascii="Garamond" w:eastAsia="Times New Roman" w:hAnsi="Garamond"/>
        </w:rPr>
        <w:t>KDPAK</w:t>
      </w:r>
      <w:r w:rsidRPr="00024D5A">
        <w:rPr>
          <w:rFonts w:ascii="Garamond" w:eastAsia="Times New Roman" w:hAnsi="Garamond"/>
          <w:lang w:eastAsia="en-US"/>
        </w:rPr>
        <w:t>-së</w:t>
      </w:r>
      <w:r w:rsidR="00FB5E92" w:rsidRPr="00024D5A">
        <w:rPr>
          <w:rFonts w:ascii="Garamond" w:eastAsia="Times New Roman" w:hAnsi="Garamond"/>
          <w:vertAlign w:val="superscript"/>
          <w:lang w:eastAsia="en-US"/>
        </w:rPr>
        <w:footnoteReference w:id="32"/>
      </w:r>
      <w:r w:rsidRPr="00024D5A">
        <w:rPr>
          <w:rFonts w:ascii="Garamond" w:eastAsia="Times New Roman" w:hAnsi="Garamond"/>
          <w:lang w:eastAsia="en-US"/>
        </w:rPr>
        <w:t xml:space="preserve"> e thekson më tej këtë parim, duke kërkuar kalimin nga sistemet e kujdestarisë ligjore drejt mekanizmave të vendimmarrjes së mbështetur, për të garantuar autonominë dhe vetëvendosjen e individit</w:t>
      </w:r>
      <w:r w:rsidR="004D6747" w:rsidRPr="00024D5A">
        <w:rPr>
          <w:rFonts w:ascii="Garamond" w:eastAsia="Times New Roman" w:hAnsi="Garamond"/>
          <w:lang w:eastAsia="en-US"/>
        </w:rPr>
        <w:t>.</w:t>
      </w:r>
      <w:r w:rsidRPr="00024D5A">
        <w:rPr>
          <w:rFonts w:ascii="Garamond" w:eastAsia="Times New Roman" w:hAnsi="Garamond"/>
          <w:lang w:eastAsia="en-US"/>
        </w:rPr>
        <w:t xml:space="preserve"> </w:t>
      </w:r>
    </w:p>
    <w:p w14:paraId="567DC16D"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Po ashtu, Konventa lidhet me të drejtën për liri dhe siguri personale dhe me trajtimin dinjitoz (nenet 14 dhe 15), duke kërkuar që personat me aftësi të kufizuara, përfshirë ata në paraburgim apo në institucionet e vuajtjes së dënimit, të trajtohen në mënyrë të barabartë dhe të kenë akses në shërbime mbështetëse dhe shëndetësore. Në këtë mënyrë, drejtësia nuk kufizohet vetëm në gjykata, por përfshin policinë, prokurorinë, institucionet penitenciare dhe shërbimet ligjore mbështetëse.</w:t>
      </w:r>
    </w:p>
    <w:p w14:paraId="317265B0" w14:textId="06931DAC"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Në nivel evropian, këto parime reflektohen në politikat dhe instrumentet e Bashkimit Evropian për të drejtat themelore. Strategjia e BE-së për të Drejtat e Personave me Aftësi të Kufizuara 2021</w:t>
      </w:r>
      <w:r w:rsidR="004D6747" w:rsidRPr="00024D5A">
        <w:rPr>
          <w:rFonts w:ascii="Garamond" w:eastAsia="Times New Roman" w:hAnsi="Garamond"/>
          <w:lang w:eastAsia="en-US"/>
        </w:rPr>
        <w:t>–</w:t>
      </w:r>
      <w:r w:rsidRPr="00024D5A">
        <w:rPr>
          <w:rFonts w:ascii="Garamond" w:eastAsia="Times New Roman" w:hAnsi="Garamond"/>
          <w:lang w:eastAsia="en-US"/>
        </w:rPr>
        <w:t>2030</w:t>
      </w:r>
      <w:r w:rsidRPr="00024D5A">
        <w:rPr>
          <w:rFonts w:ascii="Garamond" w:eastAsia="Times New Roman" w:hAnsi="Garamond"/>
          <w:vertAlign w:val="superscript"/>
          <w:lang w:eastAsia="en-US"/>
        </w:rPr>
        <w:footnoteReference w:id="33"/>
      </w:r>
      <w:r w:rsidRPr="00024D5A">
        <w:rPr>
          <w:rFonts w:ascii="Garamond" w:eastAsia="Times New Roman" w:hAnsi="Garamond"/>
          <w:lang w:eastAsia="en-US"/>
        </w:rPr>
        <w:t xml:space="preserve"> thekson nevojën për akses efektiv në drejtësi dhe për eliminimin e pengesave procedurale dhe institucionale. Shtylla Evropiane e të Drejtave Sociale</w:t>
      </w:r>
      <w:r w:rsidRPr="00024D5A">
        <w:rPr>
          <w:rFonts w:ascii="Garamond" w:eastAsia="Times New Roman" w:hAnsi="Garamond"/>
          <w:vertAlign w:val="superscript"/>
          <w:lang w:eastAsia="en-US"/>
        </w:rPr>
        <w:footnoteReference w:id="34"/>
      </w:r>
      <w:r w:rsidRPr="00024D5A">
        <w:rPr>
          <w:rFonts w:ascii="Garamond" w:eastAsia="Times New Roman" w:hAnsi="Garamond"/>
          <w:lang w:eastAsia="en-US"/>
        </w:rPr>
        <w:t>, në parimin për përfshirjen e personave me aftësi të kufizuara, kërkon pjesëmarrje të plotë në jetën shoqërore dhe mbrojtje ligjore efektive. Në mënyrë plotësuese, direktivat evropiane mbi ndihmën juridike falas dhe të drejtat e viktimave vendosin standarde minimale për përfaqësim ligjor, mbështetje dhe informim të personave që përfshihen në procedura gjyqësore.</w:t>
      </w:r>
    </w:p>
    <w:p w14:paraId="0CB3EAC8" w14:textId="650DB388"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Këto standarde lidhen drejtpërdrejt me procesin e integrimit evropian të Shqipërisë. Raportet e progresit të Komisionit Evropian për Shqipërinë, veçanërisht në </w:t>
      </w:r>
      <w:r w:rsidR="004D6747" w:rsidRPr="00024D5A">
        <w:rPr>
          <w:rFonts w:ascii="Garamond" w:eastAsia="Times New Roman" w:hAnsi="Garamond"/>
          <w:lang w:eastAsia="en-US"/>
        </w:rPr>
        <w:t xml:space="preserve">kapitullin </w:t>
      </w:r>
      <w:r w:rsidRPr="00024D5A">
        <w:rPr>
          <w:rFonts w:ascii="Garamond" w:eastAsia="Times New Roman" w:hAnsi="Garamond"/>
          <w:lang w:eastAsia="en-US"/>
        </w:rPr>
        <w:t>23</w:t>
      </w:r>
      <w:r w:rsidR="004D6747" w:rsidRPr="00024D5A">
        <w:rPr>
          <w:rFonts w:ascii="Garamond" w:eastAsia="Times New Roman" w:hAnsi="Garamond"/>
          <w:lang w:eastAsia="en-US"/>
        </w:rPr>
        <w:t>,</w:t>
      </w:r>
      <w:r w:rsidRPr="00024D5A">
        <w:rPr>
          <w:rFonts w:ascii="Garamond" w:eastAsia="Times New Roman" w:hAnsi="Garamond"/>
          <w:lang w:eastAsia="en-US"/>
        </w:rPr>
        <w:t xml:space="preserve"> </w:t>
      </w:r>
      <w:r w:rsidR="0078161D" w:rsidRPr="00024D5A">
        <w:rPr>
          <w:rFonts w:ascii="Garamond" w:eastAsia="Times New Roman" w:hAnsi="Garamond"/>
          <w:lang w:eastAsia="en-US"/>
        </w:rPr>
        <w:t>“</w:t>
      </w:r>
      <w:r w:rsidRPr="00024D5A">
        <w:rPr>
          <w:rFonts w:ascii="Garamond" w:eastAsia="Times New Roman" w:hAnsi="Garamond"/>
          <w:lang w:eastAsia="en-US"/>
        </w:rPr>
        <w:t>Gjyqësori dhe të Drejtat Themelore</w:t>
      </w:r>
      <w:r w:rsidR="0078161D" w:rsidRPr="00024D5A">
        <w:rPr>
          <w:rFonts w:ascii="Garamond" w:eastAsia="Times New Roman" w:hAnsi="Garamond"/>
          <w:lang w:eastAsia="en-US"/>
        </w:rPr>
        <w:t>”</w:t>
      </w:r>
      <w:r w:rsidRPr="00024D5A">
        <w:rPr>
          <w:rFonts w:ascii="Garamond" w:eastAsia="Times New Roman" w:hAnsi="Garamond"/>
          <w:lang w:eastAsia="en-US"/>
        </w:rPr>
        <w:t xml:space="preserve">, theksojnë rëndësinë e aksesit në drejtësi dhe të mbrojtjes efektive të të drejtave themelore si element i shtetit të së drejtës. </w:t>
      </w:r>
    </w:p>
    <w:p w14:paraId="6D42A5F6" w14:textId="09CE22E9"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Në të njëjtën linjë, Strategjia Kombëtare për Zhvillim dhe Integrim 2022</w:t>
      </w:r>
      <w:r w:rsidR="004D6747" w:rsidRPr="00024D5A">
        <w:rPr>
          <w:rFonts w:ascii="Garamond" w:eastAsia="Times New Roman" w:hAnsi="Garamond"/>
          <w:lang w:eastAsia="en-US"/>
        </w:rPr>
        <w:t xml:space="preserve">  </w:t>
      </w:r>
      <w:r w:rsidRPr="00024D5A">
        <w:rPr>
          <w:rFonts w:ascii="Garamond" w:eastAsia="Times New Roman" w:hAnsi="Garamond"/>
          <w:lang w:eastAsia="en-US"/>
        </w:rPr>
        <w:t>-</w:t>
      </w:r>
      <w:r w:rsidR="004D6747" w:rsidRPr="00024D5A">
        <w:rPr>
          <w:rFonts w:ascii="Garamond" w:eastAsia="Times New Roman" w:hAnsi="Garamond"/>
          <w:lang w:eastAsia="en-US"/>
        </w:rPr>
        <w:t xml:space="preserve"> </w:t>
      </w:r>
      <w:r w:rsidRPr="00024D5A">
        <w:rPr>
          <w:rFonts w:ascii="Garamond" w:eastAsia="Times New Roman" w:hAnsi="Garamond"/>
          <w:lang w:eastAsia="en-US"/>
        </w:rPr>
        <w:t>2030</w:t>
      </w:r>
      <w:r w:rsidRPr="00024D5A">
        <w:rPr>
          <w:rFonts w:ascii="Garamond" w:eastAsia="Times New Roman" w:hAnsi="Garamond"/>
          <w:vertAlign w:val="superscript"/>
          <w:lang w:eastAsia="en-US"/>
        </w:rPr>
        <w:footnoteReference w:id="35"/>
      </w:r>
      <w:r w:rsidRPr="00024D5A">
        <w:rPr>
          <w:rFonts w:ascii="Garamond" w:eastAsia="Times New Roman" w:hAnsi="Garamond"/>
          <w:lang w:eastAsia="en-US"/>
        </w:rPr>
        <w:t xml:space="preserve"> e lidh qeverisjen e mirë dhe barazinë para ligjit me funksionimin efektiv të institucioneve të drejtësisë dhe me mbrojtjen e grupeve të cenueshme. </w:t>
      </w:r>
    </w:p>
    <w:p w14:paraId="30E5CE1F" w14:textId="519AFE0B"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Në nivel kombëtar, fusha e drejtësisë mbështetet</w:t>
      </w:r>
      <w:r w:rsidR="004D6747" w:rsidRPr="00024D5A">
        <w:rPr>
          <w:rFonts w:ascii="Garamond" w:eastAsia="Times New Roman" w:hAnsi="Garamond"/>
          <w:lang w:eastAsia="en-US"/>
        </w:rPr>
        <w:t>,</w:t>
      </w:r>
      <w:r w:rsidRPr="00024D5A">
        <w:rPr>
          <w:rFonts w:ascii="Garamond" w:eastAsia="Times New Roman" w:hAnsi="Garamond"/>
          <w:lang w:eastAsia="en-US"/>
        </w:rPr>
        <w:t xml:space="preserve"> gjithashtu</w:t>
      </w:r>
      <w:r w:rsidR="004D6747" w:rsidRPr="00024D5A">
        <w:rPr>
          <w:rFonts w:ascii="Garamond" w:eastAsia="Times New Roman" w:hAnsi="Garamond"/>
          <w:lang w:eastAsia="en-US"/>
        </w:rPr>
        <w:t>,</w:t>
      </w:r>
      <w:r w:rsidRPr="00024D5A">
        <w:rPr>
          <w:rFonts w:ascii="Garamond" w:eastAsia="Times New Roman" w:hAnsi="Garamond"/>
          <w:lang w:eastAsia="en-US"/>
        </w:rPr>
        <w:t xml:space="preserve"> në dokumentet sektoriale të reformës në drejtësi dhe të mbrojtjes sociale. Strategjia Ndërsektoriale e Drejtësisë 2024</w:t>
      </w:r>
      <w:r w:rsidR="004D6747" w:rsidRPr="00024D5A">
        <w:rPr>
          <w:rFonts w:ascii="Garamond" w:eastAsia="Times New Roman" w:hAnsi="Garamond"/>
          <w:lang w:eastAsia="en-US"/>
        </w:rPr>
        <w:t>–</w:t>
      </w:r>
      <w:r w:rsidRPr="00024D5A">
        <w:rPr>
          <w:rFonts w:ascii="Garamond" w:eastAsia="Times New Roman" w:hAnsi="Garamond"/>
          <w:lang w:eastAsia="en-US"/>
        </w:rPr>
        <w:t>2030</w:t>
      </w:r>
      <w:r w:rsidRPr="00024D5A">
        <w:rPr>
          <w:rFonts w:ascii="Garamond" w:eastAsia="Times New Roman" w:hAnsi="Garamond"/>
          <w:vertAlign w:val="superscript"/>
          <w:lang w:eastAsia="en-US"/>
        </w:rPr>
        <w:footnoteReference w:id="36"/>
      </w:r>
      <w:r w:rsidRPr="00024D5A">
        <w:rPr>
          <w:rFonts w:ascii="Garamond" w:eastAsia="Times New Roman" w:hAnsi="Garamond"/>
          <w:lang w:eastAsia="en-US"/>
        </w:rPr>
        <w:t xml:space="preserve"> dhe politikat për të drejtat e fëmijëve adresojnë aksesin në drejtësi për grupet vulnerabël, ndërsa Plani Kombëtar i Veprimit për Shëndetin Mendor 2023</w:t>
      </w:r>
      <w:r w:rsidR="004D6747" w:rsidRPr="00024D5A">
        <w:rPr>
          <w:rFonts w:ascii="Garamond" w:eastAsia="Times New Roman" w:hAnsi="Garamond"/>
          <w:lang w:eastAsia="en-US"/>
        </w:rPr>
        <w:t>–</w:t>
      </w:r>
      <w:r w:rsidRPr="00024D5A">
        <w:rPr>
          <w:rFonts w:ascii="Garamond" w:eastAsia="Times New Roman" w:hAnsi="Garamond"/>
          <w:lang w:eastAsia="en-US"/>
        </w:rPr>
        <w:t>2026</w:t>
      </w:r>
      <w:r w:rsidRPr="00024D5A">
        <w:rPr>
          <w:rFonts w:ascii="Garamond" w:eastAsia="Times New Roman" w:hAnsi="Garamond"/>
          <w:vertAlign w:val="superscript"/>
          <w:lang w:eastAsia="en-US"/>
        </w:rPr>
        <w:footnoteReference w:id="37"/>
      </w:r>
      <w:r w:rsidRPr="00024D5A">
        <w:rPr>
          <w:rFonts w:ascii="Garamond" w:eastAsia="Times New Roman" w:hAnsi="Garamond"/>
          <w:lang w:eastAsia="en-US"/>
        </w:rPr>
        <w:t xml:space="preserve"> lidhet me trajtimin e personave me aftësi të kufizuara </w:t>
      </w:r>
      <w:r w:rsidR="00F81568" w:rsidRPr="00024D5A">
        <w:rPr>
          <w:rFonts w:ascii="Garamond" w:eastAsia="Times New Roman" w:hAnsi="Garamond"/>
          <w:lang w:eastAsia="en-US"/>
        </w:rPr>
        <w:t xml:space="preserve">psikosociale </w:t>
      </w:r>
      <w:r w:rsidRPr="00024D5A">
        <w:rPr>
          <w:rFonts w:ascii="Garamond" w:eastAsia="Times New Roman" w:hAnsi="Garamond"/>
          <w:lang w:eastAsia="en-US"/>
        </w:rPr>
        <w:t xml:space="preserve">në sistemin ligjor. Në këtë kuadër, politika e drejtësisë synon që personat me aftësi të kufizuara të ushtrojnë plotësisht zotësinë juridike, të kenë akses të barabartë dhe efektiv në gjykata, prokurori, polici dhe shërbime ligjore, si dhe të mbrohen nga dhuna dhe abuzimi. </w:t>
      </w:r>
    </w:p>
    <w:p w14:paraId="470FEC09" w14:textId="30E61191" w:rsidR="003E1630" w:rsidRPr="00024D5A" w:rsidRDefault="0058487E" w:rsidP="00791B1A">
      <w:pPr>
        <w:pStyle w:val="Heading2"/>
        <w:spacing w:before="0"/>
        <w:ind w:firstLine="284"/>
        <w:rPr>
          <w:rFonts w:ascii="Garamond" w:hAnsi="Garamond"/>
          <w:color w:val="auto"/>
          <w:sz w:val="24"/>
          <w:szCs w:val="24"/>
        </w:rPr>
      </w:pPr>
      <w:bookmarkStart w:id="30" w:name="_Toc231489634"/>
      <w:r w:rsidRPr="00024D5A">
        <w:rPr>
          <w:rFonts w:ascii="Garamond" w:hAnsi="Garamond"/>
          <w:color w:val="auto"/>
          <w:sz w:val="24"/>
          <w:szCs w:val="24"/>
        </w:rPr>
        <w:t>3</w:t>
      </w:r>
      <w:r w:rsidR="005743A8" w:rsidRPr="00024D5A">
        <w:rPr>
          <w:rFonts w:ascii="Garamond" w:hAnsi="Garamond"/>
          <w:color w:val="auto"/>
          <w:sz w:val="24"/>
          <w:szCs w:val="24"/>
        </w:rPr>
        <w:t>.2.2. Qëllimi, objektivat dhe masat prioritare</w:t>
      </w:r>
      <w:bookmarkEnd w:id="30"/>
      <w:r w:rsidR="005743A8" w:rsidRPr="00024D5A">
        <w:rPr>
          <w:rFonts w:ascii="Garamond" w:hAnsi="Garamond"/>
          <w:color w:val="auto"/>
          <w:sz w:val="24"/>
          <w:szCs w:val="24"/>
        </w:rPr>
        <w:t xml:space="preserve"> </w:t>
      </w:r>
    </w:p>
    <w:p w14:paraId="48DEDD20" w14:textId="4380189C"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b/>
          <w:bCs/>
          <w:lang w:eastAsia="en-US"/>
        </w:rPr>
        <w:t xml:space="preserve">Qëllimi i </w:t>
      </w:r>
      <w:r w:rsidR="00DC0102" w:rsidRPr="00024D5A">
        <w:rPr>
          <w:rFonts w:ascii="Garamond" w:eastAsia="Times New Roman" w:hAnsi="Garamond"/>
          <w:b/>
          <w:bCs/>
          <w:lang w:eastAsia="en-US"/>
        </w:rPr>
        <w:t xml:space="preserve">politikës </w:t>
      </w:r>
      <w:r w:rsidRPr="00024D5A">
        <w:rPr>
          <w:rFonts w:ascii="Garamond" w:eastAsia="Times New Roman" w:hAnsi="Garamond"/>
          <w:b/>
          <w:bCs/>
          <w:lang w:eastAsia="en-US"/>
        </w:rPr>
        <w:t xml:space="preserve">II: </w:t>
      </w:r>
      <w:r w:rsidRPr="00024D5A">
        <w:rPr>
          <w:rFonts w:ascii="Garamond" w:eastAsia="Times New Roman" w:hAnsi="Garamond"/>
          <w:lang w:eastAsia="en-US"/>
        </w:rPr>
        <w:t>Të garantohet që personat me aftësi të kufizuara të ushtrojnë plotësisht zotësinë juridike për të vepruar, të kenë akses të barabartë dhe efektiv në sistemin e drejtësisë dhe të mbrohen nga dhuna, abuzimi dhe shkeljet e të drejtave, përmes vendimmarrjes së mbështetur dhe akomodimit të arsyeshëm.</w:t>
      </w:r>
    </w:p>
    <w:p w14:paraId="28D5F5E2" w14:textId="13F30415"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Plani strukturohet mbi 3 objektiva specifik</w:t>
      </w:r>
      <w:r w:rsidR="008C23DB" w:rsidRPr="00024D5A">
        <w:rPr>
          <w:rFonts w:ascii="Garamond" w:eastAsia="Times New Roman" w:hAnsi="Garamond"/>
          <w:lang w:eastAsia="en-US"/>
        </w:rPr>
        <w:t>ë,</w:t>
      </w:r>
      <w:r w:rsidRPr="00024D5A">
        <w:rPr>
          <w:rFonts w:ascii="Garamond" w:eastAsia="Times New Roman" w:hAnsi="Garamond"/>
          <w:lang w:eastAsia="en-US"/>
        </w:rPr>
        <w:t xml:space="preserve"> që mbulojnë dimensionet kryesore të politikës së aksesit në drejtësi dhe barazisë para ligjit, të detajuara më tej në 8 masa prioritare dhe 35 ndërhyrje për realizimin e tyre.</w:t>
      </w:r>
    </w:p>
    <w:p w14:paraId="3346B01A" w14:textId="50D45C8B" w:rsidR="003E1630" w:rsidRPr="00024D5A" w:rsidRDefault="005743A8" w:rsidP="00791B1A">
      <w:pPr>
        <w:ind w:firstLine="284"/>
        <w:jc w:val="both"/>
        <w:rPr>
          <w:rFonts w:ascii="Garamond" w:eastAsia="Times New Roman" w:hAnsi="Garamond"/>
          <w:b/>
          <w:bCs/>
          <w:lang w:eastAsia="en-US"/>
        </w:rPr>
      </w:pPr>
      <w:r w:rsidRPr="00AC5DA9">
        <w:rPr>
          <w:rFonts w:ascii="Garamond" w:eastAsia="Times New Roman" w:hAnsi="Garamond"/>
          <w:b/>
          <w:bCs/>
          <w:i/>
          <w:iCs/>
          <w:lang w:eastAsia="en-US"/>
        </w:rPr>
        <w:t>Objektivi specifik 1:</w:t>
      </w:r>
      <w:r w:rsidRPr="00024D5A">
        <w:rPr>
          <w:rFonts w:ascii="Garamond" w:eastAsia="Times New Roman" w:hAnsi="Garamond"/>
          <w:i/>
          <w:iCs/>
          <w:lang w:eastAsia="en-US"/>
        </w:rPr>
        <w:t xml:space="preserve"> Të sigurohet që të gjithë personat me aftësi të kufizuara të kenë akses fizik, procedural, informativ dhe digjital në gjykata, prokurori, polici dhe shërbime ligjore, si pjesëmarrës të drejtpërdrejtë</w:t>
      </w:r>
      <w:r w:rsidR="00EA4FBC" w:rsidRPr="00024D5A">
        <w:rPr>
          <w:rFonts w:ascii="Garamond" w:eastAsia="Times New Roman" w:hAnsi="Garamond"/>
          <w:i/>
          <w:iCs/>
          <w:lang w:eastAsia="en-US"/>
        </w:rPr>
        <w:t>,</w:t>
      </w:r>
      <w:r w:rsidRPr="00024D5A">
        <w:rPr>
          <w:rFonts w:ascii="Garamond" w:eastAsia="Times New Roman" w:hAnsi="Garamond"/>
          <w:i/>
          <w:iCs/>
          <w:lang w:eastAsia="en-US"/>
        </w:rPr>
        <w:t xml:space="preserve"> apo jo të drejtpërdrejtë në të gjitha nivelet që nga hetimi, gjykimi etj.</w:t>
      </w:r>
    </w:p>
    <w:p w14:paraId="39DE967C" w14:textId="5F33B3FF" w:rsidR="003E1630" w:rsidRPr="00024D5A" w:rsidRDefault="005743A8" w:rsidP="00791B1A">
      <w:pPr>
        <w:ind w:firstLine="284"/>
        <w:jc w:val="both"/>
        <w:rPr>
          <w:rFonts w:ascii="Garamond" w:eastAsia="Times New Roman" w:hAnsi="Garamond"/>
          <w:b/>
          <w:bCs/>
          <w:i/>
          <w:iCs/>
          <w:lang w:eastAsia="en-US"/>
        </w:rPr>
      </w:pPr>
      <w:r w:rsidRPr="00024D5A">
        <w:rPr>
          <w:rFonts w:ascii="Garamond" w:eastAsia="Times New Roman" w:hAnsi="Garamond"/>
          <w:b/>
          <w:bCs/>
          <w:i/>
          <w:iCs/>
          <w:lang w:eastAsia="en-US"/>
        </w:rPr>
        <w:t>Masa prioritare</w:t>
      </w:r>
      <w:r w:rsidR="00AC5DA9">
        <w:rPr>
          <w:rFonts w:ascii="Garamond" w:eastAsia="Times New Roman" w:hAnsi="Garamond"/>
          <w:b/>
          <w:bCs/>
          <w:i/>
          <w:iCs/>
          <w:lang w:eastAsia="en-US"/>
        </w:rPr>
        <w:t>:</w:t>
      </w:r>
      <w:r w:rsidRPr="00024D5A">
        <w:rPr>
          <w:rFonts w:ascii="Garamond" w:eastAsia="Times New Roman" w:hAnsi="Garamond"/>
          <w:b/>
          <w:bCs/>
          <w:i/>
          <w:iCs/>
          <w:lang w:eastAsia="en-US"/>
        </w:rPr>
        <w:t xml:space="preserve"> </w:t>
      </w:r>
    </w:p>
    <w:p w14:paraId="2B3FE000"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1.1. Rishikimi i kuadrit ligjor për të mundësuar akses të barabartë në drejtësi për personat me aftësi të kufizuara.</w:t>
      </w:r>
    </w:p>
    <w:p w14:paraId="4C812861"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1.2. Ofrimi i shërbimeve të aksesueshme të ndihmës juridike falas për personat me aftësi të kufizuara.</w:t>
      </w:r>
    </w:p>
    <w:p w14:paraId="11F6FCEA"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1.3. Ndërgjegjësimi i profesionistëve të sistemit të drejtësisë mbi të drejtën për të pasur akses në drejtësi të personave me aftësi të kufizuara, bazuar në praktikat dhe standardet më të mira ndërkombëtare.</w:t>
      </w:r>
    </w:p>
    <w:p w14:paraId="4B515128"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1.4. Garantimi i aksesueshmërisë në mjedise, informacion e komunikim për personat me aftësi të kufizuara në institucione të sistemit të drejtësisë, apo të lidhura me të.</w:t>
      </w:r>
    </w:p>
    <w:p w14:paraId="09A3558F" w14:textId="574B3880"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Objektivi i parë në fushën e drejtësisë synon që gjatë periudhës </w:t>
      </w:r>
      <w:r w:rsidR="00657405" w:rsidRPr="00024D5A">
        <w:rPr>
          <w:rFonts w:ascii="Garamond" w:eastAsia="Times New Roman" w:hAnsi="Garamond"/>
          <w:lang w:eastAsia="en-US"/>
        </w:rPr>
        <w:t>2026–2030</w:t>
      </w:r>
      <w:r w:rsidRPr="00024D5A">
        <w:rPr>
          <w:rFonts w:ascii="Garamond" w:eastAsia="Times New Roman" w:hAnsi="Garamond"/>
          <w:lang w:eastAsia="en-US"/>
        </w:rPr>
        <w:t>, personat me aftësi të kufizuara të kenë akses real dhe efektiv në sistemin e drejtësisë në të gjitha fazat e tij,</w:t>
      </w:r>
      <w:r w:rsidR="008F29FA" w:rsidRPr="00024D5A">
        <w:rPr>
          <w:rFonts w:ascii="Garamond" w:eastAsia="Times New Roman" w:hAnsi="Garamond"/>
          <w:lang w:eastAsia="en-US"/>
        </w:rPr>
        <w:t xml:space="preserve"> </w:t>
      </w:r>
      <w:r w:rsidRPr="00024D5A">
        <w:rPr>
          <w:rFonts w:ascii="Garamond" w:eastAsia="Times New Roman" w:hAnsi="Garamond"/>
          <w:lang w:eastAsia="en-US"/>
        </w:rPr>
        <w:t>nga hetimi dhe kontaktet me policinë, te procedurat në prokurori dhe gjykatë, si dhe në shërbimet ligjore mbështetëse. Qasja e planit nuk kufizohet vetëm në hyrjen fizike në institucionet e drejtësisë, por përfshin në mënyrë të integruar aksesin fizik, procedural, informativ dhe digjital, në mënyrë që personat me aftësi të kufizuara të mund të marrin pjesë në proceset ligjore</w:t>
      </w:r>
      <w:r w:rsidR="00EA4FBC" w:rsidRPr="00024D5A">
        <w:rPr>
          <w:rFonts w:ascii="Garamond" w:eastAsia="Times New Roman" w:hAnsi="Garamond"/>
          <w:lang w:eastAsia="en-US"/>
        </w:rPr>
        <w:t>,</w:t>
      </w:r>
      <w:r w:rsidRPr="00024D5A">
        <w:rPr>
          <w:rFonts w:ascii="Garamond" w:eastAsia="Times New Roman" w:hAnsi="Garamond"/>
          <w:lang w:eastAsia="en-US"/>
        </w:rPr>
        <w:t xml:space="preserve"> si</w:t>
      </w:r>
      <w:r w:rsidR="00EA4FBC" w:rsidRPr="00024D5A">
        <w:rPr>
          <w:rFonts w:ascii="Garamond" w:eastAsia="Times New Roman" w:hAnsi="Garamond"/>
          <w:lang w:eastAsia="en-US"/>
        </w:rPr>
        <w:t>:</w:t>
      </w:r>
      <w:r w:rsidRPr="00024D5A">
        <w:rPr>
          <w:rFonts w:ascii="Garamond" w:eastAsia="Times New Roman" w:hAnsi="Garamond"/>
          <w:lang w:eastAsia="en-US"/>
        </w:rPr>
        <w:t xml:space="preserve"> palë, dëshmitarë, viktima ose përfitues shërbimesh, në kushte të barabarta me të tjerët.</w:t>
      </w:r>
    </w:p>
    <w:p w14:paraId="5A16033F" w14:textId="7B08E828"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Në pesë v</w:t>
      </w:r>
      <w:r w:rsidR="007675EC" w:rsidRPr="00024D5A">
        <w:rPr>
          <w:rFonts w:ascii="Garamond" w:eastAsia="Times New Roman" w:hAnsi="Garamond"/>
          <w:lang w:eastAsia="en-US"/>
        </w:rPr>
        <w:t xml:space="preserve">jetët </w:t>
      </w:r>
      <w:r w:rsidRPr="00024D5A">
        <w:rPr>
          <w:rFonts w:ascii="Garamond" w:eastAsia="Times New Roman" w:hAnsi="Garamond"/>
          <w:lang w:eastAsia="en-US"/>
        </w:rPr>
        <w:t>e ardhsh</w:t>
      </w:r>
      <w:r w:rsidR="007675EC" w:rsidRPr="00024D5A">
        <w:rPr>
          <w:rFonts w:ascii="Garamond" w:eastAsia="Times New Roman" w:hAnsi="Garamond"/>
          <w:lang w:eastAsia="en-US"/>
        </w:rPr>
        <w:t>ë</w:t>
      </w:r>
      <w:r w:rsidRPr="00024D5A">
        <w:rPr>
          <w:rFonts w:ascii="Garamond" w:eastAsia="Times New Roman" w:hAnsi="Garamond"/>
          <w:lang w:eastAsia="en-US"/>
        </w:rPr>
        <w:t>m, një drejtim kryesor do të jetë përmirësimi i kuadrit ligjor. Do të realizohet një analizë e plotë e legjislacionit ekzistues, duke shqyrtuar kodet dhe ligjet kryesore për të identifikuar boshllëqet që kufizojnë aksesin në drejtësi për personat me aftësi të kufizuara. Në vijim, do të rishikohen dispozitat e Kodit Civil, Kodit të Procedurës Civile</w:t>
      </w:r>
      <w:r w:rsidR="00964D84" w:rsidRPr="00024D5A">
        <w:rPr>
          <w:rFonts w:ascii="Garamond" w:eastAsia="Times New Roman" w:hAnsi="Garamond"/>
          <w:lang w:eastAsia="en-US"/>
        </w:rPr>
        <w:t xml:space="preserve"> në Dhjetor 2027,</w:t>
      </w:r>
      <w:r w:rsidRPr="00024D5A">
        <w:rPr>
          <w:rFonts w:ascii="Garamond" w:eastAsia="Times New Roman" w:hAnsi="Garamond"/>
          <w:lang w:eastAsia="en-US"/>
        </w:rPr>
        <w:t xml:space="preserve"> dhe Kodit të Familjes</w:t>
      </w:r>
      <w:r w:rsidR="00964D84" w:rsidRPr="00024D5A">
        <w:rPr>
          <w:rFonts w:ascii="Garamond" w:eastAsia="Times New Roman" w:hAnsi="Garamond"/>
          <w:lang w:eastAsia="en-US"/>
        </w:rPr>
        <w:t xml:space="preserve"> n</w:t>
      </w:r>
      <w:r w:rsidR="00A80D92" w:rsidRPr="00024D5A">
        <w:rPr>
          <w:rFonts w:ascii="Garamond" w:eastAsia="Times New Roman" w:hAnsi="Garamond"/>
          <w:lang w:eastAsia="en-US"/>
        </w:rPr>
        <w:t>ë 2030</w:t>
      </w:r>
      <w:r w:rsidRPr="00024D5A">
        <w:rPr>
          <w:rFonts w:ascii="Garamond" w:eastAsia="Times New Roman" w:hAnsi="Garamond"/>
          <w:lang w:eastAsia="en-US"/>
        </w:rPr>
        <w:t>, si dhe ato të Kodit Penal dhe Kodit të Procedurës Penale</w:t>
      </w:r>
      <w:r w:rsidR="00A80D92" w:rsidRPr="00024D5A">
        <w:rPr>
          <w:rFonts w:ascii="Garamond" w:eastAsia="Times New Roman" w:hAnsi="Garamond"/>
          <w:lang w:eastAsia="en-US"/>
        </w:rPr>
        <w:t xml:space="preserve"> në </w:t>
      </w:r>
      <w:r w:rsidR="00EA4FBC" w:rsidRPr="00024D5A">
        <w:rPr>
          <w:rFonts w:ascii="Garamond" w:eastAsia="Times New Roman" w:hAnsi="Garamond"/>
          <w:lang w:eastAsia="en-US"/>
        </w:rPr>
        <w:t xml:space="preserve">dhjetor </w:t>
      </w:r>
      <w:r w:rsidR="00A80D92" w:rsidRPr="00024D5A">
        <w:rPr>
          <w:rFonts w:ascii="Garamond" w:eastAsia="Times New Roman" w:hAnsi="Garamond"/>
          <w:lang w:eastAsia="en-US"/>
        </w:rPr>
        <w:t>2026</w:t>
      </w:r>
      <w:r w:rsidRPr="00024D5A">
        <w:rPr>
          <w:rFonts w:ascii="Garamond" w:eastAsia="Times New Roman" w:hAnsi="Garamond"/>
          <w:lang w:eastAsia="en-US"/>
        </w:rPr>
        <w:t>, me qëllim garantimin e aksesit efektiv në organet e drejtësisë dhe parashikimin e akomodimeve procedurale të përshtatshme sipas moshës dhe llojit të aftësisë së kufizuar. Këto ndryshime synojnë që personat me aftësi të kufizuara të mund të marrin pjesë realisht në procedurat ligjore, përfshirë edhe në rolin e dëshmitarit dhe të mos përballen me pengesa procedurale apo komunikimi.</w:t>
      </w:r>
    </w:p>
    <w:p w14:paraId="19877FD9" w14:textId="15B36B1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Një nga premtimet më të rëndësishme në fushën e realizimit të të drejtave të personave me aftësi të kufizuara gjatë periudhës </w:t>
      </w:r>
      <w:r w:rsidR="00657405" w:rsidRPr="00024D5A">
        <w:rPr>
          <w:rFonts w:ascii="Garamond" w:eastAsia="Times New Roman" w:hAnsi="Garamond"/>
          <w:lang w:eastAsia="en-US"/>
        </w:rPr>
        <w:t>2026–2030</w:t>
      </w:r>
      <w:r w:rsidRPr="00024D5A">
        <w:rPr>
          <w:rFonts w:ascii="Garamond" w:eastAsia="Times New Roman" w:hAnsi="Garamond"/>
          <w:lang w:eastAsia="en-US"/>
        </w:rPr>
        <w:t xml:space="preserve"> është edhe ratifikimi i Protokollit Opsional të</w:t>
      </w:r>
      <w:r w:rsidR="008F29FA" w:rsidRPr="00024D5A">
        <w:rPr>
          <w:rFonts w:ascii="Garamond" w:eastAsia="Times New Roman" w:hAnsi="Garamond"/>
          <w:lang w:eastAsia="en-US"/>
        </w:rPr>
        <w:t xml:space="preserve"> </w:t>
      </w:r>
      <w:r w:rsidRPr="00024D5A">
        <w:rPr>
          <w:rFonts w:ascii="Garamond" w:eastAsia="Times New Roman" w:hAnsi="Garamond"/>
        </w:rPr>
        <w:t>KDPAK</w:t>
      </w:r>
      <w:r w:rsidR="00EA4FBC" w:rsidRPr="00024D5A">
        <w:rPr>
          <w:rFonts w:ascii="Garamond" w:eastAsia="Times New Roman" w:hAnsi="Garamond"/>
        </w:rPr>
        <w:t>-së</w:t>
      </w:r>
      <w:r w:rsidRPr="00024D5A">
        <w:rPr>
          <w:rFonts w:ascii="Garamond" w:eastAsia="Times New Roman" w:hAnsi="Garamond"/>
          <w:lang w:eastAsia="en-US"/>
        </w:rPr>
        <w:t>.</w:t>
      </w:r>
    </w:p>
    <w:p w14:paraId="7E407A40" w14:textId="766AC0BE"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Një komponent tjetër thelbësor është zgjerimi dhe përmirësimi i ndihmës juridike falas. Plani parashikon që shërbimet e ndihmës juridike të jenë të arritshme dhe efektive për personat me aftësi të kufizuara, përfshirë ata në zonat rurale, në institucione rezidenciale, si dhe për gratë dhe fëmijët. Do të zhvillohen sesione informuese në të gjitha bashkitë, do të përgatiten manuale dhe udhëzues praktikë në gjuhë të thjeshtë dhe në formate të kuptueshme dhe do të përdoren kanale komunikimi</w:t>
      </w:r>
      <w:r w:rsidR="009E662C" w:rsidRPr="00024D5A">
        <w:rPr>
          <w:rFonts w:ascii="Garamond" w:eastAsia="Times New Roman" w:hAnsi="Garamond"/>
          <w:lang w:eastAsia="en-US"/>
        </w:rPr>
        <w:t>,</w:t>
      </w:r>
      <w:r w:rsidRPr="00024D5A">
        <w:rPr>
          <w:rFonts w:ascii="Garamond" w:eastAsia="Times New Roman" w:hAnsi="Garamond"/>
          <w:lang w:eastAsia="en-US"/>
        </w:rPr>
        <w:t xml:space="preserve"> si linja telefonike dhe platformat digjitale për informim dhe aplikim për ndihmë juridike. Parashikohet</w:t>
      </w:r>
      <w:r w:rsidR="009E662C" w:rsidRPr="00024D5A">
        <w:rPr>
          <w:rFonts w:ascii="Garamond" w:eastAsia="Times New Roman" w:hAnsi="Garamond"/>
          <w:lang w:eastAsia="en-US"/>
        </w:rPr>
        <w:t xml:space="preserve">, </w:t>
      </w:r>
      <w:r w:rsidRPr="00024D5A">
        <w:rPr>
          <w:rFonts w:ascii="Garamond" w:eastAsia="Times New Roman" w:hAnsi="Garamond"/>
          <w:lang w:eastAsia="en-US"/>
        </w:rPr>
        <w:t>gjithashtu</w:t>
      </w:r>
      <w:r w:rsidR="009E662C" w:rsidRPr="00024D5A">
        <w:rPr>
          <w:rFonts w:ascii="Garamond" w:eastAsia="Times New Roman" w:hAnsi="Garamond"/>
          <w:lang w:eastAsia="en-US"/>
        </w:rPr>
        <w:t>,</w:t>
      </w:r>
      <w:r w:rsidRPr="00024D5A">
        <w:rPr>
          <w:rFonts w:ascii="Garamond" w:eastAsia="Times New Roman" w:hAnsi="Garamond"/>
          <w:lang w:eastAsia="en-US"/>
        </w:rPr>
        <w:t xml:space="preserve"> ofrimi i ndihmës juridike përmes ekipeve lëvizëse në terren dhe përfaqësimi ligjor në proceset administrative, civile dhe penale. Për të rritur cilësinë e shërbimit, do të trajnohen punonjësit e qendrave të ndihmës juridike, studentët e klinikave të ligjit dhe organizatat që ofrojnë shërbime ligjore, si dhe do të hartohet një listë e përditësuar e avokatëve të specializuar për këtë kategori.</w:t>
      </w:r>
    </w:p>
    <w:p w14:paraId="0A9EE1F7" w14:textId="2B25F263"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Plani parashikon</w:t>
      </w:r>
      <w:r w:rsidR="009E662C" w:rsidRPr="00024D5A">
        <w:rPr>
          <w:rFonts w:ascii="Garamond" w:eastAsia="Times New Roman" w:hAnsi="Garamond"/>
          <w:lang w:eastAsia="en-US"/>
        </w:rPr>
        <w:t>,</w:t>
      </w:r>
      <w:r w:rsidRPr="00024D5A">
        <w:rPr>
          <w:rFonts w:ascii="Garamond" w:eastAsia="Times New Roman" w:hAnsi="Garamond"/>
          <w:lang w:eastAsia="en-US"/>
        </w:rPr>
        <w:t xml:space="preserve"> gjithashtu</w:t>
      </w:r>
      <w:r w:rsidR="009E662C" w:rsidRPr="00024D5A">
        <w:rPr>
          <w:rFonts w:ascii="Garamond" w:eastAsia="Times New Roman" w:hAnsi="Garamond"/>
          <w:lang w:eastAsia="en-US"/>
        </w:rPr>
        <w:t>,</w:t>
      </w:r>
      <w:r w:rsidRPr="00024D5A">
        <w:rPr>
          <w:rFonts w:ascii="Garamond" w:eastAsia="Times New Roman" w:hAnsi="Garamond"/>
          <w:lang w:eastAsia="en-US"/>
        </w:rPr>
        <w:t xml:space="preserve"> ndërgjegjësimin dhe fuqizimin profesional të aktorëve të sistemit të drejtësisë. Gjatë kësaj periudhe do të zhvillohen konferenca, aktivitete dhe programe trajnimi për gjyqtarë, prokurorë, avokatë dhe noterë mbi të drejtën e njohjes së barabartë para ligjit dhe mbi aksesin efektiv në drejtësi për personat me aftësi të kufizuara. Do të miratohen dhe zbatohen programe të rregullta trajnimi dhe certifikimi, duke synuar aplikimin e ligjit pa qasje paternaliste dhe në përputhje me standardet ndërkombëtare. Njëkohësisht, do të inkurajohet përfshirja e personave me aftësi të kufizuara në pozicione pune brenda sistemit të drejtësisë dhe do të analizohet nevoja për interpret të gjuhës së shenjave në procedurat gjyqësore.</w:t>
      </w:r>
    </w:p>
    <w:p w14:paraId="0C4F65D3"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Një drejtim i rëndësishëm i këtij objektivi është garantimi i aksesueshmërisë në mjediset dhe komunikimin e institucioneve të drejtësisë. Do të kryhen vlerësime të detajuara të nevojave për aksesueshmëri fizike, informuese dhe komunikative në gjykata, prokurori, polici dhe institucionet e tjera të lidhura me drejtësinë. Rezultatet e këtyre vlerësimeve do të përfshihen gradualisht në planifikimin buxhetor të institucioneve, me qëllim eliminimin e barrierave fizike dhe organizative. Në vijim do të hartohen protokolle dhe procedura që përcaktojnë mënyrën e ofrimit të informacionit dhe komunikimit të aksesueshëm, si dhe udhëzime të qarta mbi akomodimin e arsyeshëm në çdo fazë të procesit gjyqësor.</w:t>
      </w:r>
    </w:p>
    <w:p w14:paraId="5D01FFC1"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Ky objektiv synon kalimin nga një sistem drejtësie formal, ku e drejta ekziston në ligj, drejt një sistemi drejtësie të përdorshëm në praktikë, ku personat me aftësi të kufizuara mund të kuptojnë procedurat, të komunikojnë me institucionet, të mbrojnë të drejtat e tyre dhe të marrin shërbime ligjore pa pengesa. Përmes përmirësimit të legjislacionit, ofrimit të ndihmës juridike, rritjes së kapaciteteve profesionale dhe përshtatjes së mjediseve dhe procedurave, plani synon që drejtësia të jetë realisht e aksesueshme për të gjithë.</w:t>
      </w:r>
    </w:p>
    <w:p w14:paraId="30BD807B" w14:textId="149809F7" w:rsidR="003E1630" w:rsidRPr="00024D5A" w:rsidRDefault="005743A8" w:rsidP="00791B1A">
      <w:pPr>
        <w:ind w:firstLine="284"/>
        <w:jc w:val="both"/>
        <w:rPr>
          <w:rFonts w:ascii="Garamond" w:eastAsia="Times New Roman" w:hAnsi="Garamond"/>
          <w:b/>
          <w:bCs/>
          <w:lang w:eastAsia="en-US"/>
        </w:rPr>
      </w:pPr>
      <w:r w:rsidRPr="00AC5DA9">
        <w:rPr>
          <w:rFonts w:ascii="Garamond" w:eastAsia="Times New Roman" w:hAnsi="Garamond"/>
          <w:b/>
          <w:bCs/>
          <w:i/>
          <w:iCs/>
          <w:lang w:eastAsia="en-US"/>
        </w:rPr>
        <w:t xml:space="preserve">Objektivi </w:t>
      </w:r>
      <w:r w:rsidR="00AC5DA9" w:rsidRPr="00AC5DA9">
        <w:rPr>
          <w:rFonts w:ascii="Garamond" w:eastAsia="Times New Roman" w:hAnsi="Garamond"/>
          <w:b/>
          <w:bCs/>
          <w:i/>
          <w:iCs/>
          <w:lang w:eastAsia="en-US"/>
        </w:rPr>
        <w:t xml:space="preserve">specifik </w:t>
      </w:r>
      <w:r w:rsidRPr="00AC5DA9">
        <w:rPr>
          <w:rFonts w:ascii="Garamond" w:eastAsia="Times New Roman" w:hAnsi="Garamond"/>
          <w:b/>
          <w:bCs/>
          <w:i/>
          <w:iCs/>
          <w:lang w:eastAsia="en-US"/>
        </w:rPr>
        <w:t>2:</w:t>
      </w:r>
      <w:r w:rsidRPr="00024D5A">
        <w:rPr>
          <w:rFonts w:ascii="Garamond" w:eastAsia="Times New Roman" w:hAnsi="Garamond"/>
          <w:i/>
          <w:iCs/>
          <w:lang w:eastAsia="en-US"/>
        </w:rPr>
        <w:t xml:space="preserve"> Të garantohet njohja e barabartë para ligjit dhe ushtrimi i plotë i zotësisë për të vepruar për personat me aftësi të kufizuara, duke zëvendësuar kujdestarinë ligjore me mekanizma të vendimmarrjes së mbështetur.</w:t>
      </w:r>
    </w:p>
    <w:p w14:paraId="70F6C1B4" w14:textId="27C2F5FD" w:rsidR="003E1630" w:rsidRPr="00024D5A" w:rsidRDefault="005743A8" w:rsidP="00791B1A">
      <w:pPr>
        <w:ind w:firstLine="284"/>
        <w:jc w:val="both"/>
        <w:rPr>
          <w:rFonts w:ascii="Garamond" w:eastAsia="Times New Roman" w:hAnsi="Garamond"/>
          <w:b/>
          <w:bCs/>
          <w:i/>
          <w:iCs/>
          <w:lang w:eastAsia="en-US"/>
        </w:rPr>
      </w:pPr>
      <w:r w:rsidRPr="00024D5A">
        <w:rPr>
          <w:rFonts w:ascii="Garamond" w:eastAsia="Times New Roman" w:hAnsi="Garamond"/>
          <w:b/>
          <w:bCs/>
          <w:i/>
          <w:iCs/>
          <w:lang w:eastAsia="en-US"/>
        </w:rPr>
        <w:t>Masa prioritare</w:t>
      </w:r>
      <w:r w:rsidR="00AC5DA9">
        <w:rPr>
          <w:rFonts w:ascii="Garamond" w:eastAsia="Times New Roman" w:hAnsi="Garamond"/>
          <w:b/>
          <w:bCs/>
          <w:i/>
          <w:iCs/>
          <w:lang w:eastAsia="en-US"/>
        </w:rPr>
        <w:t>:</w:t>
      </w:r>
      <w:r w:rsidRPr="00024D5A">
        <w:rPr>
          <w:rFonts w:ascii="Garamond" w:eastAsia="Times New Roman" w:hAnsi="Garamond"/>
          <w:b/>
          <w:bCs/>
          <w:i/>
          <w:iCs/>
          <w:lang w:eastAsia="en-US"/>
        </w:rPr>
        <w:t xml:space="preserve"> </w:t>
      </w:r>
    </w:p>
    <w:p w14:paraId="4571FA1F"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2.1. Përgatitja e kuadrit ligjor dhe fuqizimi i kapaciteteve për të mundësuar vendimmarrjen e mbështetur</w:t>
      </w:r>
    </w:p>
    <w:p w14:paraId="4095481C"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Objektivi i dytë synon të garantojë që personat me aftësi të kufizuara të gëzojnë njohje të barabartë para ligjit dhe të ushtrojnë plotësisht zotësinë për të vepruar, duke kaluar gradualisht nga sistemi tradicional i kujdestarisë ligjore drejt mekanizmave të vendimmarrjes së mbështetur. Ky objektiv lidhet drejtpërdrejt me të drejtën për autonomi personale dhe vetëvendosje dhe synon që personat me aftësi të kufizuara të marrin vendime për jetën e tyre në mënyrë të pavarur, me mbështetje të përshtatshme kur është e nevojshme, dhe jo përmes zëvendësimit të vullnetit të tyre nga persona të tjerë.</w:t>
      </w:r>
    </w:p>
    <w:p w14:paraId="39FC33A3" w14:textId="470D205E"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Në periudhën </w:t>
      </w:r>
      <w:r w:rsidR="00657405" w:rsidRPr="00024D5A">
        <w:rPr>
          <w:rFonts w:ascii="Garamond" w:eastAsia="Times New Roman" w:hAnsi="Garamond"/>
          <w:lang w:eastAsia="en-US"/>
        </w:rPr>
        <w:t>2026–2030</w:t>
      </w:r>
      <w:r w:rsidRPr="00024D5A">
        <w:rPr>
          <w:rFonts w:ascii="Garamond" w:eastAsia="Times New Roman" w:hAnsi="Garamond"/>
          <w:lang w:eastAsia="en-US"/>
        </w:rPr>
        <w:t>, një hap i parë do të jetë rishikimi i kuadrit ligjor ekzistues. Do të realizohet një analizë e thelluar për të identifikuar dispozitat ligjore dhe praktikat që pengojnë ushtrimin e plotë të zotësisë për të vepruar nga personat me aftësi të kufizuara. Mbi këtë bazë, do të ndërmerren ndryshime në legjislacionin përkatës, përfshirë Kodin Civil, Kodin e Procedurës Civile, Kodin e Familjes, Kodin Penal, Kodin e Procedurës Penale dhe ligjin për shëndetin mendor, me qëllim garantimin e ushtrimit të të drejtave ligjore në të gjitha aspektet e jetës. Vëmendje e veçantë do t’u kushtohet personave me aftësi të kufizuara psikosociale dhe intelektuale, të cilët historikisht janë prekur më shumë nga kufizimi ose heqja e zotësisë për të vepruar.</w:t>
      </w:r>
    </w:p>
    <w:p w14:paraId="1B55C969" w14:textId="60F16B22"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Paralelisht, plani parashikon ngritjen e mekanizmave të vendimmarrjes së mbështetur. Këta mekanizma do të krijojnë mundësi që individët të marrin vendime vetë, duke përdorur forma të ndryshme mbështetjeje, si</w:t>
      </w:r>
      <w:r w:rsidR="00FF0E54" w:rsidRPr="00024D5A">
        <w:rPr>
          <w:rFonts w:ascii="Garamond" w:eastAsia="Times New Roman" w:hAnsi="Garamond"/>
          <w:lang w:eastAsia="en-US"/>
        </w:rPr>
        <w:t>:</w:t>
      </w:r>
      <w:r w:rsidRPr="00024D5A">
        <w:rPr>
          <w:rFonts w:ascii="Garamond" w:eastAsia="Times New Roman" w:hAnsi="Garamond"/>
          <w:lang w:eastAsia="en-US"/>
        </w:rPr>
        <w:t xml:space="preserve"> asistenca në komunikim, interpretimi i informacionit, këshillimi ose përfaqësimi i mbështetur, pa i hequr të drejtën për të vendosur. Për këtë qëllim do të përgatitet dhe miratohet kuadri ligjor përkatës, i cili do të përcaktojë mënyrën e funksionimit të këtyre mekanizmave dhe rolet e institucioneve dhe personave mbështetës.</w:t>
      </w:r>
    </w:p>
    <w:p w14:paraId="451C88C7"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Një element thelbësor i zbatimit do të jetë fuqizimi i kapaciteteve profesionale. Do të zhvillohen programe trajnimi për profesionistët që ndërveprojnë me personat me aftësi të kufizuara, përfshirë stafin e shëndetësisë, policisë, prokurorisë, gjyqësorit, noterët dhe avokatët, me qëllim që ata të kuptojnë dhe të zbatojnë në praktikë konceptin e vendimmarrjes së mbështetur. Këto programe do të ndihmojnë kalimin nga qasja tradicionale mbrojtëse dhe zëvendësuese drejt një qasjeje që respekton vullnetin dhe preferencat e individit.</w:t>
      </w:r>
    </w:p>
    <w:p w14:paraId="72B806A4" w14:textId="440142E4"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Plani parashikon</w:t>
      </w:r>
      <w:r w:rsidR="00774D9B" w:rsidRPr="00024D5A">
        <w:rPr>
          <w:rFonts w:ascii="Garamond" w:eastAsia="Times New Roman" w:hAnsi="Garamond"/>
          <w:lang w:eastAsia="en-US"/>
        </w:rPr>
        <w:t>,</w:t>
      </w:r>
      <w:r w:rsidRPr="00024D5A">
        <w:rPr>
          <w:rFonts w:ascii="Garamond" w:eastAsia="Times New Roman" w:hAnsi="Garamond"/>
          <w:lang w:eastAsia="en-US"/>
        </w:rPr>
        <w:t xml:space="preserve"> gjithashtu</w:t>
      </w:r>
      <w:r w:rsidR="00774D9B" w:rsidRPr="00024D5A">
        <w:rPr>
          <w:rFonts w:ascii="Garamond" w:eastAsia="Times New Roman" w:hAnsi="Garamond"/>
          <w:lang w:eastAsia="en-US"/>
        </w:rPr>
        <w:t>,</w:t>
      </w:r>
      <w:r w:rsidRPr="00024D5A">
        <w:rPr>
          <w:rFonts w:ascii="Garamond" w:eastAsia="Times New Roman" w:hAnsi="Garamond"/>
          <w:lang w:eastAsia="en-US"/>
        </w:rPr>
        <w:t xml:space="preserve"> njohjen e praktikave ndërkombëtare dhe përshtatjen e tyre në kontekstin shqiptar përmes vizitave studimore në vende ku vendimmarrja e mbështetur është zbatuar me sukses. Për të siguruar kuptim të gjerë dhe përdorim praktik, do të përgatiten materiale udhëzuese në formate të aksesueshme dhe do të zhvillohen fushata informimi për personat me aftësi të kufizuara dhe familjarët e tyre, me qëllim që ata të njohin të drejtat dhe mënyrat e përdorimit të këtyre mekanizmave.</w:t>
      </w:r>
    </w:p>
    <w:p w14:paraId="18E3C54E"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Ky objektiv synon një ndryshim thelbësor në mënyrën se si sistemi juridik trajton personat me aftësi të kufizuara: nga një model i mbrojtjes përmes zëvendësimit të vendimmarrjes, drejt një modeli që mbështet autonominë personale dhe respektimin e vullnetit individual. Përmes reformimit të legjislacionit, ngritjes së mekanizmave mbështetës dhe rritjes së kapaciteteve profesionale, plani synon të sigurojë që personat me aftësi të kufizuara të jenë subjekt i plotë i të drejtave dhe detyrimeve juridike, në kushte të barabarta me të gjithë qytetarët.</w:t>
      </w:r>
    </w:p>
    <w:p w14:paraId="75150166" w14:textId="74A7528C" w:rsidR="003E1630" w:rsidRPr="00024D5A" w:rsidRDefault="005743A8" w:rsidP="00791B1A">
      <w:pPr>
        <w:ind w:firstLine="284"/>
        <w:jc w:val="both"/>
        <w:rPr>
          <w:rFonts w:ascii="Garamond" w:eastAsia="Times New Roman" w:hAnsi="Garamond"/>
          <w:b/>
          <w:bCs/>
          <w:lang w:eastAsia="en-US"/>
        </w:rPr>
      </w:pPr>
      <w:r w:rsidRPr="00AC5DA9">
        <w:rPr>
          <w:rFonts w:ascii="Garamond" w:eastAsia="Times New Roman" w:hAnsi="Garamond"/>
          <w:b/>
          <w:bCs/>
          <w:i/>
          <w:iCs/>
          <w:lang w:eastAsia="en-US"/>
        </w:rPr>
        <w:t xml:space="preserve">Objektivi </w:t>
      </w:r>
      <w:r w:rsidR="00DE0EF1" w:rsidRPr="00AC5DA9">
        <w:rPr>
          <w:rFonts w:ascii="Garamond" w:eastAsia="Times New Roman" w:hAnsi="Garamond"/>
          <w:b/>
          <w:bCs/>
          <w:i/>
          <w:iCs/>
          <w:lang w:eastAsia="en-US"/>
        </w:rPr>
        <w:t xml:space="preserve">specifik </w:t>
      </w:r>
      <w:r w:rsidRPr="00AC5DA9">
        <w:rPr>
          <w:rFonts w:ascii="Garamond" w:eastAsia="Times New Roman" w:hAnsi="Garamond"/>
          <w:b/>
          <w:bCs/>
          <w:i/>
          <w:iCs/>
          <w:lang w:eastAsia="en-US"/>
        </w:rPr>
        <w:t>3:</w:t>
      </w:r>
      <w:r w:rsidRPr="00024D5A">
        <w:rPr>
          <w:rFonts w:ascii="Garamond" w:eastAsia="Times New Roman" w:hAnsi="Garamond"/>
          <w:b/>
          <w:bCs/>
          <w:lang w:eastAsia="en-US"/>
        </w:rPr>
        <w:t xml:space="preserve"> </w:t>
      </w:r>
      <w:r w:rsidRPr="00024D5A">
        <w:rPr>
          <w:rFonts w:ascii="Garamond" w:eastAsia="Times New Roman" w:hAnsi="Garamond"/>
          <w:i/>
          <w:iCs/>
          <w:lang w:eastAsia="en-US"/>
        </w:rPr>
        <w:t>Të sigurohet që personat me aftësi të kufizuara në paraburgim dhe në institucionet e vuajtjes së dënimit të kenë ambiente të aksesueshme, shërbime shëndetësore e psikosociale dhe plane individuale mbështetjeje, për të garantuar trajtim dinjitoz dhe të barabartë.</w:t>
      </w:r>
    </w:p>
    <w:p w14:paraId="41E38B82" w14:textId="7D63B9A8" w:rsidR="003E1630" w:rsidRPr="00024D5A" w:rsidRDefault="005743A8" w:rsidP="00791B1A">
      <w:pPr>
        <w:ind w:firstLine="284"/>
        <w:jc w:val="both"/>
        <w:rPr>
          <w:rFonts w:ascii="Garamond" w:eastAsia="Times New Roman" w:hAnsi="Garamond"/>
          <w:b/>
          <w:bCs/>
          <w:lang w:eastAsia="en-US"/>
        </w:rPr>
      </w:pPr>
      <w:r w:rsidRPr="00024D5A">
        <w:rPr>
          <w:rFonts w:ascii="Garamond" w:eastAsia="Times New Roman" w:hAnsi="Garamond"/>
          <w:b/>
          <w:bCs/>
          <w:i/>
          <w:iCs/>
          <w:lang w:eastAsia="en-US"/>
        </w:rPr>
        <w:t>Masa prioritare</w:t>
      </w:r>
      <w:r w:rsidR="00AC5DA9">
        <w:rPr>
          <w:rFonts w:ascii="Garamond" w:eastAsia="Times New Roman" w:hAnsi="Garamond"/>
          <w:b/>
          <w:bCs/>
          <w:i/>
          <w:iCs/>
          <w:lang w:eastAsia="en-US"/>
        </w:rPr>
        <w:t>:</w:t>
      </w:r>
    </w:p>
    <w:p w14:paraId="516BD1F8"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3.1. Realizimi i aksesueshmërisë fizike dhe aksesueshmërisë në informacion e komunikim për të gjitha kategoritë e personave me aftësi të kufizuara në të gjitha institucionet e vuajtjes së dënimeve.</w:t>
      </w:r>
    </w:p>
    <w:p w14:paraId="3062E578"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3.2. Fuqizimi i kapaciteteve në institucionet e paraburgimit dhe ato të vuajtjes së dënimit, duke mundësuar mbështetjen bazuar në nevojat e personave me aftësi të kufizuara.</w:t>
      </w:r>
    </w:p>
    <w:p w14:paraId="5D0A0648"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Objektivi i tretë synon të garantojë që personat me aftësi të kufizuara të vendosur në paraburgim apo në institucionet e vuajtjes së dënimit të trajtohen në mënyrë dinjitoze dhe të barabartë, duke pasur kushte të përshtatshme jetese, akses në shërbime dhe mbështetje sipas nevojave individuale. Ky objektiv e shtrin konceptin e aksesit në drejtësi edhe në fazën e ekzekutimit të vendimit penal, duke e konsideruar respektimin e të drejtave të personit jo vetëm gjatë procesit gjyqësor, por edhe gjatë qëndrimit në institucionet e mbyllura.</w:t>
      </w:r>
    </w:p>
    <w:p w14:paraId="649FE241" w14:textId="4EC81E8C"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Në periudhën </w:t>
      </w:r>
      <w:r w:rsidR="00657405" w:rsidRPr="00024D5A">
        <w:rPr>
          <w:rFonts w:ascii="Garamond" w:eastAsia="Times New Roman" w:hAnsi="Garamond"/>
          <w:lang w:eastAsia="en-US"/>
        </w:rPr>
        <w:t>2026–2030</w:t>
      </w:r>
      <w:r w:rsidRPr="00024D5A">
        <w:rPr>
          <w:rFonts w:ascii="Garamond" w:eastAsia="Times New Roman" w:hAnsi="Garamond"/>
          <w:lang w:eastAsia="en-US"/>
        </w:rPr>
        <w:t>, një hap fillestar do të jetë vlerësimi i plotë i kushteve ekzistuese në institucionet e vuajtjes së dënimit. Do të realizohet një analizë për të identifikuar nevojat për aksesueshmëri fizike, informuese dhe komunikative për të gjitha kategoritë e personave me aftësi të kufizuara. Kjo analizë do të shërbejë si bazë për përcaktimin e prioriteteve dhe përfshirjen graduale të ndërhyrjeve në buxhetet institucionale, me qëllim përshtatjen e mjediseve dhe eliminimin e barrierave që pengojnë përdorimin e hapësirave dhe shërbimeve brenda institucioneve.</w:t>
      </w:r>
    </w:p>
    <w:p w14:paraId="64B7B93E"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Paralelisht, plani parashikon krijimin e mekanizmave për identifikimin e hershëm të personave me aftësi të kufizuara që në momentin e pranimit në institucion. Do të hartohen procedura dhe formularë standardë për evidentimin e nevojave, në mënyrë që çdo i paraburgosur apo i dënuar të përfitojë akomodimin e arsyeshëm dhe mbështetjen e nevojshme. Në vijim, për secilin person do të përgatitet një plan individual mbështetjeje, bazuar në vlerësimin e nevojave të tij, i cili do të orientojë ofrimin e shërbimeve dhe trajtimin gjatë qëndrimit në institucion.</w:t>
      </w:r>
    </w:p>
    <w:p w14:paraId="774A735C" w14:textId="1E72B6E1"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Një komponent thelbësor është garantimi i shërbimeve shëndetësore dhe psikosociale. Personat me aftësi të kufizuara do të kenë akses në mjekë, psikologë dhe terapi të vazhdueshme, përmes sistemeve të referimit dhe bashkëpunimit me shërbimet komunitare. Kjo qasje synon të parandalojë përkeqësimin e gjendjes shëndetësore dhe të mbështesë riintegrimin social, duke e konsideruar shërbimin shëndetësor si pjesë të trajtimit human dhe jo vetëm si ndërhyrje emergjente.</w:t>
      </w:r>
    </w:p>
    <w:p w14:paraId="7E388994" w14:textId="53CE9904"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Plani parashikon</w:t>
      </w:r>
      <w:r w:rsidR="00191840" w:rsidRPr="00024D5A">
        <w:rPr>
          <w:rFonts w:ascii="Garamond" w:eastAsia="Times New Roman" w:hAnsi="Garamond"/>
          <w:lang w:eastAsia="en-US"/>
        </w:rPr>
        <w:t>,</w:t>
      </w:r>
      <w:r w:rsidRPr="00024D5A">
        <w:rPr>
          <w:rFonts w:ascii="Garamond" w:eastAsia="Times New Roman" w:hAnsi="Garamond"/>
          <w:lang w:eastAsia="en-US"/>
        </w:rPr>
        <w:t xml:space="preserve"> gjithashtu</w:t>
      </w:r>
      <w:r w:rsidR="00191840" w:rsidRPr="00024D5A">
        <w:rPr>
          <w:rFonts w:ascii="Garamond" w:eastAsia="Times New Roman" w:hAnsi="Garamond"/>
          <w:lang w:eastAsia="en-US"/>
        </w:rPr>
        <w:t>,</w:t>
      </w:r>
      <w:r w:rsidRPr="00024D5A">
        <w:rPr>
          <w:rFonts w:ascii="Garamond" w:eastAsia="Times New Roman" w:hAnsi="Garamond"/>
          <w:lang w:eastAsia="en-US"/>
        </w:rPr>
        <w:t xml:space="preserve"> rritjen e ndërgjegjësimit dhe të kapaciteteve profesionale të personelit të policisë dhe të institucioneve të vuajtjes së dënimit. Do të zhvillohen programe trajnimi dhe kurrikula të posaçme mbi të drejtat e personave me aftësi të kufizuara, mbi aksesin në drejtësi dhe mbi mënyrën e trajtimit të përshtatshëm të tyre në mjedise të mbyllura. Trajnimet synojnë të sigurojnë që stafi të njohë standardet ndërkombëtare dhe të zbatojë praktika që respektojnë dinjitetin, integritetin dhe nevojat individuale të personave.</w:t>
      </w:r>
    </w:p>
    <w:p w14:paraId="5A02E807" w14:textId="77777777" w:rsidR="003E1630" w:rsidRPr="00024D5A" w:rsidRDefault="005743A8" w:rsidP="00791B1A">
      <w:pPr>
        <w:ind w:firstLine="284"/>
        <w:jc w:val="both"/>
        <w:rPr>
          <w:rFonts w:ascii="Garamond" w:eastAsia="Times New Roman" w:hAnsi="Garamond"/>
          <w:b/>
          <w:bCs/>
        </w:rPr>
      </w:pPr>
      <w:r w:rsidRPr="00024D5A">
        <w:rPr>
          <w:rFonts w:ascii="Garamond" w:eastAsia="Times New Roman" w:hAnsi="Garamond"/>
          <w:lang w:eastAsia="en-US"/>
        </w:rPr>
        <w:t>Objektivi synon që institucionet e paraburgimit dhe të vuajtjes së dënimit të mos përbëjnë një mjedis përjashtues për personat me aftësi të kufizuara. Përmes përshtatjes së mjediseve, ofrimit të shërbimeve të specializuara, hartimit të planeve individuale të mbështetjes dhe rritjes së kapaciteteve profesionale, plani synon të garantojë trajtim të barabartë dhe human, duke respektuar të drejtat themelore të personit edhe gjatë kufizimit të lirisë.</w:t>
      </w:r>
    </w:p>
    <w:p w14:paraId="3C8C38B9" w14:textId="72485DF7" w:rsidR="003E1630" w:rsidRPr="00024D5A" w:rsidRDefault="0058487E" w:rsidP="00791B1A">
      <w:pPr>
        <w:pStyle w:val="Heading2"/>
        <w:spacing w:before="0"/>
        <w:ind w:firstLine="284"/>
        <w:rPr>
          <w:rFonts w:ascii="Garamond" w:hAnsi="Garamond"/>
          <w:color w:val="auto"/>
          <w:sz w:val="24"/>
          <w:szCs w:val="24"/>
        </w:rPr>
      </w:pPr>
      <w:bookmarkStart w:id="31" w:name="_Toc231489635"/>
      <w:r w:rsidRPr="00024D5A">
        <w:rPr>
          <w:rFonts w:ascii="Garamond" w:hAnsi="Garamond"/>
          <w:color w:val="auto"/>
          <w:sz w:val="24"/>
          <w:szCs w:val="24"/>
        </w:rPr>
        <w:t>3</w:t>
      </w:r>
      <w:r w:rsidR="005743A8" w:rsidRPr="00024D5A">
        <w:rPr>
          <w:rFonts w:ascii="Garamond" w:hAnsi="Garamond"/>
          <w:color w:val="auto"/>
          <w:sz w:val="24"/>
          <w:szCs w:val="24"/>
        </w:rPr>
        <w:t xml:space="preserve">.3 Punësimi dhe </w:t>
      </w:r>
      <w:r w:rsidR="008030EF" w:rsidRPr="00024D5A">
        <w:rPr>
          <w:rFonts w:ascii="Garamond" w:hAnsi="Garamond"/>
          <w:color w:val="auto"/>
          <w:sz w:val="24"/>
          <w:szCs w:val="24"/>
        </w:rPr>
        <w:t>aftësimi</w:t>
      </w:r>
      <w:bookmarkEnd w:id="31"/>
    </w:p>
    <w:p w14:paraId="6A68E56D" w14:textId="7E614A08" w:rsidR="003E1630" w:rsidRPr="00024D5A" w:rsidRDefault="0058487E" w:rsidP="00791B1A">
      <w:pPr>
        <w:pStyle w:val="Heading2"/>
        <w:spacing w:before="0"/>
        <w:ind w:firstLine="284"/>
        <w:rPr>
          <w:rFonts w:ascii="Garamond" w:hAnsi="Garamond"/>
          <w:color w:val="auto"/>
          <w:sz w:val="24"/>
          <w:szCs w:val="24"/>
          <w:lang w:eastAsia="en-US"/>
        </w:rPr>
      </w:pPr>
      <w:bookmarkStart w:id="32" w:name="_Toc231489636"/>
      <w:r w:rsidRPr="00024D5A">
        <w:rPr>
          <w:rFonts w:ascii="Garamond" w:hAnsi="Garamond"/>
          <w:color w:val="auto"/>
          <w:sz w:val="24"/>
          <w:szCs w:val="24"/>
        </w:rPr>
        <w:t>3</w:t>
      </w:r>
      <w:r w:rsidR="005743A8" w:rsidRPr="00024D5A">
        <w:rPr>
          <w:rFonts w:ascii="Garamond" w:hAnsi="Garamond"/>
          <w:color w:val="auto"/>
          <w:sz w:val="24"/>
          <w:szCs w:val="24"/>
        </w:rPr>
        <w:t>.3.1 Konteksti strategjik</w:t>
      </w:r>
      <w:bookmarkEnd w:id="32"/>
      <w:r w:rsidR="005743A8" w:rsidRPr="00024D5A">
        <w:rPr>
          <w:rFonts w:ascii="Garamond" w:hAnsi="Garamond"/>
          <w:color w:val="auto"/>
          <w:sz w:val="24"/>
          <w:szCs w:val="24"/>
        </w:rPr>
        <w:t xml:space="preserve"> </w:t>
      </w:r>
    </w:p>
    <w:p w14:paraId="553666BB" w14:textId="75468CAF"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 xml:space="preserve">Fusha e punësimit dhe aftësimit në Planin e Veprimit për Personat me Aftësi të Kufizuara </w:t>
      </w:r>
      <w:r w:rsidR="00657405" w:rsidRPr="00024D5A">
        <w:rPr>
          <w:rFonts w:ascii="Garamond" w:eastAsia="Times New Roman" w:hAnsi="Garamond"/>
        </w:rPr>
        <w:t>2026–2030</w:t>
      </w:r>
      <w:r w:rsidRPr="00024D5A">
        <w:rPr>
          <w:rFonts w:ascii="Garamond" w:eastAsia="Times New Roman" w:hAnsi="Garamond"/>
        </w:rPr>
        <w:t xml:space="preserve"> mbështetet në një kuadër të gjerë dokumentesh ndërkombëtare, evropiane dhe kombëtare, të cilat e trajtojnë punësimin jo vetëm si politikë ekonomike, por si një e drejtë themelore e njeriut dhe si kusht për jetesë të pavarur, përfshirje sociale dhe pjesëmarrje të barabartë në shoqëri. Në këtë kuadër, ndërhyrjet</w:t>
      </w:r>
      <w:r w:rsidR="008F29FA" w:rsidRPr="00024D5A">
        <w:rPr>
          <w:rFonts w:ascii="Garamond" w:eastAsia="Times New Roman" w:hAnsi="Garamond"/>
        </w:rPr>
        <w:t xml:space="preserve"> </w:t>
      </w:r>
      <w:r w:rsidRPr="00024D5A">
        <w:rPr>
          <w:rFonts w:ascii="Garamond" w:eastAsia="Times New Roman" w:hAnsi="Garamond"/>
        </w:rPr>
        <w:t>nuk konsiderohen si masa të izoluara të tregut të punës, por si pjesë e një qasje të integruar politikave, e cila nis me arsimin gjithëpërfshirës, vijon me zhvillimin dhe fuqizimin e aftësive, dhe përmbyllet me sigurimin e një</w:t>
      </w:r>
      <w:r w:rsidR="008F29FA" w:rsidRPr="00024D5A">
        <w:rPr>
          <w:rFonts w:ascii="Garamond" w:eastAsia="Times New Roman" w:hAnsi="Garamond"/>
        </w:rPr>
        <w:t xml:space="preserve"> </w:t>
      </w:r>
      <w:r w:rsidRPr="00024D5A">
        <w:rPr>
          <w:rFonts w:ascii="Garamond" w:eastAsia="Times New Roman" w:hAnsi="Garamond"/>
        </w:rPr>
        <w:t xml:space="preserve">punësim të denjë dhe të qëndrueshëm. </w:t>
      </w:r>
    </w:p>
    <w:p w14:paraId="230FEF80" w14:textId="77777777"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Në nivel ndërkombëtar, baza normative përcaktohet nga Konventa e Kombeve të Bashkuara për të Drejtat e Personave me Aftësi të Kufizuara</w:t>
      </w:r>
      <w:r w:rsidRPr="00024D5A">
        <w:rPr>
          <w:rStyle w:val="FootnoteReference"/>
          <w:rFonts w:ascii="Garamond" w:eastAsia="Times New Roman" w:hAnsi="Garamond"/>
        </w:rPr>
        <w:footnoteReference w:id="38"/>
      </w:r>
      <w:r w:rsidRPr="00024D5A">
        <w:rPr>
          <w:rFonts w:ascii="Garamond" w:eastAsia="Times New Roman" w:hAnsi="Garamond"/>
        </w:rPr>
        <w:t xml:space="preserve">, e cila garanton të drejtën për arsim gjithëpërfshirës dhe të barabartë (neni 24), duke kërkuar që sistemet arsimore dhe të formimit profesional të jenë të aksesueshme dhe të përshtatura për nevojat individuale të nxënësve dhe kursantëve me aftësi të kufizuara. </w:t>
      </w:r>
    </w:p>
    <w:p w14:paraId="3563B3A1" w14:textId="77777777"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Ajo njeh gjithashtu të drejtën për punë dhe punësim në një treg të hapur dhe gjithëpërfshirës, si dhe nevojën për aksesueshmëri dhe mbledhje të dhënash për të orientuar politikat publike (nenet 9 dhe 31). Kjo qasje, vendos detyrimin që shteti të garantojë jo vetëm mundësinë për të punuar, por edhe kushtet reale që e bëjnë punësimin të arritshëm.</w:t>
      </w:r>
    </w:p>
    <w:p w14:paraId="4CEEEED2" w14:textId="48AE56BE"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Parimet e Konventës plotësohen nga standardet ndërkombëtare të arsimit gjithëpërfshirës, përfshirë udhëzimet e UNESCO-s, të cilat kërkojnë që sistemet arsimore dhe të formimit profesional të funksionojnë mbi parimet e aksesueshmërisë, përshtatjes së arsyeshme dhe dizajnit universal për të nxën</w:t>
      </w:r>
      <w:r w:rsidR="00483352" w:rsidRPr="00024D5A">
        <w:rPr>
          <w:rFonts w:ascii="Garamond" w:eastAsia="Times New Roman" w:hAnsi="Garamond"/>
        </w:rPr>
        <w:t>ë</w:t>
      </w:r>
      <w:r w:rsidRPr="00024D5A">
        <w:rPr>
          <w:rFonts w:ascii="Garamond" w:eastAsia="Times New Roman" w:hAnsi="Garamond"/>
        </w:rPr>
        <w:t>t. Kjo e lidh drejtpërdrejt aftësimin profesional me pjesëmarrjen e mëvonshme në tregun e punës.</w:t>
      </w:r>
    </w:p>
    <w:p w14:paraId="054CC523" w14:textId="5C130F0F"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Në nivel evropian, këto parime reflektohen në Strategjinë e BE-së për të Drejtat e Personave me Aftësi të Kufizuara 2021</w:t>
      </w:r>
      <w:r w:rsidR="00AC22C3" w:rsidRPr="00024D5A">
        <w:rPr>
          <w:rFonts w:ascii="Garamond" w:eastAsia="Times New Roman" w:hAnsi="Garamond"/>
        </w:rPr>
        <w:t>–</w:t>
      </w:r>
      <w:r w:rsidRPr="00024D5A">
        <w:rPr>
          <w:rFonts w:ascii="Garamond" w:eastAsia="Times New Roman" w:hAnsi="Garamond"/>
        </w:rPr>
        <w:t>2030</w:t>
      </w:r>
      <w:r w:rsidRPr="00024D5A">
        <w:rPr>
          <w:rStyle w:val="FootnoteReference"/>
          <w:rFonts w:ascii="Garamond" w:eastAsia="Times New Roman" w:hAnsi="Garamond"/>
        </w:rPr>
        <w:footnoteReference w:id="39"/>
      </w:r>
      <w:r w:rsidRPr="00024D5A">
        <w:rPr>
          <w:rFonts w:ascii="Garamond" w:eastAsia="Times New Roman" w:hAnsi="Garamond"/>
        </w:rPr>
        <w:t xml:space="preserve">, e cila synon rritjen e pjesëmarrjes në tregun e punës dhe eliminimin e barrierave strukturore që përjashtojnë personat me aftësi të kufizuara nga punësimi. </w:t>
      </w:r>
    </w:p>
    <w:p w14:paraId="6D3370D5" w14:textId="77777777"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Shtylla Evropiane e të Drejtave Sociale</w:t>
      </w:r>
      <w:r w:rsidRPr="00024D5A">
        <w:rPr>
          <w:rStyle w:val="FootnoteReference"/>
          <w:rFonts w:ascii="Garamond" w:eastAsia="Times New Roman" w:hAnsi="Garamond"/>
        </w:rPr>
        <w:footnoteReference w:id="40"/>
      </w:r>
      <w:r w:rsidRPr="00024D5A">
        <w:rPr>
          <w:rFonts w:ascii="Garamond" w:eastAsia="Times New Roman" w:hAnsi="Garamond"/>
        </w:rPr>
        <w:t xml:space="preserve"> përcakton se personat me aftësi të kufizuara kanë të drejtë për mbështetje që u mundëson pjesëmarrjen në tregun e punës dhe një mjedis pune të përshtatur sipas nevojave të tyre. </w:t>
      </w:r>
    </w:p>
    <w:p w14:paraId="697C8028" w14:textId="77777777"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 xml:space="preserve">Po në këtë linjë, paketa evropiane për punësimin e personave me aftësi të kufizuara </w:t>
      </w:r>
      <w:r w:rsidRPr="00024D5A">
        <w:rPr>
          <w:rFonts w:ascii="Garamond" w:eastAsia="Times New Roman" w:hAnsi="Garamond"/>
          <w:i/>
          <w:iCs/>
        </w:rPr>
        <w:t>(Disability Employment Package)</w:t>
      </w:r>
      <w:r w:rsidRPr="00024D5A">
        <w:rPr>
          <w:rStyle w:val="FootnoteReference"/>
          <w:rFonts w:ascii="Garamond" w:eastAsia="Times New Roman" w:hAnsi="Garamond"/>
          <w:i/>
          <w:iCs/>
        </w:rPr>
        <w:footnoteReference w:id="41"/>
      </w:r>
      <w:r w:rsidRPr="00024D5A">
        <w:rPr>
          <w:rFonts w:ascii="Garamond" w:eastAsia="Times New Roman" w:hAnsi="Garamond"/>
        </w:rPr>
        <w:t xml:space="preserve"> orienton shtetet drejt shërbimeve të personalizuara të punësimit, përshtatjes së arsyeshme dhe mbështetjes aktive për punëdhënësit.</w:t>
      </w:r>
    </w:p>
    <w:p w14:paraId="684D6435" w14:textId="40C25C0C"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Këto politika lidhen edhe me Objektivat e Zhvillimit të Qëndrueshëm</w:t>
      </w:r>
      <w:r w:rsidRPr="00024D5A">
        <w:rPr>
          <w:rStyle w:val="FootnoteReference"/>
          <w:rFonts w:ascii="Garamond" w:eastAsia="Times New Roman" w:hAnsi="Garamond"/>
        </w:rPr>
        <w:footnoteReference w:id="42"/>
      </w:r>
      <w:r w:rsidRPr="00024D5A">
        <w:rPr>
          <w:rFonts w:ascii="Garamond" w:eastAsia="Times New Roman" w:hAnsi="Garamond"/>
        </w:rPr>
        <w:t xml:space="preserve">, veçanërisht </w:t>
      </w:r>
      <w:r w:rsidR="00717342" w:rsidRPr="00024D5A">
        <w:rPr>
          <w:rFonts w:ascii="Garamond" w:eastAsia="Times New Roman" w:hAnsi="Garamond"/>
        </w:rPr>
        <w:t xml:space="preserve">objektivin </w:t>
      </w:r>
      <w:r w:rsidRPr="00024D5A">
        <w:rPr>
          <w:rFonts w:ascii="Garamond" w:eastAsia="Times New Roman" w:hAnsi="Garamond"/>
        </w:rPr>
        <w:t>8 për punë të denjë dhe rritje ekonomike gjithëpërfshirëse, që kërkon rritjen e punësimit, mbrojtjen e të drejtave në punë dhe përfshirjen e të rinjve dhe grupeve vulnerabël në ekonomi. Për rrjedhojë, punësimi i personave me aftësi të kufizuara trajtohet njëkohësisht si çështje e të drejtave të njeriut dhe si element i rëndësishëm i zhvillimit ekonomik.</w:t>
      </w:r>
    </w:p>
    <w:p w14:paraId="7C0A31BF" w14:textId="0C852C39"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Në nivel kombëtar, ky kapitull harmonizohet me Strategjinë Kombëtare të Punësimit dhe Aftësive 2023</w:t>
      </w:r>
      <w:r w:rsidR="007F563D" w:rsidRPr="00024D5A">
        <w:rPr>
          <w:rFonts w:ascii="Garamond" w:eastAsia="Times New Roman" w:hAnsi="Garamond"/>
        </w:rPr>
        <w:t>–</w:t>
      </w:r>
      <w:r w:rsidRPr="00024D5A">
        <w:rPr>
          <w:rFonts w:ascii="Garamond" w:eastAsia="Times New Roman" w:hAnsi="Garamond"/>
        </w:rPr>
        <w:t>2030</w:t>
      </w:r>
      <w:r w:rsidRPr="00024D5A">
        <w:rPr>
          <w:rStyle w:val="FootnoteReference"/>
          <w:rFonts w:ascii="Garamond" w:eastAsia="Times New Roman" w:hAnsi="Garamond"/>
        </w:rPr>
        <w:footnoteReference w:id="43"/>
      </w:r>
      <w:r w:rsidRPr="00024D5A">
        <w:rPr>
          <w:rFonts w:ascii="Garamond" w:eastAsia="Times New Roman" w:hAnsi="Garamond"/>
        </w:rPr>
        <w:t>, Strategjinë Kombëtare për Mbrojtjen Sociale 2024</w:t>
      </w:r>
      <w:r w:rsidR="00165462" w:rsidRPr="00024D5A">
        <w:rPr>
          <w:rFonts w:ascii="Garamond" w:eastAsia="Times New Roman" w:hAnsi="Garamond"/>
        </w:rPr>
        <w:t>–</w:t>
      </w:r>
      <w:r w:rsidRPr="00024D5A">
        <w:rPr>
          <w:rFonts w:ascii="Garamond" w:eastAsia="Times New Roman" w:hAnsi="Garamond"/>
        </w:rPr>
        <w:t>2030</w:t>
      </w:r>
      <w:r w:rsidRPr="00024D5A">
        <w:rPr>
          <w:rStyle w:val="FootnoteReference"/>
          <w:rFonts w:ascii="Garamond" w:eastAsia="Times New Roman" w:hAnsi="Garamond"/>
        </w:rPr>
        <w:footnoteReference w:id="44"/>
      </w:r>
      <w:r w:rsidRPr="00024D5A">
        <w:rPr>
          <w:rFonts w:ascii="Garamond" w:eastAsia="Times New Roman" w:hAnsi="Garamond"/>
        </w:rPr>
        <w:t xml:space="preserve"> dhe Planin e Zbatimit të Garancisë Rinore</w:t>
      </w:r>
      <w:r w:rsidRPr="00024D5A">
        <w:rPr>
          <w:rStyle w:val="FootnoteReference"/>
          <w:rFonts w:ascii="Garamond" w:eastAsia="Times New Roman" w:hAnsi="Garamond"/>
        </w:rPr>
        <w:footnoteReference w:id="45"/>
      </w:r>
      <w:r w:rsidRPr="00024D5A">
        <w:rPr>
          <w:rFonts w:ascii="Garamond" w:eastAsia="Times New Roman" w:hAnsi="Garamond"/>
        </w:rPr>
        <w:t xml:space="preserve">, të cilat synojnë rritjen e pjesëmarrjes në tregun e punës dhe zhvillimin e aftësive sipas nevojave të ekonomisë. </w:t>
      </w:r>
    </w:p>
    <w:p w14:paraId="2E236D31" w14:textId="3F96A9B1"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Po ashtu, Strategjia Kombëtare për Zhvillim dhe Integrim 2022</w:t>
      </w:r>
      <w:r w:rsidR="00165462" w:rsidRPr="00024D5A">
        <w:rPr>
          <w:rFonts w:ascii="Garamond" w:eastAsia="Times New Roman" w:hAnsi="Garamond"/>
        </w:rPr>
        <w:t>–</w:t>
      </w:r>
      <w:r w:rsidRPr="00024D5A">
        <w:rPr>
          <w:rFonts w:ascii="Garamond" w:eastAsia="Times New Roman" w:hAnsi="Garamond"/>
        </w:rPr>
        <w:t>2030,</w:t>
      </w:r>
      <w:r w:rsidRPr="00024D5A">
        <w:rPr>
          <w:rStyle w:val="FootnoteReference"/>
          <w:rFonts w:ascii="Garamond" w:eastAsia="Times New Roman" w:hAnsi="Garamond"/>
        </w:rPr>
        <w:footnoteReference w:id="46"/>
      </w:r>
      <w:r w:rsidRPr="00024D5A">
        <w:rPr>
          <w:rFonts w:ascii="Garamond" w:eastAsia="Times New Roman" w:hAnsi="Garamond"/>
        </w:rPr>
        <w:t xml:space="preserve"> e lidh kapitalin njerëzor dhe mirëqenien sociale me fuqinë punëtore dhe përfshirjen në tregun e punës. </w:t>
      </w:r>
    </w:p>
    <w:p w14:paraId="2020AD92" w14:textId="14A8DC20"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Politikat digjitale, sipërmarrja inovative dhe zhvillimi i aftësive të gjelbra konsiderohen</w:t>
      </w:r>
      <w:r w:rsidR="00165462" w:rsidRPr="00024D5A">
        <w:rPr>
          <w:rFonts w:ascii="Garamond" w:eastAsia="Times New Roman" w:hAnsi="Garamond"/>
        </w:rPr>
        <w:t>,</w:t>
      </w:r>
      <w:r w:rsidRPr="00024D5A">
        <w:rPr>
          <w:rFonts w:ascii="Garamond" w:eastAsia="Times New Roman" w:hAnsi="Garamond"/>
        </w:rPr>
        <w:t xml:space="preserve"> gjithashtu</w:t>
      </w:r>
      <w:r w:rsidR="00165462" w:rsidRPr="00024D5A">
        <w:rPr>
          <w:rFonts w:ascii="Garamond" w:eastAsia="Times New Roman" w:hAnsi="Garamond"/>
        </w:rPr>
        <w:t>,</w:t>
      </w:r>
      <w:r w:rsidRPr="00024D5A">
        <w:rPr>
          <w:rFonts w:ascii="Garamond" w:eastAsia="Times New Roman" w:hAnsi="Garamond"/>
        </w:rPr>
        <w:t xml:space="preserve"> elemente të rëndësishme për përfshirjen në ekonominë moderne.</w:t>
      </w:r>
    </w:p>
    <w:p w14:paraId="20AF796E" w14:textId="3E45ABD1"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Në këtë kuadër, Plani i Veprimit e trajton punësimin e personave me aftësi të kufizuara si rezultat të një procesi të integruar politikash: arsimi dhe formimi profesional gjithëpërfshirës, ndërmjetësimi i punësimit dhe mbështetja me programe të nxitjes funksionojnë si instrumente plotësuese</w:t>
      </w:r>
      <w:r w:rsidR="00AF4582" w:rsidRPr="00024D5A">
        <w:rPr>
          <w:rFonts w:ascii="Garamond" w:eastAsia="Times New Roman" w:hAnsi="Garamond"/>
        </w:rPr>
        <w:t>,</w:t>
      </w:r>
      <w:r w:rsidRPr="00024D5A">
        <w:rPr>
          <w:rFonts w:ascii="Garamond" w:eastAsia="Times New Roman" w:hAnsi="Garamond"/>
        </w:rPr>
        <w:t xml:space="preserve"> që sigurojnë pjesëmarrje reale në tregun e punës.</w:t>
      </w:r>
    </w:p>
    <w:p w14:paraId="06D23E11" w14:textId="77777777"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 xml:space="preserve">Kjo qasje e lidh drejtpërdrejt politikën e punësimit me procesin e integrimit evropian, duke synuar përafrimin gradual me </w:t>
      </w:r>
      <w:r w:rsidRPr="00024D5A">
        <w:rPr>
          <w:rFonts w:ascii="Garamond" w:eastAsia="Times New Roman" w:hAnsi="Garamond"/>
          <w:i/>
          <w:iCs/>
        </w:rPr>
        <w:t>acquis</w:t>
      </w:r>
      <w:r w:rsidRPr="00024D5A">
        <w:rPr>
          <w:rFonts w:ascii="Garamond" w:eastAsia="Times New Roman" w:hAnsi="Garamond"/>
        </w:rPr>
        <w:t xml:space="preserve"> të BE-së dhe me standardet evropiane të tregut të punës dhe të përfshirjes sociale.</w:t>
      </w:r>
    </w:p>
    <w:p w14:paraId="4AA3C221" w14:textId="77777777"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Dokumentet ndërkombëtare dhe kombëtare vendosin një parim të përbashkët, i cili thekson se punësimi i personave me aftësi të kufizuara nuk është një politikë kompensuese, por një e drejtë dhe një detyrim shtetëror. Ai kërkon ndërhyrje të koordinuara në arsim, aftësim, tregun e punës dhe mbrojtje sociale, në mënyrë që personat me aftësi të kufizuara të kenë jo vetëm mundësi teorike, por edhe mundësi reale për punë të denjë dhe pjesëmarrje ekonomike.</w:t>
      </w:r>
    </w:p>
    <w:p w14:paraId="075B4F6C" w14:textId="4EE7A3E2" w:rsidR="003E1630" w:rsidRPr="00024D5A" w:rsidRDefault="0058487E" w:rsidP="00791B1A">
      <w:pPr>
        <w:pStyle w:val="Heading2"/>
        <w:spacing w:before="0"/>
        <w:ind w:firstLine="284"/>
        <w:rPr>
          <w:rFonts w:ascii="Garamond" w:hAnsi="Garamond"/>
          <w:color w:val="auto"/>
          <w:sz w:val="24"/>
          <w:szCs w:val="24"/>
        </w:rPr>
      </w:pPr>
      <w:bookmarkStart w:id="33" w:name="_Toc231489637"/>
      <w:r w:rsidRPr="00024D5A">
        <w:rPr>
          <w:rFonts w:ascii="Garamond" w:hAnsi="Garamond"/>
          <w:color w:val="auto"/>
          <w:sz w:val="24"/>
          <w:szCs w:val="24"/>
        </w:rPr>
        <w:t>3</w:t>
      </w:r>
      <w:r w:rsidR="005743A8" w:rsidRPr="00024D5A">
        <w:rPr>
          <w:rFonts w:ascii="Garamond" w:hAnsi="Garamond"/>
          <w:color w:val="auto"/>
          <w:sz w:val="24"/>
          <w:szCs w:val="24"/>
        </w:rPr>
        <w:t>.3.2 Qëllimi, objektivat dhe masat prioritare</w:t>
      </w:r>
      <w:bookmarkEnd w:id="33"/>
      <w:r w:rsidR="005743A8" w:rsidRPr="00024D5A">
        <w:rPr>
          <w:rFonts w:ascii="Garamond" w:hAnsi="Garamond"/>
          <w:color w:val="auto"/>
          <w:sz w:val="24"/>
          <w:szCs w:val="24"/>
        </w:rPr>
        <w:t xml:space="preserve"> </w:t>
      </w:r>
    </w:p>
    <w:p w14:paraId="55029722" w14:textId="77777777" w:rsidR="003E1630" w:rsidRPr="00024D5A" w:rsidRDefault="005743A8" w:rsidP="00791B1A">
      <w:pPr>
        <w:ind w:firstLine="284"/>
        <w:jc w:val="both"/>
        <w:rPr>
          <w:rFonts w:ascii="Garamond" w:eastAsia="Times New Roman" w:hAnsi="Garamond"/>
        </w:rPr>
      </w:pPr>
      <w:r w:rsidRPr="00024D5A">
        <w:rPr>
          <w:rFonts w:ascii="Garamond" w:eastAsia="Times New Roman" w:hAnsi="Garamond"/>
          <w:b/>
          <w:bCs/>
        </w:rPr>
        <w:t xml:space="preserve">Qëllimi i politikës: </w:t>
      </w:r>
      <w:r w:rsidRPr="00024D5A">
        <w:rPr>
          <w:rFonts w:ascii="Garamond" w:eastAsia="Times New Roman" w:hAnsi="Garamond"/>
        </w:rPr>
        <w:t xml:space="preserve">Përfshirja e personave me aftësi të kufizuara në baza të barabarta me të tjerët, në një treg dhe mjedis pune të hapur, gjithëpërfshirës dhe të aksesueshëm. </w:t>
      </w:r>
    </w:p>
    <w:p w14:paraId="5F6CD655" w14:textId="77777777"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Për të realizuar qëllimin, plani strukturohet në 2 objektiva specifikë, 11 masa prioritare dhe 48 ndërhyrje konkrete të buxhetuara.</w:t>
      </w:r>
    </w:p>
    <w:p w14:paraId="6D6752B1" w14:textId="77777777" w:rsidR="003E1630" w:rsidRPr="00024D5A" w:rsidRDefault="005743A8" w:rsidP="00791B1A">
      <w:pPr>
        <w:ind w:firstLine="284"/>
        <w:jc w:val="both"/>
        <w:rPr>
          <w:rFonts w:ascii="Garamond" w:eastAsia="Times New Roman" w:hAnsi="Garamond"/>
          <w:i/>
          <w:iCs/>
        </w:rPr>
      </w:pPr>
      <w:r w:rsidRPr="00024D5A">
        <w:rPr>
          <w:rFonts w:ascii="Garamond" w:eastAsia="Times New Roman" w:hAnsi="Garamond"/>
          <w:b/>
          <w:bCs/>
          <w:i/>
          <w:iCs/>
        </w:rPr>
        <w:t>Objektivi specifik 1:</w:t>
      </w:r>
      <w:r w:rsidRPr="00024D5A">
        <w:rPr>
          <w:rFonts w:ascii="Garamond" w:eastAsia="Times New Roman" w:hAnsi="Garamond"/>
          <w:i/>
          <w:iCs/>
        </w:rPr>
        <w:t xml:space="preserve"> Nxitja e pjesëmarrjes, zgjerimi i aksesit dhe përfitimit të nxënësve dhe kursantëve me aftësi të kufizuara nga programet e arsimit dhe formimit profesional, në përputhje me nevojat e tregut të punës dhe parimet e arsimit gjithëpërfshirës. </w:t>
      </w:r>
    </w:p>
    <w:p w14:paraId="2FDC4C02" w14:textId="05FD8FD9" w:rsidR="003E1630" w:rsidRPr="00024D5A" w:rsidRDefault="005743A8" w:rsidP="00791B1A">
      <w:pPr>
        <w:ind w:firstLine="284"/>
        <w:jc w:val="both"/>
        <w:rPr>
          <w:rFonts w:ascii="Garamond" w:eastAsia="Times New Roman" w:hAnsi="Garamond"/>
          <w:b/>
          <w:bCs/>
          <w:i/>
          <w:iCs/>
        </w:rPr>
      </w:pPr>
      <w:r w:rsidRPr="00024D5A">
        <w:rPr>
          <w:rFonts w:ascii="Garamond" w:eastAsia="Times New Roman" w:hAnsi="Garamond"/>
          <w:b/>
          <w:bCs/>
          <w:i/>
          <w:iCs/>
        </w:rPr>
        <w:t>Masat prioritare</w:t>
      </w:r>
      <w:r w:rsidR="00F958F2">
        <w:rPr>
          <w:rFonts w:ascii="Garamond" w:eastAsia="Times New Roman" w:hAnsi="Garamond"/>
          <w:b/>
          <w:bCs/>
          <w:i/>
          <w:iCs/>
        </w:rPr>
        <w:t>:</w:t>
      </w:r>
    </w:p>
    <w:p w14:paraId="315CBE5F" w14:textId="33192A8C" w:rsidR="003E1630" w:rsidRPr="00024D5A" w:rsidRDefault="003F1E3A" w:rsidP="001F2BD2">
      <w:pPr>
        <w:pStyle w:val="ListParagraph"/>
        <w:ind w:left="0" w:firstLine="288"/>
        <w:jc w:val="both"/>
        <w:rPr>
          <w:rFonts w:ascii="Garamond" w:eastAsia="Times New Roman" w:hAnsi="Garamond"/>
        </w:rPr>
      </w:pPr>
      <w:r w:rsidRPr="00024D5A">
        <w:rPr>
          <w:rFonts w:ascii="Garamond" w:eastAsia="Times New Roman" w:hAnsi="Garamond"/>
        </w:rPr>
        <w:t xml:space="preserve">1.1 </w:t>
      </w:r>
      <w:r w:rsidR="005743A8" w:rsidRPr="00024D5A">
        <w:rPr>
          <w:rFonts w:ascii="Garamond" w:eastAsia="Times New Roman" w:hAnsi="Garamond"/>
        </w:rPr>
        <w:t>Përmirësimi i kornizës politike, ligjore dhe institucionale për arsim e formim profesional gjithëpërfshirës;</w:t>
      </w:r>
    </w:p>
    <w:p w14:paraId="4E000D97" w14:textId="060EDADC" w:rsidR="003E1630" w:rsidRPr="00024D5A" w:rsidRDefault="003F1E3A" w:rsidP="001F2BD2">
      <w:pPr>
        <w:pStyle w:val="ListParagraph"/>
        <w:ind w:left="0" w:firstLine="288"/>
        <w:jc w:val="both"/>
        <w:rPr>
          <w:rFonts w:ascii="Garamond" w:eastAsia="Times New Roman" w:hAnsi="Garamond"/>
        </w:rPr>
      </w:pPr>
      <w:r w:rsidRPr="00024D5A">
        <w:rPr>
          <w:rFonts w:ascii="Garamond" w:eastAsia="Times New Roman" w:hAnsi="Garamond"/>
        </w:rPr>
        <w:t xml:space="preserve">1.2 </w:t>
      </w:r>
      <w:r w:rsidR="005743A8" w:rsidRPr="00024D5A">
        <w:rPr>
          <w:rFonts w:ascii="Garamond" w:eastAsia="Times New Roman" w:hAnsi="Garamond"/>
        </w:rPr>
        <w:t xml:space="preserve">Përmirësimi i infrastrukturës dhe teknologjisë </w:t>
      </w:r>
      <w:r w:rsidR="005743A8" w:rsidRPr="00D22A00">
        <w:rPr>
          <w:rFonts w:ascii="Garamond" w:eastAsia="Times New Roman" w:hAnsi="Garamond"/>
          <w:i/>
          <w:iCs/>
        </w:rPr>
        <w:t>asis</w:t>
      </w:r>
      <w:r w:rsidR="00D22A00" w:rsidRPr="00D22A00">
        <w:rPr>
          <w:rFonts w:ascii="Garamond" w:eastAsia="Times New Roman" w:hAnsi="Garamond"/>
          <w:i/>
          <w:iCs/>
        </w:rPr>
        <w:t>s</w:t>
      </w:r>
      <w:r w:rsidR="005743A8" w:rsidRPr="00D22A00">
        <w:rPr>
          <w:rFonts w:ascii="Garamond" w:eastAsia="Times New Roman" w:hAnsi="Garamond"/>
          <w:i/>
          <w:iCs/>
        </w:rPr>
        <w:t>tive;</w:t>
      </w:r>
    </w:p>
    <w:p w14:paraId="731633D7" w14:textId="2DE5F85A" w:rsidR="003E1630" w:rsidRPr="00024D5A" w:rsidRDefault="003F1E3A" w:rsidP="001F2BD2">
      <w:pPr>
        <w:pStyle w:val="ListParagraph"/>
        <w:ind w:left="0" w:firstLine="288"/>
        <w:jc w:val="both"/>
        <w:rPr>
          <w:rFonts w:ascii="Garamond" w:eastAsia="Times New Roman" w:hAnsi="Garamond"/>
        </w:rPr>
      </w:pPr>
      <w:r w:rsidRPr="00024D5A">
        <w:rPr>
          <w:rFonts w:ascii="Garamond" w:eastAsia="Times New Roman" w:hAnsi="Garamond"/>
        </w:rPr>
        <w:t xml:space="preserve">1.3 </w:t>
      </w:r>
      <w:r w:rsidR="005743A8" w:rsidRPr="00024D5A">
        <w:rPr>
          <w:rFonts w:ascii="Garamond" w:eastAsia="Times New Roman" w:hAnsi="Garamond"/>
        </w:rPr>
        <w:t xml:space="preserve">Përshtatja e kurrikulave dhe </w:t>
      </w:r>
      <w:r w:rsidR="00B82DEC" w:rsidRPr="00024D5A">
        <w:rPr>
          <w:rFonts w:ascii="Garamond" w:eastAsia="Times New Roman" w:hAnsi="Garamond"/>
        </w:rPr>
        <w:t xml:space="preserve">e </w:t>
      </w:r>
      <w:r w:rsidR="005743A8" w:rsidRPr="00024D5A">
        <w:rPr>
          <w:rFonts w:ascii="Garamond" w:eastAsia="Times New Roman" w:hAnsi="Garamond"/>
        </w:rPr>
        <w:t>programeve mësimore;</w:t>
      </w:r>
    </w:p>
    <w:p w14:paraId="35CFC514" w14:textId="362F8EAB" w:rsidR="003E1630" w:rsidRPr="00024D5A" w:rsidRDefault="003F1E3A" w:rsidP="001F2BD2">
      <w:pPr>
        <w:pStyle w:val="ListParagraph"/>
        <w:ind w:left="0" w:firstLine="288"/>
        <w:jc w:val="both"/>
        <w:rPr>
          <w:rFonts w:ascii="Garamond" w:eastAsia="Times New Roman" w:hAnsi="Garamond"/>
        </w:rPr>
      </w:pPr>
      <w:r w:rsidRPr="00024D5A">
        <w:rPr>
          <w:rFonts w:ascii="Garamond" w:eastAsia="Times New Roman" w:hAnsi="Garamond"/>
        </w:rPr>
        <w:t xml:space="preserve">1.4 </w:t>
      </w:r>
      <w:r w:rsidR="005743A8" w:rsidRPr="00024D5A">
        <w:rPr>
          <w:rFonts w:ascii="Garamond" w:eastAsia="Times New Roman" w:hAnsi="Garamond"/>
        </w:rPr>
        <w:t xml:space="preserve">Mbështetja e nxënësve dhe </w:t>
      </w:r>
      <w:r w:rsidR="00B82DEC" w:rsidRPr="00024D5A">
        <w:rPr>
          <w:rFonts w:ascii="Garamond" w:eastAsia="Times New Roman" w:hAnsi="Garamond"/>
        </w:rPr>
        <w:t xml:space="preserve">e </w:t>
      </w:r>
      <w:r w:rsidR="005743A8" w:rsidRPr="00024D5A">
        <w:rPr>
          <w:rFonts w:ascii="Garamond" w:eastAsia="Times New Roman" w:hAnsi="Garamond"/>
        </w:rPr>
        <w:t>kursantëve me aftësi të kufizuara;</w:t>
      </w:r>
    </w:p>
    <w:p w14:paraId="7EC86169" w14:textId="689E94A4" w:rsidR="003E1630" w:rsidRPr="00024D5A" w:rsidRDefault="003F1E3A" w:rsidP="001F2BD2">
      <w:pPr>
        <w:pStyle w:val="ListParagraph"/>
        <w:ind w:left="0" w:firstLine="288"/>
        <w:jc w:val="both"/>
        <w:rPr>
          <w:rFonts w:ascii="Garamond" w:eastAsia="Times New Roman" w:hAnsi="Garamond"/>
        </w:rPr>
      </w:pPr>
      <w:r w:rsidRPr="00024D5A">
        <w:rPr>
          <w:rFonts w:ascii="Garamond" w:eastAsia="Times New Roman" w:hAnsi="Garamond"/>
        </w:rPr>
        <w:t xml:space="preserve">1.5 </w:t>
      </w:r>
      <w:r w:rsidR="005743A8" w:rsidRPr="00024D5A">
        <w:rPr>
          <w:rFonts w:ascii="Garamond" w:eastAsia="Times New Roman" w:hAnsi="Garamond"/>
        </w:rPr>
        <w:t>Bashkëpunimi me sektorin privat dhe tregun e punës;</w:t>
      </w:r>
    </w:p>
    <w:p w14:paraId="684DEE7B" w14:textId="34392CC6" w:rsidR="003E1630" w:rsidRPr="00024D5A" w:rsidRDefault="003F1E3A" w:rsidP="001F2BD2">
      <w:pPr>
        <w:pStyle w:val="ListParagraph"/>
        <w:ind w:left="0" w:firstLine="288"/>
        <w:jc w:val="both"/>
        <w:rPr>
          <w:rFonts w:ascii="Garamond" w:eastAsia="Times New Roman" w:hAnsi="Garamond"/>
        </w:rPr>
      </w:pPr>
      <w:r w:rsidRPr="00024D5A">
        <w:rPr>
          <w:rFonts w:ascii="Garamond" w:eastAsia="Times New Roman" w:hAnsi="Garamond"/>
        </w:rPr>
        <w:t xml:space="preserve">1.6 </w:t>
      </w:r>
      <w:r w:rsidR="005743A8" w:rsidRPr="00024D5A">
        <w:rPr>
          <w:rFonts w:ascii="Garamond" w:eastAsia="Times New Roman" w:hAnsi="Garamond"/>
        </w:rPr>
        <w:t>Monitorimi, vlerësimi dhe administrimi i të dhënave.</w:t>
      </w:r>
    </w:p>
    <w:p w14:paraId="10C2CFE9" w14:textId="56D295D8"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 xml:space="preserve">Gjatë periudhës </w:t>
      </w:r>
      <w:r w:rsidR="00657405" w:rsidRPr="00024D5A">
        <w:rPr>
          <w:rFonts w:ascii="Garamond" w:eastAsia="Times New Roman" w:hAnsi="Garamond"/>
        </w:rPr>
        <w:t>2026–2030</w:t>
      </w:r>
      <w:r w:rsidRPr="00024D5A">
        <w:rPr>
          <w:rFonts w:ascii="Garamond" w:eastAsia="Times New Roman" w:hAnsi="Garamond"/>
        </w:rPr>
        <w:t>, Plani i Veprimit synon ngritjen një sistem të arsimit dhe formimit profesional (AFP) funksional dhe gjithëpërfshirës, i cili garanton përfshirjen efektive të personave me aftësi të kufizuara dhe krijon ura konkrete drejt punësimit. Qasja nuk kufizohet në regjistrimin formal në një shkollë profesionale</w:t>
      </w:r>
      <w:r w:rsidR="001045C2" w:rsidRPr="00024D5A">
        <w:rPr>
          <w:rFonts w:ascii="Garamond" w:eastAsia="Times New Roman" w:hAnsi="Garamond"/>
        </w:rPr>
        <w:t>,</w:t>
      </w:r>
      <w:r w:rsidRPr="00024D5A">
        <w:rPr>
          <w:rFonts w:ascii="Garamond" w:eastAsia="Times New Roman" w:hAnsi="Garamond"/>
        </w:rPr>
        <w:t xml:space="preserve"> apo qendër formimi, por synon të krijojë një zinxhir të plotë përfshirjeje: nga hyrja në sistem, cilësia e formimit, mbështetja individuale gjatë studimit dhe deri te</w:t>
      </w:r>
      <w:r w:rsidR="001045C2" w:rsidRPr="00024D5A">
        <w:rPr>
          <w:rFonts w:ascii="Garamond" w:eastAsia="Times New Roman" w:hAnsi="Garamond"/>
        </w:rPr>
        <w:t>k</w:t>
      </w:r>
      <w:r w:rsidRPr="00024D5A">
        <w:rPr>
          <w:rFonts w:ascii="Garamond" w:eastAsia="Times New Roman" w:hAnsi="Garamond"/>
        </w:rPr>
        <w:t xml:space="preserve"> lidhja me tregun e punës.</w:t>
      </w:r>
    </w:p>
    <w:p w14:paraId="1CAECE5A" w14:textId="2FC6DD1F"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 xml:space="preserve">Së pari, Plani </w:t>
      </w:r>
      <w:r w:rsidR="00944DFD" w:rsidRPr="00024D5A">
        <w:rPr>
          <w:rFonts w:ascii="Garamond" w:eastAsia="Times New Roman" w:hAnsi="Garamond"/>
        </w:rPr>
        <w:t xml:space="preserve">parashikon </w:t>
      </w:r>
      <w:r w:rsidRPr="00024D5A">
        <w:rPr>
          <w:rFonts w:ascii="Garamond" w:eastAsia="Times New Roman" w:hAnsi="Garamond"/>
        </w:rPr>
        <w:t>ndërhy</w:t>
      </w:r>
      <w:r w:rsidR="00944DFD" w:rsidRPr="00024D5A">
        <w:rPr>
          <w:rFonts w:ascii="Garamond" w:eastAsia="Times New Roman" w:hAnsi="Garamond"/>
        </w:rPr>
        <w:t xml:space="preserve">rje </w:t>
      </w:r>
      <w:r w:rsidRPr="00024D5A">
        <w:rPr>
          <w:rFonts w:ascii="Garamond" w:eastAsia="Times New Roman" w:hAnsi="Garamond"/>
        </w:rPr>
        <w:t xml:space="preserve">në nivel strukturor dhe ligjor. </w:t>
      </w:r>
      <w:r w:rsidR="00944DFD" w:rsidRPr="00024D5A">
        <w:rPr>
          <w:rFonts w:ascii="Garamond" w:eastAsia="Times New Roman" w:hAnsi="Garamond"/>
        </w:rPr>
        <w:t>Në këtë kuadër, d</w:t>
      </w:r>
      <w:r w:rsidRPr="00024D5A">
        <w:rPr>
          <w:rFonts w:ascii="Garamond" w:eastAsia="Times New Roman" w:hAnsi="Garamond"/>
        </w:rPr>
        <w:t xml:space="preserve">o të rishikohen Ligji për Arsimin dhe Formimin Profesional dhe ai për Arsimin Parauniversitar për të garantuar një sistem gjithëpërfshirës. Ndërsa në politikat e punësimit do të përfshihen programe rehabilitimi, formimi dhe të mësuarit gjatë gjithë jetës për personat me aftësi të kufizuara. Paralelisht do të forcohen mekanizmat e cilësisë: udhëzime të përbashkëta institucionale, standarde të reja për akreditimin dhe inspektimin e ofruesve të AFP-së, si dhe zhvillimi profesional i mësimdhënësve, përfshirë mësuesit mbështetës. Njësitë e zhvillimit në institucionet e AFP-së do të konsolidohen për t’iu përgjigjur nevojave të nxënësve me aftësi të kufizuara dhe do të </w:t>
      </w:r>
      <w:r w:rsidR="005B0625" w:rsidRPr="00024D5A">
        <w:rPr>
          <w:rFonts w:ascii="Garamond" w:eastAsia="Times New Roman" w:hAnsi="Garamond"/>
        </w:rPr>
        <w:t>krijohen</w:t>
      </w:r>
      <w:r w:rsidRPr="00024D5A">
        <w:rPr>
          <w:rFonts w:ascii="Garamond" w:eastAsia="Times New Roman" w:hAnsi="Garamond"/>
        </w:rPr>
        <w:t xml:space="preserve"> rrjete bashkëpunimi mes institucioneve për shkëmbim praktikash.</w:t>
      </w:r>
    </w:p>
    <w:p w14:paraId="792F08B7" w14:textId="0CFCB9E7"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 xml:space="preserve">Një element i rëndësishëm është krijimi i mjediseve të aksesueshme. Institucionet e AFP-së do të pajisen me teknologji </w:t>
      </w:r>
      <w:r w:rsidRPr="00A74194">
        <w:rPr>
          <w:rFonts w:ascii="Garamond" w:eastAsia="Times New Roman" w:hAnsi="Garamond"/>
          <w:i/>
          <w:iCs/>
        </w:rPr>
        <w:t>asis</w:t>
      </w:r>
      <w:r w:rsidR="00A74194" w:rsidRPr="00A74194">
        <w:rPr>
          <w:rFonts w:ascii="Garamond" w:eastAsia="Times New Roman" w:hAnsi="Garamond"/>
          <w:i/>
          <w:iCs/>
        </w:rPr>
        <w:t>s</w:t>
      </w:r>
      <w:r w:rsidRPr="00A74194">
        <w:rPr>
          <w:rFonts w:ascii="Garamond" w:eastAsia="Times New Roman" w:hAnsi="Garamond"/>
          <w:i/>
          <w:iCs/>
        </w:rPr>
        <w:t>tive</w:t>
      </w:r>
      <w:r w:rsidRPr="00024D5A">
        <w:rPr>
          <w:rFonts w:ascii="Garamond" w:eastAsia="Times New Roman" w:hAnsi="Garamond"/>
        </w:rPr>
        <w:t xml:space="preserve"> dhe pajisje ndihmëse, si lexues ekrani, tastiera të përshtatura dhe programe mbështetëse. Do të sigurohet akses fizik dhe digjital në shkollat profesionale dhe qendrat e formimit profesional, përfshirë laboratorët e teknologjisë së informacionit dhe aftësive të gjelbra. Plani parashikon edhe zhvillimin e platformave digjitale dhe mësimit të kombinuar, me informacion në formate alternative, për të garantuar mundësi të barabarta për të rinjtë dhe të rriturit me aftësi të kufizuara.</w:t>
      </w:r>
    </w:p>
    <w:p w14:paraId="1C6E5343" w14:textId="56748DF6"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 xml:space="preserve">Një tjetër shtyllë është përshtatja e përmbajtjes së mësimit. Kurrikulat ekzistuese do të rishikohen për të integruar parimet e dizajnit universal për të nxënit, ndërsa do të zhvillohen module të reja, përfshirë ato digjitale dhe të ekonomisë së gjelbër, të përshtatura për tipologji të ndryshme të aftësisë së kufizuar. Materialet didaktike do të ofrohen në formate të aksesueshme, Braille, audio, gjuhë e thjeshtuar, gjuhë e shenjave dhe titra, dhe mësuesit do të trajnohen për përdorimin e teknologjisë </w:t>
      </w:r>
      <w:r w:rsidRPr="00A74194">
        <w:rPr>
          <w:rFonts w:ascii="Garamond" w:eastAsia="Times New Roman" w:hAnsi="Garamond"/>
          <w:i/>
          <w:iCs/>
        </w:rPr>
        <w:t>asis</w:t>
      </w:r>
      <w:r w:rsidR="00A74194" w:rsidRPr="00A74194">
        <w:rPr>
          <w:rFonts w:ascii="Garamond" w:eastAsia="Times New Roman" w:hAnsi="Garamond"/>
          <w:i/>
          <w:iCs/>
        </w:rPr>
        <w:t>s</w:t>
      </w:r>
      <w:r w:rsidRPr="00A74194">
        <w:rPr>
          <w:rFonts w:ascii="Garamond" w:eastAsia="Times New Roman" w:hAnsi="Garamond"/>
          <w:i/>
          <w:iCs/>
        </w:rPr>
        <w:t>tive</w:t>
      </w:r>
      <w:r w:rsidRPr="00024D5A">
        <w:rPr>
          <w:rFonts w:ascii="Garamond" w:eastAsia="Times New Roman" w:hAnsi="Garamond"/>
        </w:rPr>
        <w:t xml:space="preserve"> në procesin mësimor.</w:t>
      </w:r>
    </w:p>
    <w:p w14:paraId="4F7CF1B4" w14:textId="77777777"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Plani parashikon edhe mbështetje të drejtpërdrejtë për nxënësit dhe kursantët. Do të identifikohen nevojat individuale dhe do të hartohen plane individuale të të nxënit, do të ofrohet këshillim profesional dhe orientim në karrierë i personalizuar, si dhe mbështetje financiare përmes bursave, transportit dhe pajisjeve personale. Do të forcohet bashkëpunimi mes shkollës, familjes dhe komunitetit dhe do të përfshihen bizneset në praktika profesionale të përshtatura.</w:t>
      </w:r>
    </w:p>
    <w:p w14:paraId="0751615B" w14:textId="77777777"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Një element thelbësor i objektivit është lidhja e drejtpërdrejtë me punësimin. Plani parashikon partneritete me kompanitë, programe të praktikave të asistuara dhe sensibilizim të punëdhënësve mbi potencialin e punësimit gjithëpërfshirës. Certifikimi i aftësive, përfshirë ato digjitale dhe të gjelbra, do të standardizohet në mënyrë që kualifikimet e fituara të kenë vlerë reale në tregun e punës.</w:t>
      </w:r>
    </w:p>
    <w:p w14:paraId="5810A72A" w14:textId="77777777"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Së fundi, objektivi mbështetet në monitorim të vazhdueshëm dhe përdorim të të dhënave. Do të mblidhen statistika të ndara sipas kategorisë të aftësisë së kufizuar, gjinisë dhe moshës, do të vendosen tregues performance për pjesëmarrjen, përfundimin dhe punësimin dhe politikat do të rishikohen mbi bazë evidence. Organizatat e personave me aftësi të kufizuara do të përfshihen në projekte pilot, trajnime dhe hartim udhëzuesish praktikë.</w:t>
      </w:r>
    </w:p>
    <w:p w14:paraId="11E9DE90" w14:textId="77777777"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Ky objektiv, synon të krijojë një rrugë të plotë tranzicioni nga arsimi në punë, ku arsimi dhe formimi profesional nuk janë një fazë e izoluar, por një instrument konkret për integrimin ekonomik dhe social të personave me aftësi të kufizuara.</w:t>
      </w:r>
    </w:p>
    <w:p w14:paraId="540BE7CB" w14:textId="77777777" w:rsidR="003E1630" w:rsidRPr="00AC5DA9" w:rsidRDefault="005743A8" w:rsidP="00791B1A">
      <w:pPr>
        <w:ind w:firstLine="284"/>
        <w:jc w:val="both"/>
        <w:rPr>
          <w:rFonts w:ascii="Garamond" w:eastAsia="Times New Roman" w:hAnsi="Garamond"/>
          <w:i/>
          <w:iCs/>
        </w:rPr>
      </w:pPr>
      <w:r w:rsidRPr="00AC5DA9">
        <w:rPr>
          <w:rFonts w:ascii="Garamond" w:eastAsia="Times New Roman" w:hAnsi="Garamond"/>
          <w:b/>
          <w:bCs/>
          <w:i/>
          <w:iCs/>
        </w:rPr>
        <w:t>Objektivi specifik 2:</w:t>
      </w:r>
      <w:r w:rsidRPr="00AC5DA9">
        <w:rPr>
          <w:rFonts w:ascii="Garamond" w:eastAsia="Times New Roman" w:hAnsi="Garamond"/>
          <w:i/>
          <w:iCs/>
        </w:rPr>
        <w:t xml:space="preserve"> Zgjerimi dhe konsolidimi i shërbimeve të punësimit që synojnë fuqizimin ekonomik dhe përfshirjen në tregun e punës të personave me aftësi të kufizuara, përmes konsolidimit të programeve të aftësimit dhe punësimit dhe ngritjes së Fondit Social të Punësimit.</w:t>
      </w:r>
    </w:p>
    <w:p w14:paraId="67C83A66" w14:textId="6B841C8B" w:rsidR="003E1630" w:rsidRPr="00024D5A" w:rsidRDefault="005743A8" w:rsidP="00791B1A">
      <w:pPr>
        <w:ind w:firstLine="284"/>
        <w:jc w:val="both"/>
        <w:rPr>
          <w:rFonts w:ascii="Garamond" w:eastAsia="Times New Roman" w:hAnsi="Garamond"/>
          <w:b/>
          <w:bCs/>
          <w:i/>
          <w:iCs/>
        </w:rPr>
      </w:pPr>
      <w:r w:rsidRPr="00024D5A">
        <w:rPr>
          <w:rFonts w:ascii="Garamond" w:eastAsia="Times New Roman" w:hAnsi="Garamond"/>
          <w:b/>
          <w:bCs/>
          <w:i/>
          <w:iCs/>
        </w:rPr>
        <w:t>Masat prioritare</w:t>
      </w:r>
      <w:r w:rsidR="00F958F2">
        <w:rPr>
          <w:rFonts w:ascii="Garamond" w:eastAsia="Times New Roman" w:hAnsi="Garamond"/>
          <w:b/>
          <w:bCs/>
          <w:i/>
          <w:iCs/>
        </w:rPr>
        <w:t>:</w:t>
      </w:r>
    </w:p>
    <w:p w14:paraId="07754B3A" w14:textId="72011830" w:rsidR="003E1630" w:rsidRPr="00024D5A" w:rsidRDefault="003F1E3A" w:rsidP="00791B1A">
      <w:pPr>
        <w:pStyle w:val="ListParagraph"/>
        <w:ind w:left="0" w:firstLine="284"/>
        <w:jc w:val="both"/>
        <w:rPr>
          <w:rFonts w:ascii="Garamond" w:eastAsia="Times New Roman" w:hAnsi="Garamond"/>
        </w:rPr>
      </w:pPr>
      <w:r w:rsidRPr="00024D5A">
        <w:rPr>
          <w:rFonts w:ascii="Garamond" w:eastAsia="Times New Roman" w:hAnsi="Garamond"/>
        </w:rPr>
        <w:t xml:space="preserve">2.1 </w:t>
      </w:r>
      <w:r w:rsidR="005743A8" w:rsidRPr="00024D5A">
        <w:rPr>
          <w:rFonts w:ascii="Garamond" w:eastAsia="Times New Roman" w:hAnsi="Garamond"/>
        </w:rPr>
        <w:t>Plotësimi i kuadrit ligjor dhe institucional për të nxitur punësimin e punëkërkuesve me aftësi të kufizuara;</w:t>
      </w:r>
    </w:p>
    <w:p w14:paraId="39D3A053" w14:textId="388D41F7" w:rsidR="003E1630" w:rsidRPr="00024D5A" w:rsidRDefault="003F1E3A" w:rsidP="00791B1A">
      <w:pPr>
        <w:pStyle w:val="ListParagraph"/>
        <w:ind w:left="0" w:firstLine="284"/>
        <w:jc w:val="both"/>
        <w:rPr>
          <w:rFonts w:ascii="Garamond" w:eastAsia="Times New Roman" w:hAnsi="Garamond"/>
        </w:rPr>
      </w:pPr>
      <w:r w:rsidRPr="00024D5A">
        <w:rPr>
          <w:rFonts w:ascii="Garamond" w:eastAsia="Times New Roman" w:hAnsi="Garamond"/>
        </w:rPr>
        <w:t xml:space="preserve">2.2 </w:t>
      </w:r>
      <w:r w:rsidR="005743A8" w:rsidRPr="00024D5A">
        <w:rPr>
          <w:rFonts w:ascii="Garamond" w:eastAsia="Times New Roman" w:hAnsi="Garamond"/>
        </w:rPr>
        <w:t>Përmirësimi i aksesueshmërisë dhe kapaciteteve institucionale të AKPA-së dhe zyrave të punësimit;</w:t>
      </w:r>
    </w:p>
    <w:p w14:paraId="06BA6919" w14:textId="583C7878" w:rsidR="003E1630" w:rsidRPr="00024D5A" w:rsidRDefault="003F1E3A" w:rsidP="00791B1A">
      <w:pPr>
        <w:pStyle w:val="ListParagraph"/>
        <w:ind w:left="0" w:firstLine="284"/>
        <w:jc w:val="both"/>
        <w:rPr>
          <w:rFonts w:ascii="Garamond" w:eastAsia="Times New Roman" w:hAnsi="Garamond"/>
        </w:rPr>
      </w:pPr>
      <w:r w:rsidRPr="00024D5A">
        <w:rPr>
          <w:rFonts w:ascii="Garamond" w:eastAsia="Times New Roman" w:hAnsi="Garamond"/>
        </w:rPr>
        <w:t xml:space="preserve">2.3 </w:t>
      </w:r>
      <w:r w:rsidR="005743A8" w:rsidRPr="00024D5A">
        <w:rPr>
          <w:rFonts w:ascii="Garamond" w:eastAsia="Times New Roman" w:hAnsi="Garamond"/>
        </w:rPr>
        <w:t>Përmirësimi i sistemit të vlerësimit, regjistrimit dhe profilizimit të punëkërkuesve me aftësi të kufizuara;</w:t>
      </w:r>
    </w:p>
    <w:p w14:paraId="385E887F" w14:textId="65587DD4" w:rsidR="003E1630" w:rsidRPr="00024D5A" w:rsidRDefault="003F1E3A" w:rsidP="00791B1A">
      <w:pPr>
        <w:pStyle w:val="ListParagraph"/>
        <w:ind w:left="0" w:firstLine="284"/>
        <w:jc w:val="both"/>
        <w:rPr>
          <w:rFonts w:ascii="Garamond" w:eastAsia="Times New Roman" w:hAnsi="Garamond"/>
        </w:rPr>
      </w:pPr>
      <w:r w:rsidRPr="00024D5A">
        <w:rPr>
          <w:rFonts w:ascii="Garamond" w:eastAsia="Times New Roman" w:hAnsi="Garamond"/>
        </w:rPr>
        <w:t xml:space="preserve">2.4 </w:t>
      </w:r>
      <w:r w:rsidR="005743A8" w:rsidRPr="00024D5A">
        <w:rPr>
          <w:rFonts w:ascii="Garamond" w:eastAsia="Times New Roman" w:hAnsi="Garamond"/>
        </w:rPr>
        <w:t>Konsolidimi dhe zgjerimi i shërbimeve për punëdhënësit dhe punëkërkuesit;</w:t>
      </w:r>
    </w:p>
    <w:p w14:paraId="1DA7549E" w14:textId="00496B90" w:rsidR="003E1630" w:rsidRPr="00024D5A" w:rsidRDefault="003F1E3A" w:rsidP="00791B1A">
      <w:pPr>
        <w:pStyle w:val="ListParagraph"/>
        <w:ind w:left="0" w:firstLine="284"/>
        <w:jc w:val="both"/>
        <w:rPr>
          <w:rFonts w:ascii="Garamond" w:eastAsia="Times New Roman" w:hAnsi="Garamond"/>
        </w:rPr>
      </w:pPr>
      <w:r w:rsidRPr="00024D5A">
        <w:rPr>
          <w:rFonts w:ascii="Garamond" w:eastAsia="Times New Roman" w:hAnsi="Garamond"/>
        </w:rPr>
        <w:t xml:space="preserve">2.5 </w:t>
      </w:r>
      <w:r w:rsidR="005743A8" w:rsidRPr="00024D5A">
        <w:rPr>
          <w:rFonts w:ascii="Garamond" w:eastAsia="Times New Roman" w:hAnsi="Garamond"/>
        </w:rPr>
        <w:t>Forcimi i qeverisjes, koordinimit dhe monitorimit për punësimin e personave me aftësi të kufizuara.</w:t>
      </w:r>
    </w:p>
    <w:p w14:paraId="3765FB21" w14:textId="12D43C85"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 xml:space="preserve">Gjatë periudhës </w:t>
      </w:r>
      <w:r w:rsidR="00657405" w:rsidRPr="00024D5A">
        <w:rPr>
          <w:rFonts w:ascii="Garamond" w:eastAsia="Times New Roman" w:hAnsi="Garamond"/>
        </w:rPr>
        <w:t>2026–2030</w:t>
      </w:r>
      <w:r w:rsidRPr="00024D5A">
        <w:rPr>
          <w:rFonts w:ascii="Garamond" w:eastAsia="Times New Roman" w:hAnsi="Garamond"/>
        </w:rPr>
        <w:t>, Plani</w:t>
      </w:r>
      <w:r w:rsidR="008F29FA" w:rsidRPr="00024D5A">
        <w:rPr>
          <w:rFonts w:ascii="Garamond" w:eastAsia="Times New Roman" w:hAnsi="Garamond"/>
        </w:rPr>
        <w:t xml:space="preserve"> </w:t>
      </w:r>
      <w:r w:rsidRPr="00024D5A">
        <w:rPr>
          <w:rFonts w:ascii="Garamond" w:eastAsia="Times New Roman" w:hAnsi="Garamond"/>
        </w:rPr>
        <w:t>i Veprimit synon të krijojë një sistem funksional të përfshirjes në tregun e punës për personat me aftësi të kufizuara. Ky objektiv ndërton hallkën që mungon mes arsimit/formimit profesional dhe punësimit real, duke e konsideruar punësimin si proces të vazhdueshëm që përfshin rehabilitimin për punë, ndërmjetësimin, mbështetjen në vendin e punës dhe qëndrueshmërinë në punësim.</w:t>
      </w:r>
    </w:p>
    <w:p w14:paraId="3149806C" w14:textId="526A9FD8" w:rsidR="0030165D" w:rsidRPr="00024D5A" w:rsidRDefault="005743A8" w:rsidP="00791B1A">
      <w:pPr>
        <w:ind w:firstLine="284"/>
        <w:jc w:val="both"/>
        <w:rPr>
          <w:rFonts w:ascii="Garamond" w:eastAsia="Times New Roman" w:hAnsi="Garamond"/>
        </w:rPr>
      </w:pPr>
      <w:r w:rsidRPr="00024D5A">
        <w:rPr>
          <w:rFonts w:ascii="Garamond" w:eastAsia="Times New Roman" w:hAnsi="Garamond"/>
        </w:rPr>
        <w:t>Së pari, Plani parashikon përmirësimin e kuadrit ligjor dhe institucional. Do të rishikohet Ligji për Nxitjen e Punësimit për të garantuar mekanizma efektivë rehabilitimi për punë dhe punësim të denjë për personat me aftësi të kufizuara</w:t>
      </w:r>
      <w:bookmarkStart w:id="34" w:name="_Hlk230619880"/>
      <w:r w:rsidRPr="00024D5A">
        <w:rPr>
          <w:rFonts w:ascii="Garamond" w:eastAsia="Times New Roman" w:hAnsi="Garamond"/>
        </w:rPr>
        <w:t xml:space="preserve">. </w:t>
      </w:r>
      <w:bookmarkEnd w:id="34"/>
    </w:p>
    <w:p w14:paraId="460867D9" w14:textId="7FB696FC" w:rsidR="0030165D" w:rsidRPr="00024D5A" w:rsidRDefault="0030165D" w:rsidP="00791B1A">
      <w:pPr>
        <w:ind w:firstLine="284"/>
        <w:jc w:val="both"/>
        <w:rPr>
          <w:rFonts w:ascii="Garamond" w:eastAsia="Times New Roman" w:hAnsi="Garamond"/>
        </w:rPr>
      </w:pPr>
      <w:r w:rsidRPr="00024D5A">
        <w:rPr>
          <w:rFonts w:ascii="Garamond" w:eastAsia="Times New Roman" w:hAnsi="Garamond"/>
        </w:rPr>
        <w:t xml:space="preserve">Paralelisht, Ligji për Sigurimet Shoqërore do të rregullojë </w:t>
      </w:r>
      <w:r w:rsidR="00D02F4E" w:rsidRPr="00024D5A">
        <w:rPr>
          <w:rFonts w:ascii="Garamond" w:eastAsia="Times New Roman" w:hAnsi="Garamond"/>
        </w:rPr>
        <w:t xml:space="preserve">që mbështetja financiare për personat e paaftë për punë të bazohet </w:t>
      </w:r>
      <w:r w:rsidR="00D43BBC" w:rsidRPr="00024D5A">
        <w:rPr>
          <w:rFonts w:ascii="Garamond" w:eastAsia="Times New Roman" w:hAnsi="Garamond"/>
        </w:rPr>
        <w:t>jo vetëm në kontributet e derdhura në vitet e punës</w:t>
      </w:r>
      <w:r w:rsidR="00726D54" w:rsidRPr="00024D5A">
        <w:rPr>
          <w:rFonts w:ascii="Garamond" w:eastAsia="Times New Roman" w:hAnsi="Garamond"/>
        </w:rPr>
        <w:t>,</w:t>
      </w:r>
      <w:r w:rsidR="00D43BBC" w:rsidRPr="00024D5A">
        <w:rPr>
          <w:rFonts w:ascii="Garamond" w:eastAsia="Times New Roman" w:hAnsi="Garamond"/>
        </w:rPr>
        <w:t xml:space="preserve"> por edhe në drejtim të ne</w:t>
      </w:r>
      <w:r w:rsidR="003A0045" w:rsidRPr="00024D5A">
        <w:rPr>
          <w:rFonts w:ascii="Garamond" w:eastAsia="Times New Roman" w:hAnsi="Garamond"/>
        </w:rPr>
        <w:t xml:space="preserve">vojave që ka personi me </w:t>
      </w:r>
      <w:r w:rsidR="00FA0CB9" w:rsidRPr="00024D5A">
        <w:rPr>
          <w:rFonts w:ascii="Garamond" w:eastAsia="Times New Roman" w:hAnsi="Garamond"/>
        </w:rPr>
        <w:t>aftësi të kufizuara</w:t>
      </w:r>
      <w:r w:rsidR="003A0045" w:rsidRPr="00024D5A">
        <w:rPr>
          <w:rFonts w:ascii="Garamond" w:eastAsia="Times New Roman" w:hAnsi="Garamond"/>
        </w:rPr>
        <w:t xml:space="preserve"> për shkak të aftësisë së kufizuar</w:t>
      </w:r>
      <w:r w:rsidR="00726D54" w:rsidRPr="00024D5A">
        <w:rPr>
          <w:rFonts w:ascii="Garamond" w:eastAsia="Times New Roman" w:hAnsi="Garamond"/>
        </w:rPr>
        <w:t>,</w:t>
      </w:r>
      <w:r w:rsidR="003A0045" w:rsidRPr="00024D5A">
        <w:rPr>
          <w:rFonts w:ascii="Garamond" w:eastAsia="Times New Roman" w:hAnsi="Garamond"/>
        </w:rPr>
        <w:t xml:space="preserve"> duke mundësuar aftësimin për punë në përputhje me aftësitë e mbetura.</w:t>
      </w:r>
    </w:p>
    <w:p w14:paraId="5E5FF0A3" w14:textId="3DC204F3"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 xml:space="preserve"> Një element thelbësor i reformës do të jetë krijimi dhe operacionalizimi i Fondit Social të Punësimit. Ky fond do të financojë programe aftësimi, punësimi, vetëpunësimi, sipërmarrjeje sociale dhe përshtatje të arsyeshme në vendin e punës, përmes një mekanizmi kontributesh nga punëdhënësit dhe administrimi nga një bord i posaçëm, me përfaqësim edhe nga organizatat e fushës, me eksperiencë në punësim. Në të njëjtën kohë, do të zhvillohen udhëzime dhe vendime për zbatimin e programeve aktive të tregut të punës, përfshirë programin e punësimit me mbështetje dhe financimin e përshtatjes së arsyeshme.</w:t>
      </w:r>
    </w:p>
    <w:p w14:paraId="219F7A47" w14:textId="3F500ED7"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Një drejtim i rëndësishëm është transformimi i shërbimeve publike të punësimit. Zyrat e punësimit do të bëhen të aksesueshme fizikisht dhe në mënyrë digjitale, duke garantuar komunikim dhe informacion të kuptueshëm dhe akomodime të arsyeshme, kur të jetë e nevojshme. Do të vendosen specialistë të dedikuar për punëkërkuesit me aftësi të kufizuara dhe për punëdhënësit, si dhe do të trajnohen këshilltarë të specializuar për ndërmjetësim profesional dhe mbështetje të vazhdueshme. Modeli i ofrimit të shërbimit do të strukturohet në tr</w:t>
      </w:r>
      <w:r w:rsidR="006C287E" w:rsidRPr="00024D5A">
        <w:rPr>
          <w:rFonts w:ascii="Garamond" w:eastAsia="Times New Roman" w:hAnsi="Garamond"/>
        </w:rPr>
        <w:t>i</w:t>
      </w:r>
      <w:r w:rsidRPr="00024D5A">
        <w:rPr>
          <w:rFonts w:ascii="Garamond" w:eastAsia="Times New Roman" w:hAnsi="Garamond"/>
        </w:rPr>
        <w:t xml:space="preserve"> nivele: shërbime universale bazë, ndërmjetësim i avancuar dhe shërbime intensive të personalizuara, përfshirë punësimin me mbështetje.</w:t>
      </w:r>
    </w:p>
    <w:p w14:paraId="7E22C031" w14:textId="01E9C094"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Plani parashikon edhe përmirësimin e sistemit të vlerësimit të kapaciteteve për punë. Do të ngrihet një sistem profilizimi individual cilësor për punëkërkuesit me aftësi të kufizuara, që merr në konsideratë aftësitë, interesat, aspiratat, nevojat për përshtatje të arsyeshme dhe dimensionin gjinor e moshën. Do të krijohet</w:t>
      </w:r>
      <w:r w:rsidR="008F29FA" w:rsidRPr="00024D5A">
        <w:rPr>
          <w:rFonts w:ascii="Garamond" w:eastAsia="Times New Roman" w:hAnsi="Garamond"/>
        </w:rPr>
        <w:t xml:space="preserve"> </w:t>
      </w:r>
      <w:r w:rsidRPr="00024D5A">
        <w:rPr>
          <w:rFonts w:ascii="Garamond" w:eastAsia="Times New Roman" w:hAnsi="Garamond"/>
        </w:rPr>
        <w:t>një sistem digjital ndërmjetësimi i aksesueshëm, i cili lidh automatikisht personin me arsimin dhe formimin profesional, skemat aktive të punësimit dhe tregun e hapur të punës.</w:t>
      </w:r>
    </w:p>
    <w:p w14:paraId="1634262B" w14:textId="77777777"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Një tjetër shtyllë është mbështetja e drejtpërdrejtë për punëdhënësit dhe për punëkërkuesit. Do të përshtaten programet e nxitjes së punësimit, duke garantuar masa prioritare për personat me aftësi të kufizuara, si subvencionimi i pagave, përshtatja e vendit të punës dhe financimi i pajisjeve ndihmëse. Do të zhvillohen programe të reja, përfshirë punësimin me mbështetje, vetëpunësimin, sipërmarrjen sociale dhe aftësimin në partneritet me aktorë publikë e privatë. Një vëmendje e veçantë do t’i kushtohet tranzicionit nga shkolla në punë për të rinjtë me aftësi të kufizuara, përmes praktikave të asistuara, përfshirjes në Garancinë Rinore dhe mbështetjes për të rinjtë e pa përfshirë në arsim, punësim dhe formim profesional (NEET). Gjithashtu, do të mbështeten punëdhënësit për realizimin e përshtatjes së arsyeshme dhe do të zhvillohen fushata informuese për programet aktive të tregut të punës.</w:t>
      </w:r>
    </w:p>
    <w:p w14:paraId="69A8F797" w14:textId="77777777"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Në fund, Plani përfshin forcimin e qeverisjes dhe monitorimit. Do të realizohen vlerësime kombëtare për nivelin e punësimit të personave me aftësi të kufizuara në sektorin publik dhe privat, si dhe vlerësime periodike të efekteve të politikave të përfshirjes aktive në tregun e punës, përfshirë lidhjen me sistemin e pagesave të papunësisë. Zbatimi i këtij objektivi do të koordinohet me Strategjinë Kombëtare të Punësimit dhe Aftësive, Strategjinë e Mbrojtjes Sociale dhe Garancinë Rinore, për të siguruar që politikat e aftësimit, mbrojtjes sociale dhe punësimit të funksionojnë si një sistem i vetëm.</w:t>
      </w:r>
    </w:p>
    <w:p w14:paraId="122F4FFF" w14:textId="77777777"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Objektivi 2, synon të krijojë një treg pune gjithëpërfshirës, ku personat me aftësi të kufizuara të mos mbeten përfitues pasivë të mbështetjes sociale, por pjesëmarrës aktivë në ekonomi, me mundësi reale për punësim të qëndrueshëm dhe pavarësi ekonomike.</w:t>
      </w:r>
    </w:p>
    <w:p w14:paraId="3C1CB1F1" w14:textId="00555089" w:rsidR="003E1630" w:rsidRPr="00024D5A" w:rsidRDefault="0058487E" w:rsidP="00791B1A">
      <w:pPr>
        <w:pStyle w:val="Heading2"/>
        <w:spacing w:before="0"/>
        <w:ind w:firstLine="284"/>
        <w:rPr>
          <w:rFonts w:ascii="Garamond" w:hAnsi="Garamond"/>
          <w:color w:val="auto"/>
          <w:sz w:val="24"/>
          <w:szCs w:val="24"/>
          <w:lang w:eastAsia="en-US"/>
        </w:rPr>
      </w:pPr>
      <w:bookmarkStart w:id="35" w:name="_Toc231489638"/>
      <w:r w:rsidRPr="00024D5A">
        <w:rPr>
          <w:rFonts w:ascii="Garamond" w:hAnsi="Garamond"/>
          <w:color w:val="auto"/>
          <w:sz w:val="24"/>
          <w:szCs w:val="24"/>
          <w:lang w:eastAsia="en-US"/>
        </w:rPr>
        <w:t>3</w:t>
      </w:r>
      <w:r w:rsidR="005743A8" w:rsidRPr="00024D5A">
        <w:rPr>
          <w:rFonts w:ascii="Garamond" w:hAnsi="Garamond"/>
          <w:color w:val="auto"/>
          <w:sz w:val="24"/>
          <w:szCs w:val="24"/>
          <w:lang w:eastAsia="en-US"/>
        </w:rPr>
        <w:t>.4 Arsimi</w:t>
      </w:r>
      <w:bookmarkEnd w:id="35"/>
      <w:r w:rsidR="005743A8" w:rsidRPr="00024D5A">
        <w:rPr>
          <w:rFonts w:ascii="Garamond" w:hAnsi="Garamond"/>
          <w:color w:val="auto"/>
          <w:sz w:val="24"/>
          <w:szCs w:val="24"/>
          <w:lang w:eastAsia="en-US"/>
        </w:rPr>
        <w:t xml:space="preserve"> </w:t>
      </w:r>
    </w:p>
    <w:p w14:paraId="33E34F41" w14:textId="31EDB290" w:rsidR="003E1630" w:rsidRPr="00024D5A" w:rsidRDefault="0058487E" w:rsidP="00791B1A">
      <w:pPr>
        <w:pStyle w:val="Heading2"/>
        <w:spacing w:before="0"/>
        <w:ind w:firstLine="284"/>
        <w:rPr>
          <w:rFonts w:ascii="Garamond" w:hAnsi="Garamond"/>
          <w:color w:val="auto"/>
          <w:sz w:val="24"/>
          <w:szCs w:val="24"/>
          <w:lang w:eastAsia="en-US"/>
        </w:rPr>
      </w:pPr>
      <w:bookmarkStart w:id="36" w:name="_Toc231489639"/>
      <w:r w:rsidRPr="00024D5A">
        <w:rPr>
          <w:rFonts w:ascii="Garamond" w:hAnsi="Garamond"/>
          <w:color w:val="auto"/>
          <w:sz w:val="24"/>
          <w:szCs w:val="24"/>
          <w:lang w:eastAsia="en-US"/>
        </w:rPr>
        <w:t>3</w:t>
      </w:r>
      <w:r w:rsidR="005743A8" w:rsidRPr="00024D5A">
        <w:rPr>
          <w:rFonts w:ascii="Garamond" w:hAnsi="Garamond"/>
          <w:color w:val="auto"/>
          <w:sz w:val="24"/>
          <w:szCs w:val="24"/>
          <w:lang w:eastAsia="en-US"/>
        </w:rPr>
        <w:t>.4.1 Konteksti strategjik</w:t>
      </w:r>
      <w:bookmarkEnd w:id="36"/>
    </w:p>
    <w:p w14:paraId="32644F40" w14:textId="2BBD39C2"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Kapitulli i arsimit në Planin e ri të Veprimit </w:t>
      </w:r>
      <w:r w:rsidR="00657405" w:rsidRPr="00024D5A">
        <w:rPr>
          <w:rFonts w:ascii="Garamond" w:eastAsia="Times New Roman" w:hAnsi="Garamond"/>
          <w:lang w:eastAsia="en-US"/>
        </w:rPr>
        <w:t>2026–2030</w:t>
      </w:r>
      <w:r w:rsidRPr="00024D5A">
        <w:rPr>
          <w:rFonts w:ascii="Garamond" w:eastAsia="Times New Roman" w:hAnsi="Garamond"/>
          <w:lang w:eastAsia="en-US"/>
        </w:rPr>
        <w:t xml:space="preserve"> për Personat me Aftësi të Kufizuara ndërtohet mbi një kornizë të qartë ndërkombëtare, evropiane dhe kombëtare, ku arsimi gjithëpërfshirës trajtohet si e drejtë themelore dhe si parakusht për përfshirje shoqërore. Qasja e Planit synon të ofrojë një udhëzues të konsoliduar për politikëbërjen dhe zbatimin praktik të arsimit gjithëpërfshirës në të gjitha nivelet, nga edukimi i hershëm deri te</w:t>
      </w:r>
      <w:r w:rsidR="0006183E" w:rsidRPr="00024D5A">
        <w:rPr>
          <w:rFonts w:ascii="Garamond" w:eastAsia="Times New Roman" w:hAnsi="Garamond"/>
          <w:lang w:eastAsia="en-US"/>
        </w:rPr>
        <w:t>k</w:t>
      </w:r>
      <w:r w:rsidRPr="00024D5A">
        <w:rPr>
          <w:rFonts w:ascii="Garamond" w:eastAsia="Times New Roman" w:hAnsi="Garamond"/>
          <w:lang w:eastAsia="en-US"/>
        </w:rPr>
        <w:t xml:space="preserve"> arsimi i lartë, duke garantuar akses të barabartë, cilësi, mbështetje dhe pjesëmarrje aktive të fëmijëve/nxënësve/studentëve me aftësi të kufizuara, familjeve dhe shoqërisë civile. </w:t>
      </w:r>
    </w:p>
    <w:p w14:paraId="4D410D89" w14:textId="09E65128"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Në nivel ndërkombëtar, referenca kryesore është Konventa e OKB-së</w:t>
      </w:r>
      <w:r w:rsidRPr="00024D5A">
        <w:rPr>
          <w:rFonts w:ascii="Garamond" w:eastAsia="Times New Roman" w:hAnsi="Garamond"/>
          <w:vertAlign w:val="superscript"/>
          <w:lang w:eastAsia="en-US"/>
        </w:rPr>
        <w:footnoteReference w:id="47"/>
      </w:r>
      <w:r w:rsidRPr="00024D5A">
        <w:rPr>
          <w:rFonts w:ascii="Garamond" w:eastAsia="Times New Roman" w:hAnsi="Garamond"/>
          <w:lang w:eastAsia="en-US"/>
        </w:rPr>
        <w:t xml:space="preserve"> për të Drejtat e Personave me Aftësi të Kufizuara (</w:t>
      </w:r>
      <w:r w:rsidRPr="00024D5A">
        <w:rPr>
          <w:rFonts w:ascii="Garamond" w:eastAsia="Times New Roman" w:hAnsi="Garamond"/>
        </w:rPr>
        <w:t xml:space="preserve"> KDPAK</w:t>
      </w:r>
      <w:r w:rsidRPr="00024D5A">
        <w:rPr>
          <w:rFonts w:ascii="Garamond" w:eastAsia="Times New Roman" w:hAnsi="Garamond"/>
          <w:lang w:eastAsia="en-US"/>
        </w:rPr>
        <w:t>) dhe rekomandimet e Komitetit</w:t>
      </w:r>
      <w:r w:rsidR="008F29FA" w:rsidRPr="00024D5A">
        <w:rPr>
          <w:rFonts w:ascii="Garamond" w:eastAsia="Times New Roman" w:hAnsi="Garamond"/>
          <w:lang w:eastAsia="en-US"/>
        </w:rPr>
        <w:t xml:space="preserve"> </w:t>
      </w:r>
      <w:r w:rsidRPr="00024D5A">
        <w:rPr>
          <w:rFonts w:ascii="Garamond" w:eastAsia="Times New Roman" w:hAnsi="Garamond"/>
        </w:rPr>
        <w:t>KDPAK</w:t>
      </w:r>
      <w:r w:rsidRPr="00024D5A">
        <w:rPr>
          <w:rFonts w:ascii="Garamond" w:eastAsia="Times New Roman" w:hAnsi="Garamond"/>
          <w:vertAlign w:val="superscript"/>
          <w:lang w:eastAsia="en-US"/>
        </w:rPr>
        <w:footnoteReference w:id="48"/>
      </w:r>
      <w:r w:rsidRPr="00024D5A">
        <w:rPr>
          <w:rFonts w:ascii="Garamond" w:eastAsia="Times New Roman" w:hAnsi="Garamond"/>
          <w:lang w:eastAsia="en-US"/>
        </w:rPr>
        <w:t>, të cilat kërkojnë arsim gjithëpërfshirës, mosdiskriminim, aksesueshmëri dhe përshtatje të arsyeshme, si dhe mbështetje të individualizuar në mjedise të zakonshme mësimore. Kjo linjë harmonizohet me orientimet dhe praktikat më të mira të Bashkimit Evropian, përfshirë Strategjinë BE-së për të Drejtat e Personave me Aftësi të Kufizuara 2021</w:t>
      </w:r>
      <w:r w:rsidR="00726D54" w:rsidRPr="00024D5A">
        <w:rPr>
          <w:rFonts w:ascii="Garamond" w:eastAsia="Times New Roman" w:hAnsi="Garamond"/>
          <w:lang w:eastAsia="en-US"/>
        </w:rPr>
        <w:t>–</w:t>
      </w:r>
      <w:r w:rsidRPr="00024D5A">
        <w:rPr>
          <w:rFonts w:ascii="Garamond" w:eastAsia="Times New Roman" w:hAnsi="Garamond"/>
          <w:lang w:eastAsia="en-US"/>
        </w:rPr>
        <w:t>2030</w:t>
      </w:r>
      <w:r w:rsidRPr="00024D5A">
        <w:rPr>
          <w:rFonts w:ascii="Garamond" w:eastAsia="Times New Roman" w:hAnsi="Garamond"/>
          <w:vertAlign w:val="superscript"/>
          <w:lang w:eastAsia="en-US"/>
        </w:rPr>
        <w:footnoteReference w:id="49"/>
      </w:r>
      <w:r w:rsidRPr="00024D5A">
        <w:rPr>
          <w:rFonts w:ascii="Garamond" w:eastAsia="Times New Roman" w:hAnsi="Garamond"/>
          <w:lang w:eastAsia="en-US"/>
        </w:rPr>
        <w:t>, e cila e lidh përfshirjen arsimore me heqjen e barrierave, sigurimin e mbështetjes dhe rritjen e cilësisë së shërbimeve për personat me aftësi të kufizuara.</w:t>
      </w:r>
    </w:p>
    <w:p w14:paraId="53B11EF4" w14:textId="1EA8086F"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Në nivel kombëtar, ky kapitull vendoset në vijimësi me Strategjinë Kombëtare për Arsimin 2021</w:t>
      </w:r>
      <w:r w:rsidR="00EA1BC5" w:rsidRPr="00024D5A">
        <w:rPr>
          <w:rFonts w:ascii="Garamond" w:eastAsia="Times New Roman" w:hAnsi="Garamond"/>
          <w:lang w:eastAsia="en-US"/>
        </w:rPr>
        <w:t>–</w:t>
      </w:r>
      <w:r w:rsidRPr="00024D5A">
        <w:rPr>
          <w:rFonts w:ascii="Garamond" w:eastAsia="Times New Roman" w:hAnsi="Garamond"/>
          <w:lang w:eastAsia="en-US"/>
        </w:rPr>
        <w:t>2026</w:t>
      </w:r>
      <w:r w:rsidRPr="00024D5A">
        <w:rPr>
          <w:rFonts w:ascii="Garamond" w:eastAsia="Times New Roman" w:hAnsi="Garamond"/>
          <w:vertAlign w:val="superscript"/>
          <w:lang w:eastAsia="en-US"/>
        </w:rPr>
        <w:footnoteReference w:id="50"/>
      </w:r>
      <w:r w:rsidRPr="00024D5A">
        <w:rPr>
          <w:rFonts w:ascii="Garamond" w:eastAsia="Times New Roman" w:hAnsi="Garamond"/>
          <w:lang w:eastAsia="en-US"/>
        </w:rPr>
        <w:t>, me Strategjinë Kombëtare për Zhvillim dhe Integrim (SKZHI) 2030</w:t>
      </w:r>
      <w:r w:rsidRPr="00024D5A">
        <w:rPr>
          <w:rFonts w:ascii="Garamond" w:eastAsia="Times New Roman" w:hAnsi="Garamond"/>
          <w:vertAlign w:val="superscript"/>
          <w:lang w:eastAsia="en-US"/>
        </w:rPr>
        <w:footnoteReference w:id="51"/>
      </w:r>
      <w:r w:rsidRPr="00024D5A">
        <w:rPr>
          <w:rFonts w:ascii="Garamond" w:eastAsia="Times New Roman" w:hAnsi="Garamond"/>
          <w:lang w:eastAsia="en-US"/>
        </w:rPr>
        <w:t xml:space="preserve"> (Shtylla </w:t>
      </w:r>
      <w:r w:rsidR="0078161D" w:rsidRPr="00024D5A">
        <w:rPr>
          <w:rFonts w:ascii="Garamond" w:eastAsia="Times New Roman" w:hAnsi="Garamond"/>
          <w:lang w:eastAsia="en-US"/>
        </w:rPr>
        <w:t>“</w:t>
      </w:r>
      <w:r w:rsidRPr="00024D5A">
        <w:rPr>
          <w:rFonts w:ascii="Garamond" w:eastAsia="Times New Roman" w:hAnsi="Garamond"/>
          <w:lang w:eastAsia="en-US"/>
        </w:rPr>
        <w:t>Kohezioni social</w:t>
      </w:r>
      <w:r w:rsidR="0078161D" w:rsidRPr="00024D5A">
        <w:rPr>
          <w:rFonts w:ascii="Garamond" w:eastAsia="Times New Roman" w:hAnsi="Garamond"/>
          <w:lang w:eastAsia="en-US"/>
        </w:rPr>
        <w:t>”</w:t>
      </w:r>
      <w:r w:rsidRPr="00024D5A">
        <w:rPr>
          <w:rFonts w:ascii="Garamond" w:eastAsia="Times New Roman" w:hAnsi="Garamond"/>
          <w:lang w:eastAsia="en-US"/>
        </w:rPr>
        <w:t>), si edhe me Agjendën e Reformave 2024</w:t>
      </w:r>
      <w:r w:rsidR="00D5614C" w:rsidRPr="00024D5A">
        <w:rPr>
          <w:rFonts w:ascii="Garamond" w:eastAsia="Times New Roman" w:hAnsi="Garamond"/>
          <w:lang w:eastAsia="en-US"/>
        </w:rPr>
        <w:t>–</w:t>
      </w:r>
      <w:r w:rsidRPr="00024D5A">
        <w:rPr>
          <w:rFonts w:ascii="Garamond" w:eastAsia="Times New Roman" w:hAnsi="Garamond"/>
          <w:lang w:eastAsia="en-US"/>
        </w:rPr>
        <w:t>2027</w:t>
      </w:r>
      <w:r w:rsidRPr="00024D5A">
        <w:rPr>
          <w:rFonts w:ascii="Garamond" w:eastAsia="Times New Roman" w:hAnsi="Garamond"/>
          <w:vertAlign w:val="superscript"/>
          <w:lang w:eastAsia="en-US"/>
        </w:rPr>
        <w:footnoteReference w:id="52"/>
      </w:r>
      <w:r w:rsidRPr="00024D5A">
        <w:rPr>
          <w:rFonts w:ascii="Garamond" w:eastAsia="Times New Roman" w:hAnsi="Garamond"/>
          <w:lang w:eastAsia="en-US"/>
        </w:rPr>
        <w:t>, në kuadër të reformave dhe lehtësirave të rritjes për Ballkanin. Paralelisht, ai lidhet me përmbushjen e standardeve të aksesueshmërisë (përfshirë ato që burojnë nga korniza evropiane si European Accessibility Act</w:t>
      </w:r>
      <w:r w:rsidRPr="00024D5A">
        <w:rPr>
          <w:rFonts w:ascii="Garamond" w:eastAsia="Times New Roman" w:hAnsi="Garamond"/>
          <w:vertAlign w:val="superscript"/>
          <w:lang w:eastAsia="en-US"/>
        </w:rPr>
        <w:footnoteReference w:id="53"/>
      </w:r>
      <w:r w:rsidRPr="00024D5A">
        <w:rPr>
          <w:rFonts w:ascii="Garamond" w:eastAsia="Times New Roman" w:hAnsi="Garamond"/>
          <w:lang w:eastAsia="en-US"/>
        </w:rPr>
        <w:t xml:space="preserve"> dhe me Kornizën e Zhvillimit Profesional</w:t>
      </w:r>
      <w:r w:rsidRPr="00024D5A">
        <w:rPr>
          <w:rFonts w:ascii="Garamond" w:eastAsia="Times New Roman" w:hAnsi="Garamond"/>
          <w:vertAlign w:val="superscript"/>
          <w:lang w:eastAsia="en-US"/>
        </w:rPr>
        <w:footnoteReference w:id="54"/>
      </w:r>
      <w:r w:rsidRPr="00024D5A">
        <w:rPr>
          <w:rFonts w:ascii="Garamond" w:eastAsia="Times New Roman" w:hAnsi="Garamond"/>
          <w:lang w:eastAsia="en-US"/>
        </w:rPr>
        <w:t xml:space="preserve">, që orienton ngritjen e kapaciteteve të stafit arsimor për arsimin gjithëpërfshirës. </w:t>
      </w:r>
    </w:p>
    <w:p w14:paraId="4CFD5CD8" w14:textId="0D0DEEB8" w:rsidR="003E1630" w:rsidRPr="00024D5A" w:rsidRDefault="0058487E" w:rsidP="00791B1A">
      <w:pPr>
        <w:pStyle w:val="Heading2"/>
        <w:spacing w:before="0"/>
        <w:ind w:firstLine="284"/>
        <w:rPr>
          <w:rFonts w:ascii="Garamond" w:hAnsi="Garamond"/>
          <w:color w:val="auto"/>
          <w:sz w:val="24"/>
          <w:szCs w:val="24"/>
        </w:rPr>
      </w:pPr>
      <w:bookmarkStart w:id="37" w:name="_Toc231489640"/>
      <w:r w:rsidRPr="00024D5A">
        <w:rPr>
          <w:rFonts w:ascii="Garamond" w:hAnsi="Garamond"/>
          <w:color w:val="auto"/>
          <w:sz w:val="24"/>
          <w:szCs w:val="24"/>
        </w:rPr>
        <w:t>3</w:t>
      </w:r>
      <w:r w:rsidR="005743A8" w:rsidRPr="00024D5A">
        <w:rPr>
          <w:rFonts w:ascii="Garamond" w:hAnsi="Garamond"/>
          <w:color w:val="auto"/>
          <w:sz w:val="24"/>
          <w:szCs w:val="24"/>
        </w:rPr>
        <w:t>.4.2 Qëllimi, objektivat dhe masat prioritare</w:t>
      </w:r>
      <w:bookmarkEnd w:id="37"/>
      <w:r w:rsidR="005743A8" w:rsidRPr="00024D5A">
        <w:rPr>
          <w:rFonts w:ascii="Garamond" w:hAnsi="Garamond"/>
          <w:color w:val="auto"/>
          <w:sz w:val="24"/>
          <w:szCs w:val="24"/>
        </w:rPr>
        <w:t xml:space="preserve"> </w:t>
      </w:r>
    </w:p>
    <w:p w14:paraId="2EDF9B05" w14:textId="0F326DEC" w:rsidR="003E1630" w:rsidRPr="00024D5A" w:rsidRDefault="005743A8" w:rsidP="00791B1A">
      <w:pPr>
        <w:ind w:firstLine="284"/>
        <w:jc w:val="both"/>
        <w:rPr>
          <w:rFonts w:ascii="Garamond" w:hAnsi="Garamond"/>
          <w:b/>
          <w:bCs/>
        </w:rPr>
      </w:pPr>
      <w:r w:rsidRPr="00024D5A">
        <w:rPr>
          <w:rFonts w:ascii="Garamond" w:hAnsi="Garamond"/>
          <w:b/>
          <w:bCs/>
        </w:rPr>
        <w:t xml:space="preserve">Qëllimi i </w:t>
      </w:r>
      <w:r w:rsidR="00352176" w:rsidRPr="00024D5A">
        <w:rPr>
          <w:rFonts w:ascii="Garamond" w:hAnsi="Garamond"/>
          <w:b/>
          <w:bCs/>
        </w:rPr>
        <w:t>politikës</w:t>
      </w:r>
      <w:r w:rsidRPr="00024D5A">
        <w:rPr>
          <w:rFonts w:ascii="Garamond" w:hAnsi="Garamond"/>
          <w:b/>
          <w:bCs/>
        </w:rPr>
        <w:t xml:space="preserve">: </w:t>
      </w:r>
      <w:r w:rsidRPr="00024D5A">
        <w:rPr>
          <w:rFonts w:ascii="Garamond" w:hAnsi="Garamond"/>
        </w:rPr>
        <w:t>Sigurimi i arsimit cilësor dhe gjithëpërfshirës në të gjitha nivelet e sistemit arsimor për fëmijët, nxënësit dhe studentët me aftësi të kufizuara.</w:t>
      </w:r>
    </w:p>
    <w:p w14:paraId="534ACC68" w14:textId="77777777" w:rsidR="003E1630" w:rsidRPr="00024D5A" w:rsidRDefault="005743A8" w:rsidP="00791B1A">
      <w:pPr>
        <w:ind w:firstLine="284"/>
        <w:jc w:val="both"/>
        <w:rPr>
          <w:rFonts w:ascii="Garamond" w:hAnsi="Garamond"/>
        </w:rPr>
      </w:pPr>
      <w:r w:rsidRPr="00024D5A">
        <w:rPr>
          <w:rFonts w:ascii="Garamond" w:hAnsi="Garamond"/>
        </w:rPr>
        <w:t>Për të realizuar qëllimin më sipër, plani parashikon 4 objektiva specifikë, 15 masa prioritare dhe 45 ndërhyrje konkrete.</w:t>
      </w:r>
    </w:p>
    <w:p w14:paraId="77909775" w14:textId="293EA176" w:rsidR="003E1630" w:rsidRPr="00024D5A" w:rsidRDefault="005743A8" w:rsidP="00791B1A">
      <w:pPr>
        <w:ind w:firstLine="284"/>
        <w:jc w:val="both"/>
        <w:rPr>
          <w:rFonts w:ascii="Garamond" w:eastAsia="Times New Roman" w:hAnsi="Garamond"/>
          <w:i/>
          <w:iCs/>
          <w:lang w:eastAsia="en-US"/>
        </w:rPr>
      </w:pPr>
      <w:r w:rsidRPr="00024D5A">
        <w:rPr>
          <w:rFonts w:ascii="Garamond" w:eastAsia="Times New Roman" w:hAnsi="Garamond"/>
          <w:b/>
          <w:bCs/>
          <w:i/>
          <w:iCs/>
          <w:lang w:eastAsia="en-US"/>
        </w:rPr>
        <w:t>Objektivi 1:</w:t>
      </w:r>
      <w:r w:rsidRPr="00024D5A">
        <w:rPr>
          <w:rFonts w:ascii="Garamond" w:eastAsia="Times New Roman" w:hAnsi="Garamond"/>
          <w:b/>
          <w:bCs/>
          <w:lang w:eastAsia="en-US"/>
        </w:rPr>
        <w:t xml:space="preserve"> </w:t>
      </w:r>
      <w:r w:rsidRPr="00024D5A">
        <w:rPr>
          <w:rFonts w:ascii="Garamond" w:eastAsia="Times New Roman" w:hAnsi="Garamond"/>
          <w:i/>
          <w:iCs/>
          <w:lang w:eastAsia="en-US"/>
        </w:rPr>
        <w:t>Zhvillimi dhe edukimi gjithëpërfshirës i fëmijëve me aftësi të kufizuara në fëmijërinë e hershme dhe arsimin parashkollor</w:t>
      </w:r>
      <w:r w:rsidR="00352176" w:rsidRPr="00024D5A">
        <w:rPr>
          <w:rFonts w:ascii="Garamond" w:eastAsia="Times New Roman" w:hAnsi="Garamond"/>
          <w:i/>
          <w:iCs/>
          <w:lang w:eastAsia="en-US"/>
        </w:rPr>
        <w:t>,</w:t>
      </w:r>
      <w:r w:rsidRPr="00024D5A">
        <w:rPr>
          <w:rFonts w:ascii="Garamond" w:eastAsia="Times New Roman" w:hAnsi="Garamond"/>
          <w:i/>
          <w:iCs/>
          <w:lang w:eastAsia="en-US"/>
        </w:rPr>
        <w:t xml:space="preserve"> duke investuar në infrastrukturë, shërbime mbështetëse dhe zhvillimin profesional të stafit të kopshteve.</w:t>
      </w:r>
    </w:p>
    <w:p w14:paraId="010F5001" w14:textId="665E4883" w:rsidR="003E1630" w:rsidRPr="00024D5A" w:rsidRDefault="005743A8" w:rsidP="00791B1A">
      <w:pPr>
        <w:ind w:firstLine="284"/>
        <w:jc w:val="both"/>
        <w:rPr>
          <w:rFonts w:ascii="Garamond" w:eastAsia="Times New Roman" w:hAnsi="Garamond"/>
          <w:b/>
          <w:bCs/>
          <w:i/>
          <w:iCs/>
          <w:lang w:eastAsia="en-US"/>
        </w:rPr>
      </w:pPr>
      <w:r w:rsidRPr="00024D5A">
        <w:rPr>
          <w:rFonts w:ascii="Garamond" w:eastAsia="Times New Roman" w:hAnsi="Garamond"/>
          <w:b/>
          <w:bCs/>
          <w:i/>
          <w:iCs/>
          <w:lang w:eastAsia="en-US"/>
        </w:rPr>
        <w:t>Masat prioritare</w:t>
      </w:r>
      <w:r w:rsidR="00113A18" w:rsidRPr="00024D5A">
        <w:rPr>
          <w:rFonts w:ascii="Garamond" w:eastAsia="Times New Roman" w:hAnsi="Garamond"/>
          <w:b/>
          <w:bCs/>
          <w:i/>
          <w:iCs/>
          <w:lang w:eastAsia="en-US"/>
        </w:rPr>
        <w:t>:</w:t>
      </w:r>
      <w:r w:rsidRPr="00024D5A">
        <w:rPr>
          <w:rFonts w:ascii="Garamond" w:eastAsia="Times New Roman" w:hAnsi="Garamond"/>
          <w:b/>
          <w:bCs/>
          <w:i/>
          <w:iCs/>
          <w:lang w:eastAsia="en-US"/>
        </w:rPr>
        <w:t xml:space="preserve"> </w:t>
      </w:r>
    </w:p>
    <w:p w14:paraId="437CEA70" w14:textId="4E13762C" w:rsidR="003E1630" w:rsidRPr="00024D5A" w:rsidRDefault="003F1E3A" w:rsidP="00791B1A">
      <w:pPr>
        <w:pStyle w:val="ListParagraph"/>
        <w:ind w:left="0" w:firstLine="284"/>
        <w:jc w:val="both"/>
        <w:rPr>
          <w:rFonts w:ascii="Garamond" w:hAnsi="Garamond"/>
          <w:lang w:eastAsia="en-US"/>
        </w:rPr>
      </w:pPr>
      <w:r w:rsidRPr="00024D5A">
        <w:rPr>
          <w:rFonts w:ascii="Garamond" w:hAnsi="Garamond"/>
          <w:lang w:eastAsia="en-US"/>
        </w:rPr>
        <w:t xml:space="preserve">1.1 </w:t>
      </w:r>
      <w:r w:rsidR="005743A8" w:rsidRPr="00024D5A">
        <w:rPr>
          <w:rFonts w:ascii="Garamond" w:hAnsi="Garamond"/>
          <w:lang w:eastAsia="en-US"/>
        </w:rPr>
        <w:t>Përmirësimi i kuadrit të politikave dhe qeverisjes për akses të barabartë në edukimin e hershëm;</w:t>
      </w:r>
    </w:p>
    <w:p w14:paraId="2A3AADBF" w14:textId="357C54EF" w:rsidR="003E1630" w:rsidRPr="00024D5A" w:rsidRDefault="003F1E3A" w:rsidP="00791B1A">
      <w:pPr>
        <w:pStyle w:val="ListParagraph"/>
        <w:ind w:left="0" w:firstLine="284"/>
        <w:jc w:val="both"/>
        <w:rPr>
          <w:rFonts w:ascii="Garamond" w:hAnsi="Garamond"/>
          <w:lang w:eastAsia="en-US"/>
        </w:rPr>
      </w:pPr>
      <w:r w:rsidRPr="00024D5A">
        <w:rPr>
          <w:rFonts w:ascii="Garamond" w:hAnsi="Garamond"/>
          <w:lang w:eastAsia="en-US"/>
        </w:rPr>
        <w:t xml:space="preserve">1.2 </w:t>
      </w:r>
      <w:r w:rsidR="005743A8" w:rsidRPr="00024D5A">
        <w:rPr>
          <w:rFonts w:ascii="Garamond" w:hAnsi="Garamond"/>
          <w:lang w:eastAsia="en-US"/>
        </w:rPr>
        <w:t xml:space="preserve">Infrastrukturë dhe mjedise të aksesueshme, të sigurta dhe miqësore në kopshte/klasa përgatitore; </w:t>
      </w:r>
    </w:p>
    <w:p w14:paraId="28283C46" w14:textId="62D1A7AF" w:rsidR="003E1630" w:rsidRPr="00024D5A" w:rsidRDefault="003F1E3A" w:rsidP="00791B1A">
      <w:pPr>
        <w:pStyle w:val="ListParagraph"/>
        <w:ind w:left="0" w:firstLine="284"/>
        <w:jc w:val="both"/>
        <w:rPr>
          <w:rFonts w:ascii="Garamond" w:hAnsi="Garamond"/>
          <w:lang w:eastAsia="en-US"/>
        </w:rPr>
      </w:pPr>
      <w:r w:rsidRPr="00024D5A">
        <w:rPr>
          <w:rFonts w:ascii="Garamond" w:hAnsi="Garamond"/>
          <w:lang w:eastAsia="en-US"/>
        </w:rPr>
        <w:t xml:space="preserve">1.3 </w:t>
      </w:r>
      <w:r w:rsidR="005743A8" w:rsidRPr="00024D5A">
        <w:rPr>
          <w:rFonts w:ascii="Garamond" w:hAnsi="Garamond"/>
          <w:lang w:eastAsia="en-US"/>
        </w:rPr>
        <w:t xml:space="preserve">Shërbime mbështetëse shumëdisiplinore dhe edukim i individualizuar; </w:t>
      </w:r>
    </w:p>
    <w:p w14:paraId="2A9D12A3" w14:textId="338AC216" w:rsidR="003E1630" w:rsidRPr="00024D5A" w:rsidRDefault="003F1E3A" w:rsidP="00791B1A">
      <w:pPr>
        <w:pStyle w:val="ListParagraph"/>
        <w:ind w:left="0" w:firstLine="284"/>
        <w:jc w:val="both"/>
        <w:rPr>
          <w:rFonts w:ascii="Garamond" w:hAnsi="Garamond"/>
          <w:lang w:eastAsia="en-US"/>
        </w:rPr>
      </w:pPr>
      <w:r w:rsidRPr="00024D5A">
        <w:rPr>
          <w:rFonts w:ascii="Garamond" w:hAnsi="Garamond"/>
          <w:lang w:eastAsia="en-US"/>
        </w:rPr>
        <w:t xml:space="preserve">1.4 </w:t>
      </w:r>
      <w:r w:rsidR="005743A8" w:rsidRPr="00024D5A">
        <w:rPr>
          <w:rFonts w:ascii="Garamond" w:hAnsi="Garamond"/>
          <w:lang w:eastAsia="en-US"/>
        </w:rPr>
        <w:t xml:space="preserve">Zhvillimi i kapaciteteve profesionale dhe sigurimi i cilësisë në edukimin e hershëm gjithëpërfshirës. </w:t>
      </w:r>
    </w:p>
    <w:p w14:paraId="66E0BC72" w14:textId="5C9CCCA8"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Plani i ri e vendos edukimin e hershëm si pikën e parë ku ndërtohet barazia në arsim: ai synon që fëmijët me aftësi të kufizuara të mos hyjnë </w:t>
      </w:r>
      <w:r w:rsidR="0078161D" w:rsidRPr="00024D5A">
        <w:rPr>
          <w:rFonts w:ascii="Garamond" w:eastAsia="Times New Roman" w:hAnsi="Garamond"/>
          <w:lang w:eastAsia="en-US"/>
        </w:rPr>
        <w:t>“</w:t>
      </w:r>
      <w:r w:rsidRPr="00024D5A">
        <w:rPr>
          <w:rFonts w:ascii="Garamond" w:eastAsia="Times New Roman" w:hAnsi="Garamond"/>
          <w:lang w:eastAsia="en-US"/>
        </w:rPr>
        <w:t>me vonesë</w:t>
      </w:r>
      <w:r w:rsidR="0078161D" w:rsidRPr="00024D5A">
        <w:rPr>
          <w:rFonts w:ascii="Garamond" w:eastAsia="Times New Roman" w:hAnsi="Garamond"/>
          <w:lang w:eastAsia="en-US"/>
        </w:rPr>
        <w:t>”</w:t>
      </w:r>
      <w:r w:rsidRPr="00024D5A">
        <w:rPr>
          <w:rFonts w:ascii="Garamond" w:eastAsia="Times New Roman" w:hAnsi="Garamond"/>
          <w:lang w:eastAsia="en-US"/>
        </w:rPr>
        <w:t xml:space="preserve"> në sistem, por të identifikohen, të referohen dhe të mbështeten që në kopshte dhe klasa përgatitore. Për këtë arsye, ndërhyrjet fillojnë me rishikimin dhe përditësimin e politikave, akteve nënligjore dhe udhëzimeve, me synim heqjen e mangësive dhe krijimin e një baze të qartë të përgjegjësive dhe bashkërendimit ndërmjet arsimit, shëndetësisë dhe mbrojtjes sociale. Në praktikë, kjo do të realizohet përmes forcimit të mekanizmave ndërinstitucionalë dhe hartimit të udhëzimeve të përbashkëta për identifikim, referim, regjistrim dhe mbështetje të fëmijëve me aftësi të kufizuara në edukimin e hershëm.</w:t>
      </w:r>
    </w:p>
    <w:p w14:paraId="56AA5B52" w14:textId="5076F54D"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Paralelisht, Plani e trajton aksesueshmërinë dhe mjedisin mësimor</w:t>
      </w:r>
      <w:r w:rsidR="00352176" w:rsidRPr="00024D5A">
        <w:rPr>
          <w:rFonts w:ascii="Garamond" w:eastAsia="Times New Roman" w:hAnsi="Garamond"/>
          <w:lang w:eastAsia="en-US"/>
        </w:rPr>
        <w:t>,</w:t>
      </w:r>
      <w:r w:rsidRPr="00024D5A">
        <w:rPr>
          <w:rFonts w:ascii="Garamond" w:eastAsia="Times New Roman" w:hAnsi="Garamond"/>
          <w:lang w:eastAsia="en-US"/>
        </w:rPr>
        <w:t xml:space="preserve"> si kushte minimale për pjesëmarrje: parashikohen investime të planifikuara për përshtatjen e godinave (hyrje, ambiente të brendshme, nyj</w:t>
      </w:r>
      <w:r w:rsidR="00352176" w:rsidRPr="00024D5A">
        <w:rPr>
          <w:rFonts w:ascii="Garamond" w:eastAsia="Times New Roman" w:hAnsi="Garamond"/>
          <w:lang w:eastAsia="en-US"/>
        </w:rPr>
        <w:t>a</w:t>
      </w:r>
      <w:r w:rsidRPr="00024D5A">
        <w:rPr>
          <w:rFonts w:ascii="Garamond" w:eastAsia="Times New Roman" w:hAnsi="Garamond"/>
          <w:lang w:eastAsia="en-US"/>
        </w:rPr>
        <w:t xml:space="preserve"> hidrosanitare, ambiente loje), sinjalistikë e elemente orientuese (përfshirë kontrastet për fëmijët e verbër), si edhe pajisja me mjete didaktike/lojëra të përshtatura dhe teknologji </w:t>
      </w:r>
      <w:r w:rsidRPr="00A74194">
        <w:rPr>
          <w:rFonts w:ascii="Garamond" w:eastAsia="Times New Roman" w:hAnsi="Garamond"/>
          <w:i/>
          <w:iCs/>
          <w:lang w:eastAsia="en-US"/>
        </w:rPr>
        <w:t>asis</w:t>
      </w:r>
      <w:r w:rsidR="00A74194" w:rsidRPr="00A74194">
        <w:rPr>
          <w:rFonts w:ascii="Garamond" w:eastAsia="Times New Roman" w:hAnsi="Garamond"/>
          <w:i/>
          <w:iCs/>
          <w:lang w:eastAsia="en-US"/>
        </w:rPr>
        <w:t>s</w:t>
      </w:r>
      <w:r w:rsidRPr="00A74194">
        <w:rPr>
          <w:rFonts w:ascii="Garamond" w:eastAsia="Times New Roman" w:hAnsi="Garamond"/>
          <w:i/>
          <w:iCs/>
          <w:lang w:eastAsia="en-US"/>
        </w:rPr>
        <w:t>tive.</w:t>
      </w:r>
      <w:r w:rsidRPr="00024D5A">
        <w:rPr>
          <w:rFonts w:ascii="Garamond" w:eastAsia="Times New Roman" w:hAnsi="Garamond"/>
          <w:lang w:eastAsia="en-US"/>
        </w:rPr>
        <w:t xml:space="preserve"> Njëkohësisht, për të ulur barrierat në qëndrime dhe për të rritur pjesëmarrjen reale, Plani parashikon sesione informuese dhe ndërgjegjësuese me prindërit dhe komunitetin mbi rëndësinë e arsimit parashkollor dhe gjithëpërfshirjen.</w:t>
      </w:r>
    </w:p>
    <w:p w14:paraId="607E46EF"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Thelbi i cilësisë në këtë objektiv është mbështetja shumëdisiplinore dhe individualizimi. Plani synon rritjen e numrit të mësuesve ndihmës dhe të specialistëve (psikologë, logopedë, terapist zhvillimi, punonjës socialë), krijimin/forcimin e hapësirave zhvillimore dhe hartimin e Planeve Individuale të Zhvillimit dhe Edukimit, me monitorim periodik të progresit dhe përshtatje të ndërhyrjeve sipas nevojave. Për të rritur pjesëmarrjen, parashikohet edhe ofrimi i transportit falas, i orientuar nga vlerësime kombëtare dhe buxhetim. Në të njëjtën kohë, Plani e lidh suksesin e arsimit gjithëpërfshirës me kapacitetet e stafit: do të zhvillohen programe të detyrueshme trajnimi fillestar dhe të vazhdueshëm për edukatorët dhe mësuesit mbështetës, mbështetje për rrjetet profesionale, si dhe programe për prindërit për të forcuar bashkëpunimin familje-institucion dhe për të siguruar cilësi të qëndrueshme. </w:t>
      </w:r>
    </w:p>
    <w:p w14:paraId="6774191C" w14:textId="77777777" w:rsidR="003E1630" w:rsidRPr="00024D5A" w:rsidRDefault="005743A8" w:rsidP="00791B1A">
      <w:pPr>
        <w:ind w:firstLine="284"/>
        <w:jc w:val="both"/>
        <w:rPr>
          <w:rFonts w:ascii="Garamond" w:eastAsia="Times New Roman" w:hAnsi="Garamond"/>
          <w:b/>
          <w:bCs/>
          <w:i/>
          <w:iCs/>
          <w:lang w:eastAsia="en-US"/>
        </w:rPr>
      </w:pPr>
      <w:r w:rsidRPr="00024D5A">
        <w:rPr>
          <w:rFonts w:ascii="Garamond" w:eastAsia="Times New Roman" w:hAnsi="Garamond"/>
          <w:b/>
          <w:bCs/>
          <w:lang w:eastAsia="en-US"/>
        </w:rPr>
        <w:t xml:space="preserve">Objektivi 2: </w:t>
      </w:r>
      <w:r w:rsidRPr="00024D5A">
        <w:rPr>
          <w:rFonts w:ascii="Garamond" w:eastAsia="Times New Roman" w:hAnsi="Garamond"/>
          <w:i/>
          <w:iCs/>
          <w:lang w:eastAsia="en-US"/>
        </w:rPr>
        <w:t>Arsim parauniversitar gjithëpërfshirës, cilësor dhe i barabartë për nxënësit me aftësi të kufizuara.</w:t>
      </w:r>
    </w:p>
    <w:p w14:paraId="6BF442A7" w14:textId="3A8DA0CA" w:rsidR="003E1630" w:rsidRPr="00024D5A" w:rsidRDefault="005743A8" w:rsidP="00791B1A">
      <w:pPr>
        <w:ind w:firstLine="284"/>
        <w:jc w:val="both"/>
        <w:rPr>
          <w:rFonts w:ascii="Garamond" w:eastAsia="Times New Roman" w:hAnsi="Garamond"/>
          <w:b/>
          <w:bCs/>
          <w:i/>
          <w:iCs/>
          <w:lang w:eastAsia="en-US"/>
        </w:rPr>
      </w:pPr>
      <w:r w:rsidRPr="00024D5A">
        <w:rPr>
          <w:rFonts w:ascii="Garamond" w:eastAsia="Times New Roman" w:hAnsi="Garamond"/>
          <w:b/>
          <w:bCs/>
          <w:i/>
          <w:iCs/>
          <w:lang w:eastAsia="en-US"/>
        </w:rPr>
        <w:t>Masat prioritare</w:t>
      </w:r>
      <w:r w:rsidR="00113A18" w:rsidRPr="00024D5A">
        <w:rPr>
          <w:rFonts w:ascii="Garamond" w:eastAsia="Times New Roman" w:hAnsi="Garamond"/>
          <w:b/>
          <w:bCs/>
          <w:i/>
          <w:iCs/>
          <w:lang w:eastAsia="en-US"/>
        </w:rPr>
        <w:t>:</w:t>
      </w:r>
    </w:p>
    <w:p w14:paraId="14ADE7B3" w14:textId="050F1673" w:rsidR="003E1630" w:rsidRPr="00024D5A" w:rsidRDefault="003F1E3A" w:rsidP="001F2BD2">
      <w:pPr>
        <w:pStyle w:val="ListParagraph"/>
        <w:ind w:left="0" w:firstLine="288"/>
        <w:jc w:val="both"/>
        <w:rPr>
          <w:rFonts w:ascii="Garamond" w:hAnsi="Garamond"/>
          <w:lang w:eastAsia="en-US"/>
        </w:rPr>
      </w:pPr>
      <w:r w:rsidRPr="00024D5A">
        <w:rPr>
          <w:rFonts w:ascii="Garamond" w:hAnsi="Garamond"/>
          <w:lang w:eastAsia="en-US"/>
        </w:rPr>
        <w:t xml:space="preserve">2.1 </w:t>
      </w:r>
      <w:r w:rsidR="005743A8" w:rsidRPr="00024D5A">
        <w:rPr>
          <w:rFonts w:ascii="Garamond" w:hAnsi="Garamond"/>
          <w:lang w:eastAsia="en-US"/>
        </w:rPr>
        <w:t xml:space="preserve">Kuadër ligjor, institucional dhe mekanizma qeverisjeje për arsimin parauniversitar gjithëpërfshirës; </w:t>
      </w:r>
    </w:p>
    <w:p w14:paraId="6E9E6836" w14:textId="56EC5DC9" w:rsidR="003E1630" w:rsidRPr="00024D5A" w:rsidRDefault="003F1E3A" w:rsidP="001F2BD2">
      <w:pPr>
        <w:pStyle w:val="ListParagraph"/>
        <w:ind w:left="0" w:firstLine="288"/>
        <w:jc w:val="both"/>
        <w:rPr>
          <w:rFonts w:ascii="Garamond" w:hAnsi="Garamond"/>
          <w:lang w:eastAsia="en-US"/>
        </w:rPr>
      </w:pPr>
      <w:r w:rsidRPr="00024D5A">
        <w:rPr>
          <w:rFonts w:ascii="Garamond" w:hAnsi="Garamond"/>
          <w:lang w:eastAsia="en-US"/>
        </w:rPr>
        <w:t xml:space="preserve">2.2 </w:t>
      </w:r>
      <w:r w:rsidR="005743A8" w:rsidRPr="00024D5A">
        <w:rPr>
          <w:rFonts w:ascii="Garamond" w:hAnsi="Garamond"/>
          <w:lang w:eastAsia="en-US"/>
        </w:rPr>
        <w:t>Identifikim i hershëm, vlerësim ndërdisiplinor dhe planifikim i individualizuar;</w:t>
      </w:r>
    </w:p>
    <w:p w14:paraId="4E10C392" w14:textId="6873CA56" w:rsidR="003E1630" w:rsidRPr="00024D5A" w:rsidRDefault="003F1E3A" w:rsidP="001F2BD2">
      <w:pPr>
        <w:pStyle w:val="ListParagraph"/>
        <w:ind w:left="0" w:firstLine="288"/>
        <w:jc w:val="both"/>
        <w:rPr>
          <w:rFonts w:ascii="Garamond" w:hAnsi="Garamond"/>
          <w:lang w:eastAsia="en-US"/>
        </w:rPr>
      </w:pPr>
      <w:r w:rsidRPr="00024D5A">
        <w:rPr>
          <w:rFonts w:ascii="Garamond" w:hAnsi="Garamond"/>
          <w:lang w:eastAsia="en-US"/>
        </w:rPr>
        <w:t xml:space="preserve">2.3 </w:t>
      </w:r>
      <w:r w:rsidR="005743A8" w:rsidRPr="00024D5A">
        <w:rPr>
          <w:rFonts w:ascii="Garamond" w:hAnsi="Garamond"/>
          <w:lang w:eastAsia="en-US"/>
        </w:rPr>
        <w:t xml:space="preserve">Mbështetje profesionale, kurrikulare dhe mjedisore; </w:t>
      </w:r>
    </w:p>
    <w:p w14:paraId="742B9DDD" w14:textId="4610941E" w:rsidR="003E1630" w:rsidRPr="00024D5A" w:rsidRDefault="003F1E3A" w:rsidP="001F2BD2">
      <w:pPr>
        <w:pStyle w:val="ListParagraph"/>
        <w:ind w:left="0" w:firstLine="288"/>
        <w:jc w:val="both"/>
        <w:rPr>
          <w:rFonts w:ascii="Garamond" w:hAnsi="Garamond"/>
          <w:lang w:eastAsia="en-US"/>
        </w:rPr>
      </w:pPr>
      <w:r w:rsidRPr="00024D5A">
        <w:rPr>
          <w:rFonts w:ascii="Garamond" w:hAnsi="Garamond"/>
          <w:lang w:eastAsia="en-US"/>
        </w:rPr>
        <w:t xml:space="preserve">2.4 </w:t>
      </w:r>
      <w:r w:rsidR="005743A8" w:rsidRPr="00024D5A">
        <w:rPr>
          <w:rFonts w:ascii="Garamond" w:hAnsi="Garamond"/>
          <w:lang w:eastAsia="en-US"/>
        </w:rPr>
        <w:t xml:space="preserve">Zhvillimi i kapaciteteve njerëzore dhe përfshirja e prindërve/komunitetit. </w:t>
      </w:r>
    </w:p>
    <w:p w14:paraId="485421B8" w14:textId="0378EE35"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Në arsimin parauniversitar, Plani synon të kalojë nga një përfshirje formale, e kufizuar në kuadrin rregullator, drejt një përfshirjeje funksionale dhe efektive në praktikë: rregulla të qarta, koordinim ndërsektorial, planifikim individual dhe mbështetje reale në klasë. Fillimisht, do të rishikohen dhe </w:t>
      </w:r>
      <w:r w:rsidR="00113A18" w:rsidRPr="00024D5A">
        <w:rPr>
          <w:rFonts w:ascii="Garamond" w:eastAsia="Times New Roman" w:hAnsi="Garamond"/>
          <w:lang w:eastAsia="en-US"/>
        </w:rPr>
        <w:t xml:space="preserve">do të </w:t>
      </w:r>
      <w:r w:rsidRPr="00024D5A">
        <w:rPr>
          <w:rFonts w:ascii="Garamond" w:eastAsia="Times New Roman" w:hAnsi="Garamond"/>
          <w:lang w:eastAsia="en-US"/>
        </w:rPr>
        <w:t>përmirësohen aktet nënligjore dhe udhëzimet për zbatimin e arsimit gjithëpërfshirës, mbi parimet e barazisë dhe mosdiskriminimit. Një element kritik është koordinimi i qëndrueshëm ndërmjet institucioneve përgjegjëse (arsimi dhe shërbimet sociale/shëndetësore), duke formalizuar bashkëpunimin për identifikim dhe vlerësim të integruar të nevojave të nxënësve. Paralelisht, Plani synon të forcojë mekanizmat e monitorimit, raportimit dhe llogaridhënies, duke integruar indikatorë të aksesit (përfshirë dimensionin gjinor dhe tipologjitë e aftësisë së kufizuar), indikatorë të cilësisë, të mbështetjes individuale dhe të rezultateve arsimore.</w:t>
      </w:r>
    </w:p>
    <w:p w14:paraId="5E9E6230" w14:textId="3764CFF2"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Qasja e individualizuar është boshti i këtij objektivi: parashikohet forcimi i identifikimit të hershëm, rritja e efektivitetit të strukturave vlerësuese pranë niveleve vendore dhe zbatimi i vlerësimit ndërdisiplinor të nevojave arsimore, i lidhur me planifikim buxhetor vjetor për akomodimin/përshtatjen e arsyeshme. Në vijim, do të hartohen dhe </w:t>
      </w:r>
      <w:r w:rsidR="00110D32" w:rsidRPr="00024D5A">
        <w:rPr>
          <w:rFonts w:ascii="Garamond" w:eastAsia="Times New Roman" w:hAnsi="Garamond"/>
          <w:lang w:eastAsia="en-US"/>
        </w:rPr>
        <w:t xml:space="preserve">do të </w:t>
      </w:r>
      <w:r w:rsidRPr="00024D5A">
        <w:rPr>
          <w:rFonts w:ascii="Garamond" w:eastAsia="Times New Roman" w:hAnsi="Garamond"/>
          <w:lang w:eastAsia="en-US"/>
        </w:rPr>
        <w:t>zbatohen Plane Individuale Arsimore (PEI), me monitorim të rregullt dhe me përfshirje aktive të prindërve përmes takimeve periodike të formalizuara.</w:t>
      </w:r>
    </w:p>
    <w:p w14:paraId="7D29BD2D" w14:textId="7EAD6A21"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Në nivel të klasës dhe mjedisit mësimor, Plani synon të rrisë dhe </w:t>
      </w:r>
      <w:r w:rsidR="00CD1DE8" w:rsidRPr="00024D5A">
        <w:rPr>
          <w:rFonts w:ascii="Garamond" w:eastAsia="Times New Roman" w:hAnsi="Garamond"/>
          <w:lang w:eastAsia="en-US"/>
        </w:rPr>
        <w:t xml:space="preserve">të </w:t>
      </w:r>
      <w:r w:rsidRPr="00024D5A">
        <w:rPr>
          <w:rFonts w:ascii="Garamond" w:eastAsia="Times New Roman" w:hAnsi="Garamond"/>
          <w:lang w:eastAsia="en-US"/>
        </w:rPr>
        <w:t xml:space="preserve">forcojë rrjetin e mbështetjes: mësues ndihmës, psikologë shkollorë, punonjës socialë dhe specialistë të tjerë, si dhe sigurimin e shërbimeve ndihmëse, pajisjeve dhe teknologjive </w:t>
      </w:r>
      <w:r w:rsidRPr="00A74194">
        <w:rPr>
          <w:rFonts w:ascii="Garamond" w:eastAsia="Times New Roman" w:hAnsi="Garamond"/>
          <w:i/>
          <w:iCs/>
          <w:lang w:eastAsia="en-US"/>
        </w:rPr>
        <w:t>asis</w:t>
      </w:r>
      <w:r w:rsidR="00A74194" w:rsidRPr="00A74194">
        <w:rPr>
          <w:rFonts w:ascii="Garamond" w:eastAsia="Times New Roman" w:hAnsi="Garamond"/>
          <w:i/>
          <w:iCs/>
          <w:lang w:eastAsia="en-US"/>
        </w:rPr>
        <w:t>s</w:t>
      </w:r>
      <w:r w:rsidRPr="00A74194">
        <w:rPr>
          <w:rFonts w:ascii="Garamond" w:eastAsia="Times New Roman" w:hAnsi="Garamond"/>
          <w:i/>
          <w:iCs/>
          <w:lang w:eastAsia="en-US"/>
        </w:rPr>
        <w:t>tive</w:t>
      </w:r>
      <w:r w:rsidRPr="00024D5A">
        <w:rPr>
          <w:rFonts w:ascii="Garamond" w:eastAsia="Times New Roman" w:hAnsi="Garamond"/>
          <w:lang w:eastAsia="en-US"/>
        </w:rPr>
        <w:t xml:space="preserve"> sipas nevojave individuale. Një element thelbësor është rishikimi/hartimi dhe zbatimi i kurrikulës gjithëpërfshirëse dhe metodologjive fleksibël të mësimdhënies e vlerësimit, duke vendosur në praktikë parimet e Dizajnit Universal për të Nxënit. Gjithashtu, do të përshtaten infrastruktura shkollore, materialet mësimore dhe platformat digjitale për aksesueshmëri fizike, komunikimi dhe informacioni.</w:t>
      </w:r>
    </w:p>
    <w:p w14:paraId="454B5D36"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Së fundi, për të garantuar cilësi dhe ndryshim kulturor brenda shkollës, plani parashikon programe të detyrueshme zhvillimi profesional për mësuesit, drejtuesit dhe stafin mbështetës për menaxhimin e diversitetit dhe mbështetjen e të nxënit të individualizuar, si edhe forcim të mekanizmave të bashkëpunimit shkollë-prind-komunitet dhe përfshirje të prindërve në vendimmarrje dhe mirëqenie. </w:t>
      </w:r>
    </w:p>
    <w:p w14:paraId="7743AFD0" w14:textId="15487E55" w:rsidR="003E1630" w:rsidRPr="00024D5A" w:rsidRDefault="005743A8" w:rsidP="00791B1A">
      <w:pPr>
        <w:ind w:firstLine="284"/>
        <w:jc w:val="both"/>
        <w:rPr>
          <w:rFonts w:ascii="Garamond" w:eastAsia="Times New Roman" w:hAnsi="Garamond"/>
          <w:b/>
          <w:bCs/>
          <w:i/>
          <w:iCs/>
          <w:lang w:eastAsia="en-US"/>
        </w:rPr>
      </w:pPr>
      <w:r w:rsidRPr="00024D5A">
        <w:rPr>
          <w:rFonts w:ascii="Garamond" w:eastAsia="Times New Roman" w:hAnsi="Garamond"/>
          <w:b/>
          <w:bCs/>
          <w:lang w:eastAsia="en-US"/>
        </w:rPr>
        <w:t xml:space="preserve">Objektivi 3: </w:t>
      </w:r>
      <w:r w:rsidRPr="00024D5A">
        <w:rPr>
          <w:rFonts w:ascii="Garamond" w:eastAsia="Times New Roman" w:hAnsi="Garamond"/>
          <w:i/>
          <w:iCs/>
          <w:lang w:eastAsia="en-US"/>
        </w:rPr>
        <w:t>Transformimi/riorganizimi</w:t>
      </w:r>
      <w:r w:rsidR="008F29FA" w:rsidRPr="00024D5A">
        <w:rPr>
          <w:rFonts w:ascii="Garamond" w:eastAsia="Times New Roman" w:hAnsi="Garamond"/>
          <w:i/>
          <w:iCs/>
          <w:lang w:eastAsia="en-US"/>
        </w:rPr>
        <w:t xml:space="preserve"> </w:t>
      </w:r>
      <w:r w:rsidRPr="00024D5A">
        <w:rPr>
          <w:rFonts w:ascii="Garamond" w:eastAsia="Times New Roman" w:hAnsi="Garamond"/>
          <w:i/>
          <w:iCs/>
          <w:lang w:eastAsia="en-US"/>
        </w:rPr>
        <w:t>i shkollave speciale në qendra burimore dhe konsolidimi i rolit dhe veprimtarisë së tyre.</w:t>
      </w:r>
    </w:p>
    <w:p w14:paraId="7ABCBE89" w14:textId="77777777" w:rsidR="003E1630" w:rsidRPr="00024D5A" w:rsidRDefault="005743A8" w:rsidP="00791B1A">
      <w:pPr>
        <w:ind w:firstLine="284"/>
        <w:jc w:val="both"/>
        <w:rPr>
          <w:rFonts w:ascii="Garamond" w:eastAsia="Times New Roman" w:hAnsi="Garamond"/>
          <w:b/>
          <w:bCs/>
          <w:i/>
          <w:iCs/>
          <w:lang w:eastAsia="en-US"/>
        </w:rPr>
      </w:pPr>
      <w:r w:rsidRPr="00024D5A">
        <w:rPr>
          <w:rFonts w:ascii="Garamond" w:eastAsia="Times New Roman" w:hAnsi="Garamond"/>
          <w:b/>
          <w:bCs/>
          <w:i/>
          <w:iCs/>
          <w:lang w:eastAsia="en-US"/>
        </w:rPr>
        <w:t xml:space="preserve">Masat prioritare: </w:t>
      </w:r>
    </w:p>
    <w:p w14:paraId="21C7E68C" w14:textId="3DF65476" w:rsidR="003F1E3A" w:rsidRPr="00024D5A" w:rsidRDefault="003F1E3A" w:rsidP="00791B1A">
      <w:pPr>
        <w:tabs>
          <w:tab w:val="left" w:pos="440"/>
        </w:tabs>
        <w:autoSpaceDE w:val="0"/>
        <w:autoSpaceDN w:val="0"/>
        <w:adjustRightInd w:val="0"/>
        <w:ind w:firstLine="280"/>
        <w:jc w:val="both"/>
        <w:rPr>
          <w:rFonts w:ascii="Garamond" w:hAnsi="Garamond" w:cs="Garamond"/>
          <w:lang w:eastAsia="en-US"/>
        </w:rPr>
      </w:pPr>
      <w:r w:rsidRPr="00024D5A">
        <w:rPr>
          <w:rFonts w:ascii="Garamond" w:hAnsi="Garamond" w:cs="Garamond"/>
          <w:lang w:eastAsia="en-US"/>
        </w:rPr>
        <w:t xml:space="preserve">3.1 Konsolidimi i kuadrit rregullator për qendrat burimore; </w:t>
      </w:r>
    </w:p>
    <w:p w14:paraId="0CE45FB4" w14:textId="2D343DE8" w:rsidR="003F1E3A" w:rsidRPr="00024D5A" w:rsidRDefault="003F1E3A" w:rsidP="00791B1A">
      <w:pPr>
        <w:tabs>
          <w:tab w:val="left" w:pos="440"/>
        </w:tabs>
        <w:autoSpaceDE w:val="0"/>
        <w:autoSpaceDN w:val="0"/>
        <w:adjustRightInd w:val="0"/>
        <w:ind w:firstLine="280"/>
        <w:jc w:val="both"/>
        <w:rPr>
          <w:rFonts w:ascii="Garamond" w:hAnsi="Garamond" w:cs="Garamond"/>
          <w:lang w:eastAsia="en-US"/>
        </w:rPr>
      </w:pPr>
      <w:r w:rsidRPr="00024D5A">
        <w:rPr>
          <w:rFonts w:ascii="Garamond" w:hAnsi="Garamond" w:cs="Garamond"/>
          <w:lang w:eastAsia="en-US"/>
        </w:rPr>
        <w:t>3.2 Akreditimi dhe integrimi i moduleve të trajnimit të qendrave burimore në programet kombëtare të zhvillimit profesional;</w:t>
      </w:r>
    </w:p>
    <w:p w14:paraId="303843E0" w14:textId="1F6E7B78" w:rsidR="003F1E3A" w:rsidRPr="00024D5A" w:rsidRDefault="003F1E3A" w:rsidP="00791B1A">
      <w:pPr>
        <w:tabs>
          <w:tab w:val="left" w:pos="440"/>
        </w:tabs>
        <w:autoSpaceDE w:val="0"/>
        <w:autoSpaceDN w:val="0"/>
        <w:adjustRightInd w:val="0"/>
        <w:ind w:firstLine="280"/>
        <w:jc w:val="both"/>
        <w:rPr>
          <w:rFonts w:ascii="Garamond" w:hAnsi="Garamond" w:cs="Garamond"/>
          <w:lang w:eastAsia="en-US"/>
        </w:rPr>
      </w:pPr>
      <w:r w:rsidRPr="00024D5A">
        <w:rPr>
          <w:rFonts w:ascii="Garamond" w:hAnsi="Garamond" w:cs="Garamond"/>
          <w:lang w:eastAsia="en-US"/>
        </w:rPr>
        <w:t xml:space="preserve">3.3 Zgjerimi territorial dhe funksional i shërbimeve të qendrave burimore; </w:t>
      </w:r>
    </w:p>
    <w:p w14:paraId="7990A6C9" w14:textId="0A490159" w:rsidR="003F1E3A" w:rsidRPr="00024D5A" w:rsidRDefault="003F1E3A" w:rsidP="00791B1A">
      <w:pPr>
        <w:tabs>
          <w:tab w:val="left" w:pos="440"/>
        </w:tabs>
        <w:autoSpaceDE w:val="0"/>
        <w:autoSpaceDN w:val="0"/>
        <w:adjustRightInd w:val="0"/>
        <w:ind w:firstLine="280"/>
        <w:jc w:val="both"/>
        <w:rPr>
          <w:rFonts w:ascii="Garamond" w:hAnsi="Garamond" w:cs="Garamond"/>
          <w:lang w:eastAsia="en-US"/>
        </w:rPr>
      </w:pPr>
      <w:r w:rsidRPr="00024D5A">
        <w:rPr>
          <w:rFonts w:ascii="Garamond" w:hAnsi="Garamond" w:cs="Garamond"/>
          <w:lang w:eastAsia="en-US"/>
        </w:rPr>
        <w:t xml:space="preserve">3.4 Monitorimi, vlerësimi dhe sigurimi i cilësisë së funksionimit të qendrave burimore. </w:t>
      </w:r>
    </w:p>
    <w:p w14:paraId="318207F1" w14:textId="711721BB"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Ky objektiv e ndryshon rolin e shkollave speciale nga institucione </w:t>
      </w:r>
      <w:r w:rsidR="0078161D" w:rsidRPr="00024D5A">
        <w:rPr>
          <w:rFonts w:ascii="Garamond" w:eastAsia="Times New Roman" w:hAnsi="Garamond"/>
          <w:lang w:eastAsia="en-US"/>
        </w:rPr>
        <w:t>“</w:t>
      </w:r>
      <w:r w:rsidRPr="00024D5A">
        <w:rPr>
          <w:rFonts w:ascii="Garamond" w:eastAsia="Times New Roman" w:hAnsi="Garamond"/>
          <w:lang w:eastAsia="en-US"/>
        </w:rPr>
        <w:t>të ndara</w:t>
      </w:r>
      <w:r w:rsidR="0078161D" w:rsidRPr="00024D5A">
        <w:rPr>
          <w:rFonts w:ascii="Garamond" w:eastAsia="Times New Roman" w:hAnsi="Garamond"/>
          <w:lang w:eastAsia="en-US"/>
        </w:rPr>
        <w:t>”</w:t>
      </w:r>
      <w:r w:rsidRPr="00024D5A">
        <w:rPr>
          <w:rFonts w:ascii="Garamond" w:eastAsia="Times New Roman" w:hAnsi="Garamond"/>
          <w:lang w:eastAsia="en-US"/>
        </w:rPr>
        <w:t xml:space="preserve"> të edukimit, drejt qendrave burimore që mbështesin sistemin e zakonshëm shkollor me ekspertizë, shërbime, materiale dhe trajnim. Plani parashikon së pari konsolidimin e bazës rregullatore, duke përfshirë ndërhyrje të tilla</w:t>
      </w:r>
      <w:r w:rsidR="00D34D51" w:rsidRPr="00024D5A">
        <w:rPr>
          <w:rFonts w:ascii="Garamond" w:eastAsia="Times New Roman" w:hAnsi="Garamond"/>
          <w:lang w:eastAsia="en-US"/>
        </w:rPr>
        <w:t>,</w:t>
      </w:r>
      <w:r w:rsidRPr="00024D5A">
        <w:rPr>
          <w:rFonts w:ascii="Garamond" w:eastAsia="Times New Roman" w:hAnsi="Garamond"/>
          <w:lang w:eastAsia="en-US"/>
        </w:rPr>
        <w:t xml:space="preserve"> si</w:t>
      </w:r>
      <w:r w:rsidR="00D34D51" w:rsidRPr="00024D5A">
        <w:rPr>
          <w:rFonts w:ascii="Garamond" w:eastAsia="Times New Roman" w:hAnsi="Garamond"/>
          <w:lang w:eastAsia="en-US"/>
        </w:rPr>
        <w:t>:</w:t>
      </w:r>
      <w:r w:rsidRPr="00024D5A">
        <w:rPr>
          <w:rFonts w:ascii="Garamond" w:eastAsia="Times New Roman" w:hAnsi="Garamond"/>
          <w:lang w:eastAsia="en-US"/>
        </w:rPr>
        <w:t xml:space="preserve"> unifikimi i Kodit Braille në nivel kombëtar dhe qartësimi i marrëdhënieve institucionale ndërmjet qendrave burimore, strukturave vendore të arsimit dhe institucioneve parauniversitare, në mënyrë që referimi dhe mbështetja të funksionojnë pa boshllëqe.</w:t>
      </w:r>
    </w:p>
    <w:p w14:paraId="6477804A"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Në vijim, Plani synon të kthejë produktet e qendrave burimore në standard kombëtar për ngritjen e kapaciteteve: përfundim i akreditimit të moduleve të trajnimit, integrim i moduleve të akredituara në programet kombëtare të zhvillimit profesional dhe zgjerim i përdorimit të tyre në trajnimet e detyrueshme për stafin e shkollave të zakonshme. Një hallkë e rëndësishme është edhe forcimi i lidhjes me institucionet e arsimit të lartë, për të krijuar një linjë të qëndrueshme përgatitjeje të specialistëve.</w:t>
      </w:r>
    </w:p>
    <w:p w14:paraId="57818B9F"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Nga ana e shërbimeve, Plani synon shtrirje territoriale dhe funksionale: zgjerim gradual i shërbimeve mbështetëse dhe rehabilituese në të gjitha qarqet, formalizim të mekanizmave të referimit dhe mbështetjes për nxënësit në shkollat e zakonshme, si edhe zhvillim dhe shpërndarje të materialeve didaktike të specializuara për përdorim kombëtar. Për të garantuar që ky transformim prodhon efekt në cilësi, Plani parashikon një sistem të standardizuar monitorimi dhe raportimi për qendrat burimore, vendosje indikatorësh performance dhe raportim periodik mbi efektivitetin, në mënyrë që gjetjet të përdoren për përmirësim politikash dhe qëndrueshmëri institucionale/financiare. </w:t>
      </w:r>
    </w:p>
    <w:p w14:paraId="1FD62C74" w14:textId="77777777" w:rsidR="003E1630" w:rsidRPr="00024D5A" w:rsidRDefault="005743A8" w:rsidP="00791B1A">
      <w:pPr>
        <w:ind w:firstLine="284"/>
        <w:jc w:val="both"/>
        <w:rPr>
          <w:rFonts w:ascii="Garamond" w:eastAsia="Times New Roman" w:hAnsi="Garamond"/>
          <w:b/>
          <w:bCs/>
          <w:lang w:eastAsia="en-US"/>
        </w:rPr>
      </w:pPr>
      <w:r w:rsidRPr="00024D5A">
        <w:rPr>
          <w:rFonts w:ascii="Garamond" w:eastAsia="Times New Roman" w:hAnsi="Garamond"/>
          <w:b/>
          <w:bCs/>
          <w:lang w:eastAsia="en-US"/>
        </w:rPr>
        <w:t xml:space="preserve">Objektivi 4: </w:t>
      </w:r>
      <w:r w:rsidRPr="00024D5A">
        <w:rPr>
          <w:rFonts w:ascii="Garamond" w:eastAsia="Times New Roman" w:hAnsi="Garamond"/>
          <w:i/>
          <w:iCs/>
          <w:lang w:eastAsia="en-US"/>
        </w:rPr>
        <w:t>Arsim i lartë gjithëpërfshirës me standarde aksesueshmërie, cilësie dhe mbështetjeje.</w:t>
      </w:r>
    </w:p>
    <w:p w14:paraId="767421DF" w14:textId="78F75F26" w:rsidR="003E1630" w:rsidRPr="00024D5A" w:rsidRDefault="005743A8" w:rsidP="00791B1A">
      <w:pPr>
        <w:ind w:firstLine="284"/>
        <w:jc w:val="both"/>
        <w:rPr>
          <w:rFonts w:ascii="Garamond" w:eastAsia="Times New Roman" w:hAnsi="Garamond"/>
          <w:b/>
          <w:bCs/>
          <w:i/>
          <w:iCs/>
          <w:lang w:eastAsia="en-US"/>
        </w:rPr>
      </w:pPr>
      <w:r w:rsidRPr="00024D5A">
        <w:rPr>
          <w:rFonts w:ascii="Garamond" w:eastAsia="Times New Roman" w:hAnsi="Garamond"/>
          <w:b/>
          <w:bCs/>
          <w:i/>
          <w:iCs/>
          <w:lang w:eastAsia="en-US"/>
        </w:rPr>
        <w:t>Masat prioritare</w:t>
      </w:r>
      <w:r w:rsidR="000447A0" w:rsidRPr="00024D5A">
        <w:rPr>
          <w:rFonts w:ascii="Garamond" w:eastAsia="Times New Roman" w:hAnsi="Garamond"/>
          <w:b/>
          <w:bCs/>
          <w:i/>
          <w:iCs/>
          <w:lang w:eastAsia="en-US"/>
        </w:rPr>
        <w:t>:</w:t>
      </w:r>
      <w:r w:rsidRPr="00024D5A">
        <w:rPr>
          <w:rFonts w:ascii="Garamond" w:eastAsia="Times New Roman" w:hAnsi="Garamond"/>
          <w:b/>
          <w:bCs/>
          <w:i/>
          <w:iCs/>
          <w:lang w:eastAsia="en-US"/>
        </w:rPr>
        <w:t xml:space="preserve"> </w:t>
      </w:r>
    </w:p>
    <w:p w14:paraId="4691BBA1" w14:textId="1A846C40" w:rsidR="003F1E3A" w:rsidRPr="00024D5A" w:rsidRDefault="003F1E3A" w:rsidP="00791B1A">
      <w:pPr>
        <w:autoSpaceDE w:val="0"/>
        <w:autoSpaceDN w:val="0"/>
        <w:adjustRightInd w:val="0"/>
        <w:ind w:firstLine="280"/>
        <w:jc w:val="both"/>
        <w:rPr>
          <w:rFonts w:ascii="Garamond" w:hAnsi="Garamond" w:cs="Garamond"/>
          <w:lang w:eastAsia="en-US"/>
        </w:rPr>
      </w:pPr>
      <w:r w:rsidRPr="00024D5A">
        <w:rPr>
          <w:rFonts w:ascii="Garamond" w:hAnsi="Garamond" w:cs="Garamond"/>
          <w:lang w:eastAsia="en-US"/>
        </w:rPr>
        <w:t>4.1 Kuadër i qëndrueshëm ligjor/institucional dhe mekanizma cilësie për mosdiskriminim dhe akses të barabartë;</w:t>
      </w:r>
    </w:p>
    <w:p w14:paraId="5FD7DE3C" w14:textId="6F19EF64" w:rsidR="003F1E3A" w:rsidRPr="00024D5A" w:rsidRDefault="003F1E3A" w:rsidP="00791B1A">
      <w:pPr>
        <w:autoSpaceDE w:val="0"/>
        <w:autoSpaceDN w:val="0"/>
        <w:adjustRightInd w:val="0"/>
        <w:ind w:firstLine="280"/>
        <w:jc w:val="both"/>
        <w:rPr>
          <w:rFonts w:ascii="Garamond" w:hAnsi="Garamond" w:cs="Garamond"/>
          <w:lang w:eastAsia="en-US"/>
        </w:rPr>
      </w:pPr>
      <w:r w:rsidRPr="00024D5A">
        <w:rPr>
          <w:rFonts w:ascii="Garamond" w:hAnsi="Garamond" w:cs="Garamond"/>
          <w:lang w:eastAsia="en-US"/>
        </w:rPr>
        <w:t>4.2 Aksesueshmëri e plotë fizike, digjitale dhe akademike në institucionet e arsimit të lartë;</w:t>
      </w:r>
    </w:p>
    <w:p w14:paraId="7775A053" w14:textId="49281855" w:rsidR="003F1E3A" w:rsidRPr="00024D5A" w:rsidRDefault="003F1E3A" w:rsidP="00791B1A">
      <w:pPr>
        <w:autoSpaceDE w:val="0"/>
        <w:autoSpaceDN w:val="0"/>
        <w:adjustRightInd w:val="0"/>
        <w:ind w:firstLine="280"/>
        <w:jc w:val="both"/>
        <w:rPr>
          <w:rFonts w:ascii="Garamond" w:hAnsi="Garamond" w:cs="Garamond"/>
          <w:lang w:eastAsia="en-US"/>
        </w:rPr>
      </w:pPr>
      <w:r w:rsidRPr="00024D5A">
        <w:rPr>
          <w:rFonts w:ascii="Garamond" w:hAnsi="Garamond" w:cs="Garamond"/>
          <w:lang w:eastAsia="en-US"/>
        </w:rPr>
        <w:t>4.3 Shërbime mbështetëse dhe zhvillim kapacitetesh;</w:t>
      </w:r>
    </w:p>
    <w:p w14:paraId="76948C01" w14:textId="25DB4361" w:rsidR="003F1E3A" w:rsidRPr="00024D5A" w:rsidRDefault="003F1E3A" w:rsidP="00791B1A">
      <w:pPr>
        <w:autoSpaceDE w:val="0"/>
        <w:autoSpaceDN w:val="0"/>
        <w:adjustRightInd w:val="0"/>
        <w:ind w:firstLine="280"/>
        <w:jc w:val="both"/>
        <w:rPr>
          <w:rFonts w:ascii="Garamond" w:hAnsi="Garamond" w:cs="Garamond"/>
          <w:lang w:eastAsia="en-US"/>
        </w:rPr>
      </w:pPr>
      <w:r w:rsidRPr="00024D5A">
        <w:rPr>
          <w:rFonts w:ascii="Garamond" w:hAnsi="Garamond" w:cs="Garamond"/>
          <w:lang w:eastAsia="en-US"/>
        </w:rPr>
        <w:t xml:space="preserve">4.4 Mbështetje financiare, pjesëmarrje e barabartë dhe mundësi zhvillimi akademik. </w:t>
      </w:r>
    </w:p>
    <w:p w14:paraId="3D1F532E"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Plani e trajton arsimin e lartë si fazë ku barazia duhet të matet me akses real në studim, shërbime universitare, vlerësim akademik dhe mundësi zhvillimi. Në këtë kuadër, ndërhyrjet fillojnë me rishikimin dhe përditësimin e politikave, rregulloreve dhe udhëzimeve të institucioneve të arsimit të lartë, për t’i harmonizuar me legjislacionin kombëtar dhe standardet ndërkombëtare të aksesueshmërisë dhe gjithëpërfshirjes. Paralelisht, Plani kërkon integrimin e indikatorëve të përfshirjes dhe aksesueshmërisë në sistemet e brendshme dhe të jashtme të sigurimit të cilësisë dhe raportim periodik mbi progresin dhe ndikimin.</w:t>
      </w:r>
    </w:p>
    <w:p w14:paraId="75C6D98F" w14:textId="63DF0A23"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Në planin praktik, fokusi vihet te mjedisi universitar i aksesueshëm: investime për përshtatjen e infrastrukturës fizike (ambiente mësimore, biblioteka, laboratorë), aksesueshmëria e platformave digjitale dhe materialeve mësimore, si dhe përshtatja e metodave të mësimdhënies, vlerësimit dhe pjesëmarrjes akademike</w:t>
      </w:r>
      <w:r w:rsidR="00BC51F8" w:rsidRPr="00024D5A">
        <w:rPr>
          <w:rFonts w:ascii="Garamond" w:eastAsia="Times New Roman" w:hAnsi="Garamond"/>
          <w:lang w:eastAsia="en-US"/>
        </w:rPr>
        <w:t>,</w:t>
      </w:r>
      <w:r w:rsidRPr="00024D5A">
        <w:rPr>
          <w:rFonts w:ascii="Garamond" w:eastAsia="Times New Roman" w:hAnsi="Garamond"/>
          <w:lang w:eastAsia="en-US"/>
        </w:rPr>
        <w:t xml:space="preserve"> sipas parimeve të dizajnit universal. Për ta bërë këtë të zbatueshme, parashikohet hartimi dhe zbatimi i planeve individuale të mbështetjes akademike në bashkëpunim me studentët.</w:t>
      </w:r>
    </w:p>
    <w:p w14:paraId="68953896" w14:textId="5DCD680D" w:rsidR="003E1630" w:rsidRPr="00024D5A" w:rsidRDefault="005743A8" w:rsidP="00791B1A">
      <w:pPr>
        <w:ind w:firstLine="284"/>
        <w:jc w:val="both"/>
        <w:rPr>
          <w:rFonts w:ascii="Garamond" w:eastAsia="Times New Roman" w:hAnsi="Garamond"/>
          <w:b/>
          <w:bCs/>
          <w:lang w:eastAsia="en-US"/>
        </w:rPr>
      </w:pPr>
      <w:r w:rsidRPr="00024D5A">
        <w:rPr>
          <w:rFonts w:ascii="Garamond" w:eastAsia="Times New Roman" w:hAnsi="Garamond"/>
          <w:lang w:eastAsia="en-US"/>
        </w:rPr>
        <w:t xml:space="preserve">Plani parashikon edhe forcimin e mbështetjes institucionale: krijim/forcim të njësive të posaçme mbështetëse në universitete, këshillim akademik e psikosocial dhe ndërmjetësim për përshtatje të arsyeshme, sigurim të teknologjive </w:t>
      </w:r>
      <w:r w:rsidRPr="00A74194">
        <w:rPr>
          <w:rFonts w:ascii="Garamond" w:eastAsia="Times New Roman" w:hAnsi="Garamond"/>
          <w:i/>
          <w:iCs/>
          <w:lang w:eastAsia="en-US"/>
        </w:rPr>
        <w:t>asis</w:t>
      </w:r>
      <w:r w:rsidR="00A74194" w:rsidRPr="00A74194">
        <w:rPr>
          <w:rFonts w:ascii="Garamond" w:eastAsia="Times New Roman" w:hAnsi="Garamond"/>
          <w:i/>
          <w:iCs/>
          <w:lang w:eastAsia="en-US"/>
        </w:rPr>
        <w:t>s</w:t>
      </w:r>
      <w:r w:rsidRPr="00A74194">
        <w:rPr>
          <w:rFonts w:ascii="Garamond" w:eastAsia="Times New Roman" w:hAnsi="Garamond"/>
          <w:i/>
          <w:iCs/>
          <w:lang w:eastAsia="en-US"/>
        </w:rPr>
        <w:t>tive</w:t>
      </w:r>
      <w:r w:rsidRPr="00024D5A">
        <w:rPr>
          <w:rFonts w:ascii="Garamond" w:eastAsia="Times New Roman" w:hAnsi="Garamond"/>
          <w:lang w:eastAsia="en-US"/>
        </w:rPr>
        <w:t xml:space="preserve"> dhe pajisjeve ndihmëse, si dhe programe të detyrueshme trajnimi për stafin akademik dhe administrativ mbi arsimin gjithëpërfshirës.</w:t>
      </w:r>
    </w:p>
    <w:p w14:paraId="3FA8B33A" w14:textId="147C0F2F" w:rsidR="003E1630" w:rsidRPr="00024D5A" w:rsidRDefault="0058487E" w:rsidP="00791B1A">
      <w:pPr>
        <w:pStyle w:val="Heading2"/>
        <w:spacing w:before="0"/>
        <w:ind w:firstLine="284"/>
        <w:rPr>
          <w:rFonts w:ascii="Garamond" w:hAnsi="Garamond"/>
          <w:color w:val="auto"/>
          <w:sz w:val="24"/>
          <w:szCs w:val="24"/>
          <w:lang w:eastAsia="en-US"/>
        </w:rPr>
      </w:pPr>
      <w:bookmarkStart w:id="38" w:name="_Toc231489641"/>
      <w:r w:rsidRPr="00024D5A">
        <w:rPr>
          <w:rFonts w:ascii="Garamond" w:hAnsi="Garamond"/>
          <w:color w:val="auto"/>
          <w:sz w:val="24"/>
          <w:szCs w:val="24"/>
          <w:lang w:eastAsia="en-US"/>
        </w:rPr>
        <w:t>3</w:t>
      </w:r>
      <w:r w:rsidR="005743A8" w:rsidRPr="00024D5A">
        <w:rPr>
          <w:rFonts w:ascii="Garamond" w:hAnsi="Garamond"/>
          <w:color w:val="auto"/>
          <w:sz w:val="24"/>
          <w:szCs w:val="24"/>
          <w:lang w:eastAsia="en-US"/>
        </w:rPr>
        <w:t xml:space="preserve">.5 Mbrojtja </w:t>
      </w:r>
      <w:r w:rsidR="00BC51F8" w:rsidRPr="00024D5A">
        <w:rPr>
          <w:rFonts w:ascii="Garamond" w:hAnsi="Garamond"/>
          <w:color w:val="auto"/>
          <w:sz w:val="24"/>
          <w:szCs w:val="24"/>
          <w:lang w:eastAsia="en-US"/>
        </w:rPr>
        <w:t>sociale</w:t>
      </w:r>
      <w:bookmarkEnd w:id="38"/>
    </w:p>
    <w:p w14:paraId="45F07EA7" w14:textId="06196C82" w:rsidR="003E1630" w:rsidRPr="00024D5A" w:rsidRDefault="0058487E" w:rsidP="00791B1A">
      <w:pPr>
        <w:pStyle w:val="Heading2"/>
        <w:spacing w:before="0"/>
        <w:ind w:firstLine="284"/>
        <w:rPr>
          <w:rFonts w:ascii="Garamond" w:hAnsi="Garamond"/>
          <w:color w:val="auto"/>
          <w:sz w:val="24"/>
          <w:szCs w:val="24"/>
          <w:lang w:eastAsia="en-US"/>
        </w:rPr>
      </w:pPr>
      <w:bookmarkStart w:id="39" w:name="_Toc231489642"/>
      <w:r w:rsidRPr="00024D5A">
        <w:rPr>
          <w:rFonts w:ascii="Garamond" w:hAnsi="Garamond"/>
          <w:color w:val="auto"/>
          <w:sz w:val="24"/>
          <w:szCs w:val="24"/>
          <w:lang w:eastAsia="en-US"/>
        </w:rPr>
        <w:t>3</w:t>
      </w:r>
      <w:r w:rsidR="005743A8" w:rsidRPr="00024D5A">
        <w:rPr>
          <w:rFonts w:ascii="Garamond" w:hAnsi="Garamond"/>
          <w:color w:val="auto"/>
          <w:sz w:val="24"/>
          <w:szCs w:val="24"/>
          <w:lang w:eastAsia="en-US"/>
        </w:rPr>
        <w:t>.5.1</w:t>
      </w:r>
      <w:r w:rsidR="008F29FA" w:rsidRPr="00024D5A">
        <w:rPr>
          <w:rFonts w:ascii="Garamond" w:hAnsi="Garamond"/>
          <w:color w:val="auto"/>
          <w:sz w:val="24"/>
          <w:szCs w:val="24"/>
          <w:lang w:eastAsia="en-US"/>
        </w:rPr>
        <w:t xml:space="preserve"> </w:t>
      </w:r>
      <w:r w:rsidR="005743A8" w:rsidRPr="00024D5A">
        <w:rPr>
          <w:rFonts w:ascii="Garamond" w:hAnsi="Garamond"/>
          <w:color w:val="auto"/>
          <w:sz w:val="24"/>
          <w:szCs w:val="24"/>
          <w:lang w:eastAsia="en-US"/>
        </w:rPr>
        <w:t>Ko</w:t>
      </w:r>
      <w:r w:rsidR="003A0569" w:rsidRPr="00024D5A">
        <w:rPr>
          <w:rFonts w:ascii="Garamond" w:hAnsi="Garamond"/>
          <w:color w:val="auto"/>
          <w:sz w:val="24"/>
          <w:szCs w:val="24"/>
          <w:lang w:eastAsia="en-US"/>
        </w:rPr>
        <w:t>nteksti</w:t>
      </w:r>
      <w:r w:rsidR="008F29FA" w:rsidRPr="00024D5A">
        <w:rPr>
          <w:rFonts w:ascii="Garamond" w:hAnsi="Garamond"/>
          <w:color w:val="auto"/>
          <w:sz w:val="24"/>
          <w:szCs w:val="24"/>
          <w:lang w:eastAsia="en-US"/>
        </w:rPr>
        <w:t xml:space="preserve"> </w:t>
      </w:r>
      <w:r w:rsidR="005743A8" w:rsidRPr="00024D5A">
        <w:rPr>
          <w:rFonts w:ascii="Garamond" w:hAnsi="Garamond"/>
          <w:color w:val="auto"/>
          <w:sz w:val="24"/>
          <w:szCs w:val="24"/>
          <w:lang w:eastAsia="en-US"/>
        </w:rPr>
        <w:t>strategjik</w:t>
      </w:r>
      <w:bookmarkEnd w:id="39"/>
    </w:p>
    <w:p w14:paraId="3637AA8E" w14:textId="729A9089"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Fusha e mbrojtjes sociale në Planin e Veprimit 2026</w:t>
      </w:r>
      <w:r w:rsidR="001F2BD2" w:rsidRPr="00024D5A">
        <w:rPr>
          <w:rFonts w:ascii="Garamond" w:eastAsia="Times New Roman" w:hAnsi="Garamond"/>
          <w:lang w:eastAsia="en-US"/>
        </w:rPr>
        <w:t>–</w:t>
      </w:r>
      <w:r w:rsidRPr="00024D5A">
        <w:rPr>
          <w:rFonts w:ascii="Garamond" w:eastAsia="Times New Roman" w:hAnsi="Garamond"/>
          <w:lang w:eastAsia="en-US"/>
        </w:rPr>
        <w:t>2030 për personat me aftësi të kufizuara përfaqëson shtyllën, që garanton jetesë dinjitoze, pavarësi dhe siguri sociale. Qasja e Planit e koncepton mbrojtjen sociale, jo vetëm si sistem përfitimesh financiare, por si një sistem të integruar të të drejtave sociale, që përfshin vlerësimin e nevojave, shërbimet komunitare, jetesën e pavarur, strehimin e aksesueshëm, vendimmarrjen e mbështetur, mbrojtjen e grave dhe fëmijëve me aftësi të kufizuara, si dhe reagimin gjithëpërfshirës në situata emergjence. Synimi është që personat me aftësi të kufizuara të kenë mundësi reale për të jetuar në komunitet, me zgjedhje dhe kontroll mbi jetën e tyre, përmes mbështetjes individuale dhe shërbimeve të bazuara në komunitet, duke reduktuar varësinë nga familja dhe institucionalizimi.</w:t>
      </w:r>
    </w:p>
    <w:p w14:paraId="1096D3EB" w14:textId="763D1844"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Në nivel ndërkombëtar, kjo fushë mbështetet në Konventën e OKB-së për të Drejtat e Personave me Aftësi të Kufizuara (</w:t>
      </w:r>
      <w:r w:rsidRPr="00024D5A">
        <w:rPr>
          <w:rFonts w:ascii="Garamond" w:eastAsia="Times New Roman" w:hAnsi="Garamond"/>
        </w:rPr>
        <w:t>KDPAK</w:t>
      </w:r>
      <w:r w:rsidRPr="00024D5A">
        <w:rPr>
          <w:rFonts w:ascii="Garamond" w:eastAsia="Times New Roman" w:hAnsi="Garamond"/>
          <w:lang w:eastAsia="en-US"/>
        </w:rPr>
        <w:t>)</w:t>
      </w:r>
      <w:r w:rsidRPr="00024D5A">
        <w:rPr>
          <w:rStyle w:val="FootnoteReference"/>
          <w:rFonts w:ascii="Garamond" w:eastAsia="Times New Roman" w:hAnsi="Garamond"/>
          <w:lang w:eastAsia="en-US"/>
        </w:rPr>
        <w:footnoteReference w:id="55"/>
      </w:r>
      <w:r w:rsidRPr="00024D5A">
        <w:rPr>
          <w:rFonts w:ascii="Garamond" w:eastAsia="Times New Roman" w:hAnsi="Garamond"/>
          <w:lang w:eastAsia="en-US"/>
        </w:rPr>
        <w:t>, veçanërisht në nenet mbi jetesën e pavarur dhe përfshirjen në komunitet (neni 19), mbrojtjen sociale dhe standardin e përshtatshëm të jetesës (neni 28), rehabilitimin (neni 26), mbrojtjen në situata rreziku dhe emergjencash humanitare (neni 11), si dhe barazinë para ligjit (neni 12). Komiteti i</w:t>
      </w:r>
      <w:r w:rsidR="008F29FA" w:rsidRPr="00024D5A">
        <w:rPr>
          <w:rFonts w:ascii="Garamond" w:eastAsia="Times New Roman" w:hAnsi="Garamond"/>
        </w:rPr>
        <w:t xml:space="preserve"> </w:t>
      </w:r>
      <w:r w:rsidRPr="00024D5A">
        <w:rPr>
          <w:rFonts w:ascii="Garamond" w:eastAsia="Times New Roman" w:hAnsi="Garamond"/>
        </w:rPr>
        <w:t>KDPAK</w:t>
      </w:r>
      <w:r w:rsidRPr="00024D5A">
        <w:rPr>
          <w:rStyle w:val="FootnoteReference"/>
          <w:rFonts w:ascii="Garamond" w:eastAsia="Times New Roman" w:hAnsi="Garamond"/>
          <w:lang w:eastAsia="en-US"/>
        </w:rPr>
        <w:t xml:space="preserve"> </w:t>
      </w:r>
      <w:r w:rsidRPr="00024D5A">
        <w:rPr>
          <w:rStyle w:val="FootnoteReference"/>
          <w:rFonts w:ascii="Garamond" w:eastAsia="Times New Roman" w:hAnsi="Garamond"/>
          <w:lang w:eastAsia="en-US"/>
        </w:rPr>
        <w:footnoteReference w:id="56"/>
      </w:r>
      <w:r w:rsidRPr="00024D5A">
        <w:rPr>
          <w:rFonts w:ascii="Garamond" w:eastAsia="Times New Roman" w:hAnsi="Garamond"/>
          <w:lang w:eastAsia="en-US"/>
        </w:rPr>
        <w:t>, në rekomandimet e tij për shtetet palë, ka theksuar nevojën për kalimin nga modeli institucional drejt shërbimeve të bazuara në komunitet, zhvillimin e programeve të jetesës së pavarur dhe zëvendësimin e kujdestarisë ligjore me mekanizma të vendimmarrjes së mbështetur. Në të njëjtën linjë, Komentet e Përgjithshme të Komitetit mbi nenin 19 dhe nenin 12 theksojnë se pagesat financiare duhet të lidhen me mbështetjen individuale dhe se shërbimet sociale duhet të jenë të orientuara drejt autonomisë së individit.</w:t>
      </w:r>
    </w:p>
    <w:p w14:paraId="054C990B" w14:textId="7C950300"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Korniza strategjike mbështetet</w:t>
      </w:r>
      <w:r w:rsidR="00BC51F8" w:rsidRPr="00024D5A">
        <w:rPr>
          <w:rFonts w:ascii="Garamond" w:eastAsia="Times New Roman" w:hAnsi="Garamond"/>
          <w:lang w:eastAsia="en-US"/>
        </w:rPr>
        <w:t>,</w:t>
      </w:r>
      <w:r w:rsidRPr="00024D5A">
        <w:rPr>
          <w:rFonts w:ascii="Garamond" w:eastAsia="Times New Roman" w:hAnsi="Garamond"/>
          <w:lang w:eastAsia="en-US"/>
        </w:rPr>
        <w:t xml:space="preserve"> gjithashtu</w:t>
      </w:r>
      <w:r w:rsidR="00BC51F8" w:rsidRPr="00024D5A">
        <w:rPr>
          <w:rFonts w:ascii="Garamond" w:eastAsia="Times New Roman" w:hAnsi="Garamond"/>
          <w:lang w:eastAsia="en-US"/>
        </w:rPr>
        <w:t>,</w:t>
      </w:r>
      <w:r w:rsidRPr="00024D5A">
        <w:rPr>
          <w:rFonts w:ascii="Garamond" w:eastAsia="Times New Roman" w:hAnsi="Garamond"/>
          <w:lang w:eastAsia="en-US"/>
        </w:rPr>
        <w:t xml:space="preserve"> në Strategjinë e Bashkimit Evropian për të Drejtat e Personave me Aftësi të Kufizuara 2021</w:t>
      </w:r>
      <w:r w:rsidR="00BC51F8" w:rsidRPr="00024D5A">
        <w:rPr>
          <w:rFonts w:ascii="Garamond" w:eastAsia="Times New Roman" w:hAnsi="Garamond"/>
          <w:lang w:eastAsia="en-US"/>
        </w:rPr>
        <w:t>–</w:t>
      </w:r>
      <w:r w:rsidRPr="00024D5A">
        <w:rPr>
          <w:rFonts w:ascii="Garamond" w:eastAsia="Times New Roman" w:hAnsi="Garamond"/>
          <w:lang w:eastAsia="en-US"/>
        </w:rPr>
        <w:t>2030</w:t>
      </w:r>
      <w:r w:rsidRPr="00024D5A">
        <w:rPr>
          <w:rStyle w:val="FootnoteReference"/>
          <w:rFonts w:ascii="Garamond" w:eastAsia="Times New Roman" w:hAnsi="Garamond"/>
          <w:lang w:eastAsia="en-US"/>
        </w:rPr>
        <w:footnoteReference w:id="57"/>
      </w:r>
      <w:r w:rsidRPr="00024D5A">
        <w:rPr>
          <w:rFonts w:ascii="Garamond" w:eastAsia="Times New Roman" w:hAnsi="Garamond"/>
          <w:lang w:eastAsia="en-US"/>
        </w:rPr>
        <w:t xml:space="preserve"> dhe në Shtyllën Evropiane të të Drejtave Sociale</w:t>
      </w:r>
      <w:r w:rsidRPr="00024D5A">
        <w:rPr>
          <w:rStyle w:val="FootnoteReference"/>
          <w:rFonts w:ascii="Garamond" w:eastAsia="Times New Roman" w:hAnsi="Garamond"/>
          <w:lang w:eastAsia="en-US"/>
        </w:rPr>
        <w:footnoteReference w:id="58"/>
      </w:r>
      <w:r w:rsidRPr="00024D5A">
        <w:rPr>
          <w:rFonts w:ascii="Garamond" w:eastAsia="Times New Roman" w:hAnsi="Garamond"/>
          <w:lang w:eastAsia="en-US"/>
        </w:rPr>
        <w:t>, të cilat kërkojnë akses në mbrojtje sociale, shërbime komunitare, kujdes afatgjatë dhe jetesë të pavarur. Udhëzimet e BE-së për de-institucionalizimin dhe jetesën e pavarur</w:t>
      </w:r>
      <w:r w:rsidRPr="00024D5A">
        <w:rPr>
          <w:rStyle w:val="FootnoteReference"/>
          <w:rFonts w:ascii="Garamond" w:eastAsia="Times New Roman" w:hAnsi="Garamond"/>
          <w:lang w:eastAsia="en-US"/>
        </w:rPr>
        <w:footnoteReference w:id="59"/>
      </w:r>
      <w:r w:rsidRPr="00024D5A">
        <w:rPr>
          <w:rFonts w:ascii="Garamond" w:eastAsia="Times New Roman" w:hAnsi="Garamond"/>
          <w:lang w:eastAsia="en-US"/>
        </w:rPr>
        <w:t xml:space="preserve"> kërkojnë zhvillimin e ndihmësit personal, strehimit komunitar dhe mbështetjes individuale, si kushte për përfshirje sociale dhe ekonomike. Në mënyrë të veçantë, politikat evropiane kërkojnë që sistemet e mbrojtjes sociale të mos krijojnë varësi nga përfitimet, por të mbështesin autonominë dhe pjesëmarrjen aktive.</w:t>
      </w:r>
    </w:p>
    <w:p w14:paraId="6697F716" w14:textId="548E14F1"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Në aspektin e barazisë gjinore dhe mbrojtjes së fëmijëve, kjo fushë mbështetet në standardet ndërkombëtare për mbrojtjen nga diskriminimi i shumëfishtë, përfshirë Konventën për Eliminimin e të Gjitha Formave të Diskriminimit ndaj Grave (CEDA</w:t>
      </w:r>
      <w:r w:rsidR="00572EF4" w:rsidRPr="00024D5A">
        <w:rPr>
          <w:rFonts w:ascii="Garamond" w:eastAsia="Times New Roman" w:hAnsi="Garamond"/>
          <w:lang w:eastAsia="en-US"/>
        </w:rPr>
        <w:t>W</w:t>
      </w:r>
      <w:r w:rsidRPr="00024D5A">
        <w:rPr>
          <w:rFonts w:ascii="Garamond" w:eastAsia="Times New Roman" w:hAnsi="Garamond"/>
          <w:lang w:eastAsia="en-US"/>
        </w:rPr>
        <w:t>)</w:t>
      </w:r>
      <w:r w:rsidRPr="00024D5A">
        <w:rPr>
          <w:rStyle w:val="FootnoteReference"/>
          <w:rFonts w:ascii="Garamond" w:eastAsia="Times New Roman" w:hAnsi="Garamond"/>
          <w:lang w:eastAsia="en-US"/>
        </w:rPr>
        <w:footnoteReference w:id="60"/>
      </w:r>
      <w:r w:rsidRPr="00024D5A">
        <w:rPr>
          <w:rFonts w:ascii="Garamond" w:eastAsia="Times New Roman" w:hAnsi="Garamond"/>
          <w:lang w:eastAsia="en-US"/>
        </w:rPr>
        <w:t xml:space="preserve"> dhe Konventën për të Drejtat e Fëmijës</w:t>
      </w:r>
      <w:r w:rsidRPr="00024D5A">
        <w:rPr>
          <w:rStyle w:val="FootnoteReference"/>
          <w:rFonts w:ascii="Garamond" w:eastAsia="Times New Roman" w:hAnsi="Garamond"/>
          <w:lang w:eastAsia="en-US"/>
        </w:rPr>
        <w:footnoteReference w:id="61"/>
      </w:r>
      <w:r w:rsidRPr="00024D5A">
        <w:rPr>
          <w:rFonts w:ascii="Garamond" w:eastAsia="Times New Roman" w:hAnsi="Garamond"/>
          <w:lang w:eastAsia="en-US"/>
        </w:rPr>
        <w:t>, të cilat kërkojnë që gratë dhe fëmijët me aftësi të kufizuara të kenë akses të barabartë në shërbime sociale, mbrojtje nga dhuna dhe mbështetje komunitare. Në mënyrë të veçantë, Konventa e Këshillit të Evropës për Parandalimin dhe Luftimin e Dhunës ndaj Grave dhe Dhunës në Familje (Konventa e Stambollit)</w:t>
      </w:r>
      <w:r w:rsidRPr="00024D5A">
        <w:rPr>
          <w:rStyle w:val="FootnoteReference"/>
          <w:rFonts w:ascii="Garamond" w:eastAsia="Times New Roman" w:hAnsi="Garamond"/>
          <w:lang w:eastAsia="en-US"/>
        </w:rPr>
        <w:footnoteReference w:id="62"/>
      </w:r>
      <w:r w:rsidRPr="00024D5A">
        <w:rPr>
          <w:rFonts w:ascii="Garamond" w:eastAsia="Times New Roman" w:hAnsi="Garamond"/>
          <w:lang w:eastAsia="en-US"/>
        </w:rPr>
        <w:t xml:space="preserve"> kërkon që shërbimet e mbrojtjes, strehëzat, mekanizmat e raportimit dhe procedurat mbrojtëse të jenë të aksesueshme për gratë me aftësi të kufizuara, duke njohur rrezikun më të lartë të dhunës dhe pengesat në aksesin në drejtësi dhe shërbime mbështetëse.</w:t>
      </w:r>
    </w:p>
    <w:p w14:paraId="6EEEFAC1"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Në lidhje me fëmijët me aftësi të kufizuara, korniza strategjike mbështetet në Konventën për të Drejtat e Fëmijës, e cila garanton të drejtën e çdo fëmije për mbrojtje, zhvillim, pjesëmarrje dhe përfshirje pa diskriminim, si dhe kërkon që shtetet të sigurojnë mbështetje të veçantë për fëmijët me aftësi të kufizuara dhe familjet e tyre. Në përputhje edhe me Konventën e OKB-së për të Drejtat e Personave me Aftësi të Kufizuara, veçanërisht nenin 7 mbi fëmijët me aftësi të kufizuara, politikat publike duhet të sigurojnë që interesi më i lartë i fëmijës të jetë parimi udhëheqës në çdo vendimmarrje dhe që fëmijët të kenë mundësi të shprehin pikëpamjet e tyre dhe të dëgjohen.</w:t>
      </w:r>
    </w:p>
    <w:p w14:paraId="6116B04D" w14:textId="21C6BEB0"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Gjithashtu, Udhëzimet e OKB-së për Kujdesin Alternativ të Fëmijëve</w:t>
      </w:r>
      <w:r w:rsidRPr="00024D5A">
        <w:rPr>
          <w:rStyle w:val="FootnoteReference"/>
          <w:rFonts w:ascii="Garamond" w:eastAsia="Times New Roman" w:hAnsi="Garamond"/>
          <w:lang w:eastAsia="en-US"/>
        </w:rPr>
        <w:footnoteReference w:id="63"/>
      </w:r>
      <w:r w:rsidRPr="00024D5A">
        <w:rPr>
          <w:rFonts w:ascii="Garamond" w:eastAsia="Times New Roman" w:hAnsi="Garamond"/>
          <w:lang w:eastAsia="en-US"/>
        </w:rPr>
        <w:t xml:space="preserve"> dhe politikat evropiane për mbrojtjen e fëmijëve</w:t>
      </w:r>
      <w:r w:rsidRPr="00024D5A">
        <w:rPr>
          <w:rStyle w:val="FootnoteReference"/>
          <w:rFonts w:ascii="Garamond" w:eastAsia="Times New Roman" w:hAnsi="Garamond"/>
          <w:lang w:eastAsia="en-US"/>
        </w:rPr>
        <w:footnoteReference w:id="64"/>
      </w:r>
      <w:r w:rsidRPr="00024D5A">
        <w:rPr>
          <w:rFonts w:ascii="Garamond" w:eastAsia="Times New Roman" w:hAnsi="Garamond"/>
          <w:lang w:eastAsia="en-US"/>
        </w:rPr>
        <w:t xml:space="preserve"> kërkojnë shmangien e institucionalizimit, zhvillimin e shërbimeve mbështetëse për familjen, ndërhyrjen e hershme dhe shërbimet komunitare për të parandaluar ndarjen e fëmijës nga familja</w:t>
      </w:r>
      <w:r w:rsidR="004C792E" w:rsidRPr="00024D5A">
        <w:rPr>
          <w:rFonts w:ascii="Garamond" w:eastAsia="Times New Roman" w:hAnsi="Garamond"/>
          <w:lang w:eastAsia="en-US"/>
        </w:rPr>
        <w:t>,</w:t>
      </w:r>
      <w:r w:rsidRPr="00024D5A">
        <w:rPr>
          <w:rFonts w:ascii="Garamond" w:eastAsia="Times New Roman" w:hAnsi="Garamond"/>
          <w:lang w:eastAsia="en-US"/>
        </w:rPr>
        <w:t xml:space="preserve"> për shkak të aftësisë së kufizuar. Kjo nënkupton se sistemi i mbrojtjes sociale duhet të ofrojë mbështetje të personalizuar për fëmijët dhe kujdestarët e tyre, shërbime rehabilituese, mbështetje </w:t>
      </w:r>
      <w:r w:rsidR="00F81568" w:rsidRPr="00024D5A">
        <w:rPr>
          <w:rFonts w:ascii="Garamond" w:eastAsia="Times New Roman" w:hAnsi="Garamond"/>
          <w:lang w:eastAsia="en-US"/>
        </w:rPr>
        <w:t xml:space="preserve">psikosociale </w:t>
      </w:r>
      <w:r w:rsidRPr="00024D5A">
        <w:rPr>
          <w:rFonts w:ascii="Garamond" w:eastAsia="Times New Roman" w:hAnsi="Garamond"/>
          <w:lang w:eastAsia="en-US"/>
        </w:rPr>
        <w:t>dhe mekanizma mbrojtës nga dhuna, neglizhenca dhe izolimi social.</w:t>
      </w:r>
    </w:p>
    <w:p w14:paraId="3E767348" w14:textId="7F48390A"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Në fushën e emergjencave dhe fatkeqësive natyrore, Plani mbështetet në Kornizën Sendai për Reduktimin e Rrezikut nga Fatkeqësitë 2015</w:t>
      </w:r>
      <w:r w:rsidR="00765D06" w:rsidRPr="00024D5A">
        <w:rPr>
          <w:rFonts w:ascii="Garamond" w:eastAsia="Times New Roman" w:hAnsi="Garamond"/>
          <w:lang w:eastAsia="en-US"/>
        </w:rPr>
        <w:t>–</w:t>
      </w:r>
      <w:r w:rsidRPr="00024D5A">
        <w:rPr>
          <w:rFonts w:ascii="Garamond" w:eastAsia="Times New Roman" w:hAnsi="Garamond"/>
          <w:lang w:eastAsia="en-US"/>
        </w:rPr>
        <w:t>2030</w:t>
      </w:r>
      <w:r w:rsidRPr="00024D5A">
        <w:rPr>
          <w:rStyle w:val="FootnoteReference"/>
          <w:rFonts w:ascii="Garamond" w:eastAsia="Times New Roman" w:hAnsi="Garamond"/>
          <w:lang w:eastAsia="en-US"/>
        </w:rPr>
        <w:footnoteReference w:id="65"/>
      </w:r>
      <w:r w:rsidRPr="00024D5A">
        <w:rPr>
          <w:rFonts w:ascii="Garamond" w:eastAsia="Times New Roman" w:hAnsi="Garamond"/>
          <w:lang w:eastAsia="en-US"/>
        </w:rPr>
        <w:t>, e cila kërkon përfshirjen aktive të personave me aftësi të kufizuara në planifikimin, reagimin dhe rimëkëmbjen pas fatkeqësive. Korniza Sendai parashikon sisteme paralajmërimi të hershëm të aksesueshëm, plane evakuimi gjithëpërfshirëse dhe rindërtim të aksesueshëm, duke e konsideruar përfshirjen e aftësisë së kufizuar si pjesë të menaxhimit të rrezikut dhe jo vetëm të reagimit humanitar.</w:t>
      </w:r>
    </w:p>
    <w:p w14:paraId="61316DEA" w14:textId="6F8983FE"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Në nivel kombëtar, kjo fushë lidhet drejtpërdrejt me Strategjinë Kombëtare të Mbrojtjes Sociale 2024</w:t>
      </w:r>
      <w:r w:rsidR="00572EF4" w:rsidRPr="00024D5A">
        <w:rPr>
          <w:rFonts w:ascii="Garamond" w:eastAsia="Times New Roman" w:hAnsi="Garamond"/>
          <w:lang w:eastAsia="en-US"/>
        </w:rPr>
        <w:t>–</w:t>
      </w:r>
      <w:r w:rsidRPr="00024D5A">
        <w:rPr>
          <w:rFonts w:ascii="Garamond" w:eastAsia="Times New Roman" w:hAnsi="Garamond"/>
          <w:lang w:eastAsia="en-US"/>
        </w:rPr>
        <w:t>2030</w:t>
      </w:r>
      <w:r w:rsidRPr="00024D5A">
        <w:rPr>
          <w:rStyle w:val="FootnoteReference"/>
          <w:rFonts w:ascii="Garamond" w:eastAsia="Times New Roman" w:hAnsi="Garamond"/>
          <w:lang w:eastAsia="en-US"/>
        </w:rPr>
        <w:footnoteReference w:id="66"/>
      </w:r>
      <w:r w:rsidRPr="00024D5A">
        <w:rPr>
          <w:rFonts w:ascii="Garamond" w:eastAsia="Times New Roman" w:hAnsi="Garamond"/>
          <w:lang w:eastAsia="en-US"/>
        </w:rPr>
        <w:t>, Strategjinë Kombëtare për Zhvillim dhe Integrim 2022</w:t>
      </w:r>
      <w:r w:rsidR="00554768" w:rsidRPr="00024D5A">
        <w:rPr>
          <w:rFonts w:ascii="Garamond" w:eastAsia="Times New Roman" w:hAnsi="Garamond"/>
          <w:lang w:eastAsia="en-US"/>
        </w:rPr>
        <w:t>–</w:t>
      </w:r>
      <w:r w:rsidRPr="00024D5A">
        <w:rPr>
          <w:rFonts w:ascii="Garamond" w:eastAsia="Times New Roman" w:hAnsi="Garamond"/>
          <w:lang w:eastAsia="en-US"/>
        </w:rPr>
        <w:t>2030</w:t>
      </w:r>
      <w:r w:rsidRPr="00024D5A">
        <w:rPr>
          <w:rStyle w:val="FootnoteReference"/>
          <w:rFonts w:ascii="Garamond" w:eastAsia="Times New Roman" w:hAnsi="Garamond"/>
          <w:lang w:eastAsia="en-US"/>
        </w:rPr>
        <w:footnoteReference w:id="67"/>
      </w:r>
      <w:r w:rsidRPr="00024D5A">
        <w:rPr>
          <w:rFonts w:ascii="Garamond" w:eastAsia="Times New Roman" w:hAnsi="Garamond"/>
          <w:lang w:eastAsia="en-US"/>
        </w:rPr>
        <w:t>, Strategjinë Kombëtare për Barazinë Gjinore 2021</w:t>
      </w:r>
      <w:r w:rsidR="00845528" w:rsidRPr="00024D5A">
        <w:rPr>
          <w:rFonts w:ascii="Garamond" w:eastAsia="Times New Roman" w:hAnsi="Garamond"/>
          <w:lang w:eastAsia="en-US"/>
        </w:rPr>
        <w:t>–</w:t>
      </w:r>
      <w:r w:rsidRPr="00024D5A">
        <w:rPr>
          <w:rFonts w:ascii="Garamond" w:eastAsia="Times New Roman" w:hAnsi="Garamond"/>
          <w:lang w:eastAsia="en-US"/>
        </w:rPr>
        <w:t>2030</w:t>
      </w:r>
      <w:r w:rsidRPr="00024D5A">
        <w:rPr>
          <w:rStyle w:val="FootnoteReference"/>
          <w:rFonts w:ascii="Garamond" w:eastAsia="Times New Roman" w:hAnsi="Garamond"/>
          <w:lang w:eastAsia="en-US"/>
        </w:rPr>
        <w:footnoteReference w:id="68"/>
      </w:r>
      <w:r w:rsidRPr="00024D5A">
        <w:rPr>
          <w:rFonts w:ascii="Garamond" w:eastAsia="Times New Roman" w:hAnsi="Garamond"/>
          <w:lang w:eastAsia="en-US"/>
        </w:rPr>
        <w:t>, A</w:t>
      </w:r>
      <w:r w:rsidRPr="00024D5A">
        <w:rPr>
          <w:rStyle w:val="Emphasis"/>
          <w:rFonts w:ascii="Garamond" w:eastAsia="Times New Roman" w:hAnsi="Garamond"/>
          <w:i w:val="0"/>
          <w:iCs w:val="0"/>
        </w:rPr>
        <w:t>gjenda Kombëtare për të Drejtat e Fëmijëve 2021</w:t>
      </w:r>
      <w:r w:rsidR="00733BE5" w:rsidRPr="00024D5A">
        <w:rPr>
          <w:rFonts w:ascii="Garamond" w:eastAsia="Times New Roman" w:hAnsi="Garamond"/>
          <w:lang w:eastAsia="en-US"/>
        </w:rPr>
        <w:t>–</w:t>
      </w:r>
      <w:r w:rsidRPr="00024D5A">
        <w:rPr>
          <w:rStyle w:val="Emphasis"/>
          <w:rFonts w:ascii="Garamond" w:eastAsia="Times New Roman" w:hAnsi="Garamond"/>
          <w:i w:val="0"/>
          <w:iCs w:val="0"/>
        </w:rPr>
        <w:t>2026</w:t>
      </w:r>
      <w:r w:rsidRPr="00024D5A">
        <w:rPr>
          <w:rStyle w:val="FootnoteReference"/>
          <w:rFonts w:ascii="Garamond" w:eastAsia="Times New Roman" w:hAnsi="Garamond"/>
          <w:lang w:eastAsia="en-US"/>
        </w:rPr>
        <w:footnoteReference w:id="69"/>
      </w:r>
      <w:r w:rsidRPr="00024D5A">
        <w:rPr>
          <w:rFonts w:ascii="Garamond" w:eastAsia="Times New Roman" w:hAnsi="Garamond"/>
          <w:lang w:eastAsia="en-US"/>
        </w:rPr>
        <w:t xml:space="preserve"> dhe </w:t>
      </w:r>
      <w:r w:rsidRPr="00024D5A">
        <w:rPr>
          <w:rStyle w:val="Emphasis"/>
          <w:rFonts w:ascii="Garamond" w:hAnsi="Garamond"/>
          <w:i w:val="0"/>
          <w:iCs w:val="0"/>
        </w:rPr>
        <w:t>Strategjia Kombëtare për Zvogëlimin e Riskut nga Fatkeqësitë 2023</w:t>
      </w:r>
      <w:r w:rsidR="00733BE5" w:rsidRPr="00024D5A">
        <w:rPr>
          <w:rFonts w:ascii="Garamond" w:eastAsia="Times New Roman" w:hAnsi="Garamond"/>
          <w:lang w:eastAsia="en-US"/>
        </w:rPr>
        <w:t>–</w:t>
      </w:r>
      <w:r w:rsidRPr="00024D5A">
        <w:rPr>
          <w:rStyle w:val="Emphasis"/>
          <w:rFonts w:ascii="Garamond" w:hAnsi="Garamond"/>
          <w:i w:val="0"/>
          <w:iCs w:val="0"/>
        </w:rPr>
        <w:t>2030</w:t>
      </w:r>
      <w:r w:rsidRPr="00024D5A">
        <w:rPr>
          <w:rStyle w:val="FootnoteReference"/>
          <w:rFonts w:ascii="Garamond" w:eastAsia="Times New Roman" w:hAnsi="Garamond"/>
          <w:lang w:eastAsia="en-US"/>
        </w:rPr>
        <w:footnoteReference w:id="70"/>
      </w:r>
      <w:r w:rsidRPr="00024D5A">
        <w:rPr>
          <w:rFonts w:ascii="Garamond" w:eastAsia="Times New Roman" w:hAnsi="Garamond"/>
          <w:lang w:eastAsia="en-US"/>
        </w:rPr>
        <w:t xml:space="preserve">, si dhe me procesin e përafrimit me </w:t>
      </w:r>
      <w:r w:rsidRPr="00024D5A">
        <w:rPr>
          <w:rFonts w:ascii="Garamond" w:eastAsia="Times New Roman" w:hAnsi="Garamond"/>
          <w:i/>
          <w:iCs/>
          <w:lang w:eastAsia="en-US"/>
        </w:rPr>
        <w:t>acqui</w:t>
      </w:r>
      <w:r w:rsidRPr="00024D5A">
        <w:rPr>
          <w:rFonts w:ascii="Garamond" w:eastAsia="Times New Roman" w:hAnsi="Garamond"/>
          <w:lang w:eastAsia="en-US"/>
        </w:rPr>
        <w:t>s të Bashkimit Evropian</w:t>
      </w:r>
      <w:r w:rsidRPr="00024D5A">
        <w:rPr>
          <w:rStyle w:val="FootnoteReference"/>
          <w:rFonts w:ascii="Garamond" w:eastAsia="Times New Roman" w:hAnsi="Garamond"/>
          <w:lang w:eastAsia="en-US"/>
        </w:rPr>
        <w:footnoteReference w:id="71"/>
      </w:r>
      <w:r w:rsidRPr="00024D5A">
        <w:rPr>
          <w:rFonts w:ascii="Garamond" w:eastAsia="Times New Roman" w:hAnsi="Garamond"/>
          <w:lang w:eastAsia="en-US"/>
        </w:rPr>
        <w:t xml:space="preserve">, veçanërisht </w:t>
      </w:r>
      <w:r w:rsidR="005B1601" w:rsidRPr="00024D5A">
        <w:rPr>
          <w:rFonts w:ascii="Garamond" w:eastAsia="Times New Roman" w:hAnsi="Garamond"/>
          <w:lang w:eastAsia="en-US"/>
        </w:rPr>
        <w:t xml:space="preserve">kapitullin </w:t>
      </w:r>
      <w:r w:rsidRPr="00024D5A">
        <w:rPr>
          <w:rFonts w:ascii="Garamond" w:eastAsia="Times New Roman" w:hAnsi="Garamond"/>
          <w:lang w:eastAsia="en-US"/>
        </w:rPr>
        <w:t xml:space="preserve">19 (politikat sociale dhe përfshirja sociale) dhe </w:t>
      </w:r>
      <w:r w:rsidR="005B1601" w:rsidRPr="00024D5A">
        <w:rPr>
          <w:rFonts w:ascii="Garamond" w:eastAsia="Times New Roman" w:hAnsi="Garamond"/>
          <w:lang w:eastAsia="en-US"/>
        </w:rPr>
        <w:t xml:space="preserve">kapitullin </w:t>
      </w:r>
      <w:r w:rsidRPr="00024D5A">
        <w:rPr>
          <w:rFonts w:ascii="Garamond" w:eastAsia="Times New Roman" w:hAnsi="Garamond"/>
          <w:lang w:eastAsia="en-US"/>
        </w:rPr>
        <w:t>23 (të drejtat themelore). Në këtë kuadër, plani synon ndërtimin e një sistemi të integruar, ku pagesat sociale, vlerësimi funksional, shërbimet komunitare, jetesa e pavarur, strehimi dhe mbështetja individuale funksionojnë së bashku për të parandaluar varfërinë, institucionalizimin dhe përjashtimin social dhe për të garantuar ushtrimin efektiv të të drejtave të personave me aftësi të kufizuara.</w:t>
      </w:r>
    </w:p>
    <w:p w14:paraId="3D9AF3D3" w14:textId="1EAECD4A" w:rsidR="003E1630" w:rsidRPr="00024D5A" w:rsidRDefault="0058487E" w:rsidP="00791B1A">
      <w:pPr>
        <w:pStyle w:val="Heading2"/>
        <w:spacing w:before="0"/>
        <w:ind w:firstLine="284"/>
        <w:rPr>
          <w:rFonts w:ascii="Garamond" w:hAnsi="Garamond"/>
          <w:color w:val="auto"/>
          <w:sz w:val="24"/>
          <w:szCs w:val="24"/>
        </w:rPr>
      </w:pPr>
      <w:bookmarkStart w:id="40" w:name="_Toc231489643"/>
      <w:bookmarkStart w:id="41" w:name="_Hlk223026186"/>
      <w:r w:rsidRPr="00024D5A">
        <w:rPr>
          <w:rFonts w:ascii="Garamond" w:hAnsi="Garamond"/>
          <w:color w:val="auto"/>
          <w:sz w:val="24"/>
          <w:szCs w:val="24"/>
        </w:rPr>
        <w:t>3</w:t>
      </w:r>
      <w:r w:rsidR="005743A8" w:rsidRPr="00024D5A">
        <w:rPr>
          <w:rFonts w:ascii="Garamond" w:hAnsi="Garamond"/>
          <w:color w:val="auto"/>
          <w:sz w:val="24"/>
          <w:szCs w:val="24"/>
        </w:rPr>
        <w:t>.5.2 Qëllimi, objektivat dhe masat prioritare</w:t>
      </w:r>
      <w:bookmarkEnd w:id="40"/>
      <w:r w:rsidR="005743A8" w:rsidRPr="00024D5A">
        <w:rPr>
          <w:rFonts w:ascii="Garamond" w:hAnsi="Garamond"/>
          <w:color w:val="auto"/>
          <w:sz w:val="24"/>
          <w:szCs w:val="24"/>
        </w:rPr>
        <w:t xml:space="preserve"> </w:t>
      </w:r>
    </w:p>
    <w:bookmarkEnd w:id="41"/>
    <w:p w14:paraId="7C88C27C" w14:textId="52748A7B" w:rsidR="003E1630" w:rsidRPr="00024D5A" w:rsidRDefault="005743A8" w:rsidP="00791B1A">
      <w:pPr>
        <w:ind w:firstLine="284"/>
        <w:jc w:val="both"/>
        <w:rPr>
          <w:rFonts w:ascii="Garamond" w:hAnsi="Garamond"/>
          <w:b/>
          <w:bCs/>
        </w:rPr>
      </w:pPr>
      <w:r w:rsidRPr="00024D5A">
        <w:rPr>
          <w:rFonts w:ascii="Garamond" w:hAnsi="Garamond"/>
          <w:b/>
          <w:bCs/>
        </w:rPr>
        <w:t xml:space="preserve">Qëllimi i </w:t>
      </w:r>
      <w:r w:rsidR="00DC0102" w:rsidRPr="00024D5A">
        <w:rPr>
          <w:rFonts w:ascii="Garamond" w:hAnsi="Garamond"/>
          <w:b/>
          <w:bCs/>
        </w:rPr>
        <w:t>politikës</w:t>
      </w:r>
      <w:r w:rsidRPr="00024D5A">
        <w:rPr>
          <w:rFonts w:ascii="Garamond" w:hAnsi="Garamond"/>
          <w:b/>
          <w:bCs/>
        </w:rPr>
        <w:t xml:space="preserve">: </w:t>
      </w:r>
      <w:r w:rsidRPr="00024D5A">
        <w:rPr>
          <w:rFonts w:ascii="Garamond" w:hAnsi="Garamond"/>
        </w:rPr>
        <w:t>Të gjithë personat me aftësi të kufizuara në Shqipëri duhet të kenë mundësi reale dhe të barabarta, për të jetuar në komunitet, me zgjedhje dhe kontroll mbi jetën e tyre, përmes strehimit të aksesueshëm, mbështetjes individuale, shërbimeve të bazuara në komunitet dhe njohjes së plotë të kapacitetit ligjor, në përputhje me Konventën e OKB-së për të Drejtat e Personave me Aftësi të Kufizuara.</w:t>
      </w:r>
    </w:p>
    <w:p w14:paraId="259A1146" w14:textId="77777777" w:rsidR="003E1630" w:rsidRPr="00024D5A" w:rsidRDefault="005743A8" w:rsidP="00791B1A">
      <w:pPr>
        <w:ind w:firstLine="284"/>
        <w:jc w:val="both"/>
        <w:rPr>
          <w:rFonts w:ascii="Garamond" w:hAnsi="Garamond"/>
        </w:rPr>
      </w:pPr>
      <w:r w:rsidRPr="00024D5A">
        <w:rPr>
          <w:rFonts w:ascii="Garamond" w:hAnsi="Garamond"/>
        </w:rPr>
        <w:t>Qëllimit në fushën e mbrojtjes sociale, do të arrihet përmes 6 objektivave, të detajuar në 11 masa prioritare dhe 72 ndërhyrje konkrete të buxhetuara.</w:t>
      </w:r>
    </w:p>
    <w:p w14:paraId="22957895" w14:textId="5A82687D" w:rsidR="003E1630" w:rsidRPr="00024D5A" w:rsidRDefault="005743A8" w:rsidP="00791B1A">
      <w:pPr>
        <w:ind w:firstLine="284"/>
        <w:jc w:val="both"/>
        <w:rPr>
          <w:rFonts w:ascii="Garamond" w:eastAsia="Times New Roman" w:hAnsi="Garamond"/>
          <w:lang w:eastAsia="en-US"/>
        </w:rPr>
      </w:pPr>
      <w:r w:rsidRPr="00AC5DA9">
        <w:rPr>
          <w:rFonts w:ascii="Garamond" w:eastAsia="Times New Roman" w:hAnsi="Garamond"/>
          <w:b/>
          <w:bCs/>
          <w:i/>
          <w:iCs/>
          <w:lang w:eastAsia="en-US"/>
        </w:rPr>
        <w:t xml:space="preserve">Objektivi </w:t>
      </w:r>
      <w:r w:rsidR="0054033B" w:rsidRPr="00AC5DA9">
        <w:rPr>
          <w:rFonts w:ascii="Garamond" w:eastAsia="Times New Roman" w:hAnsi="Garamond"/>
          <w:b/>
          <w:bCs/>
          <w:i/>
          <w:iCs/>
          <w:lang w:eastAsia="en-US"/>
        </w:rPr>
        <w:t xml:space="preserve">specifik </w:t>
      </w:r>
      <w:r w:rsidRPr="00AC5DA9">
        <w:rPr>
          <w:rFonts w:ascii="Garamond" w:eastAsia="Times New Roman" w:hAnsi="Garamond"/>
          <w:b/>
          <w:bCs/>
          <w:i/>
          <w:iCs/>
          <w:lang w:eastAsia="en-US"/>
        </w:rPr>
        <w:t>1:</w:t>
      </w:r>
      <w:r w:rsidRPr="00024D5A">
        <w:rPr>
          <w:rFonts w:ascii="Garamond" w:eastAsia="Times New Roman" w:hAnsi="Garamond"/>
          <w:b/>
          <w:bCs/>
          <w:lang w:eastAsia="en-US"/>
        </w:rPr>
        <w:t xml:space="preserve"> </w:t>
      </w:r>
      <w:r w:rsidRPr="00024D5A">
        <w:rPr>
          <w:rFonts w:ascii="Garamond" w:eastAsia="Times New Roman" w:hAnsi="Garamond"/>
          <w:i/>
          <w:iCs/>
          <w:lang w:eastAsia="en-US"/>
        </w:rPr>
        <w:t>Përmirësimi i cilësisë së jetesës për personat me aftësi të kufizuara, përmes skemave financiare të përshtatshme, transparente dhe të afta për të përballuar rreziqet e ndryshme.</w:t>
      </w:r>
      <w:r w:rsidRPr="00024D5A">
        <w:rPr>
          <w:rFonts w:ascii="Garamond" w:eastAsia="Times New Roman" w:hAnsi="Garamond"/>
          <w:lang w:eastAsia="en-US"/>
        </w:rPr>
        <w:t xml:space="preserve"> </w:t>
      </w:r>
    </w:p>
    <w:p w14:paraId="5B3FB0E9" w14:textId="57EF6F28" w:rsidR="003E1630" w:rsidRPr="00024D5A" w:rsidRDefault="005743A8" w:rsidP="00791B1A">
      <w:pPr>
        <w:ind w:firstLine="284"/>
        <w:jc w:val="both"/>
        <w:rPr>
          <w:rFonts w:ascii="Garamond" w:eastAsia="Times New Roman" w:hAnsi="Garamond"/>
          <w:b/>
          <w:bCs/>
          <w:i/>
          <w:iCs/>
          <w:lang w:eastAsia="en-US"/>
        </w:rPr>
      </w:pPr>
      <w:r w:rsidRPr="00024D5A">
        <w:rPr>
          <w:rFonts w:ascii="Garamond" w:eastAsia="Times New Roman" w:hAnsi="Garamond"/>
          <w:b/>
          <w:bCs/>
          <w:i/>
          <w:iCs/>
          <w:lang w:eastAsia="en-US"/>
        </w:rPr>
        <w:t>Masat prioritare</w:t>
      </w:r>
      <w:r w:rsidR="0054033B" w:rsidRPr="00024D5A">
        <w:rPr>
          <w:rFonts w:ascii="Garamond" w:eastAsia="Times New Roman" w:hAnsi="Garamond"/>
          <w:b/>
          <w:bCs/>
          <w:i/>
          <w:iCs/>
          <w:lang w:eastAsia="en-US"/>
        </w:rPr>
        <w:t>:</w:t>
      </w:r>
    </w:p>
    <w:p w14:paraId="216BD41E" w14:textId="4768C00B" w:rsidR="003F1E3A" w:rsidRPr="00024D5A" w:rsidRDefault="003F1E3A" w:rsidP="00791B1A">
      <w:pPr>
        <w:autoSpaceDE w:val="0"/>
        <w:autoSpaceDN w:val="0"/>
        <w:adjustRightInd w:val="0"/>
        <w:ind w:firstLine="280"/>
        <w:jc w:val="both"/>
        <w:rPr>
          <w:rFonts w:ascii="Garamond" w:hAnsi="Garamond" w:cs="Garamond"/>
          <w:lang w:eastAsia="en-US"/>
        </w:rPr>
      </w:pPr>
      <w:r w:rsidRPr="00024D5A">
        <w:rPr>
          <w:rFonts w:ascii="Garamond" w:hAnsi="Garamond" w:cs="Garamond"/>
          <w:lang w:eastAsia="en-US"/>
        </w:rPr>
        <w:t>1.1 Konsolidimi dhe përmirësimi i skemës së pagesave të aftësisë së kufizuar, për të garantuar rritjen e masës së përfitimit, për të mbuluar kostot që lidhen me aftësinë e kufizuar, por edhe skemave të tjera mbështetëse financiare (NE etj</w:t>
      </w:r>
      <w:r w:rsidR="00B1316C" w:rsidRPr="00024D5A">
        <w:rPr>
          <w:rFonts w:ascii="Garamond" w:hAnsi="Garamond" w:cs="Garamond"/>
          <w:lang w:eastAsia="en-US"/>
        </w:rPr>
        <w:t>.</w:t>
      </w:r>
      <w:r w:rsidRPr="00024D5A">
        <w:rPr>
          <w:rFonts w:ascii="Garamond" w:hAnsi="Garamond" w:cs="Garamond"/>
          <w:lang w:eastAsia="en-US"/>
        </w:rPr>
        <w:t>) për të garantuar akses, mbështetje për personat me aftësi të kufizuara dhe familjarët e tyre me ndikim zbutjen e varfërisë dhe pabarazisë;</w:t>
      </w:r>
    </w:p>
    <w:p w14:paraId="40B54E34" w14:textId="0CAF3BD0" w:rsidR="003F1E3A" w:rsidRPr="00024D5A" w:rsidRDefault="003F1E3A" w:rsidP="00791B1A">
      <w:pPr>
        <w:autoSpaceDE w:val="0"/>
        <w:autoSpaceDN w:val="0"/>
        <w:adjustRightInd w:val="0"/>
        <w:ind w:firstLine="280"/>
        <w:jc w:val="both"/>
        <w:rPr>
          <w:rFonts w:ascii="Garamond" w:hAnsi="Garamond" w:cs="Garamond"/>
          <w:lang w:eastAsia="en-US"/>
        </w:rPr>
      </w:pPr>
      <w:r w:rsidRPr="00024D5A">
        <w:rPr>
          <w:rFonts w:ascii="Garamond" w:hAnsi="Garamond" w:cs="Garamond"/>
          <w:lang w:eastAsia="en-US"/>
        </w:rPr>
        <w:t>1.2 Konsolidimi i vlerësimit biopsikosocial të aftësisë së kufizuar me qëllim adresimin efektiv dhe të përgjegjshëm gjinor të nevojave individuale të tyre.</w:t>
      </w:r>
    </w:p>
    <w:p w14:paraId="1DB9D078"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Ky objektiv synon të vendosë themelet e një sistemi mbrojtjeje sociale që garanton siguri ekonomike dhe akses real në mbështetje për personat me aftësi të kufizuara. Qasja e planit është që mbrojtja sociale të mos kufizohet vetëm në dhënien e një përfitimi monetar, por të funksionojë si një mekanizëm i plotë mbështetjeje, i cili parandalon varfërinë, redukton pabarazitë dhe krijon kushtet minimale për pjesëmarrje në jetën shoqërore.</w:t>
      </w:r>
    </w:p>
    <w:p w14:paraId="7C7F4F7A"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Në kuadër të masës së parë prioritare, Plani parashikon përmirësimin e skemës së pagesave të aftësisë së kufizuar përmes rishikimit të mekanizmit indeksues periodik të këtyre pagesave për t’iu përgjigjur situatave të krizave dhe emergjencave në përshtatje me nevojat e posaçme të individëve. Përgatitja e mekanizmave fleksibël mbështetës në situata emergjence dhe krize, parashikon mbështetje të posaçme për personat me aftësi të kufizuara në rast fatkeqësish natyrore, krizash shëndetësore apo zhvendosjeje. Kjo e kthen skemën financiare në një instrument rezistence sociale dhe jo vetëm një pagesë periodike.</w:t>
      </w:r>
    </w:p>
    <w:p w14:paraId="3B18EAE4" w14:textId="5EB83EDE"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Masa e dytë prioritare lidhet me konsolidimin e vlerësimit biopsikosocial të aftësisë së kufizuar, i cili përbën elementin më transformues të këtij objektivi. Rishikimi i kritereve të vlerësimit për të rritur dhe për fëmijë, përfshirja e komponentit gjinor dhe përafrimi me klasifikimet ndërkombëtare do të sigurojnë një proces më të drejtë dhe më të saktë vlerësimi. Njëkohësisht, Plani parashikon përmirësimin e infrastrukturës së vlerësimit, rritjen e kapaciteteve profesionale të strukturave zbatuese dhe forcimin e funksioneve monitoruese dhe kontrolluese. Analizat periodike të impaktit të skemës, vlerësime të kënaqësisë së përfituesve dhe fushata informimi të aksesueshme, do të ndikojnë në përmirësime të mëtejshme dhe do </w:t>
      </w:r>
      <w:r w:rsidR="00D57691" w:rsidRPr="00024D5A">
        <w:rPr>
          <w:rFonts w:ascii="Garamond" w:eastAsia="Times New Roman" w:hAnsi="Garamond"/>
          <w:lang w:eastAsia="en-US"/>
        </w:rPr>
        <w:t xml:space="preserve">të </w:t>
      </w:r>
      <w:r w:rsidRPr="00024D5A">
        <w:rPr>
          <w:rFonts w:ascii="Garamond" w:eastAsia="Times New Roman" w:hAnsi="Garamond"/>
          <w:lang w:eastAsia="en-US"/>
        </w:rPr>
        <w:t>orientojnë që personat me aftësi të kufizuara dhe familjarët e tyre të kuptojnë të drejtat dhe procedurat.</w:t>
      </w:r>
    </w:p>
    <w:p w14:paraId="45F7F223"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Një ndërhyrje e rëndësishme është lidhja e drejtpërdrejtë e vlerësimit me mbështetjen. Personi i vlerësuar nuk do të përfitojë vetëm pagesën e aftësisë së kufizuar, por do të përfshihet edhe në një mekanizëm referimi dhe menaxhimi rasti. Përmes profileve individuale të nevojave dhe ekipeve shumëdisiplinore, do të referohet në shërbime sociale, shëndetësore, arsimore, rehabilituese, shërbime të formimit profesional dhe punësimit, si edhe në pajisje dhe teknologji ndihmëse. Integrimi i sistemit të informacionit me sektorët e tjerë do të mundësojë koordinim ndërinstitucional dhe mbështetje të vazhdueshme.</w:t>
      </w:r>
    </w:p>
    <w:p w14:paraId="5411033A"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Ky objektiv synon të krijojë një sistem ku pagesat financiare, vlerësimi funksional dhe referimi në shërbime funksionojnë si një mekanizëm i vetëm mbështetës. </w:t>
      </w:r>
    </w:p>
    <w:p w14:paraId="2BB5B218" w14:textId="0B386430" w:rsidR="003E1630" w:rsidRPr="00024D5A" w:rsidRDefault="005743A8" w:rsidP="00791B1A">
      <w:pPr>
        <w:ind w:firstLine="284"/>
        <w:jc w:val="both"/>
        <w:rPr>
          <w:rFonts w:ascii="Garamond" w:eastAsia="Times New Roman" w:hAnsi="Garamond"/>
          <w:b/>
          <w:bCs/>
          <w:lang w:eastAsia="en-US"/>
        </w:rPr>
      </w:pPr>
      <w:r w:rsidRPr="00AC5DA9">
        <w:rPr>
          <w:rFonts w:ascii="Garamond" w:eastAsia="Times New Roman" w:hAnsi="Garamond"/>
          <w:b/>
          <w:bCs/>
          <w:i/>
          <w:iCs/>
          <w:lang w:eastAsia="en-US"/>
        </w:rPr>
        <w:t xml:space="preserve">Objektivi </w:t>
      </w:r>
      <w:r w:rsidR="00C11AC9" w:rsidRPr="00AC5DA9">
        <w:rPr>
          <w:rFonts w:ascii="Garamond" w:eastAsia="Times New Roman" w:hAnsi="Garamond"/>
          <w:b/>
          <w:bCs/>
          <w:i/>
          <w:iCs/>
          <w:lang w:eastAsia="en-US"/>
        </w:rPr>
        <w:t xml:space="preserve">specifik </w:t>
      </w:r>
      <w:r w:rsidRPr="00AC5DA9">
        <w:rPr>
          <w:rFonts w:ascii="Garamond" w:eastAsia="Times New Roman" w:hAnsi="Garamond"/>
          <w:b/>
          <w:bCs/>
          <w:i/>
          <w:iCs/>
          <w:lang w:eastAsia="en-US"/>
        </w:rPr>
        <w:t>2:</w:t>
      </w:r>
      <w:r w:rsidRPr="00024D5A">
        <w:rPr>
          <w:rFonts w:ascii="Garamond" w:eastAsia="Times New Roman" w:hAnsi="Garamond"/>
          <w:b/>
          <w:bCs/>
          <w:lang w:eastAsia="en-US"/>
        </w:rPr>
        <w:t xml:space="preserve"> </w:t>
      </w:r>
      <w:r w:rsidRPr="00024D5A">
        <w:rPr>
          <w:rFonts w:ascii="Garamond" w:eastAsia="Times New Roman" w:hAnsi="Garamond"/>
          <w:lang w:eastAsia="en-US"/>
        </w:rPr>
        <w:t>Z</w:t>
      </w:r>
      <w:r w:rsidRPr="00024D5A">
        <w:rPr>
          <w:rFonts w:ascii="Garamond" w:eastAsia="Times New Roman" w:hAnsi="Garamond"/>
          <w:i/>
          <w:iCs/>
          <w:lang w:eastAsia="en-US"/>
        </w:rPr>
        <w:t>gjerimi i shërbimeve sociale të integruara, të aksesueshme e cilësore për personat me aftësi të kufizuara, si dhe avancimi i deinstitucionalizimit, në partneritet me pushtetin vendor dhe aktorët e tjerë</w:t>
      </w:r>
      <w:r w:rsidRPr="00024D5A">
        <w:rPr>
          <w:rFonts w:ascii="Garamond" w:eastAsia="Times New Roman" w:hAnsi="Garamond"/>
          <w:lang w:eastAsia="en-US"/>
        </w:rPr>
        <w:t>.</w:t>
      </w:r>
    </w:p>
    <w:p w14:paraId="747E1D61" w14:textId="0D68467B" w:rsidR="003E1630" w:rsidRPr="00024D5A" w:rsidRDefault="005743A8" w:rsidP="00791B1A">
      <w:pPr>
        <w:ind w:firstLine="284"/>
        <w:jc w:val="both"/>
        <w:rPr>
          <w:rFonts w:ascii="Garamond" w:eastAsia="Times New Roman" w:hAnsi="Garamond"/>
          <w:b/>
          <w:bCs/>
          <w:i/>
          <w:iCs/>
          <w:lang w:eastAsia="en-US"/>
        </w:rPr>
      </w:pPr>
      <w:r w:rsidRPr="00024D5A">
        <w:rPr>
          <w:rFonts w:ascii="Garamond" w:eastAsia="Times New Roman" w:hAnsi="Garamond"/>
          <w:b/>
          <w:bCs/>
          <w:i/>
          <w:iCs/>
          <w:lang w:eastAsia="en-US"/>
        </w:rPr>
        <w:t>Masat prioritare</w:t>
      </w:r>
      <w:r w:rsidR="00C11AC9" w:rsidRPr="00024D5A">
        <w:rPr>
          <w:rFonts w:ascii="Garamond" w:eastAsia="Times New Roman" w:hAnsi="Garamond"/>
          <w:b/>
          <w:bCs/>
          <w:i/>
          <w:iCs/>
          <w:lang w:eastAsia="en-US"/>
        </w:rPr>
        <w:t>:</w:t>
      </w:r>
    </w:p>
    <w:p w14:paraId="253A0A33" w14:textId="768A9F7B" w:rsidR="003E1630" w:rsidRPr="00024D5A" w:rsidRDefault="003F1E3A" w:rsidP="00791B1A">
      <w:pPr>
        <w:pStyle w:val="ListParagraph"/>
        <w:ind w:left="0" w:firstLine="284"/>
        <w:jc w:val="both"/>
        <w:rPr>
          <w:rFonts w:ascii="Garamond" w:eastAsia="Times New Roman" w:hAnsi="Garamond"/>
          <w:lang w:eastAsia="en-US"/>
        </w:rPr>
      </w:pPr>
      <w:r w:rsidRPr="00024D5A">
        <w:rPr>
          <w:rFonts w:ascii="Garamond" w:eastAsia="Times New Roman" w:hAnsi="Garamond"/>
          <w:lang w:eastAsia="en-US"/>
        </w:rPr>
        <w:t xml:space="preserve">2.1 </w:t>
      </w:r>
      <w:r w:rsidR="005743A8" w:rsidRPr="00024D5A">
        <w:rPr>
          <w:rFonts w:ascii="Garamond" w:eastAsia="Times New Roman" w:hAnsi="Garamond"/>
          <w:lang w:eastAsia="en-US"/>
        </w:rPr>
        <w:t>Përmirësimi i sistemit të planifikimit për shërbime të përkujdes</w:t>
      </w:r>
      <w:r w:rsidR="00A2057C" w:rsidRPr="00024D5A">
        <w:rPr>
          <w:rFonts w:ascii="Garamond" w:eastAsia="Times New Roman" w:hAnsi="Garamond"/>
          <w:lang w:eastAsia="en-US"/>
        </w:rPr>
        <w:t>jes</w:t>
      </w:r>
      <w:r w:rsidR="005743A8" w:rsidRPr="00024D5A">
        <w:rPr>
          <w:rFonts w:ascii="Garamond" w:eastAsia="Times New Roman" w:hAnsi="Garamond"/>
          <w:lang w:eastAsia="en-US"/>
        </w:rPr>
        <w:t xml:space="preserve"> shoqëror</w:t>
      </w:r>
      <w:r w:rsidR="00A2057C" w:rsidRPr="00024D5A">
        <w:rPr>
          <w:rFonts w:ascii="Garamond" w:eastAsia="Times New Roman" w:hAnsi="Garamond"/>
          <w:lang w:eastAsia="en-US"/>
        </w:rPr>
        <w:t>e</w:t>
      </w:r>
      <w:r w:rsidR="005743A8" w:rsidRPr="00024D5A">
        <w:rPr>
          <w:rFonts w:ascii="Garamond" w:eastAsia="Times New Roman" w:hAnsi="Garamond"/>
          <w:lang w:eastAsia="en-US"/>
        </w:rPr>
        <w:t xml:space="preserve"> për personat me aftësi të kufizuara, udhëhequr nga parimet e qasjes duale dhe shërbimeve</w:t>
      </w:r>
      <w:r w:rsidR="007F334E" w:rsidRPr="00024D5A">
        <w:rPr>
          <w:rFonts w:ascii="Garamond" w:eastAsia="Times New Roman" w:hAnsi="Garamond"/>
          <w:lang w:eastAsia="en-US"/>
        </w:rPr>
        <w:t>,</w:t>
      </w:r>
      <w:r w:rsidR="005743A8" w:rsidRPr="00024D5A">
        <w:rPr>
          <w:rFonts w:ascii="Garamond" w:eastAsia="Times New Roman" w:hAnsi="Garamond"/>
          <w:lang w:eastAsia="en-US"/>
        </w:rPr>
        <w:t xml:space="preserve"> në përputhje me moshën dhe nevojat.</w:t>
      </w:r>
    </w:p>
    <w:p w14:paraId="3EA61906" w14:textId="7A3E2890"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Plani i Veprimit parashikon rishikimin dhe konsolidimin e kuadrit ligjor, rregullator dhe institucional për zhvillimin e shërbimeve të përkujdes</w:t>
      </w:r>
      <w:r w:rsidR="00F850C9" w:rsidRPr="00024D5A">
        <w:rPr>
          <w:rFonts w:ascii="Garamond" w:eastAsia="Times New Roman" w:hAnsi="Garamond"/>
          <w:lang w:eastAsia="en-US"/>
        </w:rPr>
        <w:t>jes</w:t>
      </w:r>
      <w:r w:rsidRPr="00024D5A">
        <w:rPr>
          <w:rFonts w:ascii="Garamond" w:eastAsia="Times New Roman" w:hAnsi="Garamond"/>
          <w:lang w:eastAsia="en-US"/>
        </w:rPr>
        <w:t xml:space="preserve"> shoqëror për personat me aftësi të kufizuara, në përputhje me parimet e qasjes duale dhe të ofrimit të shërbimeve përgjatë gjithë ciklit të jetës. Në këtë kuadër synohet përmirësimi i standardeve ekzistuese dhe hartimi i standardeve të reja për shërbimet sociale, në përputhje me Kornizën e Standardeve Bazë të Cilësisë për Shërbimet e Kujdesit Shoqëror, duke integruar në mënyrë sistematike element</w:t>
      </w:r>
      <w:r w:rsidR="003D6F4F" w:rsidRPr="00024D5A">
        <w:rPr>
          <w:rFonts w:ascii="Garamond" w:eastAsia="Times New Roman" w:hAnsi="Garamond"/>
          <w:lang w:eastAsia="en-US"/>
        </w:rPr>
        <w:t>e</w:t>
      </w:r>
      <w:r w:rsidRPr="00024D5A">
        <w:rPr>
          <w:rFonts w:ascii="Garamond" w:eastAsia="Times New Roman" w:hAnsi="Garamond"/>
          <w:lang w:eastAsia="en-US"/>
        </w:rPr>
        <w:t>t e aksesueshmërisë dhe të përfshirjes së personave me aftësi të kufizuara në çdo shërbim, qoftë gjithëpërfshirës apo specifik.</w:t>
      </w:r>
    </w:p>
    <w:p w14:paraId="051AD480" w14:textId="14D6E5EF"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Një drejtim i rëndësishëm i ndërhyrjes është përmirësimi i mekanizmave të referimit dhe koordinimit ndërinstitucional, përmes rishikimit të protokolleve dhe procedurave operacionale që lidhen me komisionet biopsikosociale të vlerësimit të aftësisë së kufizuar. Kjo synon të forcojë ndërveprimin ndërmjet institucioneve dhe shërbimeve, duke mundësuar një menaxhim më të integruar të rastit dhe lidhjen më efektive midis procesit të vlerësimit dhe ofrimit të shërbimeve mbështetëse.</w:t>
      </w:r>
    </w:p>
    <w:p w14:paraId="7156D364" w14:textId="3F153376"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Në të njëjtën kohë, plani parashikon realizimin e një vlerësimi të situatës së fëmijëve dhe të rriturve me aftësi të kufizuara</w:t>
      </w:r>
      <w:r w:rsidR="007F334E" w:rsidRPr="00024D5A">
        <w:rPr>
          <w:rFonts w:ascii="Garamond" w:eastAsia="Times New Roman" w:hAnsi="Garamond"/>
          <w:lang w:eastAsia="en-US"/>
        </w:rPr>
        <w:t>,</w:t>
      </w:r>
      <w:r w:rsidRPr="00024D5A">
        <w:rPr>
          <w:rFonts w:ascii="Garamond" w:eastAsia="Times New Roman" w:hAnsi="Garamond"/>
          <w:lang w:eastAsia="en-US"/>
        </w:rPr>
        <w:t xml:space="preserve"> në lidhje me nevojën për shërbime alternative, përfshirë analizën e skenarëve të mundshëm të mbështetjes, hartimin e planeve individuale dhe kostimin e tyre. </w:t>
      </w:r>
    </w:p>
    <w:p w14:paraId="2AF89991" w14:textId="2B64006C"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Strukturat përgjegjëse për shërbimet sociale, shëndetësore, arsimore dhe të punësimit do të ndërveprojnë për të ndërtuar një mbështetje të koordinuar dhe të personalizuar. Vlerësimet e situatës dhe planet individuale do të shërbejnë për të planifikuar shërbimin më të përshtatshëm për çdo individ, duke marrë parasysh moshën, nivelin e funksionimit dhe preferencat personale. Ky proces do të shërbejë si bazë për planifikimin e mëtejshëm të shërbimeve dhe për orientimin më të mirë të burimeve financiare.</w:t>
      </w:r>
    </w:p>
    <w:p w14:paraId="1E281B6E" w14:textId="43ABF4C5"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Një rol qendror në këtë proces do të ketë pushteti vendor. Bashkitë do të fuqizohen në planifikimin, financimin dhe ofrimin e shërbimeve të integruara komunitare, përmes udhëzimeve, standardeve dhe ngritjes së kapaciteteve profesionale. Qasja e Planit synon, që shërbimet e integruara sociale të mos jenë të përqendruara vetëm në disa zona urbane, por të shtrihen në mënyrë të barabartë në të gjithë territorin, përfshirë zonat rurale. Për këtë arsye parashikohet zhvillimi i shërbimeve lëvizëse dhe ofrimi i mbështetjes/këshillimit në distancë, për të reduktuar izolimin social dhe mungesën e aksesit.</w:t>
      </w:r>
    </w:p>
    <w:p w14:paraId="03B116F1" w14:textId="1C221E5F"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Një element kyç i objektivit është zhvillimi i ndërhyrjes së hershme për fëmijët 0</w:t>
      </w:r>
      <w:r w:rsidR="007F334E" w:rsidRPr="00024D5A">
        <w:rPr>
          <w:rFonts w:ascii="Garamond" w:eastAsia="Times New Roman" w:hAnsi="Garamond"/>
          <w:lang w:eastAsia="en-US"/>
        </w:rPr>
        <w:t>–</w:t>
      </w:r>
      <w:r w:rsidRPr="00024D5A">
        <w:rPr>
          <w:rFonts w:ascii="Garamond" w:eastAsia="Times New Roman" w:hAnsi="Garamond"/>
          <w:lang w:eastAsia="en-US"/>
        </w:rPr>
        <w:t>6 vjeç,</w:t>
      </w:r>
      <w:r w:rsidR="008F29FA" w:rsidRPr="00024D5A">
        <w:rPr>
          <w:rFonts w:ascii="Garamond" w:eastAsia="Times New Roman" w:hAnsi="Garamond"/>
          <w:lang w:eastAsia="en-US"/>
        </w:rPr>
        <w:t xml:space="preserve"> </w:t>
      </w:r>
      <w:r w:rsidRPr="00024D5A">
        <w:rPr>
          <w:rFonts w:ascii="Garamond" w:eastAsia="Times New Roman" w:hAnsi="Garamond"/>
          <w:lang w:eastAsia="en-US"/>
        </w:rPr>
        <w:t>përmes një sistemi i cili do të lidhë identifikimin e hershëm me ndërhyrjen rehabilituese dhe më pas me tranzicionin drejt arsimit, shërbimeve shëndetësore dhe sociale, duke krijuar vazhdimësi të mbështetjes gjatë gjithë jetës. Kjo qasje synon të parandalojë përkeqësimin e funksionimit dhe të zvogëlojë nevojën për ndërhyrje intensive në faza të mëvonshme.</w:t>
      </w:r>
    </w:p>
    <w:p w14:paraId="3BC9D612" w14:textId="133FB48E"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Në të njëjtën kohë, Plani parashikon zgjerimin e shërbimeve komunitare për të gjitha grupmoshat: qendra ditore, shërbime rehabilituese, këshillimore dhe psikosociale, si dhe shërbime mbështetëse për të moshuarit me aftësi të kufizuara. Mbështetje do të ofrohet edhe për familjet përmes shërbimeve për prindërit dhe kujdestarët, përfshirë </w:t>
      </w:r>
      <w:r w:rsidRPr="00024D5A">
        <w:rPr>
          <w:rFonts w:ascii="Garamond" w:eastAsia="Times New Roman" w:hAnsi="Garamond"/>
          <w:i/>
          <w:lang w:eastAsia="en-US"/>
        </w:rPr>
        <w:t>respite care</w:t>
      </w:r>
      <w:r w:rsidRPr="00024D5A">
        <w:rPr>
          <w:rFonts w:ascii="Garamond" w:eastAsia="Times New Roman" w:hAnsi="Garamond"/>
          <w:lang w:eastAsia="en-US"/>
        </w:rPr>
        <w:t>, me qëllim lehtësimin e barrës së kujdesit dhe parandalimin e izolimit social të familjes.</w:t>
      </w:r>
    </w:p>
    <w:p w14:paraId="4926450F" w14:textId="77777777"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Një drejtim i rëndësishëm i këtij objektivi është avancimi i procesit të deinstitucionalizimit, me fokus sigurimin e jetesës në komunitet dhe parandalimin e institucionalizimit. Në këtë kuadër plani parashikon mbështetjen për zhvillimin e shërbimeve të reja komunitare, përfshirë ngritjen e modeleve të shtëpive familje për të rriturit e vetmuar me aftësi të kufizuara dhe në rrezik institucionalizimi, si dhe zhvillimin e modelit të kujdestarisë alternative për fëmijët me aftësi të kufizuara, shërbimet e mbështetura për të rinjtë mbi 14 vjeç dhe mbështetja për të rriturit e vetmuar ose në rrezik institucionalizimi. Përmes këtyre ndërhyrjeve synohet që kujdesi institucional të përdoret vetëm si masë e fundit, ndërsa prioritet t’i jepet mbështetjes në familje dhe në komunitet.</w:t>
      </w:r>
    </w:p>
    <w:p w14:paraId="5C342617"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Për të garantuar cilësinë dhe qëndrueshmërinë e sistemit, Plani parashikon zhvillimin e standardeve të reja të shërbimeve dhe përfshirjen e kërkesave të aksesueshmërisë në mjedis, informacion, komunikim dhe transport në çdo shërbim social. Po ashtu, ai parashikon fuqizim kapacitetesh të stafeve për parandalimin e institucionalizimit dhe për ofrimin e shërbimeve alternative, ndërsa monitorimi do të forcohet përmes bazës së të dhënave, treguesve të performancës dhe vlerësimeve periodike të nevojave dhe cilësisë së shërbimeve.</w:t>
      </w:r>
    </w:p>
    <w:p w14:paraId="57A631CC"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Në mënyrë të veçantë, vlerësimi i cilësisë do të bazohet edhe në perceptimin e vetë personave me aftësi të kufizuara dhe familjarëve të tyre, duke analizuar nëse shërbimet plotësojnë realisht nevojat, frekuencën dhe efektivitetin e mbështetjes, si dhe cilësinë e komunikimit me stafin.</w:t>
      </w:r>
    </w:p>
    <w:p w14:paraId="1DD1391A"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Përmes këtyre ndërhyrjeve synohet krijimi i një sistemi shërbimesh sociale më të koordinuar, të aksesueshëm dhe të orientuar drejt nevojave individuale, i cili mbështet përfshirjen sociale dhe jetesën në komunitet të personave me aftësi të kufizuara gjatë gjithë ciklit të jetës.</w:t>
      </w:r>
    </w:p>
    <w:p w14:paraId="4EFF7E73" w14:textId="7CBD78CE" w:rsidR="003E1630" w:rsidRPr="00024D5A" w:rsidRDefault="005743A8" w:rsidP="00791B1A">
      <w:pPr>
        <w:ind w:firstLine="284"/>
        <w:jc w:val="both"/>
        <w:rPr>
          <w:rFonts w:ascii="Garamond" w:eastAsia="Times New Roman" w:hAnsi="Garamond"/>
          <w:i/>
          <w:iCs/>
          <w:lang w:eastAsia="en-US"/>
        </w:rPr>
      </w:pPr>
      <w:r w:rsidRPr="00AC5DA9">
        <w:rPr>
          <w:rFonts w:ascii="Garamond" w:eastAsia="Times New Roman" w:hAnsi="Garamond"/>
          <w:i/>
          <w:iCs/>
          <w:lang w:eastAsia="en-US"/>
        </w:rPr>
        <w:t xml:space="preserve"> </w:t>
      </w:r>
      <w:r w:rsidRPr="00AC5DA9">
        <w:rPr>
          <w:rFonts w:ascii="Garamond" w:eastAsia="Times New Roman" w:hAnsi="Garamond"/>
          <w:b/>
          <w:bCs/>
          <w:i/>
          <w:iCs/>
          <w:lang w:eastAsia="en-US"/>
        </w:rPr>
        <w:t xml:space="preserve">Objektivi </w:t>
      </w:r>
      <w:r w:rsidR="000B27F5" w:rsidRPr="00AC5DA9">
        <w:rPr>
          <w:rFonts w:ascii="Garamond" w:eastAsia="Times New Roman" w:hAnsi="Garamond"/>
          <w:b/>
          <w:bCs/>
          <w:i/>
          <w:iCs/>
          <w:lang w:eastAsia="en-US"/>
        </w:rPr>
        <w:t xml:space="preserve">specifik </w:t>
      </w:r>
      <w:r w:rsidRPr="00AC5DA9">
        <w:rPr>
          <w:rFonts w:ascii="Garamond" w:eastAsia="Times New Roman" w:hAnsi="Garamond"/>
          <w:b/>
          <w:bCs/>
          <w:i/>
          <w:iCs/>
          <w:lang w:eastAsia="en-US"/>
        </w:rPr>
        <w:t>3:</w:t>
      </w:r>
      <w:r w:rsidRPr="00024D5A">
        <w:rPr>
          <w:rFonts w:ascii="Garamond" w:eastAsia="Times New Roman" w:hAnsi="Garamond"/>
          <w:b/>
          <w:bCs/>
          <w:lang w:eastAsia="en-US"/>
        </w:rPr>
        <w:t xml:space="preserve"> </w:t>
      </w:r>
      <w:r w:rsidRPr="00024D5A">
        <w:rPr>
          <w:rFonts w:ascii="Garamond" w:eastAsia="Times New Roman" w:hAnsi="Garamond"/>
          <w:i/>
          <w:iCs/>
          <w:lang w:eastAsia="en-US"/>
        </w:rPr>
        <w:t>Të mundësohet që të gjithë personat me aftësi të kufizuara në Shqipëri të kenë mundësi reale dhe të barabarta për të jetuar në komunitet, me zgjedhje dhe kontroll mbi jetën e tyre, përmes strehimit të aksesueshëm, mbështetjes individuale, shërbimeve të bazuara në komunitet dhe njohjes së plotë të kapacitetit ligjor, në përputhje me Konventën e OKB-së për të Drejtat e Personave me Aftësi të Kufizuara.</w:t>
      </w:r>
    </w:p>
    <w:p w14:paraId="3AA2D0D4" w14:textId="0BD05EC4" w:rsidR="003E1630" w:rsidRPr="00024D5A" w:rsidRDefault="005743A8" w:rsidP="00791B1A">
      <w:pPr>
        <w:ind w:firstLine="284"/>
        <w:jc w:val="both"/>
        <w:rPr>
          <w:rFonts w:ascii="Garamond" w:eastAsia="Times New Roman" w:hAnsi="Garamond"/>
          <w:b/>
          <w:bCs/>
          <w:i/>
          <w:iCs/>
          <w:lang w:eastAsia="en-US"/>
        </w:rPr>
      </w:pPr>
      <w:r w:rsidRPr="00024D5A">
        <w:rPr>
          <w:rFonts w:ascii="Garamond" w:eastAsia="Times New Roman" w:hAnsi="Garamond"/>
          <w:b/>
          <w:bCs/>
          <w:i/>
          <w:iCs/>
          <w:lang w:eastAsia="en-US"/>
        </w:rPr>
        <w:t>Masat prioritare</w:t>
      </w:r>
      <w:r w:rsidR="000B27F5" w:rsidRPr="00024D5A">
        <w:rPr>
          <w:rFonts w:ascii="Garamond" w:eastAsia="Times New Roman" w:hAnsi="Garamond"/>
          <w:b/>
          <w:bCs/>
          <w:i/>
          <w:iCs/>
          <w:lang w:eastAsia="en-US"/>
        </w:rPr>
        <w:t>:</w:t>
      </w:r>
    </w:p>
    <w:p w14:paraId="2B661C30" w14:textId="2F861D90" w:rsidR="003F1E3A" w:rsidRPr="00024D5A" w:rsidRDefault="003F1E3A" w:rsidP="00791B1A">
      <w:pPr>
        <w:autoSpaceDE w:val="0"/>
        <w:autoSpaceDN w:val="0"/>
        <w:adjustRightInd w:val="0"/>
        <w:ind w:firstLine="280"/>
        <w:jc w:val="both"/>
        <w:rPr>
          <w:rFonts w:ascii="Garamond" w:hAnsi="Garamond" w:cs="Garamond"/>
          <w:lang w:eastAsia="en-US"/>
        </w:rPr>
      </w:pPr>
      <w:r w:rsidRPr="00024D5A">
        <w:rPr>
          <w:rFonts w:ascii="Garamond" w:hAnsi="Garamond" w:cs="Garamond"/>
          <w:lang w:eastAsia="en-US"/>
        </w:rPr>
        <w:t>3.1 Garantimi i së drejtës për të jetuar në komunitet përmes strehimit të aksesueshëm, shërbimeve mbështetëse në banesë dhe alternativave komunitare ndaj institucionalizimit;</w:t>
      </w:r>
    </w:p>
    <w:p w14:paraId="075436FB" w14:textId="07E3B8C2" w:rsidR="003F1E3A" w:rsidRPr="00024D5A" w:rsidRDefault="003F1E3A" w:rsidP="00791B1A">
      <w:pPr>
        <w:autoSpaceDE w:val="0"/>
        <w:autoSpaceDN w:val="0"/>
        <w:adjustRightInd w:val="0"/>
        <w:ind w:firstLine="280"/>
        <w:jc w:val="both"/>
        <w:rPr>
          <w:rFonts w:ascii="Garamond" w:hAnsi="Garamond" w:cs="Garamond"/>
          <w:lang w:eastAsia="en-US"/>
        </w:rPr>
      </w:pPr>
      <w:r w:rsidRPr="00024D5A">
        <w:rPr>
          <w:rFonts w:ascii="Garamond" w:hAnsi="Garamond" w:cs="Garamond"/>
          <w:lang w:eastAsia="en-US"/>
        </w:rPr>
        <w:t>3.2 Krijimi dhe zbatimi i Programit Kombëtar të Shërbimit të Ndihmësit Personal në mbështetje të jetesës së pavarur;</w:t>
      </w:r>
    </w:p>
    <w:p w14:paraId="44CDF0FB" w14:textId="182FA330" w:rsidR="003F1E3A" w:rsidRPr="00024D5A" w:rsidRDefault="003F1E3A" w:rsidP="00791B1A">
      <w:pPr>
        <w:autoSpaceDE w:val="0"/>
        <w:autoSpaceDN w:val="0"/>
        <w:adjustRightInd w:val="0"/>
        <w:ind w:firstLine="280"/>
        <w:jc w:val="both"/>
        <w:rPr>
          <w:rFonts w:ascii="Garamond" w:hAnsi="Garamond" w:cs="Garamond"/>
          <w:lang w:eastAsia="en-US"/>
        </w:rPr>
      </w:pPr>
      <w:r w:rsidRPr="00024D5A">
        <w:rPr>
          <w:rFonts w:ascii="Garamond" w:hAnsi="Garamond" w:cs="Garamond"/>
          <w:lang w:eastAsia="en-US"/>
        </w:rPr>
        <w:t>3.3 Njohja e plotë para ligjit dhe zëvendësimi i kujdestarisë ligjore me sistemin e vendimmarrjes së mbështetur.</w:t>
      </w:r>
    </w:p>
    <w:p w14:paraId="5DED078E" w14:textId="3CC88AD1"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Ky objektiv përfaqëson thelbin e reformës së mbrojtjes sociale dhe kalimin nga një model kujdesi tradicional drejt një modeli të jetesës së pavarur. Në praktikë, shumë persona me aftësi të kufizuara vazhdojnë të jetojnë në kushte varësie nga familja, ose përballen me rrezik institucionalizimi</w:t>
      </w:r>
      <w:r w:rsidR="002D1B66" w:rsidRPr="00024D5A">
        <w:rPr>
          <w:rFonts w:ascii="Garamond" w:eastAsia="Times New Roman" w:hAnsi="Garamond"/>
          <w:lang w:eastAsia="en-US"/>
        </w:rPr>
        <w:t>,</w:t>
      </w:r>
      <w:r w:rsidRPr="00024D5A">
        <w:rPr>
          <w:rFonts w:ascii="Garamond" w:eastAsia="Times New Roman" w:hAnsi="Garamond"/>
          <w:lang w:eastAsia="en-US"/>
        </w:rPr>
        <w:t xml:space="preserve"> për shkak të mungesës së strehimit të përshtatshëm, shërbimeve mbështetëse dhe autonomisë ligjore. Plani </w:t>
      </w:r>
      <w:r w:rsidR="00657405" w:rsidRPr="00024D5A">
        <w:rPr>
          <w:rFonts w:ascii="Garamond" w:eastAsia="Times New Roman" w:hAnsi="Garamond"/>
          <w:lang w:eastAsia="en-US"/>
        </w:rPr>
        <w:t>2026–2030</w:t>
      </w:r>
      <w:r w:rsidRPr="00024D5A">
        <w:rPr>
          <w:rFonts w:ascii="Garamond" w:eastAsia="Times New Roman" w:hAnsi="Garamond"/>
          <w:lang w:eastAsia="en-US"/>
        </w:rPr>
        <w:t xml:space="preserve"> synon të krijojë kushtet reale që individi të ketë zgjedhje mbi jetën e tij, ku jeton, me kë jeton dhe si organizon jetën e përditshme.</w:t>
      </w:r>
    </w:p>
    <w:p w14:paraId="6947ABC0" w14:textId="11881E58"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Në radhë të parë, ndërhyrjet fokusohen te strehimi. Do të realizohet një studim kombëtar për të identifikuar nevojat reale për strehim të aksesueshëm dhe për të përcaktuar rrezikun e institucionalizimit. Programet publike të strehimit social do të vijojnë të përfshijnë kuota të dedikuara për personat me aftësi të kufizuara dhe subvencione qiraje, ndërsa informacioni mbi përfitimin do të ofrohet në formate të aksesueshme. Një element i ri është përcaktimi i standardeve të detyrueshme të aksesueshmërisë për banesat sociale, me qëllim shmangien e segregimit dhe krijimin e banimit të integruar në komunitet. Në nivel vendor, do të hartëzohen personat në rrezik institucionalizimi dhe do të zhvillohen modele të ndryshme të strehimit komunitar, përfshirë shtëpitë e mbështetura për personat që nuk mund të jetojnë plotësisht të pavarur.</w:t>
      </w:r>
    </w:p>
    <w:p w14:paraId="7D94C46E"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Paralelisht me strehimin, Plani parashikon zhvillimin e paketës së shërbimeve të jetesës së pavarur në banesë. Kjo nënkupton që personi nuk do të jetë i detyruar të largohet nga komuniteti për të marrë kujdes, pasi mbështetja do të ofrohet në vendbanim përmes shërbimeve sociale dhe mbështetjes individuale.</w:t>
      </w:r>
    </w:p>
    <w:p w14:paraId="4F40AE70" w14:textId="2E00C4F3"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Shtylla kryesore e këtij transformimi është krijimi i shërbimit të ndihmësit personal. Për herë të parë synohet ndërtimi i një programi kombëtar të strukturuar, të standardizuar dhe të financuar publikisht, që i jep individit kontroll real mbi jetën e tij të përditshme. Do të kryhet një analizë e plotë ligjore dhe funksionale e skemave ekzistuese, do të hartohet kuadri ligjor dhe nënligjor, standardet e shërbimit, procedurat e vlerësimit dhe skema e financimit. Përfituesit dhe ndihmësit personalë do të trajnohen për të menaxhuar shërbimin, ndërsa sistemi do të pilotohet fillimisht te personat me aftësi të kufizuara të thella dhe ata në rrezik institucionalizimi. Njëkohësisht, do të krijohen mekanizma monitorimi, ankimimi dhe informimi publik, si dhe do të zhvillohen fushata ndërgjegjësimi për këtë të drejtë. Krahas ndihmësit personal, do të promovohet edhe mbështetja nga të ngjashmit </w:t>
      </w:r>
      <w:r w:rsidRPr="00024D5A">
        <w:rPr>
          <w:rFonts w:ascii="Garamond" w:eastAsia="Times New Roman" w:hAnsi="Garamond"/>
          <w:i/>
          <w:iCs/>
          <w:lang w:eastAsia="en-US"/>
        </w:rPr>
        <w:t>(peer support),</w:t>
      </w:r>
      <w:r w:rsidRPr="00024D5A">
        <w:rPr>
          <w:rFonts w:ascii="Garamond" w:eastAsia="Times New Roman" w:hAnsi="Garamond"/>
          <w:lang w:eastAsia="en-US"/>
        </w:rPr>
        <w:t xml:space="preserve"> si një formë fuqizimi dhe përfshirjeje sociale.</w:t>
      </w:r>
    </w:p>
    <w:p w14:paraId="7F70EFE7" w14:textId="34F4BC06"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Elementi i tretë i objektivit lidhet me autonominë ligjore. Aktualisht, një pjesë e personave me aftësi të kufizuara, veçanërisht ata me aftësi të kufizuara intelektuale dhe psikosociale, janë subjekt i heqjes/kufizimit së zotësisë për të vepruar dhe vendimmarrjes nga kujdestarët. Plani synon zëvendësimin gradual të këtij sistemi me vendimmarrjen e mbështetur. Për këtë arsye, do të realizohet analizë e plotë ligjore, rishikim i kodeve dhe ligjeve kryesore, si dhe ngritje e mekanizmave të rinj ligjorë që respektojnë vullnetin dhe preferencat e individit. Parashikohet</w:t>
      </w:r>
      <w:r w:rsidR="00B5775E" w:rsidRPr="00024D5A">
        <w:rPr>
          <w:rFonts w:ascii="Garamond" w:eastAsia="Times New Roman" w:hAnsi="Garamond"/>
          <w:lang w:eastAsia="en-US"/>
        </w:rPr>
        <w:t>,</w:t>
      </w:r>
      <w:r w:rsidRPr="00024D5A">
        <w:rPr>
          <w:rFonts w:ascii="Garamond" w:eastAsia="Times New Roman" w:hAnsi="Garamond"/>
          <w:lang w:eastAsia="en-US"/>
        </w:rPr>
        <w:t xml:space="preserve"> gjithashtu</w:t>
      </w:r>
      <w:r w:rsidR="00B5775E" w:rsidRPr="00024D5A">
        <w:rPr>
          <w:rFonts w:ascii="Garamond" w:eastAsia="Times New Roman" w:hAnsi="Garamond"/>
          <w:lang w:eastAsia="en-US"/>
        </w:rPr>
        <w:t>,</w:t>
      </w:r>
      <w:r w:rsidRPr="00024D5A">
        <w:rPr>
          <w:rFonts w:ascii="Garamond" w:eastAsia="Times New Roman" w:hAnsi="Garamond"/>
          <w:lang w:eastAsia="en-US"/>
        </w:rPr>
        <w:t xml:space="preserve"> trajnimi i profesionistëve të sistemit të drejtësisë, shëndetësisë dhe shërbimeve sociale, si dhe zhvillimi i materialeve udhëzuese dhe fushatave informuese për personat me aftësi të kufizuara dhe familjarët e tyre.</w:t>
      </w:r>
    </w:p>
    <w:p w14:paraId="2AB05C5E"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Ky objektiv synon të krijojë një ndryshim thelbësor nga një sistem që mbështetet në kujdesin institucional dhe vendimmarrjen për individin, drejt një sistemi që garanton autonomi personale, jetesë në komunitet dhe pjesëmarrje të plotë sociale. </w:t>
      </w:r>
    </w:p>
    <w:p w14:paraId="4AD447E8" w14:textId="77777777" w:rsidR="003E1630" w:rsidRPr="00024D5A" w:rsidRDefault="005743A8" w:rsidP="00791B1A">
      <w:pPr>
        <w:ind w:firstLine="284"/>
        <w:jc w:val="both"/>
        <w:rPr>
          <w:rFonts w:ascii="Garamond" w:eastAsia="Times New Roman" w:hAnsi="Garamond"/>
          <w:i/>
          <w:iCs/>
          <w:lang w:eastAsia="en-US"/>
        </w:rPr>
      </w:pPr>
      <w:r w:rsidRPr="00AC5DA9">
        <w:rPr>
          <w:rFonts w:ascii="Garamond" w:eastAsia="Times New Roman" w:hAnsi="Garamond"/>
          <w:b/>
          <w:bCs/>
          <w:i/>
          <w:iCs/>
          <w:lang w:eastAsia="en-US"/>
        </w:rPr>
        <w:t>Objektivi specifik 4</w:t>
      </w:r>
      <w:r w:rsidRPr="00AC5DA9">
        <w:rPr>
          <w:rFonts w:ascii="Garamond" w:eastAsia="Times New Roman" w:hAnsi="Garamond"/>
          <w:i/>
          <w:iCs/>
          <w:lang w:eastAsia="en-US"/>
        </w:rPr>
        <w:t>:</w:t>
      </w:r>
      <w:r w:rsidRPr="00024D5A">
        <w:rPr>
          <w:rFonts w:ascii="Garamond" w:eastAsia="Times New Roman" w:hAnsi="Garamond"/>
          <w:i/>
          <w:iCs/>
          <w:lang w:eastAsia="en-US"/>
        </w:rPr>
        <w:t xml:space="preserve"> Të garantohet mbrojtja efektive e të drejtave, dinjitetit dhe barazisë së grave dhe vajzave me aftësi të kufizuara nga të gjitha format e dhunës, duke adresuar diskriminimin e shumëfishtë dhe duke siguruar akses të plotë dhe të përshtatur në shërbime, mekanizma mbrojtës dhe drejtësi.</w:t>
      </w:r>
    </w:p>
    <w:p w14:paraId="4CD76D3E" w14:textId="2BDE0474" w:rsidR="003E1630" w:rsidRPr="00024D5A" w:rsidRDefault="005743A8" w:rsidP="00791B1A">
      <w:pPr>
        <w:ind w:firstLine="284"/>
        <w:jc w:val="both"/>
        <w:rPr>
          <w:rFonts w:ascii="Garamond" w:eastAsia="Times New Roman" w:hAnsi="Garamond"/>
          <w:b/>
          <w:bCs/>
          <w:i/>
          <w:iCs/>
          <w:lang w:eastAsia="en-US"/>
        </w:rPr>
      </w:pPr>
      <w:r w:rsidRPr="00024D5A">
        <w:rPr>
          <w:rFonts w:ascii="Garamond" w:eastAsia="Times New Roman" w:hAnsi="Garamond"/>
          <w:b/>
          <w:bCs/>
          <w:i/>
          <w:iCs/>
          <w:lang w:eastAsia="en-US"/>
        </w:rPr>
        <w:t>Masat prioritare</w:t>
      </w:r>
      <w:r w:rsidR="00B5775E" w:rsidRPr="00024D5A">
        <w:rPr>
          <w:rFonts w:ascii="Garamond" w:eastAsia="Times New Roman" w:hAnsi="Garamond"/>
          <w:b/>
          <w:bCs/>
          <w:i/>
          <w:iCs/>
          <w:lang w:eastAsia="en-US"/>
        </w:rPr>
        <w:t>:</w:t>
      </w:r>
    </w:p>
    <w:p w14:paraId="7D80A126" w14:textId="469A0F03" w:rsidR="003F1E3A" w:rsidRPr="00024D5A" w:rsidRDefault="003F1E3A" w:rsidP="00791B1A">
      <w:pPr>
        <w:autoSpaceDE w:val="0"/>
        <w:autoSpaceDN w:val="0"/>
        <w:adjustRightInd w:val="0"/>
        <w:ind w:firstLine="280"/>
        <w:jc w:val="both"/>
        <w:rPr>
          <w:rFonts w:ascii="Garamond" w:hAnsi="Garamond" w:cs="Garamond"/>
          <w:lang w:eastAsia="en-US"/>
        </w:rPr>
      </w:pPr>
      <w:r w:rsidRPr="00024D5A">
        <w:rPr>
          <w:rFonts w:ascii="Garamond" w:hAnsi="Garamond" w:cs="Garamond"/>
          <w:lang w:eastAsia="en-US"/>
        </w:rPr>
        <w:t>4.1 Garantimi i aksesueshmërisë dhe përshtatjes së shërbimeve, mekanizmave të referimit dhe procedurave për gratë dhe vajzat me aftësi të kufizuara, viktima të dhunës;</w:t>
      </w:r>
    </w:p>
    <w:p w14:paraId="4AB33527" w14:textId="46E84D07" w:rsidR="003F1E3A" w:rsidRPr="00024D5A" w:rsidRDefault="003F1E3A" w:rsidP="00791B1A">
      <w:pPr>
        <w:autoSpaceDE w:val="0"/>
        <w:autoSpaceDN w:val="0"/>
        <w:adjustRightInd w:val="0"/>
        <w:ind w:firstLine="280"/>
        <w:jc w:val="both"/>
        <w:rPr>
          <w:rFonts w:ascii="Garamond" w:hAnsi="Garamond" w:cs="Garamond"/>
          <w:lang w:eastAsia="en-US"/>
        </w:rPr>
      </w:pPr>
      <w:r w:rsidRPr="00024D5A">
        <w:rPr>
          <w:rFonts w:ascii="Garamond" w:hAnsi="Garamond" w:cs="Garamond"/>
          <w:lang w:eastAsia="en-US"/>
        </w:rPr>
        <w:t>4.2 Parandalimi i dhunës ndaj grave dhe vajzave me aftësi të kufizuara në familje dhe komunitet, përmes ndërgjegjësimit, forcimit të raportimit, mbrojtjes dhe ndërhyrjes së hershme, të bazuara në evidencë;</w:t>
      </w:r>
    </w:p>
    <w:p w14:paraId="580AE6DE" w14:textId="6898C9CA" w:rsidR="003F1E3A" w:rsidRPr="00024D5A" w:rsidRDefault="003F1E3A" w:rsidP="00791B1A">
      <w:pPr>
        <w:autoSpaceDE w:val="0"/>
        <w:autoSpaceDN w:val="0"/>
        <w:adjustRightInd w:val="0"/>
        <w:ind w:firstLine="280"/>
        <w:jc w:val="both"/>
        <w:rPr>
          <w:rFonts w:ascii="Garamond" w:hAnsi="Garamond" w:cs="Garamond"/>
          <w:lang w:eastAsia="en-US"/>
        </w:rPr>
      </w:pPr>
      <w:r w:rsidRPr="00024D5A">
        <w:rPr>
          <w:rFonts w:ascii="Garamond" w:hAnsi="Garamond" w:cs="Garamond"/>
          <w:lang w:eastAsia="en-US"/>
        </w:rPr>
        <w:t>4.3 Mundësimi i një qasjeje të plotë, të informuar dhe pa diskriminim në shërbime të shëndetit seksual dhe riprodhues, duke respektuar autonominë dhe të drejtat riprodhuese të grave me aftësi të kufizuara.</w:t>
      </w:r>
    </w:p>
    <w:p w14:paraId="0F6ADF61" w14:textId="43BEC2BA"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Ky objektiv adreson një nga sfidat më të ndjeshme dhe më pak të raportuara, dhunën dhe abuzimin ndaj grave dhe vajzave me aftësi të kufizuara, të cilat përballen shpesh me diskriminim të shumëfishtë dhe barriera të shtuara në aksesin në shërbime, mbrojtje dhe drejtësi. PKVPAK 2026</w:t>
      </w:r>
      <w:r w:rsidR="00F850C9" w:rsidRPr="00024D5A">
        <w:rPr>
          <w:rFonts w:ascii="Garamond" w:eastAsia="Times New Roman" w:hAnsi="Garamond"/>
          <w:lang w:eastAsia="en-US"/>
        </w:rPr>
        <w:t>–</w:t>
      </w:r>
      <w:r w:rsidRPr="00024D5A">
        <w:rPr>
          <w:rFonts w:ascii="Garamond" w:eastAsia="Times New Roman" w:hAnsi="Garamond"/>
          <w:lang w:eastAsia="en-US"/>
        </w:rPr>
        <w:t>2030 synon të garantojë që sistemi i mbrojtjes sociale dhe shërbimeve të dhunës me bazë gjinore të përshtatet realisht për nevojat e grave me aftësi të kufizuara, duke zvogëluar pengesat fizike, procedurale, të komunikimit dhe të qëndrimeve.</w:t>
      </w:r>
    </w:p>
    <w:p w14:paraId="12084A82"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Në kuadër të masës prioritare 4.1, Plani parashikon fillimisht krijimin e një baze të qartë, evidence mbi nivelin e aksesueshmërisë në shërbimet ekzistuese. Auditimi i aksesueshmërisë në të gjitha qendrat, që ofrojnë shërbime për gratë dhe vajzat viktima të dhunës, do të shërbejë si pikënisje për të identifikuar boshllëqet konkrete në ambiente, shërbime, komunikim dhe procedura. Mbi këtë bazë, do të përcaktohen tregues minimalë për monitorimin e aksesueshmërisë dhe efektivitetit të masave, me qëllim që përmirësimet të mos jenë sporadike, por të matshme dhe të raportueshme.</w:t>
      </w:r>
    </w:p>
    <w:p w14:paraId="631F0E87"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Plani synon të garantojë, që shërbimet për trajtimin e dhunës ndaj grave dhe dhunës në familje të jenë të aksesueshme në mënyrë të plotë, pra jo vetëm në aspektin fizik, por edhe në atë digjital, si dhe të pranishme dhe funksionale në të gjitha mjediset, ku gratë me aftësi të kufizuara përballen me rrezik të shtuar (p.sh. në institucione, në izolim familjar, në zona të largëta). Një element kyç është zbatimi sistematik i akomodimit të arsyeshëm, duke përfshirë edhe akomodimin procedural në aksesin në drejtësi (p.sh. mënyra e marrjes në pyetje, afatet, prania e mbështetjes së nevojshme, interpretimi në gjuhë shenjash, formatet e komunikimit të përshtatura). Kjo qasje lidhet drejtpërdrejt me integrimin e kritereve specifike të aftësisë së kufizuar në procedurat e vlerësimit të riskut dhe menaxhimit të rasteve nga mekanizmat e koordinuar të referimit, në mënyrë që rreziku të mos nënvlerësohet dhe ndërhyrjet të jenë të personalizuara.</w:t>
      </w:r>
    </w:p>
    <w:p w14:paraId="397D3ED0" w14:textId="03A2BEB8"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Për të forcuar cilësinë e ndërhyrjes, Plani parashikon rishikimin e standardeve të shërbimeve për qendrat e trajtimit të viktimave të dhunës dhe viktimave të trafikimit, duke i përafruar me standardet e</w:t>
      </w:r>
      <w:r w:rsidR="008F29FA" w:rsidRPr="00024D5A">
        <w:rPr>
          <w:rFonts w:ascii="Garamond" w:eastAsia="Times New Roman" w:hAnsi="Garamond"/>
          <w:lang w:eastAsia="en-US"/>
        </w:rPr>
        <w:t xml:space="preserve"> </w:t>
      </w:r>
      <w:r w:rsidRPr="00024D5A">
        <w:rPr>
          <w:rFonts w:ascii="Garamond" w:eastAsia="Times New Roman" w:hAnsi="Garamond"/>
        </w:rPr>
        <w:t>KDPAK</w:t>
      </w:r>
      <w:r w:rsidRPr="00024D5A">
        <w:rPr>
          <w:rFonts w:ascii="Garamond" w:eastAsia="Times New Roman" w:hAnsi="Garamond"/>
          <w:lang w:eastAsia="en-US"/>
        </w:rPr>
        <w:t>, Konventës së Stambollit dhe Direktivës së BE-së 1385/2024. Kjo nënkupton jo vetëm rishikim dokumentesh, por edhe riformulimin të protokolleve të punës, rolit të stafit, burimeve njerëzore dhe zbatimin e një qasjeje shumëdisiplinore dhe individuale për gratë dhe vajzat me aftësi të kufizuara. Për ta bërë të zbatueshme këtë qasje, do të realizohen vlerësime të nevojave për trajnime dhe do të strukturohen programe të financuara trajnimi për stafin e shërbimeve, duke synuar të rritet aftësia e ndërveprimit profesional me gratë me aftësi të kufizuara.</w:t>
      </w:r>
    </w:p>
    <w:p w14:paraId="14DF8F60" w14:textId="6E9073D8"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Masa prioritare 4.2 e zhvendos fokusin edhe te parandalimi dhe ndërhyrja e hershme, duke pranuar se dhuna shpesh ndodh në mjedise, ku raportimi është i vështirë ose i pamundur, veçanërisht kur gruaja është e varur nga familja/ndihmësi personal ose jeton në izolim. Plani parashikon fushata ndërgjegjësimi me materiale në formate të aksesueshme, që synojnë të rrisin njohjen e të drejtave, identifikimin e shenjave të dhunës dhe rrugët e raportimit. Ndërkohë, akses i vazhdueshëm në informacion do të garantohet sa më afër mjediseve, ku jetojnë gratë me aftësi të kufizuara, përmes fuqizimit të aktorëve kyç të vijës së parë: mjeku i familjes, administratori shoqëror, punonjësi social dhe psikologu i shkollës. </w:t>
      </w:r>
    </w:p>
    <w:p w14:paraId="5F8C193C" w14:textId="381A2138"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Në të njëjtën linjë, do të zhvillohen programe të synuara për familjarët dhe kujdestarët, pasi në shumë raste pikërisht varësia nga kujdesi dhe mungesa e rrjeteve alternative e rrit rrezikun e abuzimit. Një element shumë i rëndësishëm i masës 4.2 është</w:t>
      </w:r>
      <w:r w:rsidR="008F29FA" w:rsidRPr="00024D5A">
        <w:rPr>
          <w:rFonts w:ascii="Garamond" w:eastAsia="Times New Roman" w:hAnsi="Garamond"/>
          <w:lang w:eastAsia="en-US"/>
        </w:rPr>
        <w:t xml:space="preserve"> </w:t>
      </w:r>
      <w:r w:rsidRPr="00024D5A">
        <w:rPr>
          <w:rFonts w:ascii="Garamond" w:eastAsia="Times New Roman" w:hAnsi="Garamond"/>
          <w:lang w:eastAsia="en-US"/>
        </w:rPr>
        <w:t>përmirësimi i sistemit të mbledhjes së të dhënave, të ndara sipas gjinisë dhe llojit të aftësisë së kufizuar, me standarde të qarta për konfidencialitetin dhe mbrojtjen e të dhënave personale. Plani parashikon edhe zbatimin e rekomandimeve të organeve të të drejtave të njeriut dhe integrimin e çështjeve të grave me aftësi të kufizuara, në mekanizmat ekzistues të parandalimit dhe raportimit të dhunës, duke e bërë këtë temë pjesë të qëndrueshme të qeverisjes së politikave gjinore.</w:t>
      </w:r>
    </w:p>
    <w:p w14:paraId="1CB0F7F4"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Masa prioritare 4.3 adreson një dimension shpesh të lënë jashtë në mbrojtjen sociale, të drejtat seksuale dhe riprodhuese të grave me aftësi të kufizuara. Për këtë arsye do të sigurohet informacion në formate të aksesueshme (Braille, audio, gjuhë e thjeshtuar, gjuhë shenjash), do të zhvillohen trajnime për personelin shëndetësor mbi komunikimin etik, pëlqimin e informuar dhe vendimmarrjen e mbështetur dhe do të hartohen protokolle standarde që garantojnë pëlqimin e informuar për çdo shërbim. Njëkohësisht, do të hartohen protokolle, që ndalojnë praktikat diskriminuese, si sterilizimi i detyruar apo ndërhyrjet pa pëlqim, duke respektuar autonominë dhe integritetin e grave me aftësi të kufizuara.</w:t>
      </w:r>
    </w:p>
    <w:p w14:paraId="4C25075C" w14:textId="77777777" w:rsidR="003E1630" w:rsidRPr="00024D5A" w:rsidRDefault="005743A8" w:rsidP="00791B1A">
      <w:pPr>
        <w:ind w:firstLine="284"/>
        <w:jc w:val="both"/>
        <w:rPr>
          <w:rFonts w:ascii="Garamond" w:eastAsia="Times New Roman" w:hAnsi="Garamond"/>
          <w:b/>
          <w:bCs/>
          <w:lang w:eastAsia="en-US"/>
        </w:rPr>
      </w:pPr>
      <w:r w:rsidRPr="00024D5A">
        <w:rPr>
          <w:rFonts w:ascii="Garamond" w:eastAsia="Times New Roman" w:hAnsi="Garamond"/>
          <w:b/>
          <w:bCs/>
          <w:lang w:eastAsia="en-US"/>
        </w:rPr>
        <w:t xml:space="preserve">Objektivi 5: </w:t>
      </w:r>
      <w:r w:rsidRPr="00024D5A">
        <w:rPr>
          <w:rFonts w:ascii="Garamond" w:eastAsia="Times New Roman" w:hAnsi="Garamond"/>
          <w:i/>
          <w:iCs/>
          <w:lang w:eastAsia="en-US"/>
        </w:rPr>
        <w:t>Fëmijët me aftësi të kufizuara gëzojnë plotësisht të drejtat dhe liritë e tyre themelore në baza të barabarta me fëmijët e tjerë, duke pasur gjithmonë parasysh interesin më të lartë të tyre, me fokus mbështetjen e përshtatshme sipas moshës dhe nevojave individuale.</w:t>
      </w:r>
    </w:p>
    <w:p w14:paraId="43982558" w14:textId="4C73E169" w:rsidR="003E1630" w:rsidRPr="00024D5A" w:rsidRDefault="005743A8" w:rsidP="00791B1A">
      <w:pPr>
        <w:ind w:firstLine="284"/>
        <w:jc w:val="both"/>
        <w:rPr>
          <w:rFonts w:ascii="Garamond" w:eastAsia="Times New Roman" w:hAnsi="Garamond"/>
          <w:b/>
          <w:bCs/>
          <w:i/>
          <w:iCs/>
          <w:lang w:eastAsia="en-US"/>
        </w:rPr>
      </w:pPr>
      <w:r w:rsidRPr="00024D5A">
        <w:rPr>
          <w:rFonts w:ascii="Garamond" w:eastAsia="Times New Roman" w:hAnsi="Garamond"/>
          <w:b/>
          <w:bCs/>
          <w:i/>
          <w:iCs/>
          <w:lang w:eastAsia="en-US"/>
        </w:rPr>
        <w:t>Masa prioritare</w:t>
      </w:r>
      <w:r w:rsidR="00F93776" w:rsidRPr="00024D5A">
        <w:rPr>
          <w:rFonts w:ascii="Garamond" w:eastAsia="Times New Roman" w:hAnsi="Garamond"/>
          <w:b/>
          <w:bCs/>
          <w:i/>
          <w:iCs/>
          <w:lang w:eastAsia="en-US"/>
        </w:rPr>
        <w:t>:</w:t>
      </w:r>
    </w:p>
    <w:p w14:paraId="3EDD8167" w14:textId="763B8E60" w:rsidR="003E1630" w:rsidRPr="00024D5A" w:rsidRDefault="00994FA9" w:rsidP="00CD09AF">
      <w:pPr>
        <w:pStyle w:val="ListParagraph"/>
        <w:ind w:left="0" w:firstLine="288"/>
        <w:jc w:val="both"/>
        <w:rPr>
          <w:rFonts w:ascii="Garamond" w:eastAsia="Times New Roman" w:hAnsi="Garamond"/>
          <w:lang w:eastAsia="en-US"/>
        </w:rPr>
      </w:pPr>
      <w:r w:rsidRPr="00024D5A">
        <w:rPr>
          <w:rFonts w:ascii="Garamond" w:eastAsia="Times New Roman" w:hAnsi="Garamond"/>
          <w:lang w:eastAsia="en-US"/>
        </w:rPr>
        <w:t xml:space="preserve">5.1 </w:t>
      </w:r>
      <w:r w:rsidR="005743A8" w:rsidRPr="00024D5A">
        <w:rPr>
          <w:rFonts w:ascii="Garamond" w:eastAsia="Times New Roman" w:hAnsi="Garamond"/>
          <w:lang w:eastAsia="en-US"/>
        </w:rPr>
        <w:t>Përforcimi i mbrojtjes nga dhuna dhe diskriminimi përmes fuqizimit të kapaciteteve, shërbimeve të integruara, forcimit të sistemeve të të dhënave, monitorimit dhe raportimit.</w:t>
      </w:r>
    </w:p>
    <w:p w14:paraId="52BA1D7D" w14:textId="510EA258"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Ky objektiv synon të vendosë në qendër të politikave të mbrojtjes sociale fëmijën me aftësi të kufizuara, si mbajtës të drejtash dhe jo vetëm si përfitues shërbimesh. Plani</w:t>
      </w:r>
      <w:r w:rsidR="008F29FA" w:rsidRPr="00024D5A">
        <w:rPr>
          <w:rFonts w:ascii="Garamond" w:eastAsia="Times New Roman" w:hAnsi="Garamond"/>
          <w:lang w:eastAsia="en-US"/>
        </w:rPr>
        <w:t xml:space="preserve"> </w:t>
      </w:r>
      <w:r w:rsidRPr="00024D5A">
        <w:rPr>
          <w:rFonts w:ascii="Garamond" w:eastAsia="Times New Roman" w:hAnsi="Garamond"/>
          <w:lang w:eastAsia="en-US"/>
        </w:rPr>
        <w:t>synon që mbrojtja e fëmijëve me aftësi të kufizuara, të mos trajtohet si çështje sektoriale</w:t>
      </w:r>
      <w:r w:rsidR="00B47620" w:rsidRPr="00024D5A">
        <w:rPr>
          <w:rFonts w:ascii="Garamond" w:eastAsia="Times New Roman" w:hAnsi="Garamond"/>
          <w:lang w:eastAsia="en-US"/>
        </w:rPr>
        <w:t>,</w:t>
      </w:r>
      <w:r w:rsidRPr="00024D5A">
        <w:rPr>
          <w:rFonts w:ascii="Garamond" w:eastAsia="Times New Roman" w:hAnsi="Garamond"/>
          <w:lang w:eastAsia="en-US"/>
        </w:rPr>
        <w:t xml:space="preserve"> por si përgjegjësi e integruar e sistemit të mbrojtjes së fëmijës, ku çdo institucion që ndërvepron me fëmijën ka rol në identifikimin e rrezikut, parandalimin e dhunës dhe ofrimin e mbështetjes së përshtatshme.</w:t>
      </w:r>
    </w:p>
    <w:p w14:paraId="490A32C8" w14:textId="7726C592"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Një nga sfidat kryesore është fakti, që fëmijët me aftësi të kufizuara janë më të ekspozuar ndaj neglizhencës, dhunës dhe izolimit social, ndërkohë që rastet shpesh mbeten të paidentifikuara</w:t>
      </w:r>
      <w:r w:rsidR="00F93776" w:rsidRPr="00024D5A">
        <w:rPr>
          <w:rFonts w:ascii="Garamond" w:eastAsia="Times New Roman" w:hAnsi="Garamond"/>
          <w:lang w:eastAsia="en-US"/>
        </w:rPr>
        <w:t>,</w:t>
      </w:r>
      <w:r w:rsidRPr="00024D5A">
        <w:rPr>
          <w:rFonts w:ascii="Garamond" w:eastAsia="Times New Roman" w:hAnsi="Garamond"/>
          <w:lang w:eastAsia="en-US"/>
        </w:rPr>
        <w:t xml:space="preserve"> për shkak të mungesës së kapaciteteve profesionale dhe barrierave në komunikim. Për këtë arsye, Plani parashikon rritjen e kapaciteteve të profesionistëve të vijës së parë, mësuesve, edukatorëve, punonjësve socialë, stafit shëndetësor dhe personelit të qendrave të zhvillimit, në identifikimin e hershëm të dhunës, raportimin dhe menaxhimin e rasteve. Trajnimet do të fokusohen në përdorimin e metodave praktike dhe studimeve të rasteve konkrete, në mënyrë që profesionistët të kuptojnë shenjat e abuzimit edhe kur fëmija ka vështirësi komunikimi ose nuk është në gjendje të raportojë vetë.</w:t>
      </w:r>
    </w:p>
    <w:p w14:paraId="274AEB7D" w14:textId="084122C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Paralelisht, Plani parashikon fuqizimin e prindërve dhe kujdestarëve, përmes informimit dhe trajnimit mbi të drejtat e fëmijëve me aftësi të kufizuara, format e dhunës dhe mekanizmat e raportimit. Qëllimi është që familja të mos mbetet vetëm bartëse e përgjegjësisë së kujdesit, por të bëhet partner aktiv në mbrojtjen e fëmijës dhe në identifikimin e hershëm të rrezikut. Në rastet kur dhuna apo diskriminimi ndodh, fëmijët dhe familjet e tyre do të kenë akses në mbështetje psikosociale të përshtatur, sipas moshës, të ofruar në institucione arsimore dhe në shërbime komunitare, duke shmangur ndërhyrjet e vonuara ose të fragmentuara.</w:t>
      </w:r>
    </w:p>
    <w:p w14:paraId="0038E32B"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Një rol kyç do të kenë Njësitë e Mbrojtjes së Fëmijëve në nivel vendor, të cilat do të fuqizohen për të përfshirë fëmijët me aftësi të kufizuara në planet, programet dhe raportimet e tyre. Kjo do të thotë që menaxhimi i rasteve, vlerësimi i riskut dhe ndërhyrjet mbrojtëse do të përshtaten për nevojat specifike të fëmijëve me aftësi të kufizuara, duke marrë në konsideratë komunikimin alternativ, mbështetjen e specializuar dhe përfshirjen e shërbimeve të tjera sektoriale.</w:t>
      </w:r>
    </w:p>
    <w:p w14:paraId="216FAA69" w14:textId="77777777" w:rsidR="003E1630" w:rsidRPr="00024D5A" w:rsidRDefault="005743A8" w:rsidP="00791B1A">
      <w:pPr>
        <w:ind w:firstLine="284"/>
        <w:jc w:val="both"/>
        <w:rPr>
          <w:rFonts w:ascii="Garamond" w:eastAsia="Times New Roman" w:hAnsi="Garamond"/>
          <w:b/>
          <w:bCs/>
          <w:lang w:eastAsia="en-US"/>
        </w:rPr>
      </w:pPr>
      <w:r w:rsidRPr="00AC5DA9">
        <w:rPr>
          <w:rFonts w:ascii="Garamond" w:eastAsia="Times New Roman" w:hAnsi="Garamond"/>
          <w:b/>
          <w:bCs/>
          <w:i/>
          <w:iCs/>
          <w:lang w:eastAsia="en-US"/>
        </w:rPr>
        <w:t>Objektivi specifik 6</w:t>
      </w:r>
      <w:r w:rsidRPr="00AC5DA9">
        <w:rPr>
          <w:rFonts w:ascii="Garamond" w:eastAsia="Times New Roman" w:hAnsi="Garamond"/>
          <w:i/>
          <w:iCs/>
          <w:lang w:eastAsia="en-US"/>
        </w:rPr>
        <w:t>:</w:t>
      </w:r>
      <w:r w:rsidRPr="00024D5A">
        <w:rPr>
          <w:rFonts w:ascii="Garamond" w:eastAsia="Times New Roman" w:hAnsi="Garamond"/>
          <w:i/>
          <w:iCs/>
          <w:lang w:eastAsia="en-US"/>
        </w:rPr>
        <w:t xml:space="preserve"> Forcimi i një sistemi gjithëpërfshirës për menaxhimin dhe reagimin ndaj ndryshimeve klimatike, fatkeqësive dhe krizave në Shqipëri, në nivel qendror dhe lokal, me fokus të veçantë te personat me aftësi të kufizuara, për të garantuar sigurinë e jetës dhe mbrojtjen e tyre.</w:t>
      </w:r>
    </w:p>
    <w:p w14:paraId="53E9440E" w14:textId="25767504" w:rsidR="003E1630" w:rsidRPr="00024D5A" w:rsidRDefault="005743A8" w:rsidP="00791B1A">
      <w:pPr>
        <w:ind w:firstLine="284"/>
        <w:jc w:val="both"/>
        <w:rPr>
          <w:rFonts w:ascii="Garamond" w:eastAsia="Times New Roman" w:hAnsi="Garamond"/>
          <w:b/>
          <w:bCs/>
          <w:i/>
          <w:iCs/>
          <w:lang w:eastAsia="en-US"/>
        </w:rPr>
      </w:pPr>
      <w:r w:rsidRPr="00024D5A">
        <w:rPr>
          <w:rFonts w:ascii="Garamond" w:eastAsia="Times New Roman" w:hAnsi="Garamond"/>
          <w:b/>
          <w:bCs/>
          <w:i/>
          <w:iCs/>
          <w:lang w:eastAsia="en-US"/>
        </w:rPr>
        <w:t>Masat prioritare</w:t>
      </w:r>
      <w:r w:rsidR="00F93776" w:rsidRPr="00024D5A">
        <w:rPr>
          <w:rFonts w:ascii="Garamond" w:eastAsia="Times New Roman" w:hAnsi="Garamond"/>
          <w:b/>
          <w:bCs/>
          <w:i/>
          <w:iCs/>
          <w:lang w:eastAsia="en-US"/>
        </w:rPr>
        <w:t>:</w:t>
      </w:r>
    </w:p>
    <w:p w14:paraId="36E4A102" w14:textId="77F36D28" w:rsidR="003E1630" w:rsidRPr="00024D5A" w:rsidRDefault="00994FA9" w:rsidP="00F93776">
      <w:pPr>
        <w:pStyle w:val="ListParagraph"/>
        <w:ind w:left="0" w:firstLine="284"/>
        <w:jc w:val="both"/>
        <w:rPr>
          <w:rFonts w:ascii="Garamond" w:eastAsia="Times New Roman" w:hAnsi="Garamond"/>
          <w:lang w:eastAsia="en-US"/>
        </w:rPr>
      </w:pPr>
      <w:r w:rsidRPr="00024D5A">
        <w:rPr>
          <w:rFonts w:ascii="Garamond" w:eastAsia="Times New Roman" w:hAnsi="Garamond"/>
          <w:lang w:eastAsia="en-US"/>
        </w:rPr>
        <w:t xml:space="preserve">6.1 </w:t>
      </w:r>
      <w:r w:rsidR="005743A8" w:rsidRPr="00024D5A">
        <w:rPr>
          <w:rFonts w:ascii="Garamond" w:eastAsia="Times New Roman" w:hAnsi="Garamond"/>
          <w:lang w:eastAsia="en-US"/>
        </w:rPr>
        <w:t>Integrimi i aftësisë së kufizuar në politikat dhe kuadrin ligjor për menaxhimin e rrezikut nga fatkeqësitë</w:t>
      </w:r>
    </w:p>
    <w:p w14:paraId="7C018DFC"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Ky objektiv adreson sigurinë e personave me aftësi të kufizuara në situata emergjente, fatkeqësi natyrore dhe kriza humanitare. Përvoja ndërkombëtare dhe situatat e fundit të emergjencave kanë treguar se personat me aftësi të kufizuara janë ndër grupet më të rrezikuara gjatë fatkeqësive, jo për shkak të aftësisë së kufizuar në vetvete, por për shkak të mungesës së planifikimit gjithëpërfshirës, informacionit të aksesueshëm dhe mekanizmave të përshtatur të evakuimit dhe mbështetjes.</w:t>
      </w:r>
    </w:p>
    <w:p w14:paraId="62B0E897" w14:textId="60B77A8A"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PKVPAK</w:t>
      </w:r>
      <w:r w:rsidR="00F93776" w:rsidRPr="00024D5A">
        <w:rPr>
          <w:rFonts w:ascii="Garamond" w:eastAsia="Times New Roman" w:hAnsi="Garamond"/>
          <w:lang w:eastAsia="en-US"/>
        </w:rPr>
        <w:t>-ja</w:t>
      </w:r>
      <w:r w:rsidRPr="00024D5A">
        <w:rPr>
          <w:rFonts w:ascii="Garamond" w:eastAsia="Times New Roman" w:hAnsi="Garamond"/>
          <w:lang w:eastAsia="en-US"/>
        </w:rPr>
        <w:t xml:space="preserve"> synon që sistemi i menaxhimit të emergjencave të mos ndërhyjë vetëm pas krizës, por të përfshijë personat me aftësi të kufizuara që në fazën e parandalimit dhe planifikimit. Hapi i parë do të jetë rishikimi i kuadrit ligjor dhe strategjik të menaxhimit të rrezikut nga fatkeqësitë, për të siguruar përfshirjen e detyrimeve të qarta për mbrojtjen e personave me aftësi të kufizuara</w:t>
      </w:r>
      <w:r w:rsidR="002B2CE7" w:rsidRPr="00024D5A">
        <w:rPr>
          <w:rFonts w:ascii="Garamond" w:eastAsia="Times New Roman" w:hAnsi="Garamond"/>
          <w:lang w:eastAsia="en-US"/>
        </w:rPr>
        <w:t>,</w:t>
      </w:r>
      <w:r w:rsidRPr="00024D5A">
        <w:rPr>
          <w:rFonts w:ascii="Garamond" w:eastAsia="Times New Roman" w:hAnsi="Garamond"/>
          <w:lang w:eastAsia="en-US"/>
        </w:rPr>
        <w:t xml:space="preserve"> në përputhje me standardet ndërkombëtare. Kjo do të thotë që aftësia e kufizuar të mos trajtohet si çështje ndihme humanitare, por si element i detyrueshëm i politikave të sigurisë civile.</w:t>
      </w:r>
    </w:p>
    <w:p w14:paraId="37D7E65C" w14:textId="2C1DA280"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Në këtë drejtim, legjislacioni dhe planet e emergjencave do të integrojnë kërkesa specifike për aksesueshmërinë e njoftimeve të hershme, të sistemeve të alarmit dhe të procedurave të evakuimit. Synimi është që paralajmërimet për rrezik të jenë të kuptueshme dhe të arritshme për të gjitha kategoritë e aftësisë së kufizuar, duke përfshirë komunikimin alternativ dhe teknologjitë </w:t>
      </w:r>
      <w:r w:rsidRPr="00A74194">
        <w:rPr>
          <w:rFonts w:ascii="Garamond" w:eastAsia="Times New Roman" w:hAnsi="Garamond"/>
          <w:i/>
          <w:iCs/>
          <w:lang w:eastAsia="en-US"/>
        </w:rPr>
        <w:t>asis</w:t>
      </w:r>
      <w:r w:rsidR="00A74194" w:rsidRPr="00A74194">
        <w:rPr>
          <w:rFonts w:ascii="Garamond" w:eastAsia="Times New Roman" w:hAnsi="Garamond"/>
          <w:i/>
          <w:iCs/>
          <w:lang w:eastAsia="en-US"/>
        </w:rPr>
        <w:t>s</w:t>
      </w:r>
      <w:r w:rsidRPr="00A74194">
        <w:rPr>
          <w:rFonts w:ascii="Garamond" w:eastAsia="Times New Roman" w:hAnsi="Garamond"/>
          <w:i/>
          <w:iCs/>
          <w:lang w:eastAsia="en-US"/>
        </w:rPr>
        <w:t>tive.</w:t>
      </w:r>
      <w:r w:rsidRPr="00024D5A">
        <w:rPr>
          <w:rFonts w:ascii="Garamond" w:eastAsia="Times New Roman" w:hAnsi="Garamond"/>
          <w:lang w:eastAsia="en-US"/>
        </w:rPr>
        <w:t xml:space="preserve"> Kjo është veçanërisht e rëndësishme për personat me dëmtime të dëgjimit, shikimit, intelektuale apo psikosociale, të cilët shpesh nuk përfitojnë nga sistemet standarde të njoftimit.</w:t>
      </w:r>
    </w:p>
    <w:p w14:paraId="70AD3AC6" w14:textId="79E4DD7E"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Plani parashikon edhe hartimin e udhëzimeve specifike për planifikimin dhe menaxhimin e emergjencave që adresojnë nevojat individuale të personave me aftësi të kufizuara. Këto udhëzime do të kenë një fokus të veçantë tek institucionet rezidenciale dhe ofruesit e shërbimeve për fëmijë dhe të rritur me aftësi të kufizuara, ku rreziku është më i lartë</w:t>
      </w:r>
      <w:r w:rsidR="002B2CE7" w:rsidRPr="00024D5A">
        <w:rPr>
          <w:rFonts w:ascii="Garamond" w:eastAsia="Times New Roman" w:hAnsi="Garamond"/>
          <w:lang w:eastAsia="en-US"/>
        </w:rPr>
        <w:t>,</w:t>
      </w:r>
      <w:r w:rsidRPr="00024D5A">
        <w:rPr>
          <w:rFonts w:ascii="Garamond" w:eastAsia="Times New Roman" w:hAnsi="Garamond"/>
          <w:lang w:eastAsia="en-US"/>
        </w:rPr>
        <w:t xml:space="preserve"> për shkak të varësisë nga mbështetja e vazhdueshme. Për këtë arsye, do të hartohen protokolle operacionale të detajuara për evakuimin, strehimin e përkohshëm dhe shpërndarjen e ndihmës humanitare në mënyrë të aksesueshme dhe të sigurt për çdo kategori të aftësisë së kufizuar.</w:t>
      </w:r>
    </w:p>
    <w:p w14:paraId="40B4B896"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Një element i rëndësishëm i objektivit është ndërtimi i kapaciteteve institucionale. Administrata publike, strukturat e emergjencave civile dhe pushteti vendor do të trajnohen mbi qasjen gjithëpërfshirëse ndaj aftësisë së kufizuar në situata krize. Trajnimet synojnë të sigurojnë që personeli të jetë i përgatitur për të identifikuar nevojat specifike, për të komunikuar në mënyrë të përshtatshme dhe për të ofruar mbështetje të sigurt gjatë evakuimit, strehimit dhe shpërndarjes së ndihmës.</w:t>
      </w:r>
    </w:p>
    <w:p w14:paraId="39233388" w14:textId="16C81EC1" w:rsidR="003E1630" w:rsidRPr="00024D5A" w:rsidRDefault="0058487E" w:rsidP="00791B1A">
      <w:pPr>
        <w:pStyle w:val="Heading2"/>
        <w:spacing w:before="0"/>
        <w:ind w:firstLine="284"/>
        <w:rPr>
          <w:rFonts w:ascii="Garamond" w:hAnsi="Garamond"/>
          <w:color w:val="auto"/>
          <w:sz w:val="24"/>
          <w:szCs w:val="24"/>
          <w:lang w:eastAsia="en-US"/>
        </w:rPr>
      </w:pPr>
      <w:bookmarkStart w:id="42" w:name="_Toc231489644"/>
      <w:r w:rsidRPr="00024D5A">
        <w:rPr>
          <w:rFonts w:ascii="Garamond" w:hAnsi="Garamond"/>
          <w:color w:val="auto"/>
          <w:sz w:val="24"/>
          <w:szCs w:val="24"/>
          <w:lang w:eastAsia="en-US"/>
        </w:rPr>
        <w:t>3</w:t>
      </w:r>
      <w:r w:rsidR="005743A8" w:rsidRPr="00024D5A">
        <w:rPr>
          <w:rFonts w:ascii="Garamond" w:hAnsi="Garamond"/>
          <w:color w:val="auto"/>
          <w:sz w:val="24"/>
          <w:szCs w:val="24"/>
          <w:lang w:eastAsia="en-US"/>
        </w:rPr>
        <w:t>.6 Shëndetësia</w:t>
      </w:r>
      <w:bookmarkEnd w:id="42"/>
      <w:r w:rsidR="005743A8" w:rsidRPr="00024D5A">
        <w:rPr>
          <w:rFonts w:ascii="Garamond" w:hAnsi="Garamond"/>
          <w:color w:val="auto"/>
          <w:sz w:val="24"/>
          <w:szCs w:val="24"/>
          <w:lang w:eastAsia="en-US"/>
        </w:rPr>
        <w:t xml:space="preserve"> </w:t>
      </w:r>
    </w:p>
    <w:p w14:paraId="167CBD27" w14:textId="3B5E3474" w:rsidR="003E1630" w:rsidRPr="00024D5A" w:rsidRDefault="0058487E" w:rsidP="00791B1A">
      <w:pPr>
        <w:pStyle w:val="Heading2"/>
        <w:spacing w:before="0"/>
        <w:ind w:firstLine="284"/>
        <w:rPr>
          <w:rFonts w:ascii="Garamond" w:hAnsi="Garamond"/>
          <w:color w:val="auto"/>
          <w:sz w:val="24"/>
          <w:szCs w:val="24"/>
          <w:lang w:eastAsia="en-US"/>
        </w:rPr>
      </w:pPr>
      <w:bookmarkStart w:id="43" w:name="_Toc231489645"/>
      <w:r w:rsidRPr="00024D5A">
        <w:rPr>
          <w:rFonts w:ascii="Garamond" w:hAnsi="Garamond"/>
          <w:color w:val="auto"/>
          <w:sz w:val="24"/>
          <w:szCs w:val="24"/>
          <w:lang w:eastAsia="en-US"/>
        </w:rPr>
        <w:t>3</w:t>
      </w:r>
      <w:r w:rsidR="005743A8" w:rsidRPr="00024D5A">
        <w:rPr>
          <w:rFonts w:ascii="Garamond" w:hAnsi="Garamond"/>
          <w:color w:val="auto"/>
          <w:sz w:val="24"/>
          <w:szCs w:val="24"/>
          <w:lang w:eastAsia="en-US"/>
        </w:rPr>
        <w:t xml:space="preserve">.6.1 Korniza </w:t>
      </w:r>
      <w:r w:rsidR="009C4E16" w:rsidRPr="00024D5A">
        <w:rPr>
          <w:rFonts w:ascii="Garamond" w:hAnsi="Garamond"/>
          <w:color w:val="auto"/>
          <w:sz w:val="24"/>
          <w:szCs w:val="24"/>
          <w:lang w:eastAsia="en-US"/>
        </w:rPr>
        <w:t>strategjike</w:t>
      </w:r>
      <w:bookmarkEnd w:id="43"/>
    </w:p>
    <w:p w14:paraId="4A71455A" w14:textId="224490FE"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Fusha e shëndetësisë në Planin Kombëtar të Veprimit për Personat me Aftësi të Kufizuara </w:t>
      </w:r>
      <w:r w:rsidR="00657405" w:rsidRPr="00024D5A">
        <w:rPr>
          <w:rFonts w:ascii="Garamond" w:eastAsia="Times New Roman" w:hAnsi="Garamond"/>
          <w:lang w:eastAsia="en-US"/>
        </w:rPr>
        <w:t>2026–2030</w:t>
      </w:r>
      <w:r w:rsidR="008F29FA" w:rsidRPr="00024D5A">
        <w:rPr>
          <w:rFonts w:ascii="Garamond" w:eastAsia="Times New Roman" w:hAnsi="Garamond"/>
          <w:lang w:eastAsia="en-US"/>
        </w:rPr>
        <w:t xml:space="preserve"> </w:t>
      </w:r>
      <w:r w:rsidRPr="00024D5A">
        <w:rPr>
          <w:rFonts w:ascii="Garamond" w:eastAsia="Times New Roman" w:hAnsi="Garamond"/>
          <w:lang w:eastAsia="en-US"/>
        </w:rPr>
        <w:t>mbështetet në një ndryshim thelbësor të mënyrës se si konceptohet kujdesi shëndetësor, nga një model tradicional, i fokusuar kryesisht në diagnozën dhe trajtimin mjekësor, drejt një sistemi të bazuar në të drejtat e njeriut, funksionimin dhe pjesëmarrjen sociale. Sistemi shëndetësor konsiderohet një faktor kyç për parandalimin e përjashtimit social dhe për mundësimin e jetesës së pavarur.</w:t>
      </w:r>
    </w:p>
    <w:p w14:paraId="767E72C5" w14:textId="43158806"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Në nivel ndërkombëtar, ky kapitull mbështetet para së gjithash në </w:t>
      </w:r>
      <w:bookmarkStart w:id="44" w:name="_Hlk223083369"/>
      <w:r w:rsidRPr="00024D5A">
        <w:rPr>
          <w:rFonts w:ascii="Garamond" w:eastAsia="Times New Roman" w:hAnsi="Garamond"/>
          <w:lang w:eastAsia="en-US"/>
        </w:rPr>
        <w:t>Konventën e Kombeve të Bashkuara për të Drejtat e Personave me Aftësi të Kufizuara (</w:t>
      </w:r>
      <w:r w:rsidRPr="00024D5A">
        <w:rPr>
          <w:rFonts w:ascii="Garamond" w:eastAsia="Times New Roman" w:hAnsi="Garamond"/>
        </w:rPr>
        <w:t>KDPAK</w:t>
      </w:r>
      <w:r w:rsidRPr="00024D5A">
        <w:rPr>
          <w:rFonts w:ascii="Garamond" w:eastAsia="Times New Roman" w:hAnsi="Garamond"/>
          <w:lang w:eastAsia="en-US"/>
        </w:rPr>
        <w:t>)</w:t>
      </w:r>
      <w:r w:rsidRPr="00024D5A">
        <w:rPr>
          <w:rStyle w:val="FootnoteReference"/>
          <w:rFonts w:ascii="Garamond" w:eastAsia="Times New Roman" w:hAnsi="Garamond"/>
          <w:lang w:eastAsia="en-US"/>
        </w:rPr>
        <w:footnoteReference w:id="72"/>
      </w:r>
      <w:r w:rsidRPr="00024D5A">
        <w:rPr>
          <w:rFonts w:ascii="Garamond" w:eastAsia="Times New Roman" w:hAnsi="Garamond"/>
          <w:lang w:eastAsia="en-US"/>
        </w:rPr>
        <w:t xml:space="preserve">, e cila përcakton qartë se personat me aftësi të kufizuara gëzojnë të drejtën për standardin më të lartë të arritshëm të shëndetit, pa diskriminim dhe pa barriera në akses. </w:t>
      </w:r>
      <w:bookmarkEnd w:id="44"/>
      <w:r w:rsidRPr="00024D5A">
        <w:rPr>
          <w:rFonts w:ascii="Garamond" w:eastAsia="Times New Roman" w:hAnsi="Garamond"/>
          <w:lang w:eastAsia="en-US"/>
        </w:rPr>
        <w:t>Konventa kërkon që shërbimet shëndetësore të jenë të aksesueshme, të përballueshme dhe të bazuara në pëlqimin e informuar të individit, duke përfshirë shërbimet për personat me aftësi të kufizuara psikosociale, rehabilitimin dhe teknologjitë ndihmëse. Ajo thekson rëndësinë e rehabilitimit si proces që synon ruajtjen dhe zhvillimin e funksionimit dhe jo izolimin institucional. Në të njëjtën kohë, orienton situatat e rrezikut dhe kërkon që sistemet shëndetësore dhe të emergjencave të jenë gjithëpërfshirëse për personat me aftësi të kufizuara.</w:t>
      </w:r>
    </w:p>
    <w:p w14:paraId="6C05F10A" w14:textId="421D819C"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Komentet dhe rekomandimet e Komitetit të</w:t>
      </w:r>
      <w:r w:rsidR="008F29FA" w:rsidRPr="00024D5A">
        <w:rPr>
          <w:rFonts w:ascii="Garamond" w:eastAsia="Times New Roman" w:hAnsi="Garamond"/>
        </w:rPr>
        <w:t xml:space="preserve"> </w:t>
      </w:r>
      <w:r w:rsidRPr="00024D5A">
        <w:rPr>
          <w:rFonts w:ascii="Garamond" w:eastAsia="Times New Roman" w:hAnsi="Garamond"/>
        </w:rPr>
        <w:t>KDPAK</w:t>
      </w:r>
      <w:r w:rsidR="00F36C5C" w:rsidRPr="00024D5A">
        <w:rPr>
          <w:rFonts w:ascii="Garamond" w:eastAsia="Times New Roman" w:hAnsi="Garamond"/>
        </w:rPr>
        <w:t>-së</w:t>
      </w:r>
      <w:r w:rsidRPr="00024D5A">
        <w:rPr>
          <w:rStyle w:val="FootnoteReference"/>
          <w:rFonts w:ascii="Garamond" w:eastAsia="Times New Roman" w:hAnsi="Garamond"/>
          <w:lang w:eastAsia="en-US"/>
        </w:rPr>
        <w:footnoteReference w:id="73"/>
      </w:r>
      <w:r w:rsidRPr="00024D5A">
        <w:rPr>
          <w:rFonts w:ascii="Garamond" w:eastAsia="Times New Roman" w:hAnsi="Garamond"/>
          <w:lang w:eastAsia="en-US"/>
        </w:rPr>
        <w:t xml:space="preserve"> kanë theksuar se pengesat kryesore në fushën e shëndetësisë nuk lidhen vetëm me mungesën e shërbimeve, por me mënyrën se si funksionon sistemi, përfshirë refuzimi i trajtimit</w:t>
      </w:r>
      <w:r w:rsidR="00862676" w:rsidRPr="00024D5A">
        <w:rPr>
          <w:rFonts w:ascii="Garamond" w:eastAsia="Times New Roman" w:hAnsi="Garamond"/>
          <w:lang w:eastAsia="en-US"/>
        </w:rPr>
        <w:t>,</w:t>
      </w:r>
      <w:r w:rsidRPr="00024D5A">
        <w:rPr>
          <w:rFonts w:ascii="Garamond" w:eastAsia="Times New Roman" w:hAnsi="Garamond"/>
          <w:lang w:eastAsia="en-US"/>
        </w:rPr>
        <w:t xml:space="preserve"> për shkak të aftësisë së kufizuar, mungesa e aksesueshmërisë fizike dhe në komunikim, trajtime pa pëlqim të informuar, institucionalizimi i panevojshëm dhe mungesa e shërbimeve komunitare të personave me aftësi të kufizuara psikosociale. Për këtë arsye, shtetet inkurajohen të kalojnë nga kujdesi institucional drejt shërbimeve komunitare, të integruara dhe të orientuara nga personi.</w:t>
      </w:r>
    </w:p>
    <w:p w14:paraId="3AFD080A" w14:textId="745133B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Në nivel evropian, kjo qasje përforcohet nga </w:t>
      </w:r>
      <w:bookmarkStart w:id="45" w:name="_Hlk223083626"/>
      <w:r w:rsidRPr="00024D5A">
        <w:rPr>
          <w:rFonts w:ascii="Garamond" w:eastAsia="Times New Roman" w:hAnsi="Garamond"/>
          <w:lang w:eastAsia="en-US"/>
        </w:rPr>
        <w:t>Strategjia e Bashkimit Evropian për të Drejtat e Personave me Aftësi të Kufizuara 2021</w:t>
      </w:r>
      <w:r w:rsidR="00862676" w:rsidRPr="00024D5A">
        <w:rPr>
          <w:rFonts w:ascii="Garamond" w:eastAsia="Times New Roman" w:hAnsi="Garamond"/>
          <w:lang w:eastAsia="en-US"/>
        </w:rPr>
        <w:t>–</w:t>
      </w:r>
      <w:r w:rsidRPr="00024D5A">
        <w:rPr>
          <w:rFonts w:ascii="Garamond" w:eastAsia="Times New Roman" w:hAnsi="Garamond"/>
          <w:lang w:eastAsia="en-US"/>
        </w:rPr>
        <w:t>2030</w:t>
      </w:r>
      <w:r w:rsidRPr="00024D5A">
        <w:rPr>
          <w:rStyle w:val="FootnoteReference"/>
          <w:rFonts w:ascii="Garamond" w:eastAsia="Times New Roman" w:hAnsi="Garamond"/>
          <w:lang w:eastAsia="en-US"/>
        </w:rPr>
        <w:footnoteReference w:id="74"/>
      </w:r>
      <w:r w:rsidRPr="00024D5A">
        <w:rPr>
          <w:rFonts w:ascii="Garamond" w:eastAsia="Times New Roman" w:hAnsi="Garamond"/>
          <w:lang w:eastAsia="en-US"/>
        </w:rPr>
        <w:t>,</w:t>
      </w:r>
      <w:bookmarkEnd w:id="45"/>
      <w:r w:rsidRPr="00024D5A">
        <w:rPr>
          <w:rFonts w:ascii="Garamond" w:eastAsia="Times New Roman" w:hAnsi="Garamond"/>
          <w:lang w:eastAsia="en-US"/>
        </w:rPr>
        <w:t xml:space="preserve"> e cila kërkon që sistemet shëndetësore të garantojnë akses universal dhe të barabartë në shërbime shëndetësore dhe rehabilituese, përfshirë aftësinë e kufizuar psikosociale dhe teknologjitë ndihmëse. Strategjia e BE-së vendos theks të veçantë te jetesa e pavarur dhe deinstitucionalizimi, duke kërkuar zhvillimin e shërbimeve komunitare, kujdesit afatgjatë dhe mbështetjes individuale. Këto parime lidhen drejtpërdrejt edhe me Shtyllën Evropiane të të Drejtave Sociale, e cila njeh kujdesin shëndetësor dhe kujdesin afatgjatë si të drejta themelore sociale dhe kërkon që personat me aftësi të kufizuara të marrin mbështetjen e nevojshme për autonomi dhe përfshirje në komunitet.</w:t>
      </w:r>
    </w:p>
    <w:p w14:paraId="182A47C5"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Fusha e shëndetësisë lidhet edhe me Objektivat e Zhvillimit të Qëndrueshëm</w:t>
      </w:r>
      <w:r w:rsidRPr="00024D5A">
        <w:rPr>
          <w:rStyle w:val="FootnoteReference"/>
          <w:rFonts w:ascii="Garamond" w:eastAsia="Times New Roman" w:hAnsi="Garamond"/>
          <w:lang w:eastAsia="en-US"/>
        </w:rPr>
        <w:footnoteReference w:id="75"/>
      </w:r>
      <w:r w:rsidRPr="00024D5A">
        <w:rPr>
          <w:rFonts w:ascii="Garamond" w:eastAsia="Times New Roman" w:hAnsi="Garamond"/>
          <w:lang w:eastAsia="en-US"/>
        </w:rPr>
        <w:t>, veçanërisht me objektivin për shëndet dhe mirëqenie, dhe atë për uljen e pabarazive, të cilat kërkojnë eliminimin e barrierave në shërbimet shëndetësore për grupet e cenueshme. Në këtë kuadër, shëndetësia nuk shihet vetëm si shërbim publik, por si një mekanizëm i barazisë sociale.</w:t>
      </w:r>
    </w:p>
    <w:p w14:paraId="291005C4" w14:textId="51E27746"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Në nivel kombëtar, kapitulli harmonizohet me Strategjinë Kombëtare të Shëndetësisë 2021</w:t>
      </w:r>
      <w:r w:rsidR="00F850C9" w:rsidRPr="00024D5A">
        <w:rPr>
          <w:rFonts w:ascii="Garamond" w:eastAsia="Times New Roman" w:hAnsi="Garamond"/>
          <w:lang w:eastAsia="en-US"/>
        </w:rPr>
        <w:t>–</w:t>
      </w:r>
      <w:r w:rsidRPr="00024D5A">
        <w:rPr>
          <w:rFonts w:ascii="Garamond" w:eastAsia="Times New Roman" w:hAnsi="Garamond"/>
          <w:lang w:eastAsia="en-US"/>
        </w:rPr>
        <w:t>2030</w:t>
      </w:r>
      <w:r w:rsidRPr="00024D5A">
        <w:rPr>
          <w:rStyle w:val="FootnoteReference"/>
          <w:rFonts w:ascii="Garamond" w:eastAsia="Times New Roman" w:hAnsi="Garamond"/>
          <w:lang w:eastAsia="en-US"/>
        </w:rPr>
        <w:footnoteReference w:id="76"/>
      </w:r>
      <w:r w:rsidRPr="00024D5A">
        <w:rPr>
          <w:rFonts w:ascii="Garamond" w:eastAsia="Times New Roman" w:hAnsi="Garamond"/>
          <w:lang w:eastAsia="en-US"/>
        </w:rPr>
        <w:t xml:space="preserve"> dhe me Strategjinë Kombëtare për Zhvillim dhe Integrim Evropian 2022</w:t>
      </w:r>
      <w:r w:rsidR="00F850C9" w:rsidRPr="00024D5A">
        <w:rPr>
          <w:rFonts w:ascii="Garamond" w:eastAsia="Times New Roman" w:hAnsi="Garamond"/>
          <w:lang w:eastAsia="en-US"/>
        </w:rPr>
        <w:t>–</w:t>
      </w:r>
      <w:r w:rsidRPr="00024D5A">
        <w:rPr>
          <w:rFonts w:ascii="Garamond" w:eastAsia="Times New Roman" w:hAnsi="Garamond"/>
          <w:lang w:eastAsia="en-US"/>
        </w:rPr>
        <w:t>2030</w:t>
      </w:r>
      <w:r w:rsidRPr="00024D5A">
        <w:rPr>
          <w:rStyle w:val="FootnoteReference"/>
          <w:rFonts w:ascii="Garamond" w:eastAsia="Times New Roman" w:hAnsi="Garamond"/>
          <w:lang w:eastAsia="en-US"/>
        </w:rPr>
        <w:footnoteReference w:id="77"/>
      </w:r>
      <w:r w:rsidRPr="00024D5A">
        <w:rPr>
          <w:rFonts w:ascii="Garamond" w:eastAsia="Times New Roman" w:hAnsi="Garamond"/>
          <w:lang w:eastAsia="en-US"/>
        </w:rPr>
        <w:t>, si dhe me procesin e përafrimit të legjislacionit shqiptar me</w:t>
      </w:r>
      <w:r w:rsidRPr="00024D5A">
        <w:rPr>
          <w:rFonts w:ascii="Garamond" w:eastAsia="Times New Roman" w:hAnsi="Garamond"/>
          <w:i/>
          <w:iCs/>
          <w:lang w:eastAsia="en-US"/>
        </w:rPr>
        <w:t xml:space="preserve"> acquis</w:t>
      </w:r>
      <w:r w:rsidRPr="00024D5A">
        <w:rPr>
          <w:rStyle w:val="FootnoteReference"/>
          <w:rFonts w:ascii="Garamond" w:eastAsia="Times New Roman" w:hAnsi="Garamond"/>
          <w:i/>
          <w:iCs/>
          <w:lang w:eastAsia="en-US"/>
        </w:rPr>
        <w:footnoteReference w:id="78"/>
      </w:r>
      <w:r w:rsidRPr="00024D5A">
        <w:rPr>
          <w:rFonts w:ascii="Garamond" w:eastAsia="Times New Roman" w:hAnsi="Garamond"/>
          <w:lang w:eastAsia="en-US"/>
        </w:rPr>
        <w:t xml:space="preserve"> të Bashkimit Evropian në fushën sociale dhe të të drejtave themelore. Reforma e sistemit shëndetësor synon të ndërtojë një sistem të integruar ku kujdesi shëndetësor lidhet me mbrojtjen sociale, rehabilitimin, arsimin dhe punësimin, duke shmangur fragmentimin e shërbimeve.</w:t>
      </w:r>
    </w:p>
    <w:p w14:paraId="66BA08B1" w14:textId="7ED65A35"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Dokumenti i Planit Kombëtar të Veprimit për Personat me Aftësi të Kufizuara </w:t>
      </w:r>
      <w:r w:rsidR="00657405" w:rsidRPr="00024D5A">
        <w:rPr>
          <w:rFonts w:ascii="Garamond" w:eastAsia="Times New Roman" w:hAnsi="Garamond"/>
          <w:lang w:eastAsia="en-US"/>
        </w:rPr>
        <w:t>2026–2030</w:t>
      </w:r>
      <w:r w:rsidRPr="00024D5A">
        <w:rPr>
          <w:rFonts w:ascii="Garamond" w:eastAsia="Times New Roman" w:hAnsi="Garamond"/>
          <w:lang w:eastAsia="en-US"/>
        </w:rPr>
        <w:t xml:space="preserve">, e konsideron shëndetin një element themelor të përfshirjes sociale. Sistemi shëndetësor duhet të jetë i aksesueshëm, të respektojë vendimmarrjen e individit, të sigurojë pëlqim të informuar dhe të ofrojë shërbime komunitare dhe rehabilituese përgjatë gjithë jetës. </w:t>
      </w:r>
      <w:bookmarkStart w:id="46" w:name="_Hlk223026521"/>
    </w:p>
    <w:p w14:paraId="09EC5C00" w14:textId="64C9B9B1" w:rsidR="003E1630" w:rsidRPr="00024D5A" w:rsidRDefault="0058487E" w:rsidP="00791B1A">
      <w:pPr>
        <w:pStyle w:val="Heading2"/>
        <w:spacing w:before="0"/>
        <w:ind w:firstLine="284"/>
        <w:rPr>
          <w:rFonts w:ascii="Garamond" w:hAnsi="Garamond"/>
          <w:color w:val="auto"/>
          <w:sz w:val="24"/>
          <w:szCs w:val="24"/>
        </w:rPr>
      </w:pPr>
      <w:bookmarkStart w:id="47" w:name="_Toc231489646"/>
      <w:r w:rsidRPr="00024D5A">
        <w:rPr>
          <w:rFonts w:ascii="Garamond" w:hAnsi="Garamond"/>
          <w:color w:val="auto"/>
          <w:sz w:val="24"/>
          <w:szCs w:val="24"/>
        </w:rPr>
        <w:t>3</w:t>
      </w:r>
      <w:r w:rsidR="005743A8" w:rsidRPr="00024D5A">
        <w:rPr>
          <w:rFonts w:ascii="Garamond" w:hAnsi="Garamond"/>
          <w:color w:val="auto"/>
          <w:sz w:val="24"/>
          <w:szCs w:val="24"/>
        </w:rPr>
        <w:t>.6.2 Qëllimi, objektivat dhe masat prioritare</w:t>
      </w:r>
      <w:bookmarkEnd w:id="47"/>
      <w:r w:rsidR="005743A8" w:rsidRPr="00024D5A">
        <w:rPr>
          <w:rFonts w:ascii="Garamond" w:hAnsi="Garamond"/>
          <w:color w:val="auto"/>
          <w:sz w:val="24"/>
          <w:szCs w:val="24"/>
        </w:rPr>
        <w:t xml:space="preserve"> </w:t>
      </w:r>
    </w:p>
    <w:bookmarkEnd w:id="46"/>
    <w:p w14:paraId="4B921C7A" w14:textId="77777777" w:rsidR="003E1630" w:rsidRPr="00024D5A" w:rsidRDefault="005743A8" w:rsidP="00791B1A">
      <w:pPr>
        <w:ind w:firstLine="284"/>
        <w:jc w:val="both"/>
        <w:rPr>
          <w:rFonts w:ascii="Garamond" w:eastAsia="Times New Roman" w:hAnsi="Garamond"/>
          <w:b/>
          <w:bCs/>
        </w:rPr>
      </w:pPr>
      <w:r w:rsidRPr="00024D5A">
        <w:rPr>
          <w:rFonts w:ascii="Garamond" w:eastAsia="Times New Roman" w:hAnsi="Garamond"/>
          <w:b/>
          <w:bCs/>
        </w:rPr>
        <w:t xml:space="preserve">Qëllimi i politikës: </w:t>
      </w:r>
      <w:r w:rsidRPr="00024D5A">
        <w:rPr>
          <w:rFonts w:ascii="Garamond" w:eastAsia="Times New Roman" w:hAnsi="Garamond"/>
          <w:i/>
          <w:iCs/>
        </w:rPr>
        <w:t>Të sigurohet akses i barabartë, cilësor, gjithëpërfshirës dhe i qëndrueshëm në shërbimet shëndetësore për personat me aftësi të kufizuara, në përputhje me standardet ndërkombëtare dhe evropiane.</w:t>
      </w:r>
    </w:p>
    <w:p w14:paraId="3F5B622A" w14:textId="77777777" w:rsidR="003E1630" w:rsidRPr="00024D5A" w:rsidRDefault="005743A8" w:rsidP="00791B1A">
      <w:pPr>
        <w:ind w:firstLine="284"/>
        <w:jc w:val="both"/>
        <w:rPr>
          <w:rFonts w:ascii="Garamond" w:eastAsia="Times New Roman" w:hAnsi="Garamond"/>
        </w:rPr>
      </w:pPr>
      <w:r w:rsidRPr="00024D5A">
        <w:rPr>
          <w:rFonts w:ascii="Garamond" w:eastAsia="Times New Roman" w:hAnsi="Garamond"/>
        </w:rPr>
        <w:t>Në fushën e shëndetësisë janë parashikuar 3 objektiva specifikë, të arritshëm përmes 7 masave prioritare dhe 24 ndërhyrjeve konkrete.</w:t>
      </w:r>
    </w:p>
    <w:p w14:paraId="2FD1CA0A" w14:textId="019071FC" w:rsidR="003E1630" w:rsidRPr="00024D5A" w:rsidRDefault="005743A8" w:rsidP="00791B1A">
      <w:pPr>
        <w:ind w:firstLine="284"/>
        <w:jc w:val="both"/>
        <w:rPr>
          <w:rFonts w:ascii="Garamond" w:eastAsia="Times New Roman" w:hAnsi="Garamond"/>
          <w:b/>
          <w:bCs/>
          <w:lang w:eastAsia="en-US"/>
        </w:rPr>
      </w:pPr>
      <w:r w:rsidRPr="00AC5DA9">
        <w:rPr>
          <w:rFonts w:ascii="Garamond" w:eastAsia="Times New Roman" w:hAnsi="Garamond"/>
          <w:b/>
          <w:bCs/>
          <w:i/>
          <w:iCs/>
          <w:lang w:eastAsia="en-US"/>
        </w:rPr>
        <w:t xml:space="preserve">Objektivi </w:t>
      </w:r>
      <w:r w:rsidR="008D0A0D" w:rsidRPr="00AC5DA9">
        <w:rPr>
          <w:rFonts w:ascii="Garamond" w:eastAsia="Times New Roman" w:hAnsi="Garamond"/>
          <w:b/>
          <w:bCs/>
          <w:i/>
          <w:iCs/>
          <w:lang w:eastAsia="en-US"/>
        </w:rPr>
        <w:t xml:space="preserve">specifik </w:t>
      </w:r>
      <w:r w:rsidRPr="00AC5DA9">
        <w:rPr>
          <w:rFonts w:ascii="Garamond" w:eastAsia="Times New Roman" w:hAnsi="Garamond"/>
          <w:b/>
          <w:bCs/>
          <w:i/>
          <w:iCs/>
          <w:lang w:eastAsia="en-US"/>
        </w:rPr>
        <w:t>1:</w:t>
      </w:r>
      <w:r w:rsidRPr="00024D5A">
        <w:rPr>
          <w:rFonts w:ascii="Garamond" w:eastAsia="Times New Roman" w:hAnsi="Garamond"/>
          <w:b/>
          <w:bCs/>
          <w:lang w:eastAsia="en-US"/>
        </w:rPr>
        <w:t xml:space="preserve"> </w:t>
      </w:r>
      <w:r w:rsidRPr="00024D5A">
        <w:rPr>
          <w:rFonts w:ascii="Garamond" w:eastAsia="Times New Roman" w:hAnsi="Garamond"/>
          <w:i/>
          <w:iCs/>
          <w:lang w:eastAsia="en-US"/>
        </w:rPr>
        <w:t>Ulja e numrit të rasteve të reja dhe e ashpërsisë së aftësisë së kufizuar të evitueshme, si dhe garantimi i kujdesit shëndetësor gjithëpërfshirës për personat me aftësi të kufizuara gjatë gjithë ciklit të jetës.</w:t>
      </w:r>
    </w:p>
    <w:p w14:paraId="1E40A0E0" w14:textId="464800D9" w:rsidR="003E1630" w:rsidRPr="00024D5A" w:rsidRDefault="005743A8" w:rsidP="00791B1A">
      <w:pPr>
        <w:ind w:firstLine="284"/>
        <w:jc w:val="both"/>
        <w:rPr>
          <w:rFonts w:ascii="Garamond" w:eastAsia="Times New Roman" w:hAnsi="Garamond"/>
          <w:b/>
          <w:bCs/>
          <w:i/>
          <w:iCs/>
          <w:lang w:eastAsia="en-US"/>
        </w:rPr>
      </w:pPr>
      <w:r w:rsidRPr="00024D5A">
        <w:rPr>
          <w:rFonts w:ascii="Garamond" w:eastAsia="Times New Roman" w:hAnsi="Garamond"/>
          <w:b/>
          <w:bCs/>
          <w:i/>
          <w:iCs/>
          <w:lang w:eastAsia="en-US"/>
        </w:rPr>
        <w:t>Masat prioritare</w:t>
      </w:r>
      <w:r w:rsidR="00F958F2">
        <w:rPr>
          <w:rFonts w:ascii="Garamond" w:eastAsia="Times New Roman" w:hAnsi="Garamond"/>
          <w:b/>
          <w:bCs/>
          <w:i/>
          <w:iCs/>
          <w:lang w:eastAsia="en-US"/>
        </w:rPr>
        <w:t>:</w:t>
      </w:r>
    </w:p>
    <w:p w14:paraId="3068708A" w14:textId="2079456E" w:rsidR="003E1630" w:rsidRPr="00024D5A" w:rsidRDefault="00994FA9" w:rsidP="00B20920">
      <w:pPr>
        <w:pStyle w:val="ListParagraph"/>
        <w:ind w:left="0" w:firstLine="288"/>
        <w:jc w:val="both"/>
        <w:rPr>
          <w:rFonts w:ascii="Garamond" w:eastAsia="Times New Roman" w:hAnsi="Garamond"/>
          <w:lang w:eastAsia="en-US"/>
        </w:rPr>
      </w:pPr>
      <w:r w:rsidRPr="00024D5A">
        <w:rPr>
          <w:rFonts w:ascii="Garamond" w:eastAsia="Times New Roman" w:hAnsi="Garamond"/>
          <w:lang w:eastAsia="en-US"/>
        </w:rPr>
        <w:t xml:space="preserve">1.1 </w:t>
      </w:r>
      <w:r w:rsidR="005743A8" w:rsidRPr="00024D5A">
        <w:rPr>
          <w:rFonts w:ascii="Garamond" w:eastAsia="Times New Roman" w:hAnsi="Garamond"/>
          <w:lang w:eastAsia="en-US"/>
        </w:rPr>
        <w:t>Forcimi i parandalimit dhe diagnostikimit të hershëm;</w:t>
      </w:r>
    </w:p>
    <w:p w14:paraId="31B23CB2" w14:textId="41AABA90" w:rsidR="003E1630" w:rsidRPr="00024D5A" w:rsidRDefault="00994FA9" w:rsidP="00B20920">
      <w:pPr>
        <w:pStyle w:val="ListParagraph"/>
        <w:ind w:left="0" w:firstLine="288"/>
        <w:jc w:val="both"/>
        <w:rPr>
          <w:rFonts w:ascii="Garamond" w:eastAsia="Times New Roman" w:hAnsi="Garamond"/>
          <w:lang w:eastAsia="en-US"/>
        </w:rPr>
      </w:pPr>
      <w:r w:rsidRPr="00024D5A">
        <w:rPr>
          <w:rFonts w:ascii="Garamond" w:eastAsia="Times New Roman" w:hAnsi="Garamond"/>
          <w:lang w:eastAsia="en-US"/>
        </w:rPr>
        <w:t xml:space="preserve">1.2 </w:t>
      </w:r>
      <w:r w:rsidR="005743A8" w:rsidRPr="00024D5A">
        <w:rPr>
          <w:rFonts w:ascii="Garamond" w:eastAsia="Times New Roman" w:hAnsi="Garamond"/>
          <w:lang w:eastAsia="en-US"/>
        </w:rPr>
        <w:t>Zhvillimi i kujdesit shëndetësor gjithëpërfshirës dhe të orientuar drejt personave me aftësi të kufizuara.</w:t>
      </w:r>
    </w:p>
    <w:p w14:paraId="1DCF34FC"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Ky objektiv përfaqëson një nga ndryshimet më të rëndësishme konceptuale të Planit të ri, kalimin nga një sistem që reagon pasi aftësia e kufizuar është shfaqur, drejt një sistemi që vepron përgjatë gjithë ciklit të jetës për të parandaluar, identifikuar herët dhe menaxhuar në mënyrë të vazhdueshme faktorët që ndikojnë në funksionimin dhe mirëqenien e individit. Qasja nuk synon reduktimin e faktorëve të evitueshëm dhe minimizimin e pasojave të saj, përmes ndërhyrjeve të hershme dhe kujdesit të vazhdueshëm.</w:t>
      </w:r>
    </w:p>
    <w:p w14:paraId="3130637E" w14:textId="46FB1793"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Plani fokusohet te periudha e hershme e jetës, e cila është vendimtare për zhvillimin e fëmijës. Vendosja e protokolleve standarde për kontrollet parandaluese dhe depistimin e hershëm të çrregullimeve zhvillimore për moshën 0-6 vjeç synon që aftësia e kufizuar të mos identifikohet vetëm në momentin kur ajo është e konsoliduar, por në fazat e para të shfaqjes së rrezikut. Përmes bashkëpunimit të shërbimeve shëndetësore, shërbimeve sociale dhe institucioneve parashkollore do të krijohet një sistem i integruar identifikimi, ku pediatri, infermierët e konsultoreve të nënës dhe fëmijës, edukatorët dhe strukturat sociale veprojnë si një rrjet i vetëm referimi. Kjo do të mundësojë ndërhyrje të personalizuara në kohë, duke ulur ashpërsinë e pasojave funksionale dhe duke përmirësuar zhvillimin e fëmijës.</w:t>
      </w:r>
    </w:p>
    <w:p w14:paraId="2865983D" w14:textId="68EA1ED5"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Në të njëjtën linjë, rritja e ndërgjegjësimit dhe mbulimit me vaksinim të fëmijëve me aftësi të kufizuara është pjesë e një qasjeje parandaluese të shëndetit publik. Këta fëmijë shpesh përjashtohen nga programet parandaluese</w:t>
      </w:r>
      <w:r w:rsidR="005923D9" w:rsidRPr="00024D5A">
        <w:rPr>
          <w:rFonts w:ascii="Garamond" w:eastAsia="Times New Roman" w:hAnsi="Garamond"/>
          <w:lang w:eastAsia="en-US"/>
        </w:rPr>
        <w:t>,</w:t>
      </w:r>
      <w:r w:rsidRPr="00024D5A">
        <w:rPr>
          <w:rFonts w:ascii="Garamond" w:eastAsia="Times New Roman" w:hAnsi="Garamond"/>
          <w:lang w:eastAsia="en-US"/>
        </w:rPr>
        <w:t xml:space="preserve"> për shkak të barrierave sociale, informacionit të kufizuar ose frikës së familjeve. Angazhimi i komunitetit dhe familjeve synon të sigurojë që fëmijët me aftësi të kufizuara të mos jenë më një grup me rrezik më të lartë për sëmundje të parandalueshme.</w:t>
      </w:r>
    </w:p>
    <w:p w14:paraId="5C8E303A" w14:textId="7A4AF3B5"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Realizimi i këtij objektivi të Planit</w:t>
      </w:r>
      <w:r w:rsidR="00B47620" w:rsidRPr="00024D5A">
        <w:rPr>
          <w:rFonts w:ascii="Garamond" w:eastAsia="Times New Roman" w:hAnsi="Garamond"/>
          <w:lang w:eastAsia="en-US"/>
        </w:rPr>
        <w:t>,</w:t>
      </w:r>
      <w:r w:rsidRPr="00024D5A">
        <w:rPr>
          <w:rFonts w:ascii="Garamond" w:eastAsia="Times New Roman" w:hAnsi="Garamond"/>
          <w:lang w:eastAsia="en-US"/>
        </w:rPr>
        <w:t xml:space="preserve"> shtrin qasjen përgjatë gjithë jetës së individit, duke vendosur bazat e një sistemi shëndetësor gjithëpërfshirës. Rritja e numrit të ekipeve socioshëndetësore në kujdesin shëndetësor parësor synon që personi me aftësi të kufizuara të mos jetë i detyruar të kërkojë shërbime të fragmentuara, por të ketë një pikë hyrëse të koordinuar në sistem. </w:t>
      </w:r>
    </w:p>
    <w:p w14:paraId="55DD19A1"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Një element thelbësor i reformës është përcaktimi i standardeve kombëtare për kujdes shëndetësor gjithëpërfshirës dhe i protokolleve klinike që garantojnë trajtim me dinjitet, respekt dhe pa diskriminim. Vendosja e standardeve do të harmonizojë praktikën klinike dhe do të kërkojë që sistemi shëndetësor të përshtatet ndaj pacientit dhe jo e kundërta.</w:t>
      </w:r>
    </w:p>
    <w:p w14:paraId="1E2D194C"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Pjesë e rëndësishme e objektivit është edhe garantimi i aksesit në shëndetin seksual dhe riprodhues në formate të aksesueshme për të gjitha llojet e aftësisë së kufizuar. Po ashtu, krijimi i mekanizmave për trajtim prioritar për personat me aftësi të kufizuara komplekse synon të shmangë vonesat e trajtimit dhe përkeqësimin e gjendjes shëndetësore.</w:t>
      </w:r>
    </w:p>
    <w:p w14:paraId="433029FD"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Ky objektiv synon të ndërtojë një sistem shëndetësor që nuk reagon vetëm ndaj sëmundjes, por mbështet funksionimin, autonominë dhe cilësinë e jetës. </w:t>
      </w:r>
    </w:p>
    <w:p w14:paraId="29C79D49" w14:textId="2284607E" w:rsidR="003E1630" w:rsidRPr="00024D5A" w:rsidRDefault="005743A8" w:rsidP="00791B1A">
      <w:pPr>
        <w:ind w:firstLine="284"/>
        <w:jc w:val="both"/>
        <w:rPr>
          <w:rFonts w:ascii="Garamond" w:eastAsia="Times New Roman" w:hAnsi="Garamond"/>
          <w:b/>
          <w:bCs/>
          <w:lang w:eastAsia="en-US"/>
        </w:rPr>
      </w:pPr>
      <w:r w:rsidRPr="00AC5DA9">
        <w:rPr>
          <w:rFonts w:ascii="Garamond" w:eastAsia="Times New Roman" w:hAnsi="Garamond"/>
          <w:b/>
          <w:bCs/>
          <w:i/>
          <w:iCs/>
          <w:lang w:eastAsia="en-US"/>
        </w:rPr>
        <w:t xml:space="preserve">Objektivi </w:t>
      </w:r>
      <w:r w:rsidR="00AC5DA9" w:rsidRPr="00AC5DA9">
        <w:rPr>
          <w:rFonts w:ascii="Garamond" w:eastAsia="Times New Roman" w:hAnsi="Garamond"/>
          <w:b/>
          <w:bCs/>
          <w:i/>
          <w:iCs/>
          <w:lang w:eastAsia="en-US"/>
        </w:rPr>
        <w:t xml:space="preserve">specifik </w:t>
      </w:r>
      <w:r w:rsidRPr="00AC5DA9">
        <w:rPr>
          <w:rFonts w:ascii="Garamond" w:eastAsia="Times New Roman" w:hAnsi="Garamond"/>
          <w:b/>
          <w:bCs/>
          <w:i/>
          <w:iCs/>
          <w:lang w:eastAsia="en-US"/>
        </w:rPr>
        <w:t>2:</w:t>
      </w:r>
      <w:r w:rsidRPr="00024D5A">
        <w:rPr>
          <w:rFonts w:ascii="Garamond" w:eastAsia="Times New Roman" w:hAnsi="Garamond"/>
          <w:b/>
          <w:bCs/>
          <w:lang w:eastAsia="en-US"/>
        </w:rPr>
        <w:t xml:space="preserve"> </w:t>
      </w:r>
      <w:r w:rsidRPr="00024D5A">
        <w:rPr>
          <w:rFonts w:ascii="Garamond" w:eastAsia="Times New Roman" w:hAnsi="Garamond"/>
          <w:i/>
          <w:iCs/>
          <w:lang w:eastAsia="en-US"/>
        </w:rPr>
        <w:t>Mundësimi i rehabilitimit cilësor, shërbimeve të shëndetit mendor dhe aksesit në teknologji ndihmëse, të bazuara në komunitet dhe në nevojat individuale</w:t>
      </w:r>
      <w:r w:rsidR="00B47620" w:rsidRPr="00024D5A">
        <w:rPr>
          <w:rFonts w:ascii="Garamond" w:eastAsia="Times New Roman" w:hAnsi="Garamond"/>
          <w:i/>
          <w:iCs/>
          <w:lang w:eastAsia="en-US"/>
        </w:rPr>
        <w:t>.</w:t>
      </w:r>
    </w:p>
    <w:p w14:paraId="69E9D335" w14:textId="229AFC07" w:rsidR="003E1630" w:rsidRPr="00024D5A" w:rsidRDefault="005743A8" w:rsidP="00791B1A">
      <w:pPr>
        <w:ind w:firstLine="284"/>
        <w:jc w:val="both"/>
        <w:rPr>
          <w:rFonts w:ascii="Garamond" w:eastAsia="Times New Roman" w:hAnsi="Garamond"/>
          <w:b/>
          <w:bCs/>
          <w:i/>
          <w:iCs/>
          <w:lang w:eastAsia="en-US"/>
        </w:rPr>
      </w:pPr>
      <w:r w:rsidRPr="00024D5A">
        <w:rPr>
          <w:rFonts w:ascii="Garamond" w:eastAsia="Times New Roman" w:hAnsi="Garamond"/>
          <w:b/>
          <w:bCs/>
          <w:i/>
          <w:iCs/>
          <w:lang w:eastAsia="en-US"/>
        </w:rPr>
        <w:t>Masat prioritare</w:t>
      </w:r>
      <w:r w:rsidR="00B47620" w:rsidRPr="00024D5A">
        <w:rPr>
          <w:rFonts w:ascii="Garamond" w:eastAsia="Times New Roman" w:hAnsi="Garamond"/>
          <w:b/>
          <w:bCs/>
          <w:i/>
          <w:iCs/>
          <w:lang w:eastAsia="en-US"/>
        </w:rPr>
        <w:t>:</w:t>
      </w:r>
    </w:p>
    <w:p w14:paraId="4A58825A" w14:textId="715094BF" w:rsidR="003E1630" w:rsidRPr="00024D5A" w:rsidRDefault="00994FA9" w:rsidP="00B47620">
      <w:pPr>
        <w:pStyle w:val="ListParagraph"/>
        <w:ind w:left="0" w:firstLine="288"/>
        <w:jc w:val="both"/>
        <w:rPr>
          <w:rFonts w:ascii="Garamond" w:eastAsia="Times New Roman" w:hAnsi="Garamond"/>
          <w:lang w:eastAsia="en-US"/>
        </w:rPr>
      </w:pPr>
      <w:r w:rsidRPr="00024D5A">
        <w:rPr>
          <w:rFonts w:ascii="Garamond" w:eastAsia="Times New Roman" w:hAnsi="Garamond"/>
          <w:lang w:eastAsia="en-US"/>
        </w:rPr>
        <w:t xml:space="preserve">2.1 </w:t>
      </w:r>
      <w:r w:rsidR="005743A8" w:rsidRPr="00024D5A">
        <w:rPr>
          <w:rFonts w:ascii="Garamond" w:eastAsia="Times New Roman" w:hAnsi="Garamond"/>
          <w:lang w:eastAsia="en-US"/>
        </w:rPr>
        <w:t>Forcimi i shërbimeve të rehabilitimit të bazuara në komunitet;</w:t>
      </w:r>
    </w:p>
    <w:p w14:paraId="408D9854" w14:textId="792FEDEF" w:rsidR="003E1630" w:rsidRPr="00024D5A" w:rsidRDefault="00994FA9" w:rsidP="00B47620">
      <w:pPr>
        <w:pStyle w:val="ListParagraph"/>
        <w:ind w:left="0" w:firstLine="288"/>
        <w:jc w:val="both"/>
        <w:rPr>
          <w:rFonts w:ascii="Garamond" w:eastAsia="Times New Roman" w:hAnsi="Garamond"/>
          <w:lang w:eastAsia="en-US"/>
        </w:rPr>
      </w:pPr>
      <w:r w:rsidRPr="00024D5A">
        <w:rPr>
          <w:rFonts w:ascii="Garamond" w:eastAsia="Times New Roman" w:hAnsi="Garamond"/>
          <w:lang w:eastAsia="en-US"/>
        </w:rPr>
        <w:t xml:space="preserve">2.2 </w:t>
      </w:r>
      <w:r w:rsidR="005743A8" w:rsidRPr="00024D5A">
        <w:rPr>
          <w:rFonts w:ascii="Garamond" w:eastAsia="Times New Roman" w:hAnsi="Garamond"/>
          <w:lang w:eastAsia="en-US"/>
        </w:rPr>
        <w:t>Forcimi i të drejtave të personave me aftësi të kufizuara psikosociale përmes harmonizimit të kuadrit ligjor dhe zhvillimit të shërbimeve komunitare të shëndetit mendor;</w:t>
      </w:r>
    </w:p>
    <w:p w14:paraId="13199BFF" w14:textId="357218DE" w:rsidR="003E1630" w:rsidRPr="00024D5A" w:rsidRDefault="00994FA9" w:rsidP="00B47620">
      <w:pPr>
        <w:pStyle w:val="ListParagraph"/>
        <w:ind w:left="0" w:firstLine="288"/>
        <w:jc w:val="both"/>
        <w:rPr>
          <w:rFonts w:ascii="Garamond" w:eastAsia="Times New Roman" w:hAnsi="Garamond"/>
          <w:lang w:eastAsia="en-US"/>
        </w:rPr>
      </w:pPr>
      <w:r w:rsidRPr="00024D5A">
        <w:rPr>
          <w:rFonts w:ascii="Garamond" w:eastAsia="Times New Roman" w:hAnsi="Garamond"/>
          <w:lang w:eastAsia="en-US"/>
        </w:rPr>
        <w:t xml:space="preserve">2.3 </w:t>
      </w:r>
      <w:r w:rsidR="005743A8" w:rsidRPr="00024D5A">
        <w:rPr>
          <w:rFonts w:ascii="Garamond" w:eastAsia="Times New Roman" w:hAnsi="Garamond"/>
          <w:lang w:eastAsia="en-US"/>
        </w:rPr>
        <w:t>Aksesi në teknologji dhe mjete ndihmëse.</w:t>
      </w:r>
    </w:p>
    <w:p w14:paraId="58823211" w14:textId="6A67A556"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Ky objektiv adreson vazhdimësinë e kujdesit për personat me aftësi të kufizuara. Së pari, ai synon të forcohen shërbimet e rehabilitimit me bazë komunitare. Kryerja e një vlerësimi kombëtar të shërbimeve ekzistuese do të krijojë për herë të parë një panoramë të plotë mbi mbulimin territorial, cilësinë dhe aksesueshmërinë e rehabilitimit. Vendosja e standardeve të rehabilitimit, të harmonizuara me qasjen biopsikosociale, do të përcaktojë jo vetëm shërbimin mjekësor, por edhe ndërhyrjet fizioterapeutike, ergoterapeutike, logopedike dhe psikosociale, duke e konsideruar rehabilitimin një proces të vazhdueshëm që mbështet funksionimin në jetën e përditshme.</w:t>
      </w:r>
    </w:p>
    <w:p w14:paraId="15C7AB5E"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Një element themelor i objektivit është reforma në shëndetin mendor. Plani synon kalimin nga modeli institucional drejt shërbimeve komunitare dhe të orientuara nga të drejtat e njeriut. Rishikimi i kuadrit ligjor do të synojë garantimin e pëlqimit të informuar, vendimmarrjes së mbështetur dhe përfshirjes së individit në trajtimin e tij.</w:t>
      </w:r>
    </w:p>
    <w:p w14:paraId="2805EBEC"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Vendosja e standardeve të unifikuara për qendrat komunitare të shëndetit mendor, shtëpitë e mbështetura dhe shërbimet me shtretër do të synojë të sigurojë cilësi të njëjtë të kujdesit në të gjithë vendin. Hartimi i planeve individuale të mbështetjes dhe qasja shumëdisiplinore do të lidhin trajtimin mjekësor me rehabilitimin dhe përfshirjen sociale, duke ulur rrezikun e izolimit dhe institucionalizimit afatgjatë.</w:t>
      </w:r>
    </w:p>
    <w:p w14:paraId="06388E1C"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Paralelisht, plani trajton një element shumë të rëndësishëm për jetesën e pavarur, aksesin në teknologji dhe mjete ndihmëse. Për shumë persona me aftësi të kufizuara, pajisjet ndihmëse janë parakusht për mobilitet, komunikim, arsimim dhe punësim. Kryerja e një vlerësimi kombëtar të nevojave do të mundësojë planifikim real të mbulimit, ndërsa rishikimi i kuadrit ligjor synon eliminimin e pengesave administrative dhe financiare.</w:t>
      </w:r>
    </w:p>
    <w:p w14:paraId="42B085B0" w14:textId="0BD427D4"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Hartimi i listës prioritare të pajisjeve dhe miratimi i listës kombëtare, në përputhje me standardet ndërkombëtare do të vendosë një sistem të qëndrueshëm rimbursimi. Standardet për përshkrimin, përdorimin dhe mirëmbajtjen e pajisjeve do të garantojnë jo vetëm ofrimin e tyre, por edhe përdorimin efektiv, duke shmangur situatat kur pajisjet shpërndahen, por nuk përdoren për shkak të mungesës së udhëzimit ose përshtatjes.</w:t>
      </w:r>
    </w:p>
    <w:p w14:paraId="09058FA7" w14:textId="155AD9E5" w:rsidR="003E1630" w:rsidRPr="00024D5A" w:rsidRDefault="005743A8" w:rsidP="00791B1A">
      <w:pPr>
        <w:ind w:firstLine="284"/>
        <w:jc w:val="both"/>
        <w:rPr>
          <w:rFonts w:ascii="Garamond" w:eastAsia="Times New Roman" w:hAnsi="Garamond"/>
          <w:b/>
          <w:bCs/>
          <w:lang w:eastAsia="en-US"/>
        </w:rPr>
      </w:pPr>
      <w:r w:rsidRPr="00AC5DA9">
        <w:rPr>
          <w:rFonts w:ascii="Garamond" w:eastAsia="Times New Roman" w:hAnsi="Garamond"/>
          <w:b/>
          <w:bCs/>
          <w:i/>
          <w:iCs/>
          <w:lang w:eastAsia="en-US"/>
        </w:rPr>
        <w:t xml:space="preserve">Objektivi </w:t>
      </w:r>
      <w:r w:rsidR="0046698D" w:rsidRPr="00AC5DA9">
        <w:rPr>
          <w:rFonts w:ascii="Garamond" w:eastAsia="Times New Roman" w:hAnsi="Garamond"/>
          <w:b/>
          <w:bCs/>
          <w:i/>
          <w:iCs/>
          <w:lang w:eastAsia="en-US"/>
        </w:rPr>
        <w:t xml:space="preserve">specifik </w:t>
      </w:r>
      <w:r w:rsidRPr="00AC5DA9">
        <w:rPr>
          <w:rFonts w:ascii="Garamond" w:eastAsia="Times New Roman" w:hAnsi="Garamond"/>
          <w:b/>
          <w:bCs/>
          <w:i/>
          <w:iCs/>
          <w:lang w:eastAsia="en-US"/>
        </w:rPr>
        <w:t>3:</w:t>
      </w:r>
      <w:r w:rsidRPr="00024D5A">
        <w:rPr>
          <w:rFonts w:ascii="Garamond" w:eastAsia="Times New Roman" w:hAnsi="Garamond"/>
          <w:b/>
          <w:bCs/>
          <w:lang w:eastAsia="en-US"/>
        </w:rPr>
        <w:t xml:space="preserve"> </w:t>
      </w:r>
      <w:r w:rsidRPr="00024D5A">
        <w:rPr>
          <w:rFonts w:ascii="Garamond" w:eastAsia="Times New Roman" w:hAnsi="Garamond"/>
          <w:i/>
          <w:iCs/>
          <w:lang w:eastAsia="en-US"/>
        </w:rPr>
        <w:t>Përmirësimi i cilësisë së shërbimeve përmes forcimit të burimeve njerëzore, aksesueshmërisë dhe mekanizmave të monitorimit dhe llogaridhënies.</w:t>
      </w:r>
    </w:p>
    <w:p w14:paraId="35649D8F" w14:textId="5965DD43" w:rsidR="003E1630" w:rsidRPr="00024D5A" w:rsidRDefault="005743A8" w:rsidP="00791B1A">
      <w:pPr>
        <w:ind w:firstLine="284"/>
        <w:jc w:val="both"/>
        <w:rPr>
          <w:rFonts w:ascii="Garamond" w:eastAsia="Times New Roman" w:hAnsi="Garamond"/>
          <w:b/>
          <w:bCs/>
          <w:i/>
          <w:iCs/>
          <w:lang w:eastAsia="en-US"/>
        </w:rPr>
      </w:pPr>
      <w:r w:rsidRPr="00024D5A">
        <w:rPr>
          <w:rFonts w:ascii="Garamond" w:eastAsia="Times New Roman" w:hAnsi="Garamond"/>
          <w:b/>
          <w:bCs/>
          <w:i/>
          <w:iCs/>
          <w:lang w:eastAsia="en-US"/>
        </w:rPr>
        <w:t>Masat prioritare</w:t>
      </w:r>
      <w:r w:rsidR="0046698D" w:rsidRPr="00024D5A">
        <w:rPr>
          <w:rFonts w:ascii="Garamond" w:eastAsia="Times New Roman" w:hAnsi="Garamond"/>
          <w:b/>
          <w:bCs/>
          <w:i/>
          <w:iCs/>
          <w:lang w:eastAsia="en-US"/>
        </w:rPr>
        <w:t>:</w:t>
      </w:r>
    </w:p>
    <w:p w14:paraId="6FFD5103" w14:textId="0292B598" w:rsidR="003E1630" w:rsidRPr="00024D5A" w:rsidRDefault="00994FA9" w:rsidP="00F850C9">
      <w:pPr>
        <w:pStyle w:val="ListParagraph"/>
        <w:ind w:left="0" w:firstLine="288"/>
        <w:jc w:val="both"/>
        <w:rPr>
          <w:rFonts w:ascii="Garamond" w:eastAsia="Times New Roman" w:hAnsi="Garamond"/>
          <w:lang w:eastAsia="en-US"/>
        </w:rPr>
      </w:pPr>
      <w:r w:rsidRPr="00024D5A">
        <w:rPr>
          <w:rFonts w:ascii="Garamond" w:eastAsia="Times New Roman" w:hAnsi="Garamond"/>
          <w:lang w:eastAsia="en-US"/>
        </w:rPr>
        <w:t xml:space="preserve">3.1 </w:t>
      </w:r>
      <w:r w:rsidR="005743A8" w:rsidRPr="00024D5A">
        <w:rPr>
          <w:rFonts w:ascii="Garamond" w:eastAsia="Times New Roman" w:hAnsi="Garamond"/>
          <w:lang w:eastAsia="en-US"/>
        </w:rPr>
        <w:t>Edukimi dhe forcimi i kapaciteteve të personelit shëndetësor;</w:t>
      </w:r>
    </w:p>
    <w:p w14:paraId="6419C6AA" w14:textId="48EE92F9" w:rsidR="003E1630" w:rsidRPr="00024D5A" w:rsidRDefault="00994FA9" w:rsidP="00F850C9">
      <w:pPr>
        <w:pStyle w:val="ListParagraph"/>
        <w:ind w:left="0" w:firstLine="288"/>
        <w:jc w:val="both"/>
        <w:rPr>
          <w:rFonts w:ascii="Garamond" w:eastAsia="Times New Roman" w:hAnsi="Garamond"/>
          <w:lang w:eastAsia="en-US"/>
        </w:rPr>
      </w:pPr>
      <w:r w:rsidRPr="00024D5A">
        <w:rPr>
          <w:rFonts w:ascii="Garamond" w:eastAsia="Times New Roman" w:hAnsi="Garamond"/>
          <w:lang w:eastAsia="en-US"/>
        </w:rPr>
        <w:t xml:space="preserve">3.2 </w:t>
      </w:r>
      <w:r w:rsidR="005743A8" w:rsidRPr="00024D5A">
        <w:rPr>
          <w:rFonts w:ascii="Garamond" w:eastAsia="Times New Roman" w:hAnsi="Garamond"/>
          <w:lang w:eastAsia="en-US"/>
        </w:rPr>
        <w:t>Akses i barabartë në mjedise dhe informacion shëndetësor për të gjitha kategoritë e personave me aftësi të kufizuar</w:t>
      </w:r>
      <w:r w:rsidR="00F850C9" w:rsidRPr="00024D5A">
        <w:rPr>
          <w:rFonts w:ascii="Garamond" w:eastAsia="Times New Roman" w:hAnsi="Garamond"/>
          <w:lang w:eastAsia="en-US"/>
        </w:rPr>
        <w:t>a</w:t>
      </w:r>
      <w:r w:rsidR="005743A8" w:rsidRPr="00024D5A">
        <w:rPr>
          <w:rFonts w:ascii="Garamond" w:eastAsia="Times New Roman" w:hAnsi="Garamond"/>
          <w:lang w:eastAsia="en-US"/>
        </w:rPr>
        <w:t>.</w:t>
      </w:r>
    </w:p>
    <w:p w14:paraId="4BE75B39"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Ky objektiv synon të adresojë një problem të rëndësishëm të sistemit shëndetësor. Edhe kur shërbimet ekzistojnë, ato shpesh nuk janë realisht të përdorshme nga personat me aftësi të kufizuara. Pengesat nuk lidhen vetëm me mungesën e strukturave apo pajisjeve, por me mënyrën si organizohet shërbimi, si komunikon personeli dhe si kuptohet roli i pacientit në procesin e kujdesit shëndetësor. Për këtë arsye, Plani e vendos cilësinë e shërbimit në qendër, duke ndërhyrë njëkohësisht në kompetencat profesionale dhe aksesueshmërinë.</w:t>
      </w:r>
    </w:p>
    <w:p w14:paraId="05A37007"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Në radhë të parë, përmes zbatimit, do të forcohen kapacitetet e personelit shëndetësor, duke synuar që profesionistët e shëndetit të kalojnë nga një qasje thjesht klinike drejt një qasjeje të bazuar në të drejtat e njeriut. </w:t>
      </w:r>
    </w:p>
    <w:p w14:paraId="6A0D799B"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Së dyti, Plani parashikon sigurimin e aksesit të barabartë në mjedise dhe informacion shëndetësor. Përshtatja graduale e infrastrukturës fizike të institucioneve shëndetësore synon që qendrat shëndetësore, poliklinikat dhe spitalet të jenë të përdorshme për të gjitha kategoritë e personave me aftësi të kufizuara. Paralelisht, informacioni shëndetësor do të ofrohet në formate të ndryshme komunikimi, duke përfshirë materiale të lexueshme, audio, video, gjuhë shenjash dhe formate të tjera alternative. Kjo është thelbësore sepse shumë persona me aftësi të kufizuara nuk përjashtohen nga shërbimi për shkak të trajtimit mjekësor, por për shkak të pamundësisë për të kuptuar informacionin ose për të komunikuar me personelin.</w:t>
      </w:r>
    </w:p>
    <w:p w14:paraId="21FF30F0"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Programet e promovimit të shëndetit dhe parandalimit të sëmundjeve do të përshtaten për të qenë gjithëpërfshirëse, duke siguruar që personat me aftësi të kufizuara të mos mbeten jashtë informimit publik për shëndetin. Kjo do të rrisë ndërgjegjësimin, përdorimin e shërbimeve dhe parandalimin e ndërlikimeve shëndetësore që shpesh lidhen me mungesën e aksesit në informacion.</w:t>
      </w:r>
    </w:p>
    <w:p w14:paraId="560523CE"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Ky objektiv synon krijimin e një sistemi shëndetësor ku vlerësimi nuk bazohet vetëm në sasinë e shërbimeve për personat me aftësi të kufizuara, por edhe në funksionalitetin dhe efektivitetin e tyre për përdoruesit. Përmes zhvillimit të kapaciteteve profesionale, aksesueshmërisë fizike dhe komunikimit të përshtatur, personi me aftësi të kufizuara trajtohet si pacient i barabartë, me të drejtën për informacion, zgjedhje dhe pjesëmarrje. </w:t>
      </w:r>
    </w:p>
    <w:p w14:paraId="68EA7502" w14:textId="68F8DC29" w:rsidR="003E1630" w:rsidRPr="00024D5A" w:rsidRDefault="0058487E" w:rsidP="00791B1A">
      <w:pPr>
        <w:pStyle w:val="Heading2"/>
        <w:spacing w:before="0"/>
        <w:ind w:firstLine="284"/>
        <w:rPr>
          <w:rFonts w:ascii="Garamond" w:hAnsi="Garamond"/>
          <w:color w:val="auto"/>
          <w:sz w:val="24"/>
          <w:szCs w:val="24"/>
          <w:lang w:eastAsia="en-US"/>
        </w:rPr>
      </w:pPr>
      <w:bookmarkStart w:id="48" w:name="_Toc231489647"/>
      <w:r w:rsidRPr="00024D5A">
        <w:rPr>
          <w:rFonts w:ascii="Garamond" w:hAnsi="Garamond"/>
          <w:color w:val="auto"/>
          <w:sz w:val="24"/>
          <w:szCs w:val="24"/>
          <w:lang w:eastAsia="en-US"/>
        </w:rPr>
        <w:t>3</w:t>
      </w:r>
      <w:r w:rsidR="005743A8" w:rsidRPr="00024D5A">
        <w:rPr>
          <w:rFonts w:ascii="Garamond" w:hAnsi="Garamond"/>
          <w:color w:val="auto"/>
          <w:sz w:val="24"/>
          <w:szCs w:val="24"/>
          <w:lang w:eastAsia="en-US"/>
        </w:rPr>
        <w:t>.7 Përfshirja në jetën publike dhe politike</w:t>
      </w:r>
      <w:bookmarkEnd w:id="48"/>
      <w:r w:rsidR="005743A8" w:rsidRPr="00024D5A">
        <w:rPr>
          <w:rFonts w:ascii="Garamond" w:hAnsi="Garamond"/>
          <w:color w:val="auto"/>
          <w:sz w:val="24"/>
          <w:szCs w:val="24"/>
          <w:lang w:eastAsia="en-US"/>
        </w:rPr>
        <w:t xml:space="preserve"> </w:t>
      </w:r>
    </w:p>
    <w:p w14:paraId="0597C9A9" w14:textId="7236F171" w:rsidR="003E1630" w:rsidRPr="00024D5A" w:rsidRDefault="0058487E" w:rsidP="00791B1A">
      <w:pPr>
        <w:pStyle w:val="Heading2"/>
        <w:spacing w:before="0"/>
        <w:ind w:firstLine="284"/>
        <w:rPr>
          <w:rFonts w:ascii="Garamond" w:hAnsi="Garamond"/>
          <w:color w:val="auto"/>
          <w:sz w:val="24"/>
          <w:szCs w:val="24"/>
          <w:lang w:eastAsia="en-US"/>
        </w:rPr>
      </w:pPr>
      <w:bookmarkStart w:id="49" w:name="_Toc231489648"/>
      <w:r w:rsidRPr="00024D5A">
        <w:rPr>
          <w:rFonts w:ascii="Garamond" w:hAnsi="Garamond"/>
          <w:color w:val="auto"/>
          <w:sz w:val="24"/>
          <w:szCs w:val="24"/>
          <w:lang w:eastAsia="en-US"/>
        </w:rPr>
        <w:t>3</w:t>
      </w:r>
      <w:r w:rsidR="005743A8" w:rsidRPr="00024D5A">
        <w:rPr>
          <w:rFonts w:ascii="Garamond" w:hAnsi="Garamond"/>
          <w:color w:val="auto"/>
          <w:sz w:val="24"/>
          <w:szCs w:val="24"/>
          <w:lang w:eastAsia="en-US"/>
        </w:rPr>
        <w:t>.7.1 Ko</w:t>
      </w:r>
      <w:r w:rsidR="003A0569" w:rsidRPr="00024D5A">
        <w:rPr>
          <w:rFonts w:ascii="Garamond" w:hAnsi="Garamond"/>
          <w:color w:val="auto"/>
          <w:sz w:val="24"/>
          <w:szCs w:val="24"/>
          <w:lang w:eastAsia="en-US"/>
        </w:rPr>
        <w:t xml:space="preserve">nteksti </w:t>
      </w:r>
      <w:r w:rsidR="005743A8" w:rsidRPr="00024D5A">
        <w:rPr>
          <w:rFonts w:ascii="Garamond" w:hAnsi="Garamond"/>
          <w:color w:val="auto"/>
          <w:sz w:val="24"/>
          <w:szCs w:val="24"/>
          <w:lang w:eastAsia="en-US"/>
        </w:rPr>
        <w:t>strategjik</w:t>
      </w:r>
      <w:bookmarkEnd w:id="49"/>
    </w:p>
    <w:p w14:paraId="2B201C82" w14:textId="14E823E6"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Fusha e përfshirjes në jetën publike dhe politike në</w:t>
      </w:r>
      <w:r w:rsidR="008F29FA" w:rsidRPr="00024D5A">
        <w:rPr>
          <w:rFonts w:ascii="Garamond" w:eastAsia="Times New Roman" w:hAnsi="Garamond"/>
          <w:lang w:eastAsia="en-US"/>
        </w:rPr>
        <w:t xml:space="preserve"> </w:t>
      </w:r>
      <w:r w:rsidRPr="00024D5A">
        <w:rPr>
          <w:rFonts w:ascii="Garamond" w:eastAsia="Times New Roman" w:hAnsi="Garamond"/>
          <w:lang w:eastAsia="en-US"/>
        </w:rPr>
        <w:t>Planin Kombëtar të Veprimit për Personat me Aftësi të Kufizuara 2026</w:t>
      </w:r>
      <w:r w:rsidR="00F850C9" w:rsidRPr="00024D5A">
        <w:rPr>
          <w:rFonts w:ascii="Garamond" w:eastAsia="Times New Roman" w:hAnsi="Garamond"/>
          <w:lang w:eastAsia="en-US"/>
        </w:rPr>
        <w:t>–</w:t>
      </w:r>
      <w:r w:rsidRPr="00024D5A">
        <w:rPr>
          <w:rFonts w:ascii="Garamond" w:eastAsia="Times New Roman" w:hAnsi="Garamond"/>
          <w:lang w:eastAsia="en-US"/>
        </w:rPr>
        <w:t>2030 synon të garantojë që personat me aftësi të kufizuara të mos mbeten vetëm përfitues të politikave publike, por të jenë pjesëmarrës aktivë në vendimmarrje, përfaqësim dhe në jetën demokratike, kulturore e sportive të vendit. Qasja e Planit bazohet në parimin se demokracia funksionale dhe gjithëpërfshirëse, kërkon pjesëmarrje reale të çdo qytetari dhe se aftësia e kufizuar nuk duhet të përbëjë pengesë për ushtrimin e të drejtave politike, përfaqësimin në institucione apo pjesëmarrjen në jetën kulturore e komunitare.</w:t>
      </w:r>
    </w:p>
    <w:p w14:paraId="09F25EFA"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Në nivel ndërkombëtar, kjo fushë mbështetet drejtpërdrejt në Konventën e OKB-së për të Drejtat e Personave me Aftësi të Kufizuara</w:t>
      </w:r>
      <w:r w:rsidRPr="00024D5A">
        <w:rPr>
          <w:rFonts w:ascii="Garamond" w:eastAsia="Times New Roman" w:hAnsi="Garamond"/>
          <w:vertAlign w:val="superscript"/>
          <w:lang w:eastAsia="en-US"/>
        </w:rPr>
        <w:footnoteReference w:id="79"/>
      </w:r>
      <w:r w:rsidRPr="00024D5A">
        <w:rPr>
          <w:rFonts w:ascii="Garamond" w:eastAsia="Times New Roman" w:hAnsi="Garamond"/>
          <w:lang w:eastAsia="en-US"/>
        </w:rPr>
        <w:t xml:space="preserve">, e cila garanton të drejtën e personave me aftësi të kufizuara për të marrë pjesë në jetën politike dhe publike në baza të barabarta me të tjerët, duke përfshirë të drejtën për të votuar, për t’u zgjedhur, për të marrë pjesë në administrimin e çështjeve publike dhe në organizatat e shoqërisë civile. Konventa kërkon që shtetet të sigurojnë procedura, ambiente dhe materiale zgjedhore të aksesueshme, të kuptueshme dhe të lehta për t’u përdorur, si dhe të mundësojnë votimin e pavarur dhe sekret për çdo person me aftësi të kufizuara. Në të njëjtën kohë, ajo thekson edhe të drejtën për pjesëmarrje në jetën kulturore, rekreative dhe sportive si pjesë e barazisë dhe përfshirjes sociale. </w:t>
      </w:r>
    </w:p>
    <w:p w14:paraId="323255B1" w14:textId="6C411658"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Këto standarde përforcohen nga politikat e Bashkimit Evropian për përfshirjen sociale dhe nga Strategjia e BE për të Drejtat e Personave me Aftësi të Kufizuara 2021</w:t>
      </w:r>
      <w:r w:rsidR="00F850C9" w:rsidRPr="00024D5A">
        <w:rPr>
          <w:rFonts w:ascii="Garamond" w:eastAsia="Times New Roman" w:hAnsi="Garamond"/>
          <w:lang w:eastAsia="en-US"/>
        </w:rPr>
        <w:t>–</w:t>
      </w:r>
      <w:r w:rsidRPr="00024D5A">
        <w:rPr>
          <w:rFonts w:ascii="Garamond" w:eastAsia="Times New Roman" w:hAnsi="Garamond"/>
          <w:lang w:eastAsia="en-US"/>
        </w:rPr>
        <w:t>2030</w:t>
      </w:r>
      <w:r w:rsidRPr="00024D5A">
        <w:rPr>
          <w:rFonts w:ascii="Garamond" w:eastAsia="Times New Roman" w:hAnsi="Garamond"/>
          <w:vertAlign w:val="superscript"/>
          <w:lang w:eastAsia="en-US"/>
        </w:rPr>
        <w:footnoteReference w:id="80"/>
      </w:r>
      <w:r w:rsidRPr="00024D5A">
        <w:rPr>
          <w:rFonts w:ascii="Garamond" w:eastAsia="Times New Roman" w:hAnsi="Garamond"/>
          <w:lang w:eastAsia="en-US"/>
        </w:rPr>
        <w:t>, e cila vendos si prioritet rritjen e pjesëmarrjes demokratike, aksesin në procese zgjedhore, përfaqësimin në vendimmarrje dhe eliminimin e barrierave në kulturë, sport dhe aktivitete komunitare. Në këtë kuadër, pjesëmarrja politike dhe publike shihet si element i qytetarisë aktive dhe i barazisë, dhe jo vetëm si e drejtë formale.</w:t>
      </w:r>
    </w:p>
    <w:p w14:paraId="500E3BF8" w14:textId="1F8BADA5"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Në nivel kombëtar, kjo fushë lidhet me kuadrin ligjor dhe strategjik të Shqipërisë për demokracinë vendore dhe pjesëmarrjen qytetare, përfshirë Kodin Zgjedhor dhe legjislacionin për vetëqeverisjen vendore, të cilat garantojnë ushtrimin e </w:t>
      </w:r>
      <w:r w:rsidR="002C3F0C" w:rsidRPr="00024D5A">
        <w:rPr>
          <w:rFonts w:ascii="Garamond" w:eastAsia="Times New Roman" w:hAnsi="Garamond"/>
          <w:lang w:eastAsia="en-US"/>
        </w:rPr>
        <w:t>s</w:t>
      </w:r>
      <w:r w:rsidRPr="00024D5A">
        <w:rPr>
          <w:rFonts w:ascii="Garamond" w:eastAsia="Times New Roman" w:hAnsi="Garamond"/>
          <w:lang w:eastAsia="en-US"/>
        </w:rPr>
        <w:t xml:space="preserve">ë drejtës së votës dhe pjesëmarrjen në organet vendimmarrëse. Në mënyrë të veçantë, Plani lidhet me Strategjinë Evropiane për të Drejtat e Personave me Aftësi të Kufizuara, e cila thekson rëndësinë e përfaqësimit dhe fuqizimit të organizatave të personave me aftësi të kufizuara, si dhe me procesin e përafrimit me </w:t>
      </w:r>
      <w:r w:rsidRPr="00024D5A">
        <w:rPr>
          <w:rFonts w:ascii="Garamond" w:eastAsia="Times New Roman" w:hAnsi="Garamond"/>
          <w:i/>
          <w:iCs/>
          <w:lang w:eastAsia="en-US"/>
        </w:rPr>
        <w:t>acquis</w:t>
      </w:r>
      <w:r w:rsidRPr="00024D5A">
        <w:rPr>
          <w:rFonts w:ascii="Garamond" w:eastAsia="Times New Roman" w:hAnsi="Garamond"/>
          <w:lang w:eastAsia="en-US"/>
        </w:rPr>
        <w:t xml:space="preserve"> të Bashkimit Evropian në fushën e të drejtave themelore dhe antidiskriminimit.</w:t>
      </w:r>
    </w:p>
    <w:p w14:paraId="4D1F7CAC" w14:textId="433B43CC"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Përfshirja në jetën publike shtrihet edhe përtej proceseve zgjedhore, duke përfshirë pjesëmarrjen në kulturë, art dhe sport. Në këtë drejtim, Plani mbështetet në Strategjinë Kombëtare për Kulturën 2021</w:t>
      </w:r>
      <w:r w:rsidR="00F850C9" w:rsidRPr="00024D5A">
        <w:rPr>
          <w:rFonts w:ascii="Garamond" w:eastAsia="Times New Roman" w:hAnsi="Garamond"/>
          <w:lang w:eastAsia="en-US"/>
        </w:rPr>
        <w:t>–</w:t>
      </w:r>
      <w:r w:rsidRPr="00024D5A">
        <w:rPr>
          <w:rFonts w:ascii="Garamond" w:eastAsia="Times New Roman" w:hAnsi="Garamond"/>
          <w:lang w:eastAsia="en-US"/>
        </w:rPr>
        <w:t>2025</w:t>
      </w:r>
      <w:r w:rsidRPr="00024D5A">
        <w:rPr>
          <w:rFonts w:ascii="Garamond" w:eastAsia="Times New Roman" w:hAnsi="Garamond"/>
          <w:vertAlign w:val="superscript"/>
          <w:lang w:eastAsia="en-US"/>
        </w:rPr>
        <w:footnoteReference w:id="81"/>
      </w:r>
      <w:r w:rsidRPr="00024D5A">
        <w:rPr>
          <w:rFonts w:ascii="Garamond" w:eastAsia="Times New Roman" w:hAnsi="Garamond"/>
          <w:lang w:eastAsia="en-US"/>
        </w:rPr>
        <w:t xml:space="preserve"> dhe Planin Kombëtar për Trashëgiminë Kulturore dhe Arsimin Artistik</w:t>
      </w:r>
      <w:r w:rsidRPr="00024D5A">
        <w:rPr>
          <w:rFonts w:ascii="Garamond" w:eastAsia="Times New Roman" w:hAnsi="Garamond"/>
          <w:vertAlign w:val="superscript"/>
          <w:lang w:eastAsia="en-US"/>
        </w:rPr>
        <w:footnoteReference w:id="82"/>
      </w:r>
      <w:r w:rsidRPr="00024D5A">
        <w:rPr>
          <w:rFonts w:ascii="Garamond" w:eastAsia="Times New Roman" w:hAnsi="Garamond"/>
          <w:lang w:eastAsia="en-US"/>
        </w:rPr>
        <w:t>, të cilat synojnë zgjerimin e aksesit në aktivitete kulturore dhe artistike për të gjithë qytetarët. Po ashtu, Strategjia Kombëtare e Sportit 2021</w:t>
      </w:r>
      <w:r w:rsidR="00F850C9" w:rsidRPr="00024D5A">
        <w:rPr>
          <w:rFonts w:ascii="Garamond" w:eastAsia="Times New Roman" w:hAnsi="Garamond"/>
          <w:lang w:eastAsia="en-US"/>
        </w:rPr>
        <w:t>–</w:t>
      </w:r>
      <w:r w:rsidRPr="00024D5A">
        <w:rPr>
          <w:rFonts w:ascii="Garamond" w:eastAsia="Times New Roman" w:hAnsi="Garamond"/>
          <w:lang w:eastAsia="en-US"/>
        </w:rPr>
        <w:t>2025</w:t>
      </w:r>
      <w:r w:rsidRPr="00024D5A">
        <w:rPr>
          <w:rFonts w:ascii="Garamond" w:eastAsia="Times New Roman" w:hAnsi="Garamond"/>
          <w:vertAlign w:val="superscript"/>
          <w:lang w:eastAsia="en-US"/>
        </w:rPr>
        <w:footnoteReference w:id="83"/>
      </w:r>
      <w:r w:rsidRPr="00024D5A">
        <w:rPr>
          <w:rFonts w:ascii="Garamond" w:eastAsia="Times New Roman" w:hAnsi="Garamond"/>
          <w:lang w:eastAsia="en-US"/>
        </w:rPr>
        <w:t xml:space="preserve"> promovon sportin gjithëpërfshirës dhe pjesëmarrjen e personave me aftësi të kufizuara në aktivitete sportive, duke e konsideruar sportin si instrument të integrimit social dhe të mirëqenies.</w:t>
      </w:r>
    </w:p>
    <w:p w14:paraId="4BFEBBAF" w14:textId="77777777" w:rsidR="003E1630" w:rsidRPr="00024D5A" w:rsidRDefault="005743A8" w:rsidP="00791B1A">
      <w:pPr>
        <w:ind w:firstLine="284"/>
        <w:jc w:val="both"/>
        <w:rPr>
          <w:rFonts w:ascii="Garamond" w:hAnsi="Garamond"/>
          <w:b/>
          <w:bCs/>
          <w:lang w:eastAsia="en-US"/>
        </w:rPr>
      </w:pPr>
      <w:r w:rsidRPr="00024D5A">
        <w:rPr>
          <w:rFonts w:ascii="Garamond" w:eastAsia="Times New Roman" w:hAnsi="Garamond"/>
          <w:lang w:eastAsia="en-US"/>
        </w:rPr>
        <w:t>Zbatimi i objektivave të kësaj fushe, ndërton një lidhje të drejtpërdrejtë midis të drejtave politike, përfaqësimit demokratik dhe përfshirjes sociale. Plani synon të krijojë kushte që personat me aftësi të kufizuara të votojnë në mënyrë të pavarur, të marrin pjesë në proceset vendimmarrëse, të përfaqësojnë interesat e tyre në institucione dhe organizata, si dhe të jenë pjesë aktive e jetës kulturore, artistike dhe sportive të vendit. Në këtë mënyrë, përfshirja publike dhe politike trajtohet jo vetëm si e drejtë qytetare, por si element thelbësor i barazisë, dinjitetit dhe demokracisë funksionale.</w:t>
      </w:r>
    </w:p>
    <w:p w14:paraId="06730351" w14:textId="68356ACD" w:rsidR="003E1630" w:rsidRPr="00024D5A" w:rsidRDefault="0058487E" w:rsidP="00791B1A">
      <w:pPr>
        <w:pStyle w:val="Heading2"/>
        <w:spacing w:before="0"/>
        <w:ind w:firstLine="284"/>
        <w:rPr>
          <w:rFonts w:ascii="Garamond" w:hAnsi="Garamond"/>
          <w:color w:val="auto"/>
          <w:sz w:val="24"/>
          <w:szCs w:val="24"/>
          <w:lang w:eastAsia="en-US"/>
        </w:rPr>
      </w:pPr>
      <w:bookmarkStart w:id="50" w:name="_Toc231489649"/>
      <w:r w:rsidRPr="00024D5A">
        <w:rPr>
          <w:rFonts w:ascii="Garamond" w:hAnsi="Garamond"/>
          <w:color w:val="auto"/>
          <w:sz w:val="24"/>
          <w:szCs w:val="24"/>
          <w:lang w:eastAsia="en-US"/>
        </w:rPr>
        <w:t>3</w:t>
      </w:r>
      <w:r w:rsidR="005743A8" w:rsidRPr="00024D5A">
        <w:rPr>
          <w:rFonts w:ascii="Garamond" w:hAnsi="Garamond"/>
          <w:color w:val="auto"/>
          <w:sz w:val="24"/>
          <w:szCs w:val="24"/>
          <w:lang w:eastAsia="en-US"/>
        </w:rPr>
        <w:t>.7.2 Qëllimi, objektivat dhe masat prioritare</w:t>
      </w:r>
      <w:bookmarkEnd w:id="50"/>
    </w:p>
    <w:p w14:paraId="0552ECA2" w14:textId="77777777" w:rsidR="003E1630" w:rsidRPr="00024D5A" w:rsidRDefault="005743A8" w:rsidP="00791B1A">
      <w:pPr>
        <w:ind w:firstLine="284"/>
        <w:jc w:val="both"/>
        <w:rPr>
          <w:rFonts w:ascii="Garamond" w:hAnsi="Garamond"/>
          <w:b/>
          <w:lang w:eastAsia="en-US"/>
        </w:rPr>
      </w:pPr>
      <w:r w:rsidRPr="00024D5A">
        <w:rPr>
          <w:rFonts w:ascii="Garamond" w:hAnsi="Garamond"/>
          <w:b/>
          <w:bCs/>
          <w:lang w:eastAsia="en-US"/>
        </w:rPr>
        <w:t>Qëllimi politik:</w:t>
      </w:r>
      <w:r w:rsidRPr="00024D5A">
        <w:rPr>
          <w:rFonts w:ascii="Garamond" w:hAnsi="Garamond"/>
          <w:bCs/>
          <w:lang w:eastAsia="en-US"/>
        </w:rPr>
        <w:t xml:space="preserve"> </w:t>
      </w:r>
      <w:r w:rsidRPr="00024D5A">
        <w:rPr>
          <w:rFonts w:ascii="Garamond" w:hAnsi="Garamond"/>
          <w:bCs/>
          <w:i/>
          <w:iCs/>
          <w:lang w:eastAsia="en-US"/>
        </w:rPr>
        <w:t>Garantimi i përfshirjes së plotë të personave me aftësi të kufizuara në jetën publike dhe politike në Shqipëri dhe mundësimi i mbrojtjes së interesave të tyre.</w:t>
      </w:r>
    </w:p>
    <w:p w14:paraId="594CAACA" w14:textId="77777777" w:rsidR="003E1630" w:rsidRPr="00024D5A" w:rsidRDefault="005743A8" w:rsidP="00791B1A">
      <w:pPr>
        <w:ind w:firstLine="284"/>
        <w:jc w:val="both"/>
        <w:rPr>
          <w:rFonts w:ascii="Garamond" w:hAnsi="Garamond"/>
          <w:bCs/>
          <w:lang w:eastAsia="en-US"/>
        </w:rPr>
      </w:pPr>
      <w:r w:rsidRPr="00024D5A">
        <w:rPr>
          <w:rFonts w:ascii="Garamond" w:hAnsi="Garamond"/>
          <w:bCs/>
          <w:lang w:eastAsia="en-US"/>
        </w:rPr>
        <w:t>Për arritjen e qëllimit më sipër, janë parashikuar 2 objektiva specifikë, 4 masa prioritare dhe 10 ndërhyrje konkrete të buxhetuara.</w:t>
      </w:r>
    </w:p>
    <w:p w14:paraId="6D40DA1A" w14:textId="77777777" w:rsidR="003E1630" w:rsidRPr="00024D5A" w:rsidRDefault="005743A8" w:rsidP="00791B1A">
      <w:pPr>
        <w:ind w:firstLine="284"/>
        <w:jc w:val="both"/>
        <w:rPr>
          <w:rFonts w:ascii="Garamond" w:eastAsia="Times New Roman" w:hAnsi="Garamond"/>
          <w:b/>
          <w:bCs/>
          <w:lang w:eastAsia="en-US"/>
        </w:rPr>
      </w:pPr>
      <w:r w:rsidRPr="00AC5DA9">
        <w:rPr>
          <w:rFonts w:ascii="Garamond" w:eastAsia="Times New Roman" w:hAnsi="Garamond"/>
          <w:b/>
          <w:bCs/>
          <w:i/>
          <w:iCs/>
          <w:lang w:eastAsia="en-US"/>
        </w:rPr>
        <w:t>Objektivi specifik 1:</w:t>
      </w:r>
      <w:r w:rsidRPr="00024D5A">
        <w:rPr>
          <w:rFonts w:ascii="Garamond" w:eastAsia="Times New Roman" w:hAnsi="Garamond"/>
          <w:b/>
          <w:bCs/>
          <w:lang w:eastAsia="en-US"/>
        </w:rPr>
        <w:t xml:space="preserve"> </w:t>
      </w:r>
      <w:r w:rsidRPr="00024D5A">
        <w:rPr>
          <w:rFonts w:ascii="Garamond" w:eastAsia="Times New Roman" w:hAnsi="Garamond"/>
          <w:i/>
          <w:iCs/>
          <w:lang w:eastAsia="en-US"/>
        </w:rPr>
        <w:t>Rritja e numrit të personave me aftësi të kufizuara në procesin e votimit, dhënia e mundësisë për të mbrojtur interesat e tyre dhe për të marrë pjesë në vendimmarrje</w:t>
      </w:r>
      <w:r w:rsidRPr="00024D5A">
        <w:rPr>
          <w:rFonts w:ascii="Garamond" w:eastAsia="Times New Roman" w:hAnsi="Garamond"/>
          <w:lang w:eastAsia="en-US"/>
        </w:rPr>
        <w:t>.</w:t>
      </w:r>
    </w:p>
    <w:p w14:paraId="6BFC05AA" w14:textId="0F78B7C5" w:rsidR="003E1630" w:rsidRPr="00024D5A" w:rsidRDefault="005743A8" w:rsidP="00791B1A">
      <w:pPr>
        <w:ind w:firstLine="284"/>
        <w:jc w:val="both"/>
        <w:rPr>
          <w:rFonts w:ascii="Garamond" w:eastAsia="Times New Roman" w:hAnsi="Garamond"/>
          <w:b/>
          <w:bCs/>
          <w:i/>
          <w:iCs/>
          <w:lang w:eastAsia="en-US"/>
        </w:rPr>
      </w:pPr>
      <w:r w:rsidRPr="00024D5A">
        <w:rPr>
          <w:rFonts w:ascii="Garamond" w:eastAsia="Times New Roman" w:hAnsi="Garamond"/>
          <w:b/>
          <w:bCs/>
          <w:i/>
          <w:iCs/>
          <w:lang w:eastAsia="en-US"/>
        </w:rPr>
        <w:t>Masat prioritare</w:t>
      </w:r>
      <w:r w:rsidR="00042FC1" w:rsidRPr="00024D5A">
        <w:rPr>
          <w:rFonts w:ascii="Garamond" w:eastAsia="Times New Roman" w:hAnsi="Garamond"/>
          <w:b/>
          <w:bCs/>
          <w:i/>
          <w:iCs/>
          <w:lang w:eastAsia="en-US"/>
        </w:rPr>
        <w:t>:</w:t>
      </w:r>
    </w:p>
    <w:p w14:paraId="3E722C17" w14:textId="405EEB71" w:rsidR="003E1630" w:rsidRPr="00024D5A" w:rsidRDefault="00994FA9" w:rsidP="00042FC1">
      <w:pPr>
        <w:pStyle w:val="ListParagraph"/>
        <w:ind w:left="0" w:firstLine="284"/>
        <w:jc w:val="both"/>
        <w:rPr>
          <w:rFonts w:ascii="Garamond" w:eastAsia="Times New Roman" w:hAnsi="Garamond"/>
          <w:lang w:eastAsia="en-US"/>
        </w:rPr>
      </w:pPr>
      <w:r w:rsidRPr="00024D5A">
        <w:rPr>
          <w:rFonts w:ascii="Garamond" w:eastAsia="Times New Roman" w:hAnsi="Garamond"/>
          <w:lang w:eastAsia="en-US"/>
        </w:rPr>
        <w:t xml:space="preserve">1.1 </w:t>
      </w:r>
      <w:r w:rsidR="005743A8" w:rsidRPr="00024D5A">
        <w:rPr>
          <w:rFonts w:ascii="Garamond" w:eastAsia="Times New Roman" w:hAnsi="Garamond"/>
          <w:lang w:eastAsia="en-US"/>
        </w:rPr>
        <w:t>Përmirësime ligjore për të mundësuar pjesëmarrjen në votime të të gjithë votuesve me aftësi të kufizuara;</w:t>
      </w:r>
    </w:p>
    <w:p w14:paraId="3D124666" w14:textId="53D2A7EB" w:rsidR="003E1630" w:rsidRPr="00024D5A" w:rsidRDefault="00994FA9" w:rsidP="00042FC1">
      <w:pPr>
        <w:pStyle w:val="ListParagraph"/>
        <w:ind w:left="0" w:firstLine="284"/>
        <w:jc w:val="both"/>
        <w:rPr>
          <w:rFonts w:ascii="Garamond" w:eastAsia="Times New Roman" w:hAnsi="Garamond"/>
          <w:lang w:eastAsia="en-US"/>
        </w:rPr>
      </w:pPr>
      <w:r w:rsidRPr="00024D5A">
        <w:rPr>
          <w:rFonts w:ascii="Garamond" w:eastAsia="Times New Roman" w:hAnsi="Garamond"/>
          <w:lang w:eastAsia="en-US"/>
        </w:rPr>
        <w:t xml:space="preserve">1.2 </w:t>
      </w:r>
      <w:r w:rsidR="005743A8" w:rsidRPr="00024D5A">
        <w:rPr>
          <w:rFonts w:ascii="Garamond" w:eastAsia="Times New Roman" w:hAnsi="Garamond"/>
          <w:lang w:eastAsia="en-US"/>
        </w:rPr>
        <w:t>Rritje e ndërgjegjësimit për pjesëmarrjen e personave me aftësi të kufizuara në proceset zgjedhore, jo vetëm si votues.</w:t>
      </w:r>
    </w:p>
    <w:p w14:paraId="01237AF2" w14:textId="13EB6581"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Ky objektiv synon të garantojë që e drejta e votës për personat me aftësi të kufizuara të mos mbetet thjesht një garanci formale, por të jetë e zbatueshme në çdo nivel. Në praktikë, një pjesë e konsiderueshme e personave me aftësi të kufizuara hasin pengesa për të marrë pjesë në proceset zgjedhore, të lidhura me mungesën e informacionit të përshtatur, pamundësinë fizike për të shkuar në qendrat e votimit, procedurat administrative jofleksibël dhe mungesën e mbështetjes së personalizuar. Plani synon të adresojë këto pengesa në mënyrë sistematike, duke ndërhyrë njëkohësisht në legjislacion, procedura, informacion dhe ndërgjegjësim.</w:t>
      </w:r>
    </w:p>
    <w:p w14:paraId="493038C1"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Në radhë të parë, ndërhyrjet fokusohen në përmirësimin e kuadrit ligjor dhe administrativ zgjedhor. Parashikohet që njësitë e vetëqeverisjes vendore të kenë detyrimin të dërgojnë në Komisionin Qendror të Zgjedhjeve të dhëna mbi zgjedhësit me aftësi të kufizuara dhe nevojat konkrete të tyre për pjesëmarrje në votim. Kjo do të mundësojë planifikim paraprak të aksesueshmërisë dhe mbështetjes së nevojshme. Paralelisht, do të përmirësohen dispozitat e Kodit Zgjedhor dhe procedurat administrative për të siguruar që personat që nuk mund të largohen nga vendbanimi të kenë mundësi reale për të votuar, duke reduktuar kështu përjashtimin faktik nga procesi zgjedhor.</w:t>
      </w:r>
    </w:p>
    <w:p w14:paraId="59FE2FB6" w14:textId="48A1B13F"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Një element i rëndësishëm i reformës është sigurimi i votimit të pavarur për personat me aftësi të kufizuara intelektuale dhe psikosociale. Kjo do të realizohet përmes përshtatjes së materialeve zgjedhore në formate të thjeshtuara dhe të kuptueshme, në mënyrë që informacioni mbi procedurat dhe alternativat zgjedhore të jetë i aksesueshëm dhe të mos kërkojë ndërmjetësim nga persona të tjerë. Synimi është që çdo zgjedhës të mund të votojë në mënyrë autonome dhe me votë të fshehtë.</w:t>
      </w:r>
    </w:p>
    <w:p w14:paraId="07793821"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Njëkohësisht, sistemi i të dhënave të Komisionit Qendror të Zgjedhjeve do të riorganizohet për të prodhuar statistika mbi pjesëmarrjen e personave me aftësi të kufizuara, duke përfshirë numrin e qendrave të votimit të aksesueshme dhe numrin e votuesve që marrin pjesë. Kjo do të krijojë një bazë të qëndrueshme të dhënash për monitorimin e progresit dhe përmirësimin e vazhdueshëm të procesit zgjedhor.</w:t>
      </w:r>
    </w:p>
    <w:p w14:paraId="506B09C0" w14:textId="0EACB70B"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Përtej ndryshimeve ligjore, plani synon të ndryshojë edhe qasjen sociale ndaj pjesëmarrjes politike. Përmes fushatave ndërgjegjësuese</w:t>
      </w:r>
      <w:r w:rsidR="00D33A22" w:rsidRPr="00024D5A">
        <w:rPr>
          <w:rFonts w:ascii="Garamond" w:eastAsia="Times New Roman" w:hAnsi="Garamond"/>
          <w:lang w:eastAsia="en-US"/>
        </w:rPr>
        <w:t>,</w:t>
      </w:r>
      <w:r w:rsidRPr="00024D5A">
        <w:rPr>
          <w:rFonts w:ascii="Garamond" w:eastAsia="Times New Roman" w:hAnsi="Garamond"/>
          <w:lang w:eastAsia="en-US"/>
        </w:rPr>
        <w:t xml:space="preserve"> të zhvilluara në bashkëpunim me organizatat e personave me aftësi të kufizuara</w:t>
      </w:r>
      <w:r w:rsidR="00D33A22" w:rsidRPr="00024D5A">
        <w:rPr>
          <w:rFonts w:ascii="Garamond" w:eastAsia="Times New Roman" w:hAnsi="Garamond"/>
          <w:lang w:eastAsia="en-US"/>
        </w:rPr>
        <w:t>,</w:t>
      </w:r>
      <w:r w:rsidRPr="00024D5A">
        <w:rPr>
          <w:rFonts w:ascii="Garamond" w:eastAsia="Times New Roman" w:hAnsi="Garamond"/>
          <w:lang w:eastAsia="en-US"/>
        </w:rPr>
        <w:t xml:space="preserve"> do të promovohet pjesëmarrja aktive në zgjedhje dhe njohja e të drejtave politike. Këto aktivitete do të synojnë të kapërcejnë vetë-përjashtimin dhe perceptimin se procesi politik nuk është i arritshëm për këtë kategori qytetarësh.</w:t>
      </w:r>
    </w:p>
    <w:p w14:paraId="3561FAB2"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Plani parashikon edhe ndërtimin e kapaciteteve të personave me aftësi të kufizuara për t’u përfshirë në administrimin e zgjedhjeve, si anëtarë komisionesh apo vëzhgues, duke kaluar nga roli pasiv i votuesit në rolin aktiv të pjesëmarrësit në procesin demokratik. Një hap më tej është promovimi i përfaqësimit në organet e vetëqeverisjes vendore, përmes analizës së mundësisë së kuotave për kandidimin dhe pjesëmarrjen në këshillat bashkiakë, në mënyrë të ngjashme me mekanizmat e barazisë gjinore.</w:t>
      </w:r>
    </w:p>
    <w:p w14:paraId="0ADB4061"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Objektivi synon të transformojë pjesëmarrjen politike të personave me aftësi të kufizuara nga një e drejtë teorike në një pjesëmarrje reale dhe aktive. Përmes përmirësimit të legjislacionit, aksesit në votim, informacionit të përshtatur, ndërgjegjësimit dhe përfaqësimit në vendimmarrje, Plani parashikon që personat me aftësi të kufizuara të kenë mundësi të barabarta për të ndikuar në politikat publike dhe për të mbrojtur interesat e tyre si qytetarë të plotë.</w:t>
      </w:r>
    </w:p>
    <w:p w14:paraId="1841882E" w14:textId="77777777" w:rsidR="003E1630" w:rsidRPr="00024D5A" w:rsidRDefault="005743A8" w:rsidP="00791B1A">
      <w:pPr>
        <w:pStyle w:val="NormalWeb"/>
        <w:spacing w:before="0" w:beforeAutospacing="0" w:after="0" w:afterAutospacing="0"/>
        <w:ind w:firstLine="284"/>
        <w:jc w:val="both"/>
        <w:rPr>
          <w:rFonts w:ascii="Garamond" w:hAnsi="Garamond"/>
          <w:b/>
          <w:bCs/>
          <w:lang w:val="sq-AL"/>
        </w:rPr>
      </w:pPr>
      <w:r w:rsidRPr="00AC5DA9">
        <w:rPr>
          <w:rFonts w:ascii="Garamond" w:hAnsi="Garamond"/>
          <w:b/>
          <w:bCs/>
          <w:i/>
          <w:iCs/>
          <w:lang w:val="sq-AL"/>
        </w:rPr>
        <w:t>Objektivi specifik 2:</w:t>
      </w:r>
      <w:r w:rsidRPr="00024D5A">
        <w:rPr>
          <w:rFonts w:ascii="Garamond" w:hAnsi="Garamond"/>
          <w:b/>
          <w:bCs/>
          <w:lang w:val="sq-AL"/>
        </w:rPr>
        <w:t xml:space="preserve"> </w:t>
      </w:r>
      <w:r w:rsidRPr="00024D5A">
        <w:rPr>
          <w:rFonts w:ascii="Garamond" w:hAnsi="Garamond"/>
          <w:i/>
          <w:iCs/>
          <w:lang w:val="sq-AL"/>
        </w:rPr>
        <w:t>Promovimi i punës së artistëve me aftësi të kufizuara dhe përfshirja e personave me aftësi të kufizuara në jetën artistike, për të marrë pjesë në aktivitete dhe evenimente sportive kombëtare dhe ndërkombëtare.</w:t>
      </w:r>
    </w:p>
    <w:p w14:paraId="2512165E" w14:textId="12F6DE5E" w:rsidR="003E1630" w:rsidRPr="00024D5A" w:rsidRDefault="005743A8" w:rsidP="00791B1A">
      <w:pPr>
        <w:pStyle w:val="NormalWeb"/>
        <w:spacing w:before="0" w:beforeAutospacing="0" w:after="0" w:afterAutospacing="0"/>
        <w:ind w:firstLine="284"/>
        <w:jc w:val="both"/>
        <w:rPr>
          <w:rFonts w:ascii="Garamond" w:hAnsi="Garamond"/>
          <w:lang w:val="sq-AL"/>
        </w:rPr>
      </w:pPr>
      <w:r w:rsidRPr="00024D5A">
        <w:rPr>
          <w:rFonts w:ascii="Garamond" w:hAnsi="Garamond"/>
          <w:b/>
          <w:bCs/>
          <w:i/>
          <w:iCs/>
          <w:lang w:val="sq-AL"/>
        </w:rPr>
        <w:t>Masa prioritare</w:t>
      </w:r>
      <w:r w:rsidR="00D33A22" w:rsidRPr="00024D5A">
        <w:rPr>
          <w:rFonts w:ascii="Garamond" w:hAnsi="Garamond"/>
          <w:b/>
          <w:bCs/>
          <w:i/>
          <w:iCs/>
          <w:lang w:val="sq-AL"/>
        </w:rPr>
        <w:t>:</w:t>
      </w:r>
      <w:r w:rsidRPr="00024D5A">
        <w:rPr>
          <w:rFonts w:ascii="Garamond" w:hAnsi="Garamond"/>
          <w:b/>
          <w:bCs/>
          <w:i/>
          <w:iCs/>
          <w:lang w:val="sq-AL"/>
        </w:rPr>
        <w:t xml:space="preserve"> </w:t>
      </w:r>
    </w:p>
    <w:p w14:paraId="41F0DCD4" w14:textId="4241AE19" w:rsidR="003E1630" w:rsidRPr="00024D5A" w:rsidRDefault="00994FA9" w:rsidP="00F850C9">
      <w:pPr>
        <w:pStyle w:val="NormalWeb"/>
        <w:spacing w:before="0" w:beforeAutospacing="0" w:after="0" w:afterAutospacing="0"/>
        <w:ind w:firstLine="288"/>
        <w:jc w:val="both"/>
        <w:rPr>
          <w:rFonts w:ascii="Garamond" w:hAnsi="Garamond"/>
          <w:lang w:val="sq-AL"/>
        </w:rPr>
      </w:pPr>
      <w:r w:rsidRPr="00024D5A">
        <w:rPr>
          <w:rFonts w:ascii="Garamond" w:hAnsi="Garamond"/>
          <w:lang w:val="sq-AL"/>
        </w:rPr>
        <w:t xml:space="preserve">1.1 </w:t>
      </w:r>
      <w:r w:rsidR="005743A8" w:rsidRPr="00024D5A">
        <w:rPr>
          <w:rFonts w:ascii="Garamond" w:hAnsi="Garamond"/>
          <w:lang w:val="sq-AL"/>
        </w:rPr>
        <w:t>Rritje e aksesit për pjesëmarrje të PAK</w:t>
      </w:r>
      <w:r w:rsidR="00B839C3" w:rsidRPr="00024D5A">
        <w:rPr>
          <w:rFonts w:ascii="Garamond" w:hAnsi="Garamond"/>
          <w:lang w:val="sq-AL"/>
        </w:rPr>
        <w:t>-së</w:t>
      </w:r>
      <w:r w:rsidR="005743A8" w:rsidRPr="00024D5A">
        <w:rPr>
          <w:rFonts w:ascii="Garamond" w:hAnsi="Garamond"/>
          <w:lang w:val="sq-AL"/>
        </w:rPr>
        <w:t xml:space="preserve"> në aktivitete kulturore e sportive;</w:t>
      </w:r>
    </w:p>
    <w:p w14:paraId="50549232" w14:textId="3012A2A9" w:rsidR="003E1630" w:rsidRPr="00024D5A" w:rsidRDefault="00994FA9" w:rsidP="00F850C9">
      <w:pPr>
        <w:pStyle w:val="NormalWeb"/>
        <w:spacing w:before="0" w:beforeAutospacing="0" w:after="0" w:afterAutospacing="0"/>
        <w:ind w:firstLine="288"/>
        <w:jc w:val="both"/>
        <w:rPr>
          <w:rFonts w:ascii="Garamond" w:hAnsi="Garamond"/>
          <w:lang w:val="sq-AL"/>
        </w:rPr>
      </w:pPr>
      <w:r w:rsidRPr="00024D5A">
        <w:rPr>
          <w:rFonts w:ascii="Garamond" w:hAnsi="Garamond"/>
          <w:lang w:val="sq-AL"/>
        </w:rPr>
        <w:t xml:space="preserve">1.2 </w:t>
      </w:r>
      <w:r w:rsidR="005743A8" w:rsidRPr="00024D5A">
        <w:rPr>
          <w:rFonts w:ascii="Garamond" w:hAnsi="Garamond"/>
          <w:lang w:val="sq-AL"/>
        </w:rPr>
        <w:t>Ngritja dhe fuqizimi i kapaciteteve.</w:t>
      </w:r>
    </w:p>
    <w:p w14:paraId="5779788E" w14:textId="5CB49745" w:rsidR="003E1630" w:rsidRPr="00024D5A" w:rsidRDefault="005743A8" w:rsidP="00791B1A">
      <w:pPr>
        <w:pStyle w:val="NormalWeb"/>
        <w:spacing w:before="0" w:beforeAutospacing="0" w:after="0" w:afterAutospacing="0"/>
        <w:ind w:firstLine="284"/>
        <w:jc w:val="both"/>
        <w:rPr>
          <w:rFonts w:ascii="Garamond" w:hAnsi="Garamond"/>
          <w:lang w:val="sq-AL"/>
        </w:rPr>
      </w:pPr>
      <w:r w:rsidRPr="00024D5A">
        <w:rPr>
          <w:rFonts w:ascii="Garamond" w:hAnsi="Garamond"/>
          <w:lang w:val="sq-AL"/>
        </w:rPr>
        <w:t>Objektivi specifik 2 synon të sigurojë përfshirjen e plotë dhe të barabartë të personave me aftësi të kufizuara në jetën artistike, kulturore dhe sportive, duke promovuar talentin dhe punën e artistëve me aftësi të kufizuara, si dhe duke rritur mundësitë për pjesëmarrje aktive në aktivitete dhe evenimente kombëtare e ndërkombëtare. Aktualisht, pjesëmarrja e kësaj kategorie mbetet e kufizuar</w:t>
      </w:r>
      <w:r w:rsidR="004872C9" w:rsidRPr="00024D5A">
        <w:rPr>
          <w:rFonts w:ascii="Garamond" w:hAnsi="Garamond"/>
          <w:lang w:val="sq-AL"/>
        </w:rPr>
        <w:t>,</w:t>
      </w:r>
      <w:r w:rsidRPr="00024D5A">
        <w:rPr>
          <w:rFonts w:ascii="Garamond" w:hAnsi="Garamond"/>
          <w:lang w:val="sq-AL"/>
        </w:rPr>
        <w:t xml:space="preserve"> për shkak të barrierave fizike, institucionale dhe sociale, mungesës së programeve të përshtatura dhe kapaciteteve profesionale të pamjaftueshme, si dhe mungesës së të dhënave të strukturuara mbi përfshirjen e tyre.</w:t>
      </w:r>
    </w:p>
    <w:p w14:paraId="6A12CB1B" w14:textId="77777777" w:rsidR="003E1630" w:rsidRPr="00024D5A" w:rsidRDefault="005743A8" w:rsidP="00791B1A">
      <w:pPr>
        <w:pStyle w:val="NormalWeb"/>
        <w:spacing w:before="0" w:beforeAutospacing="0" w:after="0" w:afterAutospacing="0"/>
        <w:ind w:firstLine="284"/>
        <w:jc w:val="both"/>
        <w:rPr>
          <w:rFonts w:ascii="Garamond" w:hAnsi="Garamond"/>
          <w:lang w:val="sq-AL"/>
        </w:rPr>
      </w:pPr>
      <w:r w:rsidRPr="00024D5A">
        <w:rPr>
          <w:rFonts w:ascii="Garamond" w:hAnsi="Garamond"/>
          <w:lang w:val="sq-AL"/>
        </w:rPr>
        <w:t>Nëpërmjet rritjes së aksesit në aktivitete kulturore dhe sportive, institucionalizimit të bashkëpunimit me organizatat e personave me aftësi të kufizuara, përmirësimit të sistemit të mbledhjes së të dhënave dhe zgjerimit të qendrave gjithëpërfshirëse. Ky objektiv synon të krijojë kushte të barabarta pjesëmarrjeje. Paralelisht, përmes ngritjes së kapaciteteve profesionale, trajnimit të mësuesve dhe përfshirjes së personave me aftësi të kufizuara në strukturat vendimmarrëse sportive, synohet përmirësimi i cilësisë së shërbimeve dhe përfaqësimi i drejtpërdrejtë i tyre.</w:t>
      </w:r>
    </w:p>
    <w:p w14:paraId="6E06BDBF" w14:textId="5EF31143" w:rsidR="003E1630" w:rsidRPr="00024D5A" w:rsidRDefault="005743A8" w:rsidP="00791B1A">
      <w:pPr>
        <w:pStyle w:val="NormalWeb"/>
        <w:spacing w:before="0" w:beforeAutospacing="0" w:after="0" w:afterAutospacing="0"/>
        <w:ind w:firstLine="284"/>
        <w:jc w:val="both"/>
        <w:rPr>
          <w:rFonts w:ascii="Garamond" w:hAnsi="Garamond"/>
          <w:lang w:val="sq-AL"/>
        </w:rPr>
      </w:pPr>
      <w:r w:rsidRPr="00024D5A">
        <w:rPr>
          <w:rFonts w:ascii="Garamond" w:hAnsi="Garamond"/>
          <w:lang w:val="sq-AL"/>
        </w:rPr>
        <w:t xml:space="preserve">Zbatimi i këtij objektivi pritet të kontribuojë në fuqizimin social të personave me aftësi të kufizuara, rritjen e dukshmërisë së tyre në shoqëri dhe garantimin e ushtrimit të </w:t>
      </w:r>
      <w:r w:rsidR="00F850C9" w:rsidRPr="00024D5A">
        <w:rPr>
          <w:rFonts w:ascii="Garamond" w:hAnsi="Garamond"/>
          <w:lang w:val="sq-AL"/>
        </w:rPr>
        <w:t>s</w:t>
      </w:r>
      <w:r w:rsidRPr="00024D5A">
        <w:rPr>
          <w:rFonts w:ascii="Garamond" w:hAnsi="Garamond"/>
          <w:lang w:val="sq-AL"/>
        </w:rPr>
        <w:t xml:space="preserve">ë drejtës për pjesëmarrje në jetën kulturore, rekreative dhe sportive në kushte të barabarta me të. </w:t>
      </w:r>
    </w:p>
    <w:p w14:paraId="13AA3AA8" w14:textId="269C015A" w:rsidR="003E1630" w:rsidRPr="00024D5A" w:rsidRDefault="0058487E" w:rsidP="00791B1A">
      <w:pPr>
        <w:pStyle w:val="Heading2"/>
        <w:spacing w:before="0"/>
        <w:ind w:firstLine="284"/>
        <w:rPr>
          <w:rFonts w:ascii="Garamond" w:hAnsi="Garamond"/>
          <w:color w:val="auto"/>
          <w:sz w:val="24"/>
          <w:szCs w:val="24"/>
          <w:lang w:eastAsia="en-US"/>
        </w:rPr>
      </w:pPr>
      <w:bookmarkStart w:id="51" w:name="_Toc231489650"/>
      <w:r w:rsidRPr="00024D5A">
        <w:rPr>
          <w:rFonts w:ascii="Garamond" w:hAnsi="Garamond"/>
          <w:color w:val="auto"/>
          <w:sz w:val="24"/>
          <w:szCs w:val="24"/>
          <w:lang w:eastAsia="en-US"/>
        </w:rPr>
        <w:t>3</w:t>
      </w:r>
      <w:r w:rsidR="005743A8" w:rsidRPr="00024D5A">
        <w:rPr>
          <w:rFonts w:ascii="Garamond" w:hAnsi="Garamond"/>
          <w:color w:val="auto"/>
          <w:sz w:val="24"/>
          <w:szCs w:val="24"/>
          <w:lang w:eastAsia="en-US"/>
        </w:rPr>
        <w:t xml:space="preserve">.8 Bashkëpunimi dhe </w:t>
      </w:r>
      <w:r w:rsidR="004872C9" w:rsidRPr="00024D5A">
        <w:rPr>
          <w:rFonts w:ascii="Garamond" w:hAnsi="Garamond"/>
          <w:color w:val="auto"/>
          <w:sz w:val="24"/>
          <w:szCs w:val="24"/>
          <w:lang w:eastAsia="en-US"/>
        </w:rPr>
        <w:t>koordinimi ndërinstitucional</w:t>
      </w:r>
      <w:bookmarkEnd w:id="51"/>
      <w:r w:rsidR="004872C9" w:rsidRPr="00024D5A">
        <w:rPr>
          <w:rFonts w:ascii="Garamond" w:hAnsi="Garamond"/>
          <w:color w:val="auto"/>
          <w:sz w:val="24"/>
          <w:szCs w:val="24"/>
          <w:lang w:eastAsia="en-US"/>
        </w:rPr>
        <w:t xml:space="preserve"> </w:t>
      </w:r>
    </w:p>
    <w:p w14:paraId="0498F2A9" w14:textId="07755C1A" w:rsidR="003E1630" w:rsidRPr="00024D5A" w:rsidRDefault="0058487E" w:rsidP="00791B1A">
      <w:pPr>
        <w:pStyle w:val="Heading2"/>
        <w:spacing w:before="0"/>
        <w:ind w:firstLine="284"/>
        <w:rPr>
          <w:rFonts w:ascii="Garamond" w:hAnsi="Garamond"/>
          <w:color w:val="auto"/>
          <w:sz w:val="24"/>
          <w:szCs w:val="24"/>
          <w:lang w:eastAsia="en-US"/>
        </w:rPr>
      </w:pPr>
      <w:bookmarkStart w:id="52" w:name="_Toc231489651"/>
      <w:r w:rsidRPr="00024D5A">
        <w:rPr>
          <w:rFonts w:ascii="Garamond" w:hAnsi="Garamond"/>
          <w:color w:val="auto"/>
          <w:sz w:val="24"/>
          <w:szCs w:val="24"/>
          <w:lang w:eastAsia="en-US"/>
        </w:rPr>
        <w:t>3</w:t>
      </w:r>
      <w:r w:rsidR="005743A8" w:rsidRPr="00024D5A">
        <w:rPr>
          <w:rFonts w:ascii="Garamond" w:hAnsi="Garamond"/>
          <w:color w:val="auto"/>
          <w:sz w:val="24"/>
          <w:szCs w:val="24"/>
          <w:lang w:eastAsia="en-US"/>
        </w:rPr>
        <w:t>.8.1 Ko</w:t>
      </w:r>
      <w:r w:rsidR="003A0569" w:rsidRPr="00024D5A">
        <w:rPr>
          <w:rFonts w:ascii="Garamond" w:hAnsi="Garamond"/>
          <w:color w:val="auto"/>
          <w:sz w:val="24"/>
          <w:szCs w:val="24"/>
          <w:lang w:eastAsia="en-US"/>
        </w:rPr>
        <w:t>nteksti</w:t>
      </w:r>
      <w:r w:rsidR="005743A8" w:rsidRPr="00024D5A">
        <w:rPr>
          <w:rFonts w:ascii="Garamond" w:hAnsi="Garamond"/>
          <w:color w:val="auto"/>
          <w:sz w:val="24"/>
          <w:szCs w:val="24"/>
          <w:lang w:eastAsia="en-US"/>
        </w:rPr>
        <w:t xml:space="preserve"> </w:t>
      </w:r>
      <w:r w:rsidR="004872C9" w:rsidRPr="00024D5A">
        <w:rPr>
          <w:rFonts w:ascii="Garamond" w:hAnsi="Garamond"/>
          <w:color w:val="auto"/>
          <w:sz w:val="24"/>
          <w:szCs w:val="24"/>
          <w:lang w:eastAsia="en-US"/>
        </w:rPr>
        <w:t>strategjik</w:t>
      </w:r>
      <w:bookmarkEnd w:id="52"/>
    </w:p>
    <w:p w14:paraId="7AA1F6A3" w14:textId="5E6126D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Korniza strategjike e fushës së bashkëpunimit dhe koordinimit ndërinstitucional në Planin Kombëtar të Veprimit për Personat me Aftësi të Kufizuara 2026</w:t>
      </w:r>
      <w:r w:rsidR="007827F3" w:rsidRPr="00024D5A">
        <w:rPr>
          <w:rFonts w:ascii="Garamond" w:eastAsia="Times New Roman" w:hAnsi="Garamond"/>
          <w:lang w:eastAsia="en-US"/>
        </w:rPr>
        <w:t>–</w:t>
      </w:r>
      <w:r w:rsidRPr="00024D5A">
        <w:rPr>
          <w:rFonts w:ascii="Garamond" w:eastAsia="Times New Roman" w:hAnsi="Garamond"/>
          <w:lang w:eastAsia="en-US"/>
        </w:rPr>
        <w:t>2030 mbështetet mbi parimin themelor se realizimi i të drejtave të personave me aftësi të kufizuara nuk është përgjegjësi e një sektori të vetëm, por një detyrim ndërsektorial i të gjithë shtetit. Kjo qasje buron drejtpërdrejt nga Konventa e OKB për të Drejtat e Personave me Aftësi të Kufizuara (</w:t>
      </w:r>
      <w:r w:rsidRPr="007C0500">
        <w:rPr>
          <w:rFonts w:ascii="Garamond" w:eastAsia="Times New Roman" w:hAnsi="Garamond"/>
          <w:lang w:eastAsia="en-US"/>
        </w:rPr>
        <w:t>KDPAK</w:t>
      </w:r>
      <w:r w:rsidRPr="007C0500">
        <w:rPr>
          <w:rFonts w:ascii="Garamond" w:eastAsia="Times New Roman" w:hAnsi="Garamond"/>
          <w:vertAlign w:val="superscript"/>
          <w:lang w:eastAsia="en-US"/>
        </w:rPr>
        <w:footnoteReference w:id="84"/>
      </w:r>
      <w:r w:rsidRPr="007C0500">
        <w:rPr>
          <w:lang w:eastAsia="en-US"/>
        </w:rPr>
        <w:t>￼</w:t>
      </w:r>
      <w:r w:rsidRPr="007C0500">
        <w:rPr>
          <w:rFonts w:ascii="Garamond" w:eastAsia="Times New Roman" w:hAnsi="Garamond"/>
          <w:lang w:eastAsia="en-US"/>
        </w:rPr>
        <w:t>,</w:t>
      </w:r>
      <w:r w:rsidRPr="00024D5A">
        <w:rPr>
          <w:rFonts w:ascii="Garamond" w:eastAsia="Times New Roman" w:hAnsi="Garamond"/>
          <w:lang w:eastAsia="en-US"/>
        </w:rPr>
        <w:t xml:space="preserve"> e cila kërkon që shtetet të sigurojnë koordinim institucional horizontal dhe vertikal për zbatimin efektiv të konventës, përfshirë krijimin e mekanizmave koordinues, monitorues dhe konsultues me organizatat e personave me aftësi të kufizuara (neni 33 i</w:t>
      </w:r>
      <w:r w:rsidR="008F29FA" w:rsidRPr="00024D5A">
        <w:rPr>
          <w:rFonts w:ascii="Garamond" w:eastAsia="Times New Roman" w:hAnsi="Garamond"/>
          <w:lang w:eastAsia="en-US"/>
        </w:rPr>
        <w:t xml:space="preserve"> </w:t>
      </w:r>
      <w:r w:rsidRPr="00024D5A">
        <w:rPr>
          <w:rFonts w:ascii="Garamond" w:eastAsia="Times New Roman" w:hAnsi="Garamond"/>
          <w:lang w:eastAsia="en-US"/>
        </w:rPr>
        <w:t>KDPAK</w:t>
      </w:r>
      <w:r w:rsidR="006E175C" w:rsidRPr="00024D5A">
        <w:rPr>
          <w:rFonts w:ascii="Garamond" w:eastAsia="Times New Roman" w:hAnsi="Garamond"/>
          <w:lang w:eastAsia="en-US"/>
        </w:rPr>
        <w:t>-së</w:t>
      </w:r>
      <w:r w:rsidRPr="00024D5A">
        <w:rPr>
          <w:rFonts w:ascii="Garamond" w:eastAsia="Times New Roman" w:hAnsi="Garamond"/>
          <w:lang w:eastAsia="en-US"/>
        </w:rPr>
        <w:t>). Konventa vendos si standard pjesëmarrjen aktive të organizatave përfaqësuese të personave me aftësi të kufizuara në hartimin, zbatimin dhe monitorimin e politikave publike.</w:t>
      </w:r>
    </w:p>
    <w:p w14:paraId="327FC2BA" w14:textId="4853C2E5"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Në këtë kuadër, fusha e bashkëpunimit institucional në Plan synon të shndërrojë parimin </w:t>
      </w:r>
      <w:r w:rsidR="0078161D" w:rsidRPr="00024D5A">
        <w:rPr>
          <w:rFonts w:ascii="Garamond" w:eastAsia="Times New Roman" w:hAnsi="Garamond"/>
          <w:lang w:eastAsia="en-US"/>
        </w:rPr>
        <w:t>“</w:t>
      </w:r>
      <w:r w:rsidRPr="00024D5A">
        <w:rPr>
          <w:rFonts w:ascii="Garamond" w:eastAsia="Times New Roman" w:hAnsi="Garamond"/>
          <w:lang w:eastAsia="en-US"/>
        </w:rPr>
        <w:t>asgjë për ne pa ne</w:t>
      </w:r>
      <w:r w:rsidR="0078161D" w:rsidRPr="00024D5A">
        <w:rPr>
          <w:rFonts w:ascii="Garamond" w:eastAsia="Times New Roman" w:hAnsi="Garamond"/>
          <w:lang w:eastAsia="en-US"/>
        </w:rPr>
        <w:t>”</w:t>
      </w:r>
      <w:r w:rsidRPr="00024D5A">
        <w:rPr>
          <w:rFonts w:ascii="Garamond" w:eastAsia="Times New Roman" w:hAnsi="Garamond"/>
          <w:lang w:eastAsia="en-US"/>
        </w:rPr>
        <w:t xml:space="preserve"> në veprime konkrete, duke e shndërruar konsultimin me organizatat e personave me aftësi të kufizuara nga një praktikë formale në një mekanizëm të strukturuar vendimmarrjeje. Rekomandimet e Komitetit të</w:t>
      </w:r>
      <w:r w:rsidR="008F29FA" w:rsidRPr="00024D5A">
        <w:rPr>
          <w:rFonts w:ascii="Garamond" w:eastAsia="Times New Roman" w:hAnsi="Garamond"/>
          <w:lang w:eastAsia="en-US"/>
        </w:rPr>
        <w:t xml:space="preserve"> </w:t>
      </w:r>
      <w:r w:rsidRPr="00024D5A">
        <w:rPr>
          <w:rFonts w:ascii="Garamond" w:eastAsia="Times New Roman" w:hAnsi="Garamond"/>
        </w:rPr>
        <w:t>KDPAK</w:t>
      </w:r>
      <w:r w:rsidR="00B678F1" w:rsidRPr="00024D5A">
        <w:rPr>
          <w:rFonts w:ascii="Garamond" w:eastAsia="Times New Roman" w:hAnsi="Garamond"/>
        </w:rPr>
        <w:t>-së</w:t>
      </w:r>
      <w:r w:rsidRPr="00024D5A">
        <w:rPr>
          <w:rFonts w:ascii="Garamond" w:eastAsia="Times New Roman" w:hAnsi="Garamond"/>
          <w:lang w:eastAsia="en-US"/>
        </w:rPr>
        <w:t xml:space="preserve"> për Shqipërinë kanë theksuar nevojën për forcimin e koordinimit ndërinstitucional, përmirësimin e rolit të mekanizmave kombëtarë të monitorimit dhe mbledhjen sistematike të të dhënave mbi aftësinë e kufizuar për politika të bazuara në evidencë.</w:t>
      </w:r>
    </w:p>
    <w:p w14:paraId="6A5E289E" w14:textId="4C205758"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Në nivel evropian, kjo qasje përputhet me Strategjinë e BE-së për të Drejtat e Personave me Aftësi të Kufizuara 2021</w:t>
      </w:r>
      <w:r w:rsidR="001A582C" w:rsidRPr="00024D5A">
        <w:rPr>
          <w:rFonts w:ascii="Garamond" w:eastAsia="Times New Roman" w:hAnsi="Garamond"/>
          <w:lang w:eastAsia="en-US"/>
        </w:rPr>
        <w:t>–</w:t>
      </w:r>
      <w:r w:rsidRPr="00024D5A">
        <w:rPr>
          <w:rFonts w:ascii="Garamond" w:eastAsia="Times New Roman" w:hAnsi="Garamond"/>
          <w:lang w:eastAsia="en-US"/>
        </w:rPr>
        <w:t>2030</w:t>
      </w:r>
      <w:r w:rsidRPr="00024D5A">
        <w:rPr>
          <w:rFonts w:ascii="Garamond" w:eastAsia="Times New Roman" w:hAnsi="Garamond"/>
          <w:vertAlign w:val="superscript"/>
          <w:lang w:eastAsia="en-US"/>
        </w:rPr>
        <w:footnoteReference w:id="85"/>
      </w:r>
      <w:r w:rsidRPr="00024D5A">
        <w:rPr>
          <w:rFonts w:ascii="Garamond" w:eastAsia="Times New Roman" w:hAnsi="Garamond"/>
          <w:lang w:eastAsia="en-US"/>
        </w:rPr>
        <w:t xml:space="preserve">, e cila thekson se zbatimi i politikave për aftësinë e kufizuar kërkon integrim të dimensionit të aftësisë së kufizuar në të gjitha politikat publike </w:t>
      </w:r>
      <w:r w:rsidR="006053FD" w:rsidRPr="00024D5A">
        <w:rPr>
          <w:rFonts w:ascii="Garamond" w:eastAsia="Times New Roman" w:hAnsi="Garamond"/>
          <w:lang w:eastAsia="en-US"/>
        </w:rPr>
        <w:t>–</w:t>
      </w:r>
      <w:r w:rsidRPr="00024D5A">
        <w:rPr>
          <w:rFonts w:ascii="Garamond" w:eastAsia="Times New Roman" w:hAnsi="Garamond"/>
          <w:lang w:eastAsia="en-US"/>
        </w:rPr>
        <w:t xml:space="preserve"> dhe një koordinim të fortë institucional midis sektorëve të punësimit, arsimit, mbrojtjes sociale, drejtësisë, shëndetësisë dhe vetëqeverisjes vendore. Strategjia e BE-së kërkon</w:t>
      </w:r>
      <w:r w:rsidR="008F29FA" w:rsidRPr="00024D5A">
        <w:rPr>
          <w:rFonts w:ascii="Garamond" w:eastAsia="Times New Roman" w:hAnsi="Garamond"/>
          <w:lang w:eastAsia="en-US"/>
        </w:rPr>
        <w:t xml:space="preserve"> </w:t>
      </w:r>
      <w:r w:rsidRPr="00024D5A">
        <w:rPr>
          <w:rFonts w:ascii="Garamond" w:eastAsia="Times New Roman" w:hAnsi="Garamond"/>
          <w:lang w:eastAsia="en-US"/>
        </w:rPr>
        <w:t>zhvillimin e sistemeve të të dhënave të harmonizuara dhe të krahasueshme për monitorimin e progresit.</w:t>
      </w:r>
    </w:p>
    <w:p w14:paraId="39492771"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Kjo lidhet drejtpërdrejt edhe me Shtyllën Evropiane të të Drejtave Sociale</w:t>
      </w:r>
      <w:r w:rsidRPr="00024D5A">
        <w:rPr>
          <w:rFonts w:ascii="Garamond" w:eastAsia="Times New Roman" w:hAnsi="Garamond"/>
          <w:vertAlign w:val="superscript"/>
          <w:lang w:eastAsia="en-US"/>
        </w:rPr>
        <w:footnoteReference w:id="86"/>
      </w:r>
      <w:r w:rsidRPr="00024D5A">
        <w:rPr>
          <w:rFonts w:ascii="Garamond" w:eastAsia="Times New Roman" w:hAnsi="Garamond"/>
          <w:lang w:eastAsia="en-US"/>
        </w:rPr>
        <w:t xml:space="preserve"> dhe me programet e BE-së për përfshirjen sociale, të cilat kërkojnë politika të koordinuara ndërsektoriale për reduktimin e varfërisë dhe përjashtimit social dhe për garantimin e aksesit të barabartë në shërbime publike. </w:t>
      </w:r>
    </w:p>
    <w:p w14:paraId="467ADF0F" w14:textId="33F12485"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Në nivel global, fusha përputhet me Objektivat e Zhvillimit të Qëndrueshëm (OZHQ), veçanërisht objektivin 10 (reduktimi i pabarazive dhe 16 (institucione efektive, transparente dhe gjithëpërfshirëse), si dhe objektivin 17 (partneritete për zhvillim). Kët</w:t>
      </w:r>
      <w:r w:rsidR="007675EC" w:rsidRPr="00024D5A">
        <w:rPr>
          <w:rFonts w:ascii="Garamond" w:eastAsia="Times New Roman" w:hAnsi="Garamond"/>
          <w:lang w:eastAsia="en-US"/>
        </w:rPr>
        <w:t>a</w:t>
      </w:r>
      <w:r w:rsidRPr="00024D5A">
        <w:rPr>
          <w:rFonts w:ascii="Garamond" w:eastAsia="Times New Roman" w:hAnsi="Garamond"/>
          <w:lang w:eastAsia="en-US"/>
        </w:rPr>
        <w:t xml:space="preserve"> objektiva kërkojnë institucione funksionale, koordinim ndërinstitucional dhe sisteme të qëndrueshme statistikore për monitorimin e progresit social.</w:t>
      </w:r>
    </w:p>
    <w:p w14:paraId="72CC2773" w14:textId="31830396"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Në nivel kombëtar, kjo fushë lidhet drejtpërdrejt</w:t>
      </w:r>
      <w:r w:rsidR="00655D34" w:rsidRPr="00024D5A">
        <w:rPr>
          <w:rFonts w:ascii="Garamond" w:eastAsia="Times New Roman" w:hAnsi="Garamond"/>
          <w:lang w:eastAsia="en-US"/>
        </w:rPr>
        <w:t>,</w:t>
      </w:r>
      <w:r w:rsidRPr="00024D5A">
        <w:rPr>
          <w:rFonts w:ascii="Garamond" w:eastAsia="Times New Roman" w:hAnsi="Garamond"/>
          <w:lang w:eastAsia="en-US"/>
        </w:rPr>
        <w:t xml:space="preserve"> me: i</w:t>
      </w:r>
      <w:r w:rsidR="008C23DB" w:rsidRPr="00024D5A">
        <w:rPr>
          <w:rFonts w:ascii="Garamond" w:eastAsia="Times New Roman" w:hAnsi="Garamond"/>
          <w:lang w:eastAsia="en-US"/>
        </w:rPr>
        <w:t>.</w:t>
      </w:r>
      <w:r w:rsidRPr="00024D5A">
        <w:rPr>
          <w:rFonts w:ascii="Garamond" w:eastAsia="Times New Roman" w:hAnsi="Garamond"/>
          <w:lang w:eastAsia="en-US"/>
        </w:rPr>
        <w:t xml:space="preserve"> Strategjinë Kombëtare për Zhvillim dhe Integrim (SKZHI)</w:t>
      </w:r>
      <w:r w:rsidRPr="00024D5A">
        <w:rPr>
          <w:rFonts w:ascii="Garamond" w:eastAsia="Times New Roman" w:hAnsi="Garamond"/>
          <w:vertAlign w:val="superscript"/>
          <w:lang w:eastAsia="en-US"/>
        </w:rPr>
        <w:footnoteReference w:id="87"/>
      </w:r>
      <w:r w:rsidRPr="00024D5A">
        <w:rPr>
          <w:rFonts w:ascii="Garamond" w:eastAsia="Times New Roman" w:hAnsi="Garamond"/>
          <w:lang w:eastAsia="en-US"/>
        </w:rPr>
        <w:t>, që vendos qeverisjen e mirë, koordinimin institucional dhe politikat e bazuara në evidencë si shtylla të zhvillimit; ii</w:t>
      </w:r>
      <w:r w:rsidR="008C23DB" w:rsidRPr="00024D5A">
        <w:rPr>
          <w:rFonts w:ascii="Garamond" w:eastAsia="Times New Roman" w:hAnsi="Garamond"/>
          <w:lang w:eastAsia="en-US"/>
        </w:rPr>
        <w:t>.</w:t>
      </w:r>
      <w:r w:rsidRPr="00024D5A">
        <w:rPr>
          <w:rFonts w:ascii="Garamond" w:eastAsia="Times New Roman" w:hAnsi="Garamond"/>
          <w:lang w:eastAsia="en-US"/>
        </w:rPr>
        <w:t xml:space="preserve"> Dokumentin e Politikave të Përfshirjes Sociale</w:t>
      </w:r>
      <w:r w:rsidRPr="00024D5A">
        <w:rPr>
          <w:rFonts w:ascii="Garamond" w:eastAsia="Times New Roman" w:hAnsi="Garamond"/>
          <w:vertAlign w:val="superscript"/>
          <w:lang w:eastAsia="en-US"/>
        </w:rPr>
        <w:footnoteReference w:id="88"/>
      </w:r>
      <w:r w:rsidRPr="00024D5A">
        <w:rPr>
          <w:rFonts w:ascii="Garamond" w:eastAsia="Times New Roman" w:hAnsi="Garamond"/>
          <w:lang w:eastAsia="en-US"/>
        </w:rPr>
        <w:t>, i cili kërkon harmonizim ndërmjet politikave sociale, ekonomike dhe territoriale; iii</w:t>
      </w:r>
      <w:r w:rsidR="008C23DB" w:rsidRPr="00024D5A">
        <w:rPr>
          <w:rFonts w:ascii="Garamond" w:eastAsia="Times New Roman" w:hAnsi="Garamond"/>
          <w:lang w:eastAsia="en-US"/>
        </w:rPr>
        <w:t>.</w:t>
      </w:r>
      <w:r w:rsidRPr="00024D5A">
        <w:rPr>
          <w:rFonts w:ascii="Garamond" w:eastAsia="Times New Roman" w:hAnsi="Garamond"/>
          <w:lang w:eastAsia="en-US"/>
        </w:rPr>
        <w:t xml:space="preserve"> </w:t>
      </w:r>
      <w:r w:rsidR="00655D34" w:rsidRPr="00024D5A">
        <w:rPr>
          <w:rFonts w:ascii="Garamond" w:eastAsia="Times New Roman" w:hAnsi="Garamond"/>
          <w:lang w:eastAsia="en-US"/>
        </w:rPr>
        <w:t xml:space="preserve">procesin </w:t>
      </w:r>
      <w:r w:rsidRPr="00024D5A">
        <w:rPr>
          <w:rFonts w:ascii="Garamond" w:eastAsia="Times New Roman" w:hAnsi="Garamond"/>
          <w:lang w:eastAsia="en-US"/>
        </w:rPr>
        <w:t xml:space="preserve">e integrimit evropian, veçanërisht </w:t>
      </w:r>
      <w:r w:rsidR="00655D34" w:rsidRPr="00024D5A">
        <w:rPr>
          <w:rFonts w:ascii="Garamond" w:eastAsia="Times New Roman" w:hAnsi="Garamond"/>
          <w:lang w:eastAsia="en-US"/>
        </w:rPr>
        <w:t xml:space="preserve">kapitullin </w:t>
      </w:r>
      <w:r w:rsidRPr="00024D5A">
        <w:rPr>
          <w:rFonts w:ascii="Garamond" w:eastAsia="Times New Roman" w:hAnsi="Garamond"/>
          <w:lang w:eastAsia="en-US"/>
        </w:rPr>
        <w:t xml:space="preserve">19 (Politikat sociale dhe punësimi) dhe </w:t>
      </w:r>
      <w:r w:rsidR="00655D34" w:rsidRPr="00024D5A">
        <w:rPr>
          <w:rFonts w:ascii="Garamond" w:eastAsia="Times New Roman" w:hAnsi="Garamond"/>
          <w:lang w:eastAsia="en-US"/>
        </w:rPr>
        <w:t xml:space="preserve">kapitullin </w:t>
      </w:r>
      <w:r w:rsidRPr="00024D5A">
        <w:rPr>
          <w:rFonts w:ascii="Garamond" w:eastAsia="Times New Roman" w:hAnsi="Garamond"/>
          <w:lang w:eastAsia="en-US"/>
        </w:rPr>
        <w:t>23 (Gjyqësori dhe të drejtat themelore).</w:t>
      </w:r>
    </w:p>
    <w:p w14:paraId="1D12614A" w14:textId="025FDF3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Brenda këtij konteksti, Plani synon të ndërtojë një arkitekturë funksionale qeverisëse për aftësinë e kufizuar, ku: i</w:t>
      </w:r>
      <w:r w:rsidR="00A736F9" w:rsidRPr="00024D5A">
        <w:rPr>
          <w:rFonts w:ascii="Garamond" w:eastAsia="Times New Roman" w:hAnsi="Garamond"/>
          <w:lang w:eastAsia="en-US"/>
        </w:rPr>
        <w:t>.</w:t>
      </w:r>
      <w:r w:rsidRPr="00024D5A">
        <w:rPr>
          <w:rFonts w:ascii="Garamond" w:eastAsia="Times New Roman" w:hAnsi="Garamond"/>
          <w:lang w:eastAsia="en-US"/>
        </w:rPr>
        <w:t xml:space="preserve"> ministritë e linjës të integrojnë dimensionin e aftësisë së kufizuar në politikat sektoriale; ii</w:t>
      </w:r>
      <w:r w:rsidR="00A736F9" w:rsidRPr="00024D5A">
        <w:rPr>
          <w:rFonts w:ascii="Garamond" w:eastAsia="Times New Roman" w:hAnsi="Garamond"/>
          <w:lang w:eastAsia="en-US"/>
        </w:rPr>
        <w:t>.</w:t>
      </w:r>
      <w:r w:rsidRPr="00024D5A">
        <w:rPr>
          <w:rFonts w:ascii="Garamond" w:eastAsia="Times New Roman" w:hAnsi="Garamond"/>
          <w:lang w:eastAsia="en-US"/>
        </w:rPr>
        <w:t xml:space="preserve"> pushteti vendor të jetë aktor kyç në zbatimin e shërbimeve dhe planeve sociale vendore; iii</w:t>
      </w:r>
      <w:r w:rsidR="00A736F9" w:rsidRPr="00024D5A">
        <w:rPr>
          <w:rFonts w:ascii="Garamond" w:eastAsia="Times New Roman" w:hAnsi="Garamond"/>
          <w:lang w:eastAsia="en-US"/>
        </w:rPr>
        <w:t>.</w:t>
      </w:r>
      <w:r w:rsidRPr="00024D5A">
        <w:rPr>
          <w:rFonts w:ascii="Garamond" w:eastAsia="Times New Roman" w:hAnsi="Garamond"/>
          <w:lang w:eastAsia="en-US"/>
        </w:rPr>
        <w:t xml:space="preserve"> Këshilli Kombëtar i Aftësisë së Kufizuar të funksionojë si mekanizëm koordinues dhe këshillimor; iv</w:t>
      </w:r>
      <w:r w:rsidR="00A736F9" w:rsidRPr="00024D5A">
        <w:rPr>
          <w:rFonts w:ascii="Garamond" w:eastAsia="Times New Roman" w:hAnsi="Garamond"/>
          <w:lang w:eastAsia="en-US"/>
        </w:rPr>
        <w:t>.</w:t>
      </w:r>
      <w:r w:rsidRPr="00024D5A">
        <w:rPr>
          <w:rFonts w:ascii="Garamond" w:eastAsia="Times New Roman" w:hAnsi="Garamond"/>
          <w:lang w:eastAsia="en-US"/>
        </w:rPr>
        <w:t xml:space="preserve"> sistemi statistikor të prodhojë të dhëna të besueshme për monitorim; v</w:t>
      </w:r>
      <w:r w:rsidR="00A736F9" w:rsidRPr="00024D5A">
        <w:rPr>
          <w:rFonts w:ascii="Garamond" w:eastAsia="Times New Roman" w:hAnsi="Garamond"/>
          <w:lang w:eastAsia="en-US"/>
        </w:rPr>
        <w:t>.</w:t>
      </w:r>
      <w:r w:rsidRPr="00024D5A">
        <w:rPr>
          <w:rFonts w:ascii="Garamond" w:eastAsia="Times New Roman" w:hAnsi="Garamond"/>
          <w:lang w:eastAsia="en-US"/>
        </w:rPr>
        <w:t xml:space="preserve"> organizatat e personave me aftësi të kufizuara të jenë partnerë të përhershëm në hartimin dhe vlerësimin e politikave.</w:t>
      </w:r>
    </w:p>
    <w:p w14:paraId="652B06C2" w14:textId="63D679EB" w:rsidR="003E1630" w:rsidRPr="00024D5A" w:rsidRDefault="0058487E" w:rsidP="00791B1A">
      <w:pPr>
        <w:pStyle w:val="Heading2"/>
        <w:spacing w:before="0"/>
        <w:ind w:firstLine="284"/>
        <w:rPr>
          <w:rFonts w:ascii="Garamond" w:eastAsia="Times New Roman" w:hAnsi="Garamond"/>
          <w:color w:val="auto"/>
          <w:sz w:val="24"/>
          <w:szCs w:val="24"/>
          <w:lang w:eastAsia="en-US"/>
        </w:rPr>
      </w:pPr>
      <w:bookmarkStart w:id="53" w:name="_Toc231489652"/>
      <w:r w:rsidRPr="00024D5A">
        <w:rPr>
          <w:rFonts w:ascii="Garamond" w:eastAsia="Times New Roman" w:hAnsi="Garamond"/>
          <w:color w:val="auto"/>
          <w:sz w:val="24"/>
          <w:szCs w:val="24"/>
          <w:lang w:eastAsia="en-US"/>
        </w:rPr>
        <w:t>3</w:t>
      </w:r>
      <w:r w:rsidR="005743A8" w:rsidRPr="00024D5A">
        <w:rPr>
          <w:rFonts w:ascii="Garamond" w:eastAsia="Times New Roman" w:hAnsi="Garamond"/>
          <w:color w:val="auto"/>
          <w:sz w:val="24"/>
          <w:szCs w:val="24"/>
          <w:lang w:eastAsia="en-US"/>
        </w:rPr>
        <w:t xml:space="preserve">.8.2 </w:t>
      </w:r>
      <w:r w:rsidR="005743A8" w:rsidRPr="00024D5A">
        <w:rPr>
          <w:rFonts w:ascii="Garamond" w:hAnsi="Garamond"/>
          <w:color w:val="auto"/>
          <w:sz w:val="24"/>
          <w:szCs w:val="24"/>
          <w:lang w:eastAsia="en-US"/>
        </w:rPr>
        <w:t>Qëllimi, objektivat dhe masat prioritare</w:t>
      </w:r>
      <w:bookmarkEnd w:id="53"/>
    </w:p>
    <w:p w14:paraId="3EAF2721" w14:textId="77777777" w:rsidR="003E1630" w:rsidRPr="00024D5A" w:rsidRDefault="005743A8" w:rsidP="00791B1A">
      <w:pPr>
        <w:ind w:firstLine="284"/>
        <w:jc w:val="both"/>
        <w:rPr>
          <w:rFonts w:ascii="Garamond" w:eastAsia="Times New Roman" w:hAnsi="Garamond"/>
          <w:b/>
          <w:bCs/>
          <w:lang w:eastAsia="en-US"/>
        </w:rPr>
      </w:pPr>
      <w:r w:rsidRPr="00024D5A">
        <w:rPr>
          <w:rFonts w:ascii="Garamond" w:eastAsia="Times New Roman" w:hAnsi="Garamond"/>
          <w:b/>
          <w:bCs/>
          <w:lang w:eastAsia="en-US"/>
        </w:rPr>
        <w:t xml:space="preserve">Qëllimi politik: </w:t>
      </w:r>
      <w:r w:rsidRPr="00024D5A">
        <w:rPr>
          <w:rFonts w:ascii="Garamond" w:eastAsia="Times New Roman" w:hAnsi="Garamond"/>
          <w:i/>
          <w:iCs/>
          <w:lang w:eastAsia="en-US"/>
        </w:rPr>
        <w:t>Krijimi i sinergjive ndërmjet institucioneve dhe sektorëve të ndryshëm për nxitjen dhe monitorimin e të drejtave të personave me aftësi të kufizuara në mënyrë të plotë, të vazhdueshme dhe të qëndrueshme.</w:t>
      </w:r>
    </w:p>
    <w:p w14:paraId="607CF0FB"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Në fushën e bashkëpunimit, janë parashikuar 4 objektiva specifikë, 6 masa prioritare dhe 18 ndërhyrje konkrete.</w:t>
      </w:r>
    </w:p>
    <w:p w14:paraId="3435BEC7" w14:textId="11D26A39" w:rsidR="003E1630" w:rsidRPr="00024D5A" w:rsidRDefault="005743A8" w:rsidP="00791B1A">
      <w:pPr>
        <w:ind w:firstLine="284"/>
        <w:jc w:val="both"/>
        <w:rPr>
          <w:rFonts w:ascii="Garamond" w:eastAsia="Times New Roman" w:hAnsi="Garamond"/>
          <w:b/>
          <w:bCs/>
          <w:lang w:eastAsia="en-US"/>
        </w:rPr>
      </w:pPr>
      <w:r w:rsidRPr="00AC5DA9">
        <w:rPr>
          <w:rFonts w:ascii="Garamond" w:eastAsia="Times New Roman" w:hAnsi="Garamond"/>
          <w:b/>
          <w:bCs/>
          <w:i/>
          <w:iCs/>
          <w:lang w:eastAsia="en-US"/>
        </w:rPr>
        <w:t xml:space="preserve">Objektivi </w:t>
      </w:r>
      <w:r w:rsidR="00A736F9" w:rsidRPr="00AC5DA9">
        <w:rPr>
          <w:rFonts w:ascii="Garamond" w:eastAsia="Times New Roman" w:hAnsi="Garamond"/>
          <w:b/>
          <w:bCs/>
          <w:i/>
          <w:iCs/>
          <w:lang w:eastAsia="en-US"/>
        </w:rPr>
        <w:t xml:space="preserve">specifik </w:t>
      </w:r>
      <w:r w:rsidRPr="00AC5DA9">
        <w:rPr>
          <w:rFonts w:ascii="Garamond" w:eastAsia="Times New Roman" w:hAnsi="Garamond"/>
          <w:b/>
          <w:bCs/>
          <w:i/>
          <w:iCs/>
          <w:lang w:eastAsia="en-US"/>
        </w:rPr>
        <w:t>1:</w:t>
      </w:r>
      <w:r w:rsidRPr="00024D5A">
        <w:rPr>
          <w:rFonts w:ascii="Garamond" w:eastAsia="Times New Roman" w:hAnsi="Garamond"/>
          <w:i/>
          <w:iCs/>
          <w:lang w:eastAsia="en-US"/>
        </w:rPr>
        <w:t xml:space="preserve"> Forcimi i bashkëpunimit institucional ndërmjet strukturave qendrore dhe pushtetit vendor dhe ndërveprimi me organizatat e personave me aftësi të kufizuara (OPAK) në të gjitha nivelet.</w:t>
      </w:r>
    </w:p>
    <w:p w14:paraId="0CE499DC" w14:textId="53556484" w:rsidR="003E1630" w:rsidRPr="00024D5A" w:rsidRDefault="005743A8" w:rsidP="00791B1A">
      <w:pPr>
        <w:ind w:firstLine="284"/>
        <w:jc w:val="both"/>
        <w:rPr>
          <w:rFonts w:ascii="Garamond" w:eastAsia="Times New Roman" w:hAnsi="Garamond"/>
          <w:b/>
          <w:bCs/>
          <w:i/>
          <w:iCs/>
          <w:lang w:eastAsia="en-US"/>
        </w:rPr>
      </w:pPr>
      <w:r w:rsidRPr="00024D5A">
        <w:rPr>
          <w:rFonts w:ascii="Garamond" w:eastAsia="Times New Roman" w:hAnsi="Garamond"/>
          <w:b/>
          <w:bCs/>
          <w:i/>
          <w:iCs/>
          <w:lang w:eastAsia="en-US"/>
        </w:rPr>
        <w:t>Masat prioritare</w:t>
      </w:r>
      <w:r w:rsidR="00F958F2">
        <w:rPr>
          <w:rFonts w:ascii="Garamond" w:eastAsia="Times New Roman" w:hAnsi="Garamond"/>
          <w:b/>
          <w:bCs/>
          <w:i/>
          <w:iCs/>
          <w:lang w:eastAsia="en-US"/>
        </w:rPr>
        <w:t>:</w:t>
      </w:r>
    </w:p>
    <w:p w14:paraId="38EF3DED" w14:textId="64B20B47" w:rsidR="003E1630" w:rsidRPr="00024D5A" w:rsidRDefault="00994FA9" w:rsidP="00074FD9">
      <w:pPr>
        <w:pStyle w:val="ListParagraph"/>
        <w:ind w:left="0" w:firstLine="284"/>
        <w:jc w:val="both"/>
        <w:rPr>
          <w:rFonts w:ascii="Garamond" w:eastAsia="Times New Roman" w:hAnsi="Garamond"/>
          <w:lang w:eastAsia="en-US"/>
        </w:rPr>
      </w:pPr>
      <w:r w:rsidRPr="00024D5A">
        <w:rPr>
          <w:rFonts w:ascii="Garamond" w:eastAsia="Times New Roman" w:hAnsi="Garamond"/>
          <w:lang w:eastAsia="en-US"/>
        </w:rPr>
        <w:t xml:space="preserve">1.1 </w:t>
      </w:r>
      <w:r w:rsidR="005743A8" w:rsidRPr="00024D5A">
        <w:rPr>
          <w:rFonts w:ascii="Garamond" w:eastAsia="Times New Roman" w:hAnsi="Garamond"/>
          <w:lang w:eastAsia="en-US"/>
        </w:rPr>
        <w:t>Orientimi i bashkive për të fuqizuar bashkëpunimin me MSHMS</w:t>
      </w:r>
      <w:r w:rsidR="006760D7" w:rsidRPr="00024D5A">
        <w:rPr>
          <w:rFonts w:ascii="Garamond" w:eastAsia="Times New Roman" w:hAnsi="Garamond"/>
          <w:lang w:eastAsia="en-US"/>
        </w:rPr>
        <w:t>-në</w:t>
      </w:r>
      <w:r w:rsidR="005743A8" w:rsidRPr="00024D5A">
        <w:rPr>
          <w:rFonts w:ascii="Garamond" w:eastAsia="Times New Roman" w:hAnsi="Garamond"/>
          <w:lang w:eastAsia="en-US"/>
        </w:rPr>
        <w:t>;</w:t>
      </w:r>
    </w:p>
    <w:p w14:paraId="4D277EFE" w14:textId="127D0D35" w:rsidR="003E1630" w:rsidRPr="00024D5A" w:rsidRDefault="00994FA9" w:rsidP="007827F3">
      <w:pPr>
        <w:pStyle w:val="ListParagraph"/>
        <w:ind w:left="0" w:firstLine="288"/>
        <w:jc w:val="both"/>
        <w:rPr>
          <w:rFonts w:ascii="Garamond" w:eastAsia="Times New Roman" w:hAnsi="Garamond"/>
          <w:lang w:eastAsia="en-US"/>
        </w:rPr>
      </w:pPr>
      <w:r w:rsidRPr="00024D5A">
        <w:rPr>
          <w:rFonts w:ascii="Garamond" w:eastAsia="Times New Roman" w:hAnsi="Garamond"/>
          <w:lang w:eastAsia="en-US"/>
        </w:rPr>
        <w:t xml:space="preserve">1.2 </w:t>
      </w:r>
      <w:r w:rsidR="005743A8" w:rsidRPr="00024D5A">
        <w:rPr>
          <w:rFonts w:ascii="Garamond" w:eastAsia="Times New Roman" w:hAnsi="Garamond"/>
          <w:lang w:eastAsia="en-US"/>
        </w:rPr>
        <w:t>Fuqizimi i rolit të bashkive dhe promovimi i tyre në njohjen dhe përmbushjen e nevojave të personave me aftësi të kufizuara në territorin e tyre.</w:t>
      </w:r>
    </w:p>
    <w:p w14:paraId="7F3FC490"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Ky objektiv synon të adresojë një nga sfidat më të rëndësishme të politikave për aftësinë e kufizuar në Shqipëri: hendekun midis politikave kombëtare dhe zbatimit të tyre në nivel lokal. Megjithëse kuadri ligjor dhe strategjik për të drejtat e personave me aftësi të kufizuara ekziston në nivel qendror, përfitimet reale për individin materializohen kryesisht në komunitetin ku ai jeton: në bashki, njësi administrative, shkollë, qendër shëndetësore apo shërbim social. Për këtë arsye, Plani e vendos pushtetin vendor në qendër të zbatimit të politikave.</w:t>
      </w:r>
    </w:p>
    <w:p w14:paraId="4C64D6E7"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Së pari, ai synon të institucionalizojë bashkëpunimin ndërmjet ministrisë përgjegjëse për aftësinë e kufizuar dhe njësive të vetëqeverisjes vendore përmes hartimit të planeve sociale vendore. Kjo do të thotë që politikat për aftësinë e kufizuar nuk do të mbeten më dokumente kombëtare të përgjithshme, por do të përkthehen në plane konkrete territoriale, të bazuara në nevojat reale të komunitetit. Bashkitë do të duhet të identifikojnë personat me aftësi të kufizuara në territor, pengesat që hasin dhe shërbimet që mungojnë, duke i integruar këto në planifikimin lokal dhe në buxhetet e tyre. Në këtë mënyrë krijohet një lidhje e drejtpërdrejtë midis planifikimit social dhe financimit publik.</w:t>
      </w:r>
    </w:p>
    <w:p w14:paraId="539528DE" w14:textId="4D7D1DEA"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Një element kyç është edhe mbështetja financiare progresive për pushtetin vendor. Aktualisht, shumë bashki nuk arrijnë të ofrojnë shërbime</w:t>
      </w:r>
      <w:r w:rsidR="006F6B5B" w:rsidRPr="00024D5A">
        <w:rPr>
          <w:rFonts w:ascii="Garamond" w:eastAsia="Times New Roman" w:hAnsi="Garamond"/>
          <w:lang w:eastAsia="en-US"/>
        </w:rPr>
        <w:t>,</w:t>
      </w:r>
      <w:r w:rsidRPr="00024D5A">
        <w:rPr>
          <w:rFonts w:ascii="Garamond" w:eastAsia="Times New Roman" w:hAnsi="Garamond"/>
          <w:lang w:eastAsia="en-US"/>
        </w:rPr>
        <w:t xml:space="preserve"> për shkak të mungesës së burimeve financiare dhe kapaciteteve. Për këtë arsye, Plani parashikon rritjen graduale të financimit dhe orientimin e tij drejt shtimit të tipologjive të shërbimeve (shërbime komunitare, mbështetje në familje, këshillim, ndërmjetësim social). Kjo synon të zhvendosë sistemin nga një model i centralizuar drejt një sistemi të decentralizuar të shërbimeve sociale, me bazë</w:t>
      </w:r>
      <w:r w:rsidR="008F29FA" w:rsidRPr="00024D5A">
        <w:rPr>
          <w:rFonts w:ascii="Garamond" w:eastAsia="Times New Roman" w:hAnsi="Garamond"/>
          <w:lang w:eastAsia="en-US"/>
        </w:rPr>
        <w:t xml:space="preserve"> </w:t>
      </w:r>
      <w:r w:rsidRPr="00024D5A">
        <w:rPr>
          <w:rFonts w:ascii="Garamond" w:eastAsia="Times New Roman" w:hAnsi="Garamond"/>
          <w:lang w:eastAsia="en-US"/>
        </w:rPr>
        <w:t>komunitare Në të njëjtën kohë, objektivi nuk fokusohet vetëm te financimi, por edhe te kapacitetet institucionale. Përmes hartimit të një guide metodologjike për vlerësimin e nevojave, bashkitë do të kenë një instrument të standardizuar për të analizuar situatën e personave me aftësi të kufizuara në territor. Kjo është thelbësore</w:t>
      </w:r>
      <w:r w:rsidR="002C7F70" w:rsidRPr="00024D5A">
        <w:rPr>
          <w:rFonts w:ascii="Garamond" w:eastAsia="Times New Roman" w:hAnsi="Garamond"/>
          <w:lang w:eastAsia="en-US"/>
        </w:rPr>
        <w:t>,</w:t>
      </w:r>
      <w:r w:rsidRPr="00024D5A">
        <w:rPr>
          <w:rFonts w:ascii="Garamond" w:eastAsia="Times New Roman" w:hAnsi="Garamond"/>
          <w:lang w:eastAsia="en-US"/>
        </w:rPr>
        <w:t xml:space="preserve"> sepse aktualisht shumë politika lokale bazohen në kërkesa individuale dhe jo në evidencë. Me këtë ndërhyrje synohet që planifikimi social të bëhet i bazuar në të dhëna dhe jo vetëm në reagim ndaj problematikave.</w:t>
      </w:r>
    </w:p>
    <w:p w14:paraId="1C4DBB65"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Një dimension shumë i rëndësishëm i objektivit është përfshirja e organizatave të personave me aftësi të kufizuara. Plani synon që bashkëpunimi mes bashkive dhe OPAK të mos jetë i rastësishëm, por i konsoliduar dhe i strukturuar përmes marrëveshjeve bashkëpunimi dhe takimeve periodike konsultuese. Kjo e transformon konsultimin nga një praktikë formale në një mekanizëm real pjesëmarrjeje, ku personat me aftësi të kufizuara kontribuojnë në identifikimin e nevojave, monitorimin e shërbimeve dhe vlerësimin e politikave lokale.</w:t>
      </w:r>
    </w:p>
    <w:p w14:paraId="6D1AD6FF"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Po ashtu, përmes promovimit të praktikave të mira dhe shpalljes së bashkive më të mira për realizimin e të drejtave të personave me aftësi të kufizuara, Plani synon të krijojë një mekanizëm motivues institucional. Kjo ndërhyrje nuk ka vetëm karakter simbolik, ajo synon të nxisë konkurrencë pozitive ndërmjet bashkive, duke i orientuar ato drejt përmirësimit të aksesueshmërisë, shërbimeve dhe përfshirjes sociale.</w:t>
      </w:r>
    </w:p>
    <w:p w14:paraId="39B6F584" w14:textId="7A36C2CF" w:rsidR="003E1630" w:rsidRPr="00024D5A" w:rsidRDefault="005743A8" w:rsidP="00791B1A">
      <w:pPr>
        <w:ind w:firstLine="284"/>
        <w:jc w:val="both"/>
        <w:rPr>
          <w:rFonts w:ascii="Garamond" w:eastAsia="Times New Roman" w:hAnsi="Garamond"/>
          <w:b/>
          <w:bCs/>
          <w:i/>
          <w:iCs/>
          <w:lang w:eastAsia="en-US"/>
        </w:rPr>
      </w:pPr>
      <w:r w:rsidRPr="00AC5DA9">
        <w:rPr>
          <w:rFonts w:ascii="Garamond" w:eastAsia="Times New Roman" w:hAnsi="Garamond"/>
          <w:b/>
          <w:bCs/>
          <w:i/>
          <w:iCs/>
          <w:lang w:eastAsia="en-US"/>
        </w:rPr>
        <w:t xml:space="preserve">Objektivi </w:t>
      </w:r>
      <w:r w:rsidR="002C7F70" w:rsidRPr="00AC5DA9">
        <w:rPr>
          <w:rFonts w:ascii="Garamond" w:eastAsia="Times New Roman" w:hAnsi="Garamond"/>
          <w:b/>
          <w:bCs/>
          <w:i/>
          <w:iCs/>
          <w:lang w:eastAsia="en-US"/>
        </w:rPr>
        <w:t>specifik</w:t>
      </w:r>
      <w:r w:rsidRPr="00AC5DA9">
        <w:rPr>
          <w:rFonts w:ascii="Garamond" w:eastAsia="Times New Roman" w:hAnsi="Garamond"/>
          <w:b/>
          <w:bCs/>
          <w:i/>
          <w:iCs/>
          <w:lang w:eastAsia="en-US"/>
        </w:rPr>
        <w:t>:</w:t>
      </w:r>
      <w:r w:rsidRPr="00024D5A">
        <w:rPr>
          <w:rFonts w:ascii="Garamond" w:eastAsia="Times New Roman" w:hAnsi="Garamond"/>
          <w:lang w:eastAsia="en-US"/>
        </w:rPr>
        <w:t xml:space="preserve"> </w:t>
      </w:r>
      <w:r w:rsidRPr="00024D5A">
        <w:rPr>
          <w:rFonts w:ascii="Garamond" w:eastAsia="Times New Roman" w:hAnsi="Garamond"/>
          <w:i/>
          <w:iCs/>
          <w:lang w:eastAsia="en-US"/>
        </w:rPr>
        <w:t>Përmirësimi i funksionimit të KKAK</w:t>
      </w:r>
      <w:r w:rsidR="00D33768" w:rsidRPr="00024D5A">
        <w:rPr>
          <w:rFonts w:ascii="Garamond" w:eastAsia="Times New Roman" w:hAnsi="Garamond"/>
          <w:i/>
          <w:iCs/>
          <w:lang w:eastAsia="en-US"/>
        </w:rPr>
        <w:t>-së</w:t>
      </w:r>
      <w:r w:rsidRPr="00024D5A">
        <w:rPr>
          <w:rFonts w:ascii="Garamond" w:eastAsia="Times New Roman" w:hAnsi="Garamond"/>
          <w:i/>
          <w:iCs/>
          <w:lang w:eastAsia="en-US"/>
        </w:rPr>
        <w:t xml:space="preserve"> lidhur me koordinimin e politikave publike në nivel horizontal dhe vertikal për personat me aftësi të kufizuara.</w:t>
      </w:r>
    </w:p>
    <w:p w14:paraId="3AF58C9D" w14:textId="49835F4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b/>
          <w:bCs/>
          <w:i/>
          <w:iCs/>
          <w:lang w:eastAsia="en-US"/>
        </w:rPr>
        <w:t>Masat prioritare</w:t>
      </w:r>
      <w:r w:rsidR="001B341F" w:rsidRPr="00024D5A">
        <w:rPr>
          <w:rFonts w:ascii="Garamond" w:eastAsia="Times New Roman" w:hAnsi="Garamond"/>
          <w:b/>
          <w:bCs/>
          <w:i/>
          <w:iCs/>
          <w:lang w:eastAsia="en-US"/>
        </w:rPr>
        <w:t>:</w:t>
      </w:r>
    </w:p>
    <w:p w14:paraId="79203DB2" w14:textId="21C39501" w:rsidR="003E1630" w:rsidRPr="00024D5A" w:rsidRDefault="0027721B" w:rsidP="007827F3">
      <w:pPr>
        <w:pStyle w:val="ListParagraph"/>
        <w:ind w:left="0" w:firstLine="288"/>
        <w:jc w:val="both"/>
        <w:rPr>
          <w:rFonts w:ascii="Garamond" w:eastAsia="Times New Roman" w:hAnsi="Garamond"/>
          <w:lang w:eastAsia="en-US"/>
        </w:rPr>
      </w:pPr>
      <w:r w:rsidRPr="00024D5A">
        <w:rPr>
          <w:rFonts w:ascii="Garamond" w:eastAsia="Times New Roman" w:hAnsi="Garamond"/>
          <w:lang w:eastAsia="en-US"/>
        </w:rPr>
        <w:t xml:space="preserve">2.1 </w:t>
      </w:r>
      <w:r w:rsidR="005743A8" w:rsidRPr="00024D5A">
        <w:rPr>
          <w:rFonts w:ascii="Garamond" w:eastAsia="Times New Roman" w:hAnsi="Garamond"/>
          <w:lang w:eastAsia="en-US"/>
        </w:rPr>
        <w:t>Ndjekje dhe monitorim i ndryshimeve legjislative në fushën e aftësisë së kufizuar;</w:t>
      </w:r>
    </w:p>
    <w:p w14:paraId="64EBCD9F" w14:textId="18137BE3" w:rsidR="003E1630" w:rsidRPr="00024D5A" w:rsidRDefault="0027721B" w:rsidP="007827F3">
      <w:pPr>
        <w:pStyle w:val="ListParagraph"/>
        <w:ind w:left="0" w:firstLine="288"/>
        <w:jc w:val="both"/>
        <w:rPr>
          <w:rFonts w:ascii="Garamond" w:eastAsia="Times New Roman" w:hAnsi="Garamond"/>
          <w:lang w:eastAsia="en-US"/>
        </w:rPr>
      </w:pPr>
      <w:r w:rsidRPr="00024D5A">
        <w:rPr>
          <w:rFonts w:ascii="Garamond" w:eastAsia="Times New Roman" w:hAnsi="Garamond"/>
          <w:lang w:eastAsia="en-US"/>
        </w:rPr>
        <w:t xml:space="preserve">2.2 </w:t>
      </w:r>
      <w:r w:rsidR="005743A8" w:rsidRPr="00024D5A">
        <w:rPr>
          <w:rFonts w:ascii="Garamond" w:eastAsia="Times New Roman" w:hAnsi="Garamond"/>
          <w:lang w:eastAsia="en-US"/>
        </w:rPr>
        <w:t>Ndërtimi dhe zbatimi i një plani vjetor aktivitetesh të Këshillit Kombëtar të Aftësisë së Kufizuar (KKAK).</w:t>
      </w:r>
      <w:r w:rsidR="005743A8" w:rsidRPr="00024D5A">
        <w:rPr>
          <w:rFonts w:ascii="Garamond" w:hAnsi="Garamond"/>
          <w:vertAlign w:val="superscript"/>
          <w:lang w:eastAsia="en-US"/>
        </w:rPr>
        <w:footnoteReference w:id="89"/>
      </w:r>
    </w:p>
    <w:p w14:paraId="453C459F"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Ky objektiv trajton një problem strukturor të politikave për aftësinë e kufizuar, mungesën e koordinimit ndërinstitucional. Politikat që prekin personat me aftësi të kufizuara nuk i përkasin vetëm një ministrie. Ato shtrihen në arsim, shëndetësi, drejtësi, punësim, transport, strehim, mbrojtje sociale dhe qeverisje vendore. Për pasojë, pa një mekanizëm funksional koordinimi, masat mbeten të fragmentuara, ndërhyjnë mbi njëra-tjetrën ose lënë boshllëqe të rëndësishme.</w:t>
      </w:r>
    </w:p>
    <w:p w14:paraId="3447BE14"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Pikërisht për këtë arsye, Plani e vendos në qendër forcimin real të Këshillit Kombëtar të Aftësisë së Kufizuar (KKAK), duke e transformuar atë nga një strukturë kryesisht konsultative në një mekanizëm aktiv koordinimi, monitorimi dhe orientimi politikash.</w:t>
      </w:r>
    </w:p>
    <w:p w14:paraId="3F53CC86" w14:textId="249BE635"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 xml:space="preserve">Së pari, objektivi synon të përmirësojë koordinimin horizontal të politikave përmes monitorimit të ndryshimeve legjislative. Rishikimi i </w:t>
      </w:r>
      <w:r w:rsidR="00F958F2" w:rsidRPr="00024D5A">
        <w:rPr>
          <w:rFonts w:ascii="Garamond" w:eastAsia="Times New Roman" w:hAnsi="Garamond"/>
          <w:lang w:eastAsia="en-US"/>
        </w:rPr>
        <w:t xml:space="preserve">ligjit kuadër për përfshirjen dhe aksesueshmërinë dhe përafrimi </w:t>
      </w:r>
      <w:r w:rsidRPr="00024D5A">
        <w:rPr>
          <w:rFonts w:ascii="Garamond" w:eastAsia="Times New Roman" w:hAnsi="Garamond"/>
          <w:lang w:eastAsia="en-US"/>
        </w:rPr>
        <w:t xml:space="preserve">me </w:t>
      </w:r>
      <w:r w:rsidR="00F958F2" w:rsidRPr="00024D5A">
        <w:rPr>
          <w:rFonts w:ascii="Garamond" w:eastAsia="Times New Roman" w:hAnsi="Garamond"/>
          <w:lang w:eastAsia="en-US"/>
        </w:rPr>
        <w:t xml:space="preserve">direktivën </w:t>
      </w:r>
      <w:r w:rsidRPr="00024D5A">
        <w:rPr>
          <w:rFonts w:ascii="Garamond" w:eastAsia="Times New Roman" w:hAnsi="Garamond"/>
          <w:lang w:eastAsia="en-US"/>
        </w:rPr>
        <w:t>(BE) 2019/882 mbi kërkesat e aksesueshmërisë për produktet dhe shërbimet</w:t>
      </w:r>
      <w:r w:rsidRPr="00024D5A">
        <w:rPr>
          <w:rFonts w:ascii="Garamond" w:eastAsia="Times New Roman" w:hAnsi="Garamond"/>
          <w:vertAlign w:val="superscript"/>
          <w:lang w:eastAsia="en-US"/>
        </w:rPr>
        <w:footnoteReference w:id="90"/>
      </w:r>
      <w:r w:rsidRPr="00024D5A">
        <w:rPr>
          <w:rFonts w:ascii="Garamond" w:eastAsia="Times New Roman" w:hAnsi="Garamond"/>
          <w:lang w:eastAsia="en-US"/>
        </w:rPr>
        <w:t xml:space="preserve"> do të shërbejë jo vetëm për harmonizim me </w:t>
      </w:r>
      <w:r w:rsidRPr="00024D5A">
        <w:rPr>
          <w:rFonts w:ascii="Garamond" w:eastAsia="Times New Roman" w:hAnsi="Garamond"/>
          <w:i/>
          <w:iCs/>
          <w:lang w:eastAsia="en-US"/>
        </w:rPr>
        <w:t>acquis</w:t>
      </w:r>
      <w:r w:rsidRPr="00024D5A">
        <w:rPr>
          <w:rFonts w:ascii="Garamond" w:eastAsia="Times New Roman" w:hAnsi="Garamond"/>
          <w:lang w:eastAsia="en-US"/>
        </w:rPr>
        <w:t>-n e BE-së, por edhe për të qartësuar përgjegjësitë institucionale. Në praktikë kjo do të thotë që çdo ministri, para se të ndërmarrë ndryshime ligjore sektoriale, duhet të marrë në konsideratë ndikimin mbi personat me aftësi të kufizuara dhe të informojë KKAK</w:t>
      </w:r>
      <w:r w:rsidR="005E7A46" w:rsidRPr="00024D5A">
        <w:rPr>
          <w:rFonts w:ascii="Garamond" w:eastAsia="Times New Roman" w:hAnsi="Garamond"/>
          <w:lang w:eastAsia="en-US"/>
        </w:rPr>
        <w:t>-në</w:t>
      </w:r>
      <w:r w:rsidRPr="00024D5A">
        <w:rPr>
          <w:rFonts w:ascii="Garamond" w:eastAsia="Times New Roman" w:hAnsi="Garamond"/>
          <w:lang w:eastAsia="en-US"/>
        </w:rPr>
        <w:t>. Kjo krijon një filtër të politikave publike, që shmang vendimmarrjet e izoluara dhe garanton integrimin e dimensionit të aftësisë së kufizuar në të gjitha politikat.</w:t>
      </w:r>
    </w:p>
    <w:p w14:paraId="0CDA008F" w14:textId="133374E1"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Po aq i rëndësishëm është edhe koordinimi vertikal, midis nivelit qendror dhe atij vendor. Përmes takimeve në njësitë e vetëqeverisjes vendore dhe mbledhjes së të dhënave mbi zbatimin e Planit, KKAK</w:t>
      </w:r>
      <w:r w:rsidR="006E67D8" w:rsidRPr="00024D5A">
        <w:rPr>
          <w:rFonts w:ascii="Garamond" w:eastAsia="Times New Roman" w:hAnsi="Garamond"/>
          <w:lang w:eastAsia="en-US"/>
        </w:rPr>
        <w:t>-ja</w:t>
      </w:r>
      <w:r w:rsidRPr="00024D5A">
        <w:rPr>
          <w:rFonts w:ascii="Garamond" w:eastAsia="Times New Roman" w:hAnsi="Garamond"/>
          <w:lang w:eastAsia="en-US"/>
        </w:rPr>
        <w:t xml:space="preserve"> do të krijojë një pasqyrë reale të situatës në terren. Kjo është thelbësore</w:t>
      </w:r>
      <w:r w:rsidR="0081514F" w:rsidRPr="00024D5A">
        <w:rPr>
          <w:rFonts w:ascii="Garamond" w:eastAsia="Times New Roman" w:hAnsi="Garamond"/>
          <w:lang w:eastAsia="en-US"/>
        </w:rPr>
        <w:t>,</w:t>
      </w:r>
      <w:r w:rsidRPr="00024D5A">
        <w:rPr>
          <w:rFonts w:ascii="Garamond" w:eastAsia="Times New Roman" w:hAnsi="Garamond"/>
          <w:lang w:eastAsia="en-US"/>
        </w:rPr>
        <w:t xml:space="preserve"> sepse shpesh ekziston një diferencë e madhe midis politikave të miratuara dhe realitetit lokal. Informacioni i mbledhur do të përdoret për të orientuar vendimmarrjen në nivel qendror dhe për të identifikuar pengesat konkrete që hasin bashkitë.</w:t>
      </w:r>
    </w:p>
    <w:p w14:paraId="22541331" w14:textId="5290AEA6"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Ndërtimi i një plani vjetor aktivitetesh për KKAK</w:t>
      </w:r>
      <w:r w:rsidR="0081514F" w:rsidRPr="00024D5A">
        <w:rPr>
          <w:rFonts w:ascii="Garamond" w:eastAsia="Times New Roman" w:hAnsi="Garamond"/>
          <w:lang w:eastAsia="en-US"/>
        </w:rPr>
        <w:t>-në</w:t>
      </w:r>
      <w:r w:rsidRPr="00024D5A">
        <w:rPr>
          <w:rFonts w:ascii="Garamond" w:eastAsia="Times New Roman" w:hAnsi="Garamond"/>
          <w:lang w:eastAsia="en-US"/>
        </w:rPr>
        <w:t xml:space="preserve"> synon</w:t>
      </w:r>
      <w:r w:rsidR="008F29FA" w:rsidRPr="00024D5A">
        <w:rPr>
          <w:rFonts w:ascii="Garamond" w:eastAsia="Times New Roman" w:hAnsi="Garamond"/>
          <w:lang w:eastAsia="en-US"/>
        </w:rPr>
        <w:t xml:space="preserve"> </w:t>
      </w:r>
      <w:r w:rsidRPr="00024D5A">
        <w:rPr>
          <w:rFonts w:ascii="Garamond" w:eastAsia="Times New Roman" w:hAnsi="Garamond"/>
          <w:lang w:eastAsia="en-US"/>
        </w:rPr>
        <w:t>të vendosë një cikël të rregullt pune. Takimet periodike me ministritë e linjës në fillim të çdo viti do të shërbejnë për koordinimin e prioriteteve, shmangien e mbivendosjeve dhe planifikimin e përbashkët të ndërhyrjeve. Për herë të parë, planifikimi për aftësinë e kufizuar synohet të bëhet ndërsektorial, dhe jo thjesht si një përgjegjësi e një institucioni të vetëm.</w:t>
      </w:r>
    </w:p>
    <w:p w14:paraId="0E70FCD8" w14:textId="4E48D81C"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Një element i rëndësishëm i këtij objektivi është edhe përfshirja e organizatave të personave me aftësi të kufizuara, përfshirë ato që nuk janë anëtare të KKAK</w:t>
      </w:r>
      <w:r w:rsidR="0081514F" w:rsidRPr="00024D5A">
        <w:rPr>
          <w:rFonts w:ascii="Garamond" w:eastAsia="Times New Roman" w:hAnsi="Garamond"/>
          <w:lang w:eastAsia="en-US"/>
        </w:rPr>
        <w:t>-së</w:t>
      </w:r>
      <w:r w:rsidRPr="00024D5A">
        <w:rPr>
          <w:rFonts w:ascii="Garamond" w:eastAsia="Times New Roman" w:hAnsi="Garamond"/>
          <w:lang w:eastAsia="en-US"/>
        </w:rPr>
        <w:t>. Kjo e zgjeron konsultimin publik dhe e afron politikëbërjen me përvojën reale të përfituesve. Në këtë mënyrë, KKAK</w:t>
      </w:r>
      <w:r w:rsidR="005F3E6F" w:rsidRPr="00024D5A">
        <w:rPr>
          <w:rFonts w:ascii="Garamond" w:eastAsia="Times New Roman" w:hAnsi="Garamond"/>
          <w:lang w:eastAsia="en-US"/>
        </w:rPr>
        <w:t>-ja</w:t>
      </w:r>
      <w:r w:rsidRPr="00024D5A">
        <w:rPr>
          <w:rFonts w:ascii="Garamond" w:eastAsia="Times New Roman" w:hAnsi="Garamond"/>
          <w:lang w:eastAsia="en-US"/>
        </w:rPr>
        <w:t xml:space="preserve"> shndërrohet në një platformë dialogu ndërmjet institucioneve dhe komunitetit, duke rritur transparencën dhe legjitimitetin e politikave.</w:t>
      </w:r>
    </w:p>
    <w:p w14:paraId="1FA0AD3B" w14:textId="77777777"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Përgatitja e raporteve vjetore të aktiviteteve dhe rezultateve synon të krijojë një mekanizëm llogaridhënieje. Raportimi periodik do të mundësojë vlerësimin e progresit të Planit të Veprimit, identifikimin e vonesave dhe përshtatjen e politikave sipas nevojave reale.</w:t>
      </w:r>
    </w:p>
    <w:p w14:paraId="72228433" w14:textId="57E5ACE3" w:rsidR="003E1630" w:rsidRPr="00024D5A" w:rsidRDefault="005743A8" w:rsidP="00791B1A">
      <w:pPr>
        <w:ind w:firstLine="284"/>
        <w:jc w:val="both"/>
        <w:rPr>
          <w:rFonts w:ascii="Garamond" w:eastAsia="Times New Roman" w:hAnsi="Garamond"/>
          <w:lang w:eastAsia="en-US"/>
        </w:rPr>
      </w:pPr>
      <w:r w:rsidRPr="00024D5A">
        <w:rPr>
          <w:rFonts w:ascii="Garamond" w:eastAsia="Times New Roman" w:hAnsi="Garamond"/>
          <w:lang w:eastAsia="en-US"/>
        </w:rPr>
        <w:t>Ky objektiv synon të krijojë një sistem të qëndrueshëm koordinimi publik për aftësinë e kufizuar. KKAK</w:t>
      </w:r>
      <w:r w:rsidR="00FA26F7" w:rsidRPr="00024D5A">
        <w:rPr>
          <w:rFonts w:ascii="Garamond" w:eastAsia="Times New Roman" w:hAnsi="Garamond"/>
          <w:lang w:eastAsia="en-US"/>
        </w:rPr>
        <w:t>-ja</w:t>
      </w:r>
      <w:r w:rsidRPr="00024D5A">
        <w:rPr>
          <w:rFonts w:ascii="Garamond" w:eastAsia="Times New Roman" w:hAnsi="Garamond"/>
          <w:lang w:eastAsia="en-US"/>
        </w:rPr>
        <w:t xml:space="preserve"> pritet të funksionojë si nyja qendrore e sistemit: një strukturë që lidh ministritë, pushtetin vendor dhe organizatat e personave me aftësi të kufizuara, duke garantuar që politikat të mos jenë të shpërndara në sektorë të veçantë, por të ndërtohen dhe zbatohen në mënyrë të integruar dhe të monitorueshme.</w:t>
      </w:r>
    </w:p>
    <w:p w14:paraId="31369B94" w14:textId="38429FD0" w:rsidR="003E1630" w:rsidRPr="00024D5A" w:rsidRDefault="005743A8" w:rsidP="00791B1A">
      <w:pPr>
        <w:tabs>
          <w:tab w:val="left" w:pos="7245"/>
        </w:tabs>
        <w:ind w:firstLine="284"/>
        <w:jc w:val="both"/>
        <w:rPr>
          <w:rFonts w:ascii="Garamond" w:eastAsia="Times New Roman" w:hAnsi="Garamond"/>
          <w:i/>
          <w:iCs/>
          <w:lang w:eastAsia="en-US"/>
        </w:rPr>
      </w:pPr>
      <w:r w:rsidRPr="00AC5DA9">
        <w:rPr>
          <w:rFonts w:ascii="Garamond" w:eastAsia="Times New Roman" w:hAnsi="Garamond"/>
          <w:b/>
          <w:bCs/>
          <w:i/>
          <w:iCs/>
          <w:lang w:eastAsia="en-US"/>
        </w:rPr>
        <w:t xml:space="preserve">Objektivi </w:t>
      </w:r>
      <w:r w:rsidR="000B62E4" w:rsidRPr="00AC5DA9">
        <w:rPr>
          <w:rFonts w:ascii="Garamond" w:eastAsia="Times New Roman" w:hAnsi="Garamond"/>
          <w:b/>
          <w:bCs/>
          <w:i/>
          <w:iCs/>
          <w:lang w:eastAsia="en-US"/>
        </w:rPr>
        <w:t xml:space="preserve">specifik </w:t>
      </w:r>
      <w:r w:rsidRPr="00AC5DA9">
        <w:rPr>
          <w:rFonts w:ascii="Garamond" w:eastAsia="Times New Roman" w:hAnsi="Garamond"/>
          <w:b/>
          <w:bCs/>
          <w:i/>
          <w:iCs/>
          <w:lang w:eastAsia="en-US"/>
        </w:rPr>
        <w:t>3:</w:t>
      </w:r>
      <w:r w:rsidRPr="00024D5A">
        <w:rPr>
          <w:rFonts w:ascii="Garamond" w:eastAsia="Times New Roman" w:hAnsi="Garamond"/>
          <w:b/>
          <w:bCs/>
          <w:lang w:eastAsia="en-US"/>
        </w:rPr>
        <w:t xml:space="preserve"> </w:t>
      </w:r>
      <w:r w:rsidRPr="00024D5A">
        <w:rPr>
          <w:rFonts w:ascii="Garamond" w:eastAsia="Times New Roman" w:hAnsi="Garamond"/>
          <w:i/>
          <w:iCs/>
          <w:lang w:eastAsia="en-US"/>
        </w:rPr>
        <w:t xml:space="preserve">Ngritja e një sistemi </w:t>
      </w:r>
      <w:r w:rsidR="00C23BA9" w:rsidRPr="00024D5A">
        <w:rPr>
          <w:rFonts w:ascii="Garamond" w:eastAsia="Times New Roman" w:hAnsi="Garamond"/>
          <w:i/>
          <w:iCs/>
          <w:lang w:eastAsia="en-US"/>
        </w:rPr>
        <w:t xml:space="preserve">administrativ </w:t>
      </w:r>
      <w:r w:rsidRPr="00024D5A">
        <w:rPr>
          <w:rFonts w:ascii="Garamond" w:eastAsia="Times New Roman" w:hAnsi="Garamond"/>
          <w:i/>
          <w:iCs/>
          <w:lang w:eastAsia="en-US"/>
        </w:rPr>
        <w:t>të qëndrueshëm për matjen e indikatorëve të monitorimit, në përputhje me treguesit OZHQ për aftësinë e kufizuar.</w:t>
      </w:r>
    </w:p>
    <w:p w14:paraId="16FB4AC5" w14:textId="6EF9C507" w:rsidR="003E1630" w:rsidRPr="00024D5A" w:rsidRDefault="005743A8" w:rsidP="00791B1A">
      <w:pPr>
        <w:tabs>
          <w:tab w:val="left" w:pos="7245"/>
        </w:tabs>
        <w:ind w:firstLine="284"/>
        <w:jc w:val="both"/>
        <w:rPr>
          <w:rFonts w:ascii="Garamond" w:eastAsia="Times New Roman" w:hAnsi="Garamond"/>
          <w:b/>
          <w:bCs/>
          <w:i/>
          <w:iCs/>
          <w:lang w:eastAsia="en-US"/>
        </w:rPr>
      </w:pPr>
      <w:r w:rsidRPr="00024D5A">
        <w:rPr>
          <w:rFonts w:ascii="Garamond" w:eastAsia="Times New Roman" w:hAnsi="Garamond"/>
          <w:b/>
          <w:bCs/>
          <w:i/>
          <w:iCs/>
          <w:lang w:eastAsia="en-US"/>
        </w:rPr>
        <w:t>Masa prioritare</w:t>
      </w:r>
      <w:r w:rsidR="000B62E4" w:rsidRPr="00024D5A">
        <w:rPr>
          <w:rFonts w:ascii="Garamond" w:eastAsia="Times New Roman" w:hAnsi="Garamond"/>
          <w:b/>
          <w:bCs/>
          <w:i/>
          <w:iCs/>
          <w:lang w:eastAsia="en-US"/>
        </w:rPr>
        <w:t>:</w:t>
      </w:r>
      <w:r w:rsidRPr="00024D5A">
        <w:rPr>
          <w:rFonts w:ascii="Garamond" w:eastAsia="Times New Roman" w:hAnsi="Garamond"/>
          <w:b/>
          <w:bCs/>
          <w:i/>
          <w:iCs/>
          <w:lang w:eastAsia="en-US"/>
        </w:rPr>
        <w:t xml:space="preserve"> </w:t>
      </w:r>
    </w:p>
    <w:p w14:paraId="41701E6A" w14:textId="61DC4253" w:rsidR="003E1630" w:rsidRPr="00024D5A" w:rsidRDefault="0027721B" w:rsidP="000B62E4">
      <w:pPr>
        <w:pStyle w:val="ListParagraph"/>
        <w:tabs>
          <w:tab w:val="left" w:pos="7245"/>
        </w:tabs>
        <w:ind w:left="0" w:firstLine="288"/>
        <w:jc w:val="both"/>
        <w:rPr>
          <w:rFonts w:ascii="Garamond" w:eastAsia="Times New Roman" w:hAnsi="Garamond"/>
          <w:lang w:eastAsia="en-US"/>
        </w:rPr>
      </w:pPr>
      <w:r w:rsidRPr="00024D5A">
        <w:rPr>
          <w:rFonts w:ascii="Garamond" w:eastAsia="Times New Roman" w:hAnsi="Garamond"/>
          <w:lang w:eastAsia="en-US"/>
        </w:rPr>
        <w:t xml:space="preserve">3.1 </w:t>
      </w:r>
      <w:r w:rsidR="005743A8" w:rsidRPr="00024D5A">
        <w:rPr>
          <w:rFonts w:ascii="Garamond" w:eastAsia="Times New Roman" w:hAnsi="Garamond"/>
          <w:lang w:eastAsia="en-US"/>
        </w:rPr>
        <w:t>Përmirësimi i akteve ligjore dhe nënligjore për mbledhjen, analizën dhe përdorimin e të dhënave mbi aftësinë e kufizuar.</w:t>
      </w:r>
    </w:p>
    <w:p w14:paraId="054BA0DA" w14:textId="77777777" w:rsidR="003E1630" w:rsidRPr="00024D5A" w:rsidRDefault="005743A8" w:rsidP="00791B1A">
      <w:pPr>
        <w:tabs>
          <w:tab w:val="left" w:pos="7245"/>
        </w:tabs>
        <w:ind w:firstLine="284"/>
        <w:jc w:val="both"/>
        <w:rPr>
          <w:rFonts w:ascii="Garamond" w:eastAsia="Times New Roman" w:hAnsi="Garamond"/>
          <w:lang w:eastAsia="en-US"/>
        </w:rPr>
      </w:pPr>
      <w:r w:rsidRPr="00024D5A">
        <w:rPr>
          <w:rFonts w:ascii="Garamond" w:eastAsia="Times New Roman" w:hAnsi="Garamond"/>
          <w:lang w:eastAsia="en-US"/>
        </w:rPr>
        <w:t>Ky objektiv adreson një nga pengesat më të mëdha në hartimin dhe monitorimin e politikave për personat me aftësi të kufizuara: mungesën e të dhënave të besueshme, të krahasueshme dhe të integruara. Në praktikë, shumë politika publike janë ndërtuar pa një vlerësim të plotë të situatës së personave me aftësi të kufizuara, sepse informacioni ekzistues është i fragmentuar, shpesh administrativ dhe jo gjithmonë i harmonizuar midis institucioneve.</w:t>
      </w:r>
    </w:p>
    <w:p w14:paraId="41668497" w14:textId="77777777" w:rsidR="003E1630" w:rsidRPr="00024D5A" w:rsidRDefault="005743A8" w:rsidP="00791B1A">
      <w:pPr>
        <w:tabs>
          <w:tab w:val="left" w:pos="7245"/>
        </w:tabs>
        <w:ind w:firstLine="284"/>
        <w:jc w:val="both"/>
        <w:rPr>
          <w:rFonts w:ascii="Garamond" w:eastAsia="Times New Roman" w:hAnsi="Garamond"/>
          <w:lang w:eastAsia="en-US"/>
        </w:rPr>
      </w:pPr>
      <w:r w:rsidRPr="00024D5A">
        <w:rPr>
          <w:rFonts w:ascii="Garamond" w:eastAsia="Times New Roman" w:hAnsi="Garamond"/>
          <w:lang w:eastAsia="en-US"/>
        </w:rPr>
        <w:t>Plani synon të kalojë nga një sistem i shpërndarë informacioni në një sistem statistikor kombëtar të integruar për aftësinë e kufizuar. Rishikimi i kuadrit nënligjor për mbledhjen e statistikave do të përcaktojë detyrime të qarta për institucionet publike mbi mënyrën e mbledhjes, përpunimit dhe raportimit të të dhënave, si dhe lidhjen e tyre me monitorimin e Planit të Veprimit. Raportimi vjetor në Këshillin Kombëtar të Aftësisë së Kufizuar do të krijojë për herë të parë një mekanizëm të rregullt monitorimi të bazuar në evidencë dhe jo vetëm në raportime përshkruese.</w:t>
      </w:r>
    </w:p>
    <w:p w14:paraId="14F973F1" w14:textId="072A88B1" w:rsidR="003E1630" w:rsidRPr="00024D5A" w:rsidRDefault="00896F31" w:rsidP="00791B1A">
      <w:pPr>
        <w:tabs>
          <w:tab w:val="left" w:pos="7245"/>
        </w:tabs>
        <w:ind w:firstLine="284"/>
        <w:jc w:val="both"/>
        <w:rPr>
          <w:rFonts w:ascii="Garamond" w:eastAsia="Times New Roman" w:hAnsi="Garamond"/>
          <w:lang w:eastAsia="en-US"/>
        </w:rPr>
      </w:pPr>
      <w:r w:rsidRPr="00024D5A">
        <w:rPr>
          <w:rFonts w:ascii="Garamond" w:eastAsia="Times New Roman" w:hAnsi="Garamond"/>
          <w:iCs/>
        </w:rPr>
        <w:t>Gjatë vitit 2026</w:t>
      </w:r>
      <w:r w:rsidR="00163964" w:rsidRPr="00024D5A">
        <w:rPr>
          <w:rFonts w:ascii="Garamond" w:eastAsia="Times New Roman" w:hAnsi="Garamond"/>
          <w:iCs/>
        </w:rPr>
        <w:t>,</w:t>
      </w:r>
      <w:r w:rsidRPr="00024D5A">
        <w:rPr>
          <w:rFonts w:ascii="Garamond" w:eastAsia="Times New Roman" w:hAnsi="Garamond"/>
          <w:iCs/>
        </w:rPr>
        <w:t xml:space="preserve"> INSTAT</w:t>
      </w:r>
      <w:r w:rsidR="00163964" w:rsidRPr="00024D5A">
        <w:rPr>
          <w:rFonts w:ascii="Garamond" w:eastAsia="Times New Roman" w:hAnsi="Garamond"/>
          <w:iCs/>
        </w:rPr>
        <w:t>-i</w:t>
      </w:r>
      <w:r w:rsidRPr="00024D5A">
        <w:rPr>
          <w:rFonts w:ascii="Garamond" w:eastAsia="Times New Roman" w:hAnsi="Garamond"/>
          <w:iCs/>
        </w:rPr>
        <w:t xml:space="preserve"> do të zhvillojë anketën Evropiane të Shëndetit (EHIS)</w:t>
      </w:r>
      <w:r w:rsidR="002E2CBA" w:rsidRPr="00024D5A">
        <w:rPr>
          <w:rFonts w:ascii="Garamond" w:eastAsia="Times New Roman" w:hAnsi="Garamond"/>
          <w:iCs/>
        </w:rPr>
        <w:t>,</w:t>
      </w:r>
      <w:r w:rsidRPr="00024D5A">
        <w:rPr>
          <w:rFonts w:ascii="Garamond" w:eastAsia="Times New Roman" w:hAnsi="Garamond"/>
          <w:iCs/>
        </w:rPr>
        <w:t xml:space="preserve"> e cila ofron një bazë më të strukturuar për identifikimin e personave me kufizime funksionale, duke u mbështetur në një qasje më afër modelit biopsikosocial të aftësisë së kufizuar.</w:t>
      </w:r>
      <w:r w:rsidRPr="00024D5A">
        <w:rPr>
          <w:rFonts w:ascii="Garamond" w:eastAsia="Times New Roman" w:hAnsi="Garamond"/>
          <w:lang w:eastAsia="en-US"/>
        </w:rPr>
        <w:t xml:space="preserve"> </w:t>
      </w:r>
    </w:p>
    <w:p w14:paraId="40E1AB49" w14:textId="77777777" w:rsidR="003E1630" w:rsidRPr="00024D5A" w:rsidRDefault="005743A8" w:rsidP="00791B1A">
      <w:pPr>
        <w:tabs>
          <w:tab w:val="left" w:pos="7245"/>
        </w:tabs>
        <w:ind w:firstLine="284"/>
        <w:jc w:val="both"/>
        <w:rPr>
          <w:rFonts w:ascii="Garamond" w:eastAsia="Times New Roman" w:hAnsi="Garamond"/>
          <w:lang w:eastAsia="en-US"/>
        </w:rPr>
      </w:pPr>
      <w:r w:rsidRPr="00024D5A">
        <w:rPr>
          <w:rFonts w:ascii="Garamond" w:eastAsia="Times New Roman" w:hAnsi="Garamond"/>
          <w:lang w:eastAsia="en-US"/>
        </w:rPr>
        <w:t>Trajnimi i pikave fokale në ministri synon të standardizojë mënyrën e mbledhjes së të dhënave. Aktualisht institucionet përdorin metoda të ndryshme, çka e bën të vështirë krahasimin dhe analizën. Përmes trajnimeve dhe udhëzimeve të përbashkëta do të sigurohet përdorimi i një metodologjie të harmonizuar, duke rritur cilësinë dhe besueshmërinë e informacionit.</w:t>
      </w:r>
    </w:p>
    <w:p w14:paraId="2C74D4FB" w14:textId="02EED36A" w:rsidR="003E1630" w:rsidRPr="00024D5A" w:rsidRDefault="005743A8" w:rsidP="00791B1A">
      <w:pPr>
        <w:tabs>
          <w:tab w:val="left" w:pos="7245"/>
        </w:tabs>
        <w:ind w:firstLine="284"/>
        <w:jc w:val="both"/>
        <w:rPr>
          <w:rFonts w:ascii="Garamond" w:eastAsia="Times New Roman" w:hAnsi="Garamond"/>
          <w:lang w:eastAsia="en-US"/>
        </w:rPr>
      </w:pPr>
      <w:r w:rsidRPr="00024D5A">
        <w:rPr>
          <w:rFonts w:ascii="Garamond" w:eastAsia="Times New Roman" w:hAnsi="Garamond"/>
          <w:lang w:eastAsia="en-US"/>
        </w:rPr>
        <w:t>Një hap thelbësor është ngritja e Grupit Ndërinstitucional të Statistikave të Përfshirjes Sociale. Ky grup do të funksionojë si mekanizëm teknik bashkëpunimi ndërmjet institucioneve që prodhojnë të dhëna (mbrojtje sociale, punësim, arsim, shëndetësi, drejtësi, strehim). Për herë të parë, të dhënat administrative do të analizohen në mënyrë të integruar dhe ndërsektoriale, duke mundësuar krijimin e treguesve kompleksë</w:t>
      </w:r>
      <w:r w:rsidR="00E97133" w:rsidRPr="00024D5A">
        <w:rPr>
          <w:rFonts w:ascii="Garamond" w:eastAsia="Times New Roman" w:hAnsi="Garamond"/>
          <w:lang w:eastAsia="en-US"/>
        </w:rPr>
        <w:t>,</w:t>
      </w:r>
      <w:r w:rsidRPr="00024D5A">
        <w:rPr>
          <w:rFonts w:ascii="Garamond" w:eastAsia="Times New Roman" w:hAnsi="Garamond"/>
          <w:lang w:eastAsia="en-US"/>
        </w:rPr>
        <w:t xml:space="preserve"> që lidhen me gjininë, moshën, përkatësinë etnike dhe aftësinë e kufizuar.</w:t>
      </w:r>
    </w:p>
    <w:p w14:paraId="191B6346" w14:textId="77777777" w:rsidR="003E1630" w:rsidRPr="00024D5A" w:rsidRDefault="005743A8" w:rsidP="00791B1A">
      <w:pPr>
        <w:tabs>
          <w:tab w:val="left" w:pos="7245"/>
        </w:tabs>
        <w:ind w:firstLine="284"/>
        <w:jc w:val="both"/>
        <w:rPr>
          <w:rFonts w:ascii="Garamond" w:eastAsia="Times New Roman" w:hAnsi="Garamond"/>
          <w:lang w:eastAsia="en-US"/>
        </w:rPr>
      </w:pPr>
      <w:r w:rsidRPr="00024D5A">
        <w:rPr>
          <w:rFonts w:ascii="Garamond" w:eastAsia="Times New Roman" w:hAnsi="Garamond"/>
          <w:lang w:eastAsia="en-US"/>
        </w:rPr>
        <w:t>Kjo qasje do të lidhë drejtpërdrejt politikat kombëtare me treguesit e Objektivave të Zhvillimit të Qëndrueshëm (OZHQ), të cilët kërkojnë matjen e përfshirjes sociale të personave me aftësi të kufizuara në fusha si varfëria, arsimi, punësimi, shëndeti dhe pjesëmarrja sociale. Pra, sistemi statistikor nuk do të shërbejë vetëm për raportim ndërkombëtar, por do të bëhet një instrument vendimmarrjeje për politikat publike.</w:t>
      </w:r>
    </w:p>
    <w:p w14:paraId="4ABC2FD9" w14:textId="2BC66E7F" w:rsidR="003E1630" w:rsidRPr="00024D5A" w:rsidRDefault="005743A8" w:rsidP="00791B1A">
      <w:pPr>
        <w:tabs>
          <w:tab w:val="left" w:pos="7245"/>
        </w:tabs>
        <w:ind w:firstLine="284"/>
        <w:jc w:val="both"/>
        <w:rPr>
          <w:rFonts w:ascii="Garamond" w:eastAsia="Times New Roman" w:hAnsi="Garamond"/>
          <w:lang w:eastAsia="en-US"/>
        </w:rPr>
      </w:pPr>
      <w:r w:rsidRPr="00024D5A">
        <w:rPr>
          <w:rFonts w:ascii="Garamond" w:eastAsia="Times New Roman" w:hAnsi="Garamond"/>
          <w:lang w:eastAsia="en-US"/>
        </w:rPr>
        <w:t>Në thelb, ky objektiv synon të ndërtojë një politikë për aftësinë e kufizuar të bazuar</w:t>
      </w:r>
      <w:r w:rsidR="008F29FA" w:rsidRPr="00024D5A">
        <w:rPr>
          <w:rFonts w:ascii="Garamond" w:eastAsia="Times New Roman" w:hAnsi="Garamond"/>
          <w:lang w:eastAsia="en-US"/>
        </w:rPr>
        <w:t xml:space="preserve"> </w:t>
      </w:r>
      <w:r w:rsidRPr="00024D5A">
        <w:rPr>
          <w:rFonts w:ascii="Garamond" w:eastAsia="Times New Roman" w:hAnsi="Garamond"/>
          <w:lang w:eastAsia="en-US"/>
        </w:rPr>
        <w:t>në të dhëna dhe fakte të mbështetura. Këto të dhënat do të përdoren për planifikim më të saktë të buxheteve, për targetim më të mirë të shërbimeve dhe për vlerësimin real të ndikimit të reformave. Në këtë mënyrë, monitorimi i Planit të Veprimit nuk do të jetë vetëm formal, por do të mbështetet në tregues konkretë që matin ndryshimin real në jetën e personave me aftësi të kufizuara.</w:t>
      </w:r>
    </w:p>
    <w:p w14:paraId="3084733F" w14:textId="0524B347" w:rsidR="003E1630" w:rsidRPr="00024D5A" w:rsidRDefault="005743A8" w:rsidP="00791B1A">
      <w:pPr>
        <w:tabs>
          <w:tab w:val="left" w:pos="7245"/>
        </w:tabs>
        <w:ind w:firstLine="284"/>
        <w:jc w:val="both"/>
        <w:rPr>
          <w:rFonts w:ascii="Garamond" w:eastAsia="Times New Roman" w:hAnsi="Garamond"/>
          <w:b/>
          <w:bCs/>
          <w:lang w:eastAsia="en-US"/>
        </w:rPr>
      </w:pPr>
      <w:r w:rsidRPr="00AC5DA9">
        <w:rPr>
          <w:rFonts w:ascii="Garamond" w:eastAsia="Times New Roman" w:hAnsi="Garamond"/>
          <w:b/>
          <w:bCs/>
          <w:i/>
          <w:iCs/>
          <w:lang w:eastAsia="en-US"/>
        </w:rPr>
        <w:t xml:space="preserve">Objektivi </w:t>
      </w:r>
      <w:r w:rsidR="00E97133" w:rsidRPr="00AC5DA9">
        <w:rPr>
          <w:rFonts w:ascii="Garamond" w:eastAsia="Times New Roman" w:hAnsi="Garamond"/>
          <w:b/>
          <w:bCs/>
          <w:i/>
          <w:iCs/>
          <w:lang w:eastAsia="en-US"/>
        </w:rPr>
        <w:t xml:space="preserve">specifik </w:t>
      </w:r>
      <w:r w:rsidRPr="00AC5DA9">
        <w:rPr>
          <w:rFonts w:ascii="Garamond" w:eastAsia="Times New Roman" w:hAnsi="Garamond"/>
          <w:b/>
          <w:bCs/>
          <w:i/>
          <w:iCs/>
          <w:lang w:eastAsia="en-US"/>
        </w:rPr>
        <w:t>4:</w:t>
      </w:r>
      <w:r w:rsidRPr="00024D5A">
        <w:rPr>
          <w:rFonts w:ascii="Garamond" w:eastAsia="Times New Roman" w:hAnsi="Garamond"/>
          <w:b/>
          <w:bCs/>
          <w:lang w:eastAsia="en-US"/>
        </w:rPr>
        <w:t xml:space="preserve"> </w:t>
      </w:r>
      <w:r w:rsidRPr="00024D5A">
        <w:rPr>
          <w:rFonts w:ascii="Garamond" w:eastAsia="Times New Roman" w:hAnsi="Garamond"/>
          <w:i/>
          <w:iCs/>
          <w:lang w:eastAsia="en-US"/>
        </w:rPr>
        <w:t>Nxitja e bashkëpunimit rajonal për zbatimin e KDPAK</w:t>
      </w:r>
      <w:r w:rsidR="00E97133" w:rsidRPr="00024D5A">
        <w:rPr>
          <w:rFonts w:ascii="Garamond" w:eastAsia="Times New Roman" w:hAnsi="Garamond"/>
          <w:i/>
          <w:iCs/>
          <w:lang w:eastAsia="en-US"/>
        </w:rPr>
        <w:t>-së</w:t>
      </w:r>
      <w:r w:rsidRPr="00024D5A">
        <w:rPr>
          <w:rFonts w:ascii="Garamond" w:eastAsia="Times New Roman" w:hAnsi="Garamond"/>
          <w:i/>
          <w:iCs/>
          <w:lang w:eastAsia="en-US"/>
        </w:rPr>
        <w:t>.</w:t>
      </w:r>
    </w:p>
    <w:p w14:paraId="64460270" w14:textId="097422E1" w:rsidR="003E1630" w:rsidRPr="00024D5A" w:rsidRDefault="005743A8" w:rsidP="00791B1A">
      <w:pPr>
        <w:tabs>
          <w:tab w:val="left" w:pos="7245"/>
        </w:tabs>
        <w:ind w:firstLine="284"/>
        <w:jc w:val="both"/>
        <w:rPr>
          <w:rFonts w:ascii="Garamond" w:eastAsia="Times New Roman" w:hAnsi="Garamond"/>
          <w:b/>
          <w:bCs/>
          <w:i/>
          <w:iCs/>
          <w:lang w:eastAsia="en-US"/>
        </w:rPr>
      </w:pPr>
      <w:r w:rsidRPr="00024D5A">
        <w:rPr>
          <w:rFonts w:ascii="Garamond" w:eastAsia="Times New Roman" w:hAnsi="Garamond"/>
          <w:b/>
          <w:bCs/>
          <w:i/>
          <w:iCs/>
          <w:lang w:eastAsia="en-US"/>
        </w:rPr>
        <w:t>Masa prioritare</w:t>
      </w:r>
      <w:r w:rsidR="00E97133" w:rsidRPr="00024D5A">
        <w:rPr>
          <w:rFonts w:ascii="Garamond" w:eastAsia="Times New Roman" w:hAnsi="Garamond"/>
          <w:b/>
          <w:bCs/>
          <w:i/>
          <w:iCs/>
          <w:lang w:eastAsia="en-US"/>
        </w:rPr>
        <w:t>:</w:t>
      </w:r>
      <w:r w:rsidRPr="00024D5A">
        <w:rPr>
          <w:rFonts w:ascii="Garamond" w:eastAsia="Times New Roman" w:hAnsi="Garamond"/>
          <w:b/>
          <w:bCs/>
          <w:i/>
          <w:iCs/>
          <w:lang w:eastAsia="en-US"/>
        </w:rPr>
        <w:t xml:space="preserve"> </w:t>
      </w:r>
    </w:p>
    <w:p w14:paraId="6CD8789F" w14:textId="4231BA8B" w:rsidR="003E1630" w:rsidRPr="00024D5A" w:rsidRDefault="00176B38" w:rsidP="007827F3">
      <w:pPr>
        <w:pStyle w:val="ListParagraph"/>
        <w:tabs>
          <w:tab w:val="left" w:pos="7245"/>
        </w:tabs>
        <w:ind w:left="0" w:firstLine="288"/>
        <w:jc w:val="both"/>
        <w:rPr>
          <w:rFonts w:ascii="Garamond" w:eastAsia="Times New Roman" w:hAnsi="Garamond"/>
          <w:lang w:eastAsia="en-US"/>
        </w:rPr>
      </w:pPr>
      <w:r w:rsidRPr="00024D5A">
        <w:rPr>
          <w:rFonts w:ascii="Garamond" w:eastAsia="Times New Roman" w:hAnsi="Garamond"/>
          <w:lang w:eastAsia="en-US"/>
        </w:rPr>
        <w:t xml:space="preserve">4.1 </w:t>
      </w:r>
      <w:r w:rsidR="005743A8" w:rsidRPr="00024D5A">
        <w:rPr>
          <w:rFonts w:ascii="Garamond" w:eastAsia="Times New Roman" w:hAnsi="Garamond"/>
          <w:lang w:eastAsia="en-US"/>
        </w:rPr>
        <w:t>Organizimi dhe pjesëmarrja në aktivitete ndërkombëtare për shkëmbimin e praktikave dhe përmirësimin e politikave për aftësinë e kufizuar.</w:t>
      </w:r>
    </w:p>
    <w:p w14:paraId="47986838" w14:textId="274A28E3" w:rsidR="003E1630" w:rsidRPr="00024D5A" w:rsidRDefault="005743A8" w:rsidP="00791B1A">
      <w:pPr>
        <w:tabs>
          <w:tab w:val="left" w:pos="7245"/>
        </w:tabs>
        <w:ind w:firstLine="284"/>
        <w:jc w:val="both"/>
        <w:rPr>
          <w:rFonts w:ascii="Garamond" w:eastAsia="Times New Roman" w:hAnsi="Garamond"/>
          <w:lang w:eastAsia="en-US"/>
        </w:rPr>
      </w:pPr>
      <w:r w:rsidRPr="00024D5A">
        <w:rPr>
          <w:rFonts w:ascii="Garamond" w:eastAsia="Times New Roman" w:hAnsi="Garamond"/>
          <w:lang w:eastAsia="en-US"/>
        </w:rPr>
        <w:t>Ky objektiv synon të forcojë dimensionin ndërkombëtar të politikave për aftësinë e kufizuar dhe të vendosë zbatimin e Konventës për të Drejtat e Personave me Aftësi të Kufizuara në një kontekst bashkëpunimi rajonal dhe evropian. Në praktikë, shumë nga reformat më të rëndësishme për aftësinë e kufizuar, si jetesa e pavarur, vendimmarrja e mbështetur, deinstitucionalizimi apo shërbimet komunitare, janë fusha relativisht të reja për institucionet e administratës publike dhe kërkojnë</w:t>
      </w:r>
      <w:r w:rsidR="000D73B8" w:rsidRPr="00024D5A">
        <w:rPr>
          <w:rFonts w:ascii="Garamond" w:eastAsia="Times New Roman" w:hAnsi="Garamond"/>
          <w:lang w:eastAsia="en-US"/>
        </w:rPr>
        <w:t>,</w:t>
      </w:r>
      <w:r w:rsidRPr="00024D5A">
        <w:rPr>
          <w:rFonts w:ascii="Garamond" w:eastAsia="Times New Roman" w:hAnsi="Garamond"/>
          <w:lang w:eastAsia="en-US"/>
        </w:rPr>
        <w:t xml:space="preserve"> jo vetëm legjislacion, por edhe modele funksionale të provuara.</w:t>
      </w:r>
    </w:p>
    <w:p w14:paraId="3CE2FAF2" w14:textId="77777777" w:rsidR="003E1630" w:rsidRPr="00024D5A" w:rsidRDefault="005743A8" w:rsidP="00791B1A">
      <w:pPr>
        <w:tabs>
          <w:tab w:val="left" w:pos="7245"/>
        </w:tabs>
        <w:ind w:firstLine="284"/>
        <w:jc w:val="both"/>
        <w:rPr>
          <w:rFonts w:ascii="Garamond" w:eastAsia="Times New Roman" w:hAnsi="Garamond"/>
          <w:lang w:eastAsia="en-US"/>
        </w:rPr>
      </w:pPr>
      <w:r w:rsidRPr="00024D5A">
        <w:rPr>
          <w:rFonts w:ascii="Garamond" w:eastAsia="Times New Roman" w:hAnsi="Garamond"/>
          <w:lang w:eastAsia="en-US"/>
        </w:rPr>
        <w:t>Plani i Veprimit parashikon që Shqipëria të mos veprojë e izoluar, por të mësojë sistematikisht nga përvojat e vendeve të tjera. Organizimi periodik i konferencave rajonale do të krijojë një hapësirë të përhershme shkëmbimi midis institucioneve shtetërore, pushtetit vendor dhe organizatave të personave me aftësi të kufizuara. Këto aktivitete do të fokusohen në fusha konkrete reformash, si transformimi i institucioneve rezidenciale në shërbime komunitare, zhvillimi i mekanizmave të vendimmarrjes së mbështetur apo mbështetja e sipërmarrjes sociale, duke ndihmuar në shmangien e gabimeve të bëra në vende të tjera dhe në përshtatjen e praktikave të suksesshme.</w:t>
      </w:r>
    </w:p>
    <w:p w14:paraId="6AC1DE25" w14:textId="77777777" w:rsidR="003E1630" w:rsidRPr="00024D5A" w:rsidRDefault="005743A8" w:rsidP="00791B1A">
      <w:pPr>
        <w:tabs>
          <w:tab w:val="left" w:pos="7245"/>
        </w:tabs>
        <w:ind w:firstLine="284"/>
        <w:jc w:val="both"/>
        <w:rPr>
          <w:rFonts w:ascii="Garamond" w:eastAsia="Times New Roman" w:hAnsi="Garamond"/>
          <w:lang w:eastAsia="en-US"/>
        </w:rPr>
      </w:pPr>
      <w:r w:rsidRPr="00024D5A">
        <w:rPr>
          <w:rFonts w:ascii="Garamond" w:eastAsia="Times New Roman" w:hAnsi="Garamond"/>
          <w:lang w:eastAsia="en-US"/>
        </w:rPr>
        <w:t>Pjesëmarrja në konferenca dhe rrjete rajonale dhe të Bashkimit Evropian do të shërbejë si mekanizëm për harmonizimin gradual të politikave kombëtare me standardet evropiane. Përmes këtij procesi, institucionet shqiptare do të kenë akses në udhëzime teknike, metodologji monitorimi dhe modele financimi të përdorura në vende të tjera, gjë që ndihmon në përmirësimin e cilësisë së reformave dhe në përgatitjen për procesin e integrimit evropian.</w:t>
      </w:r>
    </w:p>
    <w:p w14:paraId="2A740F2E" w14:textId="77777777" w:rsidR="003E1630" w:rsidRPr="00024D5A" w:rsidRDefault="005743A8" w:rsidP="00791B1A">
      <w:pPr>
        <w:tabs>
          <w:tab w:val="left" w:pos="7245"/>
        </w:tabs>
        <w:ind w:firstLine="284"/>
        <w:jc w:val="both"/>
        <w:rPr>
          <w:rFonts w:ascii="Garamond" w:eastAsia="Times New Roman" w:hAnsi="Garamond"/>
          <w:lang w:eastAsia="en-US"/>
        </w:rPr>
      </w:pPr>
      <w:r w:rsidRPr="00024D5A">
        <w:rPr>
          <w:rFonts w:ascii="Garamond" w:eastAsia="Times New Roman" w:hAnsi="Garamond"/>
          <w:lang w:eastAsia="en-US"/>
        </w:rPr>
        <w:t>Një rol të veçantë kanë bashkëpunimet studimore, të cilat synojnë transferimin praktik të njohurive. Përfshirja në këto takime jo vetëm të administratës qendrore, por edhe e bashkive dhe organizatave të personave me aftësi të kufizuara, është e rëndësishme sepse shumë reforma, veçanërisht shërbimet sociale komunitare, zbatohen në nivel vendor. Përmes këtyre takimeve, aktorët lokalë do të kenë mundësi të shohin drejtpërdrejt modele funksionale dhe të kuptojnë aspektet praktike të zbatimit, si organizimi i shërbimeve, financimi, monitorimi dhe përfshirja e komunitetit.</w:t>
      </w:r>
    </w:p>
    <w:p w14:paraId="4177141A" w14:textId="77777777" w:rsidR="003E1630" w:rsidRPr="00024D5A" w:rsidRDefault="005743A8" w:rsidP="00791B1A">
      <w:pPr>
        <w:tabs>
          <w:tab w:val="left" w:pos="7245"/>
        </w:tabs>
        <w:ind w:firstLine="284"/>
        <w:jc w:val="both"/>
        <w:rPr>
          <w:rFonts w:ascii="Garamond" w:eastAsia="Times New Roman" w:hAnsi="Garamond"/>
          <w:b/>
          <w:bCs/>
          <w:lang w:eastAsia="en-US"/>
        </w:rPr>
      </w:pPr>
      <w:r w:rsidRPr="00024D5A">
        <w:rPr>
          <w:rFonts w:ascii="Garamond" w:eastAsia="Times New Roman" w:hAnsi="Garamond"/>
          <w:lang w:eastAsia="en-US"/>
        </w:rPr>
        <w:t xml:space="preserve">Ky objektiv synon të ndërtojë një politikë për aftësinë e kufizuar që zhvillohet përmes bashkëpunimit dhe jo vetëm përmes përpjekjeve të brendshme. Bashkëpunimi rajonal do të ndihmojë në rritjen e kapaciteteve institucionale, përshpejtimin e reformave dhe përmirësimin e cilësisë së shërbimeve, duke siguruar që zbatimi i Konventës të mos mbetet një proces formal, por të përkthehet në ndryshime konkrete në jetën e personave me aftësi të kufizuara. </w:t>
      </w:r>
    </w:p>
    <w:p w14:paraId="104B12B9" w14:textId="0701F245" w:rsidR="003E1630" w:rsidRPr="00024D5A" w:rsidRDefault="00F900D2" w:rsidP="00791B1A">
      <w:pPr>
        <w:pStyle w:val="Heading1"/>
        <w:spacing w:before="0" w:line="240" w:lineRule="auto"/>
        <w:ind w:firstLine="284"/>
        <w:jc w:val="both"/>
        <w:rPr>
          <w:rStyle w:val="IntenseReference"/>
          <w:rFonts w:ascii="Garamond" w:hAnsi="Garamond"/>
          <w:color w:val="auto"/>
          <w:sz w:val="24"/>
          <w:szCs w:val="24"/>
          <w:lang w:val="sq-AL" w:eastAsia="en-US"/>
        </w:rPr>
      </w:pPr>
      <w:bookmarkStart w:id="54" w:name="_Toc231489653"/>
      <w:r w:rsidRPr="00024D5A">
        <w:rPr>
          <w:rStyle w:val="IntenseReference"/>
          <w:rFonts w:ascii="Garamond" w:hAnsi="Garamond"/>
          <w:color w:val="auto"/>
          <w:sz w:val="24"/>
          <w:szCs w:val="24"/>
          <w:lang w:val="sq-AL" w:eastAsia="en-US"/>
        </w:rPr>
        <w:t>4</w:t>
      </w:r>
      <w:r w:rsidR="005743A8" w:rsidRPr="00024D5A">
        <w:rPr>
          <w:rStyle w:val="IntenseReference"/>
          <w:rFonts w:ascii="Garamond" w:hAnsi="Garamond"/>
          <w:color w:val="auto"/>
          <w:sz w:val="24"/>
          <w:szCs w:val="24"/>
          <w:lang w:val="sq-AL" w:eastAsia="en-US"/>
        </w:rPr>
        <w:t>. ZBATIMI, PËRGJEGJËSIA E INSTITUCIONEVE, LLOGARIDHËNIA, RAPORTIMI DHE MONITORIMI</w:t>
      </w:r>
      <w:bookmarkEnd w:id="54"/>
    </w:p>
    <w:p w14:paraId="2B19FE8D" w14:textId="52E505DD" w:rsidR="003E1630" w:rsidRPr="00024D5A" w:rsidRDefault="0058487E" w:rsidP="00791B1A">
      <w:pPr>
        <w:pStyle w:val="Heading2"/>
        <w:tabs>
          <w:tab w:val="left" w:pos="7245"/>
        </w:tabs>
        <w:spacing w:before="0"/>
        <w:ind w:firstLine="284"/>
        <w:rPr>
          <w:rFonts w:ascii="Garamond" w:hAnsi="Garamond"/>
          <w:color w:val="auto"/>
          <w:sz w:val="24"/>
          <w:szCs w:val="24"/>
          <w:lang w:eastAsia="en-US"/>
        </w:rPr>
      </w:pPr>
      <w:bookmarkStart w:id="55" w:name="_Toc231489654"/>
      <w:r w:rsidRPr="00024D5A">
        <w:rPr>
          <w:rFonts w:ascii="Garamond" w:hAnsi="Garamond"/>
          <w:color w:val="auto"/>
          <w:sz w:val="24"/>
          <w:szCs w:val="24"/>
          <w:lang w:eastAsia="en-US"/>
        </w:rPr>
        <w:t>4</w:t>
      </w:r>
      <w:r w:rsidR="005743A8" w:rsidRPr="00024D5A">
        <w:rPr>
          <w:rFonts w:ascii="Garamond" w:hAnsi="Garamond"/>
          <w:color w:val="auto"/>
          <w:sz w:val="24"/>
          <w:szCs w:val="24"/>
          <w:lang w:eastAsia="en-US"/>
        </w:rPr>
        <w:t>.1 Përgjegjësia e institucioneve</w:t>
      </w:r>
      <w:bookmarkEnd w:id="55"/>
    </w:p>
    <w:p w14:paraId="1F473BAB" w14:textId="304B9AD5" w:rsidR="003E1630" w:rsidRPr="00024D5A" w:rsidRDefault="005743A8" w:rsidP="00791B1A">
      <w:pPr>
        <w:tabs>
          <w:tab w:val="left" w:pos="7245"/>
        </w:tabs>
        <w:ind w:firstLine="284"/>
        <w:jc w:val="both"/>
        <w:rPr>
          <w:rFonts w:ascii="Garamond" w:eastAsia="Times New Roman" w:hAnsi="Garamond"/>
          <w:lang w:eastAsia="en-US"/>
        </w:rPr>
      </w:pPr>
      <w:r w:rsidRPr="00024D5A">
        <w:rPr>
          <w:rFonts w:ascii="Garamond" w:eastAsia="Times New Roman" w:hAnsi="Garamond"/>
          <w:lang w:eastAsia="en-US"/>
        </w:rPr>
        <w:t>Zbatimi i PKVPAK 2026</w:t>
      </w:r>
      <w:r w:rsidR="007827F3" w:rsidRPr="00024D5A">
        <w:rPr>
          <w:rFonts w:ascii="Garamond" w:eastAsia="Times New Roman" w:hAnsi="Garamond"/>
          <w:lang w:eastAsia="en-US"/>
        </w:rPr>
        <w:t>–</w:t>
      </w:r>
      <w:r w:rsidRPr="00024D5A">
        <w:rPr>
          <w:rFonts w:ascii="Garamond" w:eastAsia="Times New Roman" w:hAnsi="Garamond"/>
          <w:lang w:eastAsia="en-US"/>
        </w:rPr>
        <w:t>2030 mbështetet në parimin e përgjegjësisë së përbashkët ndërinstitucionale, duke marrë në konsideratë natyrën ndërsektoriale të politikave për personat me aftësi të kufizuara. Çështjet e aftësisë së kufizuar nuk kufizohen vetëm në sistemin e mbrojtjes sociale, por lidhen drejtpërdrejt me arsimin, shëndetësinë, drejtësinë, infrastrukturën, kulturën, sportin, punësimin dhe shërbimet publike në tërësi. Për rrjedhojë, të gjitha institucionet publike mbajnë përgjegjësi për integrimin e standardeve të përfshirjes dhe mosdiskriminimit në politikat dhe shërbimet që ofrojnë për qytetarët.</w:t>
      </w:r>
    </w:p>
    <w:p w14:paraId="0AC8DDCD" w14:textId="425FE488" w:rsidR="003E1630" w:rsidRPr="00024D5A" w:rsidRDefault="005743A8" w:rsidP="00791B1A">
      <w:pPr>
        <w:tabs>
          <w:tab w:val="left" w:pos="7245"/>
        </w:tabs>
        <w:ind w:firstLine="284"/>
        <w:jc w:val="both"/>
        <w:rPr>
          <w:rFonts w:ascii="Garamond" w:eastAsia="Times New Roman" w:hAnsi="Garamond"/>
          <w:lang w:eastAsia="en-US"/>
        </w:rPr>
      </w:pPr>
      <w:r w:rsidRPr="00024D5A">
        <w:rPr>
          <w:rFonts w:ascii="Garamond" w:eastAsia="Times New Roman" w:hAnsi="Garamond"/>
          <w:lang w:eastAsia="en-US"/>
        </w:rPr>
        <w:t>MSHMS</w:t>
      </w:r>
      <w:r w:rsidR="000D73B8" w:rsidRPr="00024D5A">
        <w:rPr>
          <w:rFonts w:ascii="Garamond" w:eastAsia="Times New Roman" w:hAnsi="Garamond"/>
          <w:lang w:eastAsia="en-US"/>
        </w:rPr>
        <w:t>-ja</w:t>
      </w:r>
      <w:r w:rsidRPr="00024D5A">
        <w:rPr>
          <w:rFonts w:ascii="Garamond" w:eastAsia="Times New Roman" w:hAnsi="Garamond"/>
          <w:lang w:eastAsia="en-US"/>
        </w:rPr>
        <w:t>, si ministria përgjegjëse për çështjet e aftësisë së kufizuar do të luajë funksionin koordinues në nivel kombëtar dhe do të sigurojë drejtimin strategjik të Planit. Ajo do të harmonizojë ndërhyrjet sektoriale, do të ndjekë progresin e zbatimit dhe do të sigurojë konsolidimin e informacionit në nivel kombëtar. Në këtë kuadër, MSHMS</w:t>
      </w:r>
      <w:r w:rsidR="00980AA2" w:rsidRPr="00024D5A">
        <w:rPr>
          <w:rFonts w:ascii="Garamond" w:eastAsia="Times New Roman" w:hAnsi="Garamond"/>
          <w:lang w:eastAsia="en-US"/>
        </w:rPr>
        <w:t>-ja</w:t>
      </w:r>
      <w:r w:rsidRPr="00024D5A">
        <w:rPr>
          <w:rFonts w:ascii="Garamond" w:eastAsia="Times New Roman" w:hAnsi="Garamond"/>
          <w:lang w:eastAsia="en-US"/>
        </w:rPr>
        <w:t xml:space="preserve"> do të bashkërendojë veprimtarinë e ministrive të linjës, do të përgatisë udhëzime metodologjike për zbatimin dhe raportimin, si dhe raportet periodike për strukturat qeveritare</w:t>
      </w:r>
      <w:r w:rsidR="00F26F54" w:rsidRPr="00024D5A">
        <w:rPr>
          <w:rFonts w:ascii="Garamond" w:eastAsia="Times New Roman" w:hAnsi="Garamond"/>
          <w:lang w:eastAsia="en-US"/>
        </w:rPr>
        <w:t>,</w:t>
      </w:r>
      <w:r w:rsidRPr="00024D5A">
        <w:rPr>
          <w:rFonts w:ascii="Garamond" w:eastAsia="Times New Roman" w:hAnsi="Garamond"/>
          <w:lang w:eastAsia="en-US"/>
        </w:rPr>
        <w:t xml:space="preserve"> apo mekanizmat ndërkombëtarë të monitorimit të të drejtave të njeriut.</w:t>
      </w:r>
    </w:p>
    <w:p w14:paraId="56F1AA4F" w14:textId="3605C573" w:rsidR="003E1630" w:rsidRPr="00024D5A" w:rsidRDefault="005743A8" w:rsidP="00791B1A">
      <w:pPr>
        <w:tabs>
          <w:tab w:val="left" w:pos="7245"/>
        </w:tabs>
        <w:ind w:firstLine="284"/>
        <w:jc w:val="both"/>
        <w:rPr>
          <w:rFonts w:ascii="Garamond" w:eastAsia="Times New Roman" w:hAnsi="Garamond"/>
          <w:lang w:eastAsia="en-US"/>
        </w:rPr>
      </w:pPr>
      <w:r w:rsidRPr="00024D5A">
        <w:rPr>
          <w:rFonts w:ascii="Garamond" w:eastAsia="Times New Roman" w:hAnsi="Garamond"/>
          <w:lang w:eastAsia="en-US"/>
        </w:rPr>
        <w:t>Këshilli Kombëtar për Aftësinë e Kufizuar do të luajë rol këshillimor dhe mbikëqyrës në nivel strategjik, duke mundësuar koordinimin horizontal dhe vertikal të politikave dhe duke garantuar pjesëmarrjen e organizatave përfaqësuese të personave me aftësi të kufizuara në procese. Veprimtaria e tij do të vijojë të mbështetet nga Sekretariati Teknik dhe nga pikat fokale të ngritura në institucionet e linjës, të cilat do të ndjekin zbatimin e masave dhe komunikimin institucional. Çdo ministri dhe institucion qendror do të jetë përgjegjës për zbatimin e masave që lidhen me fushën e kompetencës së tij, përfshirë planifikimin e burimeve financiare, integrimin e kërkesave të aksesueshmëris</w:t>
      </w:r>
      <w:bookmarkStart w:id="56" w:name="_Hlk228357750"/>
      <w:r w:rsidRPr="00024D5A">
        <w:rPr>
          <w:rFonts w:ascii="Garamond" w:eastAsia="Times New Roman" w:hAnsi="Garamond"/>
          <w:lang w:eastAsia="en-US"/>
        </w:rPr>
        <w:t>ë</w:t>
      </w:r>
      <w:bookmarkEnd w:id="56"/>
      <w:r w:rsidRPr="00024D5A">
        <w:rPr>
          <w:rFonts w:ascii="Garamond" w:eastAsia="Times New Roman" w:hAnsi="Garamond"/>
          <w:lang w:eastAsia="en-US"/>
        </w:rPr>
        <w:t xml:space="preserve"> dhe raportimin periodik të rezultateve. Objektivat e planit duhet të reflektohen në dokumentet e planifikimit dhe në programet buxhetore të institucioneve përgjegjëse. Ministri i Shtetit të </w:t>
      </w:r>
      <w:r w:rsidR="004B3A4E" w:rsidRPr="00024D5A">
        <w:rPr>
          <w:rFonts w:ascii="Garamond" w:eastAsia="Times New Roman" w:hAnsi="Garamond"/>
          <w:lang w:eastAsia="en-US"/>
        </w:rPr>
        <w:t xml:space="preserve">Pushtetit Vendor dhe </w:t>
      </w:r>
      <w:r w:rsidR="00B93E3B" w:rsidRPr="00024D5A">
        <w:rPr>
          <w:rFonts w:ascii="Garamond" w:eastAsia="Times New Roman" w:hAnsi="Garamond"/>
          <w:lang w:eastAsia="en-US"/>
        </w:rPr>
        <w:t>Agjencia</w:t>
      </w:r>
      <w:r w:rsidR="004B3A4E" w:rsidRPr="00024D5A">
        <w:rPr>
          <w:rFonts w:ascii="Garamond" w:eastAsia="Times New Roman" w:hAnsi="Garamond"/>
          <w:lang w:eastAsia="en-US"/>
        </w:rPr>
        <w:t xml:space="preserve"> p</w:t>
      </w:r>
      <w:r w:rsidR="00906AD8" w:rsidRPr="00024D5A">
        <w:rPr>
          <w:rFonts w:ascii="Garamond" w:eastAsia="Times New Roman" w:hAnsi="Garamond"/>
          <w:lang w:eastAsia="en-US"/>
        </w:rPr>
        <w:t>ë</w:t>
      </w:r>
      <w:r w:rsidRPr="00024D5A">
        <w:rPr>
          <w:rFonts w:ascii="Garamond" w:eastAsia="Times New Roman" w:hAnsi="Garamond"/>
          <w:lang w:eastAsia="en-US"/>
        </w:rPr>
        <w:t>r Mbështetjen e Vet</w:t>
      </w:r>
      <w:r w:rsidR="00906AD8" w:rsidRPr="00024D5A">
        <w:rPr>
          <w:rFonts w:ascii="Garamond" w:eastAsia="Times New Roman" w:hAnsi="Garamond"/>
          <w:lang w:eastAsia="en-US"/>
        </w:rPr>
        <w:t>ë</w:t>
      </w:r>
      <w:r w:rsidRPr="00024D5A">
        <w:rPr>
          <w:rFonts w:ascii="Garamond" w:eastAsia="Times New Roman" w:hAnsi="Garamond"/>
          <w:lang w:eastAsia="en-US"/>
        </w:rPr>
        <w:t>qeverisjes Vendore duhet të</w:t>
      </w:r>
      <w:r w:rsidR="004B3A4E" w:rsidRPr="00024D5A">
        <w:rPr>
          <w:rFonts w:ascii="Garamond" w:eastAsia="Times New Roman" w:hAnsi="Garamond"/>
          <w:lang w:eastAsia="en-US"/>
        </w:rPr>
        <w:t xml:space="preserve"> orientojn</w:t>
      </w:r>
      <w:r w:rsidR="00906AD8" w:rsidRPr="00024D5A">
        <w:rPr>
          <w:rFonts w:ascii="Garamond" w:eastAsia="Times New Roman" w:hAnsi="Garamond"/>
          <w:lang w:eastAsia="en-US"/>
        </w:rPr>
        <w:t>ë</w:t>
      </w:r>
      <w:r w:rsidRPr="00024D5A">
        <w:rPr>
          <w:rFonts w:ascii="Garamond" w:eastAsia="Times New Roman" w:hAnsi="Garamond"/>
          <w:lang w:eastAsia="en-US"/>
        </w:rPr>
        <w:t xml:space="preserve"> dhe monitorojnë</w:t>
      </w:r>
      <w:r w:rsidR="004B3A4E" w:rsidRPr="00024D5A">
        <w:rPr>
          <w:rFonts w:ascii="Garamond" w:eastAsia="Times New Roman" w:hAnsi="Garamond"/>
          <w:lang w:eastAsia="en-US"/>
        </w:rPr>
        <w:t xml:space="preserve"> Njësitë e qeverisjes vendore q</w:t>
      </w:r>
      <w:r w:rsidR="00906AD8" w:rsidRPr="00024D5A">
        <w:rPr>
          <w:rFonts w:ascii="Garamond" w:eastAsia="Times New Roman" w:hAnsi="Garamond"/>
          <w:lang w:eastAsia="en-US"/>
        </w:rPr>
        <w:t>ë</w:t>
      </w:r>
      <w:r w:rsidRPr="00024D5A">
        <w:rPr>
          <w:rFonts w:ascii="Garamond" w:eastAsia="Times New Roman" w:hAnsi="Garamond"/>
          <w:lang w:eastAsia="en-US"/>
        </w:rPr>
        <w:t xml:space="preserve"> kanë rol thelbësor </w:t>
      </w:r>
      <w:r w:rsidR="004B3A4E" w:rsidRPr="00024D5A">
        <w:rPr>
          <w:rFonts w:ascii="Garamond" w:eastAsia="Times New Roman" w:hAnsi="Garamond"/>
          <w:lang w:eastAsia="en-US"/>
        </w:rPr>
        <w:t>në zbatimin praktik të planit n</w:t>
      </w:r>
      <w:r w:rsidR="00906AD8" w:rsidRPr="00024D5A">
        <w:rPr>
          <w:rFonts w:ascii="Garamond" w:eastAsia="Times New Roman" w:hAnsi="Garamond"/>
          <w:lang w:eastAsia="en-US"/>
        </w:rPr>
        <w:t>ë</w:t>
      </w:r>
      <w:r w:rsidRPr="00024D5A">
        <w:rPr>
          <w:rFonts w:ascii="Garamond" w:eastAsia="Times New Roman" w:hAnsi="Garamond"/>
          <w:lang w:eastAsia="en-US"/>
        </w:rPr>
        <w:t xml:space="preserve"> fushat e arsimit gjith</w:t>
      </w:r>
      <w:r w:rsidR="00906AD8" w:rsidRPr="00024D5A">
        <w:rPr>
          <w:rFonts w:ascii="Garamond" w:eastAsia="Times New Roman" w:hAnsi="Garamond"/>
          <w:lang w:eastAsia="en-US"/>
        </w:rPr>
        <w:t>ë</w:t>
      </w:r>
      <w:r w:rsidR="004B3A4E" w:rsidRPr="00024D5A">
        <w:rPr>
          <w:rFonts w:ascii="Garamond" w:eastAsia="Times New Roman" w:hAnsi="Garamond"/>
          <w:lang w:eastAsia="en-US"/>
        </w:rPr>
        <w:t>p</w:t>
      </w:r>
      <w:r w:rsidR="00906AD8" w:rsidRPr="00024D5A">
        <w:rPr>
          <w:rFonts w:ascii="Garamond" w:eastAsia="Times New Roman" w:hAnsi="Garamond"/>
          <w:lang w:eastAsia="en-US"/>
        </w:rPr>
        <w:t>ë</w:t>
      </w:r>
      <w:r w:rsidR="004B3A4E" w:rsidRPr="00024D5A">
        <w:rPr>
          <w:rFonts w:ascii="Garamond" w:eastAsia="Times New Roman" w:hAnsi="Garamond"/>
          <w:lang w:eastAsia="en-US"/>
        </w:rPr>
        <w:t>rfshir</w:t>
      </w:r>
      <w:r w:rsidR="00906AD8" w:rsidRPr="00024D5A">
        <w:rPr>
          <w:rFonts w:ascii="Garamond" w:eastAsia="Times New Roman" w:hAnsi="Garamond"/>
          <w:lang w:eastAsia="en-US"/>
        </w:rPr>
        <w:t>ë</w:t>
      </w:r>
      <w:r w:rsidRPr="00024D5A">
        <w:rPr>
          <w:rFonts w:ascii="Garamond" w:eastAsia="Times New Roman" w:hAnsi="Garamond"/>
          <w:lang w:eastAsia="en-US"/>
        </w:rPr>
        <w:t>s, mbrojtje sociale dhe jetesa e pavarur, bashkëpunimi dhe koordinimi institucional dhe sidomos në realizimin e aksesueshmërisë në institucione publike, ofrimin e shërbimeve komunitare dhe nxitjen e përfshirjes në jetën shoqërore dhe do të planifikojnë dhe realizojnë ndërhyrje për eliminimin e barrierave infrastrukturore dhe atyre në komunikim dhe do të bashkëpunojnë me organizatat e personave me aftësi të kufizuara në nivel lokal për identifikimin e nevojave të komunitetit.</w:t>
      </w:r>
    </w:p>
    <w:p w14:paraId="21714A32" w14:textId="77777777" w:rsidR="003E1630" w:rsidRPr="00024D5A" w:rsidRDefault="005743A8" w:rsidP="00791B1A">
      <w:pPr>
        <w:tabs>
          <w:tab w:val="left" w:pos="7245"/>
        </w:tabs>
        <w:ind w:firstLine="284"/>
        <w:jc w:val="both"/>
        <w:rPr>
          <w:rFonts w:ascii="Garamond" w:eastAsia="Times New Roman" w:hAnsi="Garamond"/>
          <w:lang w:eastAsia="en-US"/>
        </w:rPr>
      </w:pPr>
      <w:r w:rsidRPr="00024D5A">
        <w:rPr>
          <w:rFonts w:ascii="Garamond" w:eastAsia="Times New Roman" w:hAnsi="Garamond"/>
          <w:lang w:eastAsia="en-US"/>
        </w:rPr>
        <w:t>Organizatat e personave me aftësi të kufizuara do të përfshihen në mënyrë të vazhdueshme në proceset e konsultimit, zbatimit dhe vlerësimit të politikave, duke siguruar që ndërhyrjet përmes fondeve publike të reflektojnë nevojat reale të personave me aftësi të kufizuara.</w:t>
      </w:r>
    </w:p>
    <w:p w14:paraId="12381F8E" w14:textId="12B4FC81" w:rsidR="003E1630" w:rsidRPr="00024D5A" w:rsidRDefault="0058487E" w:rsidP="00791B1A">
      <w:pPr>
        <w:pStyle w:val="Heading2"/>
        <w:tabs>
          <w:tab w:val="left" w:pos="7245"/>
        </w:tabs>
        <w:spacing w:before="0"/>
        <w:ind w:firstLine="284"/>
        <w:rPr>
          <w:rFonts w:ascii="Garamond" w:hAnsi="Garamond"/>
          <w:color w:val="auto"/>
          <w:sz w:val="24"/>
          <w:szCs w:val="24"/>
          <w:lang w:eastAsia="en-US"/>
        </w:rPr>
      </w:pPr>
      <w:bookmarkStart w:id="57" w:name="_Toc231489655"/>
      <w:r w:rsidRPr="00024D5A">
        <w:rPr>
          <w:rFonts w:ascii="Garamond" w:hAnsi="Garamond"/>
          <w:color w:val="auto"/>
          <w:sz w:val="24"/>
          <w:szCs w:val="24"/>
          <w:lang w:eastAsia="en-US"/>
        </w:rPr>
        <w:t>4</w:t>
      </w:r>
      <w:r w:rsidR="005743A8" w:rsidRPr="00024D5A">
        <w:rPr>
          <w:rFonts w:ascii="Garamond" w:hAnsi="Garamond"/>
          <w:color w:val="auto"/>
          <w:sz w:val="24"/>
          <w:szCs w:val="24"/>
          <w:lang w:eastAsia="en-US"/>
        </w:rPr>
        <w:t xml:space="preserve">.2 Raportimi dhe </w:t>
      </w:r>
      <w:r w:rsidR="00FC5CEA" w:rsidRPr="00024D5A">
        <w:rPr>
          <w:rFonts w:ascii="Garamond" w:hAnsi="Garamond"/>
          <w:color w:val="auto"/>
          <w:sz w:val="24"/>
          <w:szCs w:val="24"/>
          <w:lang w:eastAsia="en-US"/>
        </w:rPr>
        <w:t>monitorimi</w:t>
      </w:r>
      <w:bookmarkEnd w:id="57"/>
    </w:p>
    <w:p w14:paraId="0E1F57B1" w14:textId="13F0B654" w:rsidR="003E1630" w:rsidRPr="00024D5A" w:rsidRDefault="005743A8" w:rsidP="00791B1A">
      <w:pPr>
        <w:tabs>
          <w:tab w:val="left" w:pos="7245"/>
        </w:tabs>
        <w:ind w:firstLine="284"/>
        <w:jc w:val="both"/>
        <w:rPr>
          <w:rFonts w:ascii="Garamond" w:eastAsia="Times New Roman" w:hAnsi="Garamond"/>
          <w:lang w:eastAsia="en-US"/>
        </w:rPr>
      </w:pPr>
      <w:r w:rsidRPr="00024D5A">
        <w:rPr>
          <w:rFonts w:ascii="Garamond" w:eastAsia="Times New Roman" w:hAnsi="Garamond"/>
          <w:lang w:eastAsia="en-US"/>
        </w:rPr>
        <w:t>Monitorimi i PKVPAK 2026</w:t>
      </w:r>
      <w:r w:rsidR="00657405" w:rsidRPr="00024D5A">
        <w:rPr>
          <w:rFonts w:ascii="Garamond" w:eastAsia="Times New Roman" w:hAnsi="Garamond"/>
          <w:lang w:eastAsia="en-US"/>
        </w:rPr>
        <w:t>–</w:t>
      </w:r>
      <w:r w:rsidRPr="00024D5A">
        <w:rPr>
          <w:rFonts w:ascii="Garamond" w:eastAsia="Times New Roman" w:hAnsi="Garamond"/>
          <w:lang w:eastAsia="en-US"/>
        </w:rPr>
        <w:t>2030 do të mbështetet në një sistem të strukturuar dhe të detyrueshëm raportimi, i cili synon të kalojë nga raportimi formal i aktiviteteve drejt vlerësimit të rezultateve dhe ndikimit të politikave. Përvoja e periudhës së mëparshme ka treguar se, pavarësisht ekzistencës së kuadrit ligjor, mungesa e mekanizmave të koordinuar të kontrollit, statistikave të integruara dhe raportimit të rregullt, ka kufizuar zbatimin efektiv të politikave. Institucionet përgjegjëse do të raportojnë në mënyrë periodike mbi realizimin e masave, treguesve dhe përdorimin e burimeve financiare. Pikat fokale të ngritura në ministri dhe institucione do të mbledhin dhe verifikojnë të dhënat përkatëse dhe do t’i përcjellin ato tek institucioni koordinues. Ministria përgjegjëse do të përpunojë informacionin e ardhur nga sektorët dhe do të hartojë raportin kombëtar të progresit, i cili do të analizojë ecurinë e indikatorëve, vështirësitë e hasura dhe nevojën për masa korrigjuese.</w:t>
      </w:r>
    </w:p>
    <w:p w14:paraId="6373D141" w14:textId="77777777" w:rsidR="003E1630" w:rsidRPr="00024D5A" w:rsidRDefault="005743A8" w:rsidP="00791B1A">
      <w:pPr>
        <w:tabs>
          <w:tab w:val="left" w:pos="7245"/>
        </w:tabs>
        <w:ind w:firstLine="284"/>
        <w:jc w:val="both"/>
        <w:rPr>
          <w:rFonts w:ascii="Garamond" w:eastAsia="Times New Roman" w:hAnsi="Garamond"/>
          <w:lang w:eastAsia="en-US"/>
        </w:rPr>
      </w:pPr>
      <w:r w:rsidRPr="00024D5A">
        <w:rPr>
          <w:rFonts w:ascii="Garamond" w:eastAsia="Times New Roman" w:hAnsi="Garamond"/>
          <w:lang w:eastAsia="en-US"/>
        </w:rPr>
        <w:t>Këshilli Kombëtar për Aftësinë e Kufizuar do të shqyrtojë periodikisht progresin e planit dhe do të rekomandojë ndërhyrje për përmirësimin e zbatimit, duke siguruar një mekanizëm mbikëqyrjeje institucionale dhe pjesëmarrje të organizatave përfaqësuese të fushës së aftësisë së kufizuar.</w:t>
      </w:r>
    </w:p>
    <w:p w14:paraId="6D2F8E0A" w14:textId="3A3F7BB9" w:rsidR="003E1630" w:rsidRPr="00024D5A" w:rsidRDefault="005743A8" w:rsidP="00791B1A">
      <w:pPr>
        <w:tabs>
          <w:tab w:val="left" w:pos="7245"/>
        </w:tabs>
        <w:ind w:firstLine="284"/>
        <w:jc w:val="both"/>
        <w:rPr>
          <w:rFonts w:ascii="Garamond" w:eastAsia="Times New Roman" w:hAnsi="Garamond"/>
          <w:lang w:eastAsia="en-US"/>
        </w:rPr>
      </w:pPr>
      <w:r w:rsidRPr="00024D5A">
        <w:rPr>
          <w:rFonts w:ascii="Garamond" w:eastAsia="Times New Roman" w:hAnsi="Garamond"/>
          <w:lang w:eastAsia="en-US"/>
        </w:rPr>
        <w:t>Për të garantuar transpar</w:t>
      </w:r>
      <w:r w:rsidR="00F014B3" w:rsidRPr="00024D5A">
        <w:rPr>
          <w:rFonts w:ascii="Garamond" w:eastAsia="Times New Roman" w:hAnsi="Garamond"/>
          <w:lang w:eastAsia="en-US"/>
        </w:rPr>
        <w:t>e</w:t>
      </w:r>
      <w:r w:rsidRPr="00024D5A">
        <w:rPr>
          <w:rFonts w:ascii="Garamond" w:eastAsia="Times New Roman" w:hAnsi="Garamond"/>
          <w:lang w:eastAsia="en-US"/>
        </w:rPr>
        <w:t>ncë dhe llogaridhënie, raportet e progresit do të publikohen dhe do të konsultohen me organizatat e personave me aftësi të kufizuara dhe aktorët e tjerë të interesit.</w:t>
      </w:r>
    </w:p>
    <w:p w14:paraId="54691742" w14:textId="77777777" w:rsidR="003E1630" w:rsidRPr="00024D5A" w:rsidRDefault="005743A8" w:rsidP="00791B1A">
      <w:pPr>
        <w:tabs>
          <w:tab w:val="left" w:pos="7245"/>
        </w:tabs>
        <w:ind w:firstLine="284"/>
        <w:jc w:val="both"/>
        <w:rPr>
          <w:rFonts w:ascii="Garamond" w:eastAsia="Times New Roman" w:hAnsi="Garamond"/>
          <w:lang w:eastAsia="en-US"/>
        </w:rPr>
      </w:pPr>
      <w:r w:rsidRPr="00024D5A">
        <w:rPr>
          <w:rFonts w:ascii="Garamond" w:eastAsia="Times New Roman" w:hAnsi="Garamond"/>
          <w:lang w:eastAsia="en-US"/>
        </w:rPr>
        <w:t>Në kuadër të zbatimit të Planit, do të zhvillohet një sistem i integruar statistikor për aftësinë e kufizuar, i cili do të mundësojë mbledhjen dhe analizën e të dhënave në mënyrë të vazhdueshme dhe do të mbështesë hartimin e politikave, të bazuara në evidencë. Raportimi do të realizohet çdo vit, ndërsa një vlerësim i ndërmjetëm dhe një vlerësim përfundimtar do të kryhen gjatë dhe në përfundim të periudhës së zbatimit.</w:t>
      </w:r>
    </w:p>
    <w:p w14:paraId="595F4B8F" w14:textId="77777777" w:rsidR="003E1630" w:rsidRPr="00024D5A" w:rsidRDefault="005743A8" w:rsidP="00791B1A">
      <w:pPr>
        <w:tabs>
          <w:tab w:val="left" w:pos="7245"/>
        </w:tabs>
        <w:ind w:firstLine="284"/>
        <w:jc w:val="both"/>
        <w:rPr>
          <w:rFonts w:ascii="Garamond" w:eastAsia="Times New Roman" w:hAnsi="Garamond"/>
          <w:lang w:eastAsia="en-US"/>
        </w:rPr>
      </w:pPr>
      <w:r w:rsidRPr="00024D5A">
        <w:rPr>
          <w:rFonts w:ascii="Garamond" w:eastAsia="Times New Roman" w:hAnsi="Garamond"/>
          <w:lang w:eastAsia="en-US"/>
        </w:rPr>
        <w:t>Në tërësi, sistemi i ri i raportimit dhe monitorimit synon të forcojë llogaridhënien institucionale, të rrisë transparencën dhe të garantojë që politikat për personat me aftësi të kufizuara të përkthehen në përmirësime konkrete dhe të matshme në jetën e tyre të përditshme.</w:t>
      </w:r>
    </w:p>
    <w:p w14:paraId="5D0E95AD" w14:textId="3FBC9EEE" w:rsidR="003E1630" w:rsidRPr="00024D5A" w:rsidRDefault="0058487E" w:rsidP="00791B1A">
      <w:pPr>
        <w:pStyle w:val="Heading1"/>
        <w:spacing w:before="0" w:line="240" w:lineRule="auto"/>
        <w:rPr>
          <w:rStyle w:val="IntenseReference"/>
          <w:rFonts w:ascii="Garamond" w:hAnsi="Garamond"/>
          <w:color w:val="auto"/>
          <w:lang w:val="sq-AL" w:eastAsia="en-US"/>
        </w:rPr>
      </w:pPr>
      <w:bookmarkStart w:id="58" w:name="_Toc231489656"/>
      <w:r w:rsidRPr="00024D5A">
        <w:rPr>
          <w:rStyle w:val="IntenseReference"/>
          <w:rFonts w:ascii="Garamond" w:hAnsi="Garamond"/>
          <w:color w:val="auto"/>
          <w:lang w:val="sq-AL" w:eastAsia="en-US"/>
        </w:rPr>
        <w:t>5</w:t>
      </w:r>
      <w:r w:rsidR="005743A8" w:rsidRPr="00024D5A">
        <w:rPr>
          <w:rStyle w:val="IntenseReference"/>
          <w:rFonts w:ascii="Garamond" w:hAnsi="Garamond"/>
          <w:color w:val="auto"/>
          <w:lang w:val="sq-AL" w:eastAsia="en-US"/>
        </w:rPr>
        <w:t>. INDIKATORËT</w:t>
      </w:r>
      <w:bookmarkEnd w:id="58"/>
    </w:p>
    <w:p w14:paraId="3B933FE6" w14:textId="3FFE9CC9" w:rsidR="003E1630" w:rsidRPr="00024D5A" w:rsidRDefault="0058487E" w:rsidP="00791B1A">
      <w:pPr>
        <w:pStyle w:val="Heading2"/>
        <w:spacing w:before="0"/>
        <w:rPr>
          <w:rFonts w:ascii="Garamond" w:hAnsi="Garamond"/>
          <w:color w:val="auto"/>
          <w:lang w:eastAsia="en-US"/>
        </w:rPr>
      </w:pPr>
      <w:bookmarkStart w:id="59" w:name="_Toc231489657"/>
      <w:r w:rsidRPr="00024D5A">
        <w:rPr>
          <w:rFonts w:ascii="Garamond" w:hAnsi="Garamond"/>
          <w:color w:val="auto"/>
          <w:lang w:eastAsia="en-US"/>
        </w:rPr>
        <w:t>5</w:t>
      </w:r>
      <w:r w:rsidR="005743A8" w:rsidRPr="00024D5A">
        <w:rPr>
          <w:rFonts w:ascii="Garamond" w:hAnsi="Garamond"/>
          <w:color w:val="auto"/>
          <w:lang w:eastAsia="en-US"/>
        </w:rPr>
        <w:t>.1 Aksesueshmëria</w:t>
      </w:r>
      <w:bookmarkEnd w:id="59"/>
    </w:p>
    <w:p w14:paraId="1B0739CB" w14:textId="63A4C6D9" w:rsidR="003E1630" w:rsidRPr="00024D5A" w:rsidRDefault="003E1630" w:rsidP="00791B1A">
      <w:pPr>
        <w:rPr>
          <w:rFonts w:ascii="Garamond" w:eastAsia="Times New Roman" w:hAnsi="Garamond"/>
          <w:lang w:eastAsia="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1369"/>
        <w:gridCol w:w="1590"/>
        <w:gridCol w:w="527"/>
        <w:gridCol w:w="969"/>
        <w:gridCol w:w="969"/>
        <w:gridCol w:w="1246"/>
        <w:gridCol w:w="1911"/>
      </w:tblGrid>
      <w:tr w:rsidR="003E1630" w:rsidRPr="00024D5A" w14:paraId="0A282707" w14:textId="77777777" w:rsidTr="00F03D39">
        <w:trPr>
          <w:trHeight w:val="20"/>
          <w:jc w:val="center"/>
        </w:trPr>
        <w:tc>
          <w:tcPr>
            <w:tcW w:w="411" w:type="pct"/>
            <w:shd w:val="clear" w:color="auto" w:fill="C0E5F3"/>
            <w:vAlign w:val="center"/>
          </w:tcPr>
          <w:p w14:paraId="7F40CF0C" w14:textId="6EA2BE16" w:rsidR="003E1630" w:rsidRPr="00024D5A" w:rsidRDefault="003E1630" w:rsidP="00657405">
            <w:pPr>
              <w:jc w:val="center"/>
              <w:rPr>
                <w:rFonts w:ascii="Garamond" w:eastAsia="Times New Roman" w:hAnsi="Garamond"/>
                <w:sz w:val="14"/>
                <w:szCs w:val="16"/>
                <w:lang w:eastAsia="en-US"/>
              </w:rPr>
            </w:pPr>
          </w:p>
        </w:tc>
        <w:tc>
          <w:tcPr>
            <w:tcW w:w="732" w:type="pct"/>
            <w:shd w:val="clear" w:color="auto" w:fill="C0E5F3"/>
            <w:vAlign w:val="center"/>
          </w:tcPr>
          <w:p w14:paraId="7454094D" w14:textId="77777777" w:rsidR="003E1630" w:rsidRPr="00024D5A" w:rsidRDefault="005743A8" w:rsidP="00657405">
            <w:pPr>
              <w:jc w:val="center"/>
              <w:rPr>
                <w:rFonts w:ascii="Garamond" w:eastAsia="Times New Roman" w:hAnsi="Garamond"/>
                <w:b/>
                <w:bCs/>
                <w:sz w:val="14"/>
                <w:szCs w:val="16"/>
                <w:lang w:eastAsia="en-US"/>
              </w:rPr>
            </w:pPr>
            <w:r w:rsidRPr="00024D5A">
              <w:rPr>
                <w:rFonts w:ascii="Garamond" w:eastAsia="Times New Roman" w:hAnsi="Garamond"/>
                <w:b/>
                <w:bCs/>
                <w:sz w:val="14"/>
                <w:szCs w:val="16"/>
                <w:lang w:eastAsia="en-US"/>
              </w:rPr>
              <w:t>Objektivat</w:t>
            </w:r>
          </w:p>
        </w:tc>
        <w:tc>
          <w:tcPr>
            <w:tcW w:w="850" w:type="pct"/>
            <w:shd w:val="clear" w:color="auto" w:fill="C0E5F3"/>
            <w:vAlign w:val="center"/>
          </w:tcPr>
          <w:p w14:paraId="56F5B83F" w14:textId="77777777" w:rsidR="003E1630" w:rsidRPr="00024D5A" w:rsidRDefault="005743A8" w:rsidP="00657405">
            <w:pPr>
              <w:jc w:val="center"/>
              <w:rPr>
                <w:rFonts w:ascii="Garamond" w:eastAsia="Times New Roman" w:hAnsi="Garamond"/>
                <w:b/>
                <w:bCs/>
                <w:sz w:val="14"/>
                <w:szCs w:val="16"/>
                <w:lang w:eastAsia="en-US"/>
              </w:rPr>
            </w:pPr>
            <w:r w:rsidRPr="00024D5A">
              <w:rPr>
                <w:rFonts w:ascii="Garamond" w:eastAsia="Times New Roman" w:hAnsi="Garamond"/>
                <w:b/>
                <w:bCs/>
                <w:sz w:val="14"/>
                <w:szCs w:val="16"/>
                <w:lang w:eastAsia="en-US"/>
              </w:rPr>
              <w:t>Treguesi</w:t>
            </w:r>
          </w:p>
        </w:tc>
        <w:tc>
          <w:tcPr>
            <w:tcW w:w="282" w:type="pct"/>
            <w:shd w:val="clear" w:color="auto" w:fill="C0E5F3"/>
            <w:vAlign w:val="center"/>
          </w:tcPr>
          <w:p w14:paraId="2BAA2AAB" w14:textId="77777777" w:rsidR="003E1630" w:rsidRPr="00024D5A" w:rsidRDefault="005743A8" w:rsidP="00657405">
            <w:pPr>
              <w:jc w:val="center"/>
              <w:rPr>
                <w:rFonts w:ascii="Garamond" w:eastAsia="Times New Roman" w:hAnsi="Garamond"/>
                <w:b/>
                <w:bCs/>
                <w:sz w:val="14"/>
                <w:szCs w:val="16"/>
                <w:lang w:eastAsia="en-US"/>
              </w:rPr>
            </w:pPr>
            <w:r w:rsidRPr="00024D5A">
              <w:rPr>
                <w:rFonts w:ascii="Garamond" w:eastAsia="Times New Roman" w:hAnsi="Garamond"/>
                <w:b/>
                <w:bCs/>
                <w:sz w:val="14"/>
                <w:szCs w:val="16"/>
                <w:lang w:eastAsia="en-US"/>
              </w:rPr>
              <w:t>Vlera bazë</w:t>
            </w:r>
          </w:p>
        </w:tc>
        <w:tc>
          <w:tcPr>
            <w:tcW w:w="518" w:type="pct"/>
            <w:shd w:val="clear" w:color="auto" w:fill="C0E5F3"/>
            <w:vAlign w:val="center"/>
          </w:tcPr>
          <w:p w14:paraId="3A33BD89" w14:textId="77777777" w:rsidR="003E1630" w:rsidRPr="00024D5A" w:rsidRDefault="005743A8" w:rsidP="00657405">
            <w:pPr>
              <w:jc w:val="center"/>
              <w:rPr>
                <w:rFonts w:ascii="Garamond" w:eastAsia="Times New Roman" w:hAnsi="Garamond"/>
                <w:b/>
                <w:bCs/>
                <w:sz w:val="14"/>
                <w:szCs w:val="16"/>
                <w:lang w:eastAsia="en-US"/>
              </w:rPr>
            </w:pPr>
            <w:r w:rsidRPr="00024D5A">
              <w:rPr>
                <w:rFonts w:ascii="Garamond" w:eastAsia="Times New Roman" w:hAnsi="Garamond"/>
                <w:b/>
                <w:bCs/>
                <w:sz w:val="14"/>
                <w:szCs w:val="16"/>
                <w:lang w:eastAsia="en-US"/>
              </w:rPr>
              <w:t>Synimi 2027</w:t>
            </w:r>
          </w:p>
        </w:tc>
        <w:tc>
          <w:tcPr>
            <w:tcW w:w="518" w:type="pct"/>
            <w:shd w:val="clear" w:color="auto" w:fill="C0E5F3"/>
            <w:vAlign w:val="center"/>
          </w:tcPr>
          <w:p w14:paraId="6DFAFB52" w14:textId="77777777" w:rsidR="003E1630" w:rsidRPr="00024D5A" w:rsidRDefault="005743A8" w:rsidP="00657405">
            <w:pPr>
              <w:jc w:val="center"/>
              <w:rPr>
                <w:rFonts w:ascii="Garamond" w:eastAsia="Times New Roman" w:hAnsi="Garamond"/>
                <w:b/>
                <w:bCs/>
                <w:sz w:val="14"/>
                <w:szCs w:val="16"/>
                <w:lang w:eastAsia="en-US"/>
              </w:rPr>
            </w:pPr>
            <w:r w:rsidRPr="00024D5A">
              <w:rPr>
                <w:rFonts w:ascii="Garamond" w:eastAsia="Times New Roman" w:hAnsi="Garamond"/>
                <w:b/>
                <w:bCs/>
                <w:sz w:val="14"/>
                <w:szCs w:val="16"/>
                <w:lang w:eastAsia="en-US"/>
              </w:rPr>
              <w:t>Synimi 2030</w:t>
            </w:r>
          </w:p>
        </w:tc>
        <w:tc>
          <w:tcPr>
            <w:tcW w:w="666" w:type="pct"/>
            <w:shd w:val="clear" w:color="auto" w:fill="C0E5F3"/>
            <w:vAlign w:val="center"/>
          </w:tcPr>
          <w:p w14:paraId="50886EBA" w14:textId="77777777" w:rsidR="003E1630" w:rsidRPr="00024D5A" w:rsidRDefault="005743A8" w:rsidP="00657405">
            <w:pPr>
              <w:jc w:val="center"/>
              <w:rPr>
                <w:rFonts w:ascii="Garamond" w:eastAsia="Times New Roman" w:hAnsi="Garamond"/>
                <w:b/>
                <w:bCs/>
                <w:sz w:val="14"/>
                <w:szCs w:val="16"/>
                <w:lang w:eastAsia="en-US"/>
              </w:rPr>
            </w:pPr>
            <w:r w:rsidRPr="00024D5A">
              <w:rPr>
                <w:rFonts w:ascii="Garamond" w:eastAsia="Times New Roman" w:hAnsi="Garamond"/>
                <w:b/>
                <w:bCs/>
                <w:sz w:val="14"/>
                <w:szCs w:val="16"/>
                <w:lang w:eastAsia="en-US"/>
              </w:rPr>
              <w:t>Burimet dhe mjetet e verifikimit</w:t>
            </w:r>
          </w:p>
        </w:tc>
        <w:tc>
          <w:tcPr>
            <w:tcW w:w="1022" w:type="pct"/>
            <w:shd w:val="clear" w:color="auto" w:fill="C0E5F3"/>
            <w:vAlign w:val="center"/>
          </w:tcPr>
          <w:p w14:paraId="1D0CABD1" w14:textId="77777777" w:rsidR="003E1630" w:rsidRPr="00024D5A" w:rsidRDefault="005743A8" w:rsidP="00657405">
            <w:pPr>
              <w:jc w:val="center"/>
              <w:rPr>
                <w:rFonts w:ascii="Garamond" w:eastAsia="Times New Roman" w:hAnsi="Garamond"/>
                <w:b/>
                <w:bCs/>
                <w:sz w:val="14"/>
                <w:szCs w:val="16"/>
                <w:lang w:eastAsia="en-US"/>
              </w:rPr>
            </w:pPr>
            <w:r w:rsidRPr="00024D5A">
              <w:rPr>
                <w:rFonts w:ascii="Garamond" w:eastAsia="Times New Roman" w:hAnsi="Garamond"/>
                <w:b/>
                <w:bCs/>
                <w:sz w:val="14"/>
                <w:szCs w:val="16"/>
                <w:lang w:eastAsia="en-US"/>
              </w:rPr>
              <w:t>Referenca në dok. të tjera</w:t>
            </w:r>
          </w:p>
        </w:tc>
      </w:tr>
      <w:tr w:rsidR="00AB01FD" w:rsidRPr="00024D5A" w14:paraId="2D0F379C" w14:textId="77777777" w:rsidTr="00F03D39">
        <w:trPr>
          <w:trHeight w:val="20"/>
          <w:jc w:val="center"/>
        </w:trPr>
        <w:tc>
          <w:tcPr>
            <w:tcW w:w="411" w:type="pct"/>
            <w:tcBorders>
              <w:bottom w:val="single" w:sz="4" w:space="0" w:color="auto"/>
            </w:tcBorders>
            <w:shd w:val="clear" w:color="auto" w:fill="D8F1D0"/>
            <w:vAlign w:val="center"/>
          </w:tcPr>
          <w:p w14:paraId="5CBF3900" w14:textId="7B726FDA" w:rsidR="00AB01FD" w:rsidRPr="00024D5A" w:rsidRDefault="00AB01FD" w:rsidP="00791B1A">
            <w:pPr>
              <w:jc w:val="center"/>
              <w:rPr>
                <w:rFonts w:ascii="Garamond" w:eastAsia="Times New Roman" w:hAnsi="Garamond"/>
                <w:sz w:val="14"/>
                <w:szCs w:val="16"/>
                <w:lang w:eastAsia="en-US"/>
              </w:rPr>
            </w:pPr>
            <w:r w:rsidRPr="00024D5A">
              <w:rPr>
                <w:rFonts w:ascii="Garamond" w:eastAsia="Times New Roman" w:hAnsi="Garamond"/>
                <w:b/>
                <w:bCs/>
                <w:sz w:val="14"/>
                <w:szCs w:val="16"/>
                <w:lang w:eastAsia="en-US"/>
              </w:rPr>
              <w:t>Qëllimi i politikës</w:t>
            </w:r>
          </w:p>
          <w:p w14:paraId="416DF090" w14:textId="7039E7EB" w:rsidR="00AB01FD" w:rsidRPr="00024D5A" w:rsidRDefault="00AB01FD" w:rsidP="00791B1A">
            <w:pPr>
              <w:jc w:val="center"/>
              <w:rPr>
                <w:rFonts w:ascii="Garamond" w:eastAsia="Times New Roman" w:hAnsi="Garamond"/>
                <w:b/>
                <w:bCs/>
                <w:sz w:val="14"/>
                <w:szCs w:val="16"/>
                <w:lang w:eastAsia="en-US"/>
              </w:rPr>
            </w:pPr>
          </w:p>
        </w:tc>
        <w:tc>
          <w:tcPr>
            <w:tcW w:w="732" w:type="pct"/>
            <w:shd w:val="clear" w:color="auto" w:fill="D8F1D0"/>
          </w:tcPr>
          <w:p w14:paraId="00BA309F" w14:textId="2FA82C82" w:rsidR="00AB01FD" w:rsidRPr="00024D5A" w:rsidRDefault="00AB01FD"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T</w:t>
            </w:r>
            <w:r w:rsidR="008C23DB" w:rsidRPr="00024D5A">
              <w:rPr>
                <w:rFonts w:ascii="Garamond" w:eastAsia="Times New Roman" w:hAnsi="Garamond"/>
                <w:sz w:val="14"/>
                <w:szCs w:val="16"/>
                <w:lang w:eastAsia="en-US"/>
              </w:rPr>
              <w:t>ë</w:t>
            </w:r>
            <w:r w:rsidRPr="00024D5A">
              <w:rPr>
                <w:rFonts w:ascii="Garamond" w:eastAsia="Times New Roman" w:hAnsi="Garamond"/>
                <w:sz w:val="14"/>
                <w:szCs w:val="16"/>
                <w:lang w:eastAsia="en-US"/>
              </w:rPr>
              <w:t xml:space="preserve"> realizohet aksesueshmëria në mjedise, shërbime, produkte, transport informacion dhe turizëm për personat me aftësi të kufizuara. </w:t>
            </w:r>
          </w:p>
          <w:p w14:paraId="31B2A6EB" w14:textId="01E7E808" w:rsidR="00AB01FD" w:rsidRPr="00024D5A" w:rsidRDefault="00AB01FD"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850" w:type="pct"/>
            <w:shd w:val="clear" w:color="auto" w:fill="D8F1D0"/>
          </w:tcPr>
          <w:p w14:paraId="7D959DB6" w14:textId="6016F56C" w:rsidR="00AB01FD" w:rsidRPr="00024D5A" w:rsidRDefault="00AB01FD"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Mjedisi ndërtimor i aksesueshëm garanton pjesëmarrjen e personave me aftësi t</w:t>
            </w:r>
            <w:r w:rsidR="0059189E" w:rsidRPr="00024D5A">
              <w:rPr>
                <w:rFonts w:ascii="Garamond" w:eastAsia="Times New Roman" w:hAnsi="Garamond"/>
                <w:sz w:val="14"/>
                <w:szCs w:val="16"/>
                <w:lang w:eastAsia="en-US"/>
              </w:rPr>
              <w:t>ë</w:t>
            </w:r>
            <w:r w:rsidRPr="00024D5A">
              <w:rPr>
                <w:rFonts w:ascii="Garamond" w:eastAsia="Times New Roman" w:hAnsi="Garamond"/>
                <w:sz w:val="14"/>
                <w:szCs w:val="16"/>
                <w:lang w:eastAsia="en-US"/>
              </w:rPr>
              <w:t xml:space="preserve"> kufizuara në të gjitha fushat e jetës shoqërore. </w:t>
            </w:r>
          </w:p>
          <w:p w14:paraId="2DBA60B6" w14:textId="6FD04161" w:rsidR="00AB01FD" w:rsidRPr="00024D5A" w:rsidRDefault="00AB01FD"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282" w:type="pct"/>
            <w:tcBorders>
              <w:bottom w:val="single" w:sz="4" w:space="0" w:color="auto"/>
            </w:tcBorders>
            <w:shd w:val="clear" w:color="auto" w:fill="D8F1D0"/>
          </w:tcPr>
          <w:p w14:paraId="621CE9B3" w14:textId="77777777" w:rsidR="00AB01FD" w:rsidRPr="00024D5A" w:rsidRDefault="00AB01FD"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N/A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 xml:space="preserve">N/A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 xml:space="preserve"> </w:t>
            </w:r>
          </w:p>
        </w:tc>
        <w:tc>
          <w:tcPr>
            <w:tcW w:w="518" w:type="pct"/>
            <w:tcBorders>
              <w:bottom w:val="single" w:sz="4" w:space="0" w:color="auto"/>
            </w:tcBorders>
            <w:shd w:val="clear" w:color="auto" w:fill="D8F1D0"/>
          </w:tcPr>
          <w:p w14:paraId="0A3E7217" w14:textId="4E97E6DA" w:rsidR="00AB01FD" w:rsidRPr="00024D5A" w:rsidRDefault="00AB01FD"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10% nga vlera bazë</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5% nga vlera bazë</w:t>
            </w:r>
          </w:p>
        </w:tc>
        <w:tc>
          <w:tcPr>
            <w:tcW w:w="518" w:type="pct"/>
            <w:tcBorders>
              <w:bottom w:val="single" w:sz="4" w:space="0" w:color="auto"/>
            </w:tcBorders>
            <w:shd w:val="clear" w:color="auto" w:fill="D8F1D0"/>
          </w:tcPr>
          <w:p w14:paraId="18AB8BB6" w14:textId="6A4BB0AF" w:rsidR="00AB01FD" w:rsidRPr="00024D5A" w:rsidRDefault="00AB01FD"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30</w:t>
            </w:r>
            <w:r w:rsidR="00F03D3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nga vlera bazë</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25</w:t>
            </w:r>
            <w:r w:rsidR="00F03D3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nga vlera bazë</w:t>
            </w:r>
          </w:p>
        </w:tc>
        <w:tc>
          <w:tcPr>
            <w:tcW w:w="666" w:type="pct"/>
            <w:tcBorders>
              <w:bottom w:val="single" w:sz="4" w:space="0" w:color="auto"/>
            </w:tcBorders>
            <w:shd w:val="clear" w:color="auto" w:fill="D8F1D0"/>
          </w:tcPr>
          <w:p w14:paraId="081B972B" w14:textId="1EBF402C" w:rsidR="00AB01FD" w:rsidRPr="00024D5A" w:rsidRDefault="00AB01FD"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MTKS;</w:t>
            </w:r>
            <w:r w:rsidRPr="00024D5A">
              <w:rPr>
                <w:rFonts w:ascii="Garamond" w:eastAsia="Times New Roman" w:hAnsi="Garamond"/>
                <w:sz w:val="14"/>
                <w:szCs w:val="16"/>
                <w:lang w:eastAsia="en-US"/>
              </w:rPr>
              <w:br/>
              <w:t>MIE;</w:t>
            </w:r>
            <w:r w:rsidRPr="00024D5A">
              <w:rPr>
                <w:rFonts w:ascii="Garamond" w:eastAsia="Times New Roman" w:hAnsi="Garamond"/>
                <w:sz w:val="14"/>
                <w:szCs w:val="16"/>
                <w:lang w:eastAsia="en-US"/>
              </w:rPr>
              <w:br/>
              <w:t>MEI;</w:t>
            </w:r>
            <w:r w:rsidRPr="00024D5A">
              <w:rPr>
                <w:rFonts w:ascii="Garamond" w:eastAsia="Times New Roman" w:hAnsi="Garamond"/>
                <w:sz w:val="14"/>
                <w:szCs w:val="16"/>
                <w:lang w:eastAsia="en-US"/>
              </w:rPr>
              <w:br/>
              <w:t xml:space="preserve">MSHMS; </w:t>
            </w:r>
            <w:r w:rsidRPr="00024D5A">
              <w:rPr>
                <w:rFonts w:ascii="Garamond" w:eastAsia="Times New Roman" w:hAnsi="Garamond"/>
                <w:sz w:val="14"/>
                <w:szCs w:val="16"/>
                <w:lang w:eastAsia="en-US"/>
              </w:rPr>
              <w:br/>
              <w:t>UP;</w:t>
            </w:r>
            <w:r w:rsidRPr="00024D5A">
              <w:rPr>
                <w:rFonts w:ascii="Garamond" w:eastAsia="Times New Roman" w:hAnsi="Garamond"/>
                <w:sz w:val="14"/>
                <w:szCs w:val="16"/>
                <w:lang w:eastAsia="en-US"/>
              </w:rPr>
              <w:br/>
            </w:r>
            <w:r w:rsidR="003245E7" w:rsidRPr="00024D5A">
              <w:rPr>
                <w:rFonts w:ascii="Garamond" w:eastAsia="Times New Roman" w:hAnsi="Garamond"/>
                <w:sz w:val="14"/>
                <w:szCs w:val="16"/>
                <w:lang w:eastAsia="en-US"/>
              </w:rPr>
              <w:t>NJVV</w:t>
            </w:r>
            <w:r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br/>
              <w:t>Shoqatat e ndërtuesve</w:t>
            </w:r>
            <w:r w:rsidR="00F03D3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Kompanitë e shërbimeve elektronike;</w:t>
            </w:r>
            <w:r w:rsidRPr="00024D5A">
              <w:rPr>
                <w:rFonts w:ascii="Garamond" w:eastAsia="Times New Roman" w:hAnsi="Garamond"/>
                <w:sz w:val="14"/>
                <w:szCs w:val="16"/>
                <w:lang w:eastAsia="en-US"/>
              </w:rPr>
              <w:br/>
            </w:r>
            <w:r w:rsidR="00BA4F73" w:rsidRPr="00024D5A">
              <w:rPr>
                <w:rFonts w:ascii="Garamond" w:eastAsia="Times New Roman" w:hAnsi="Garamond"/>
                <w:sz w:val="14"/>
                <w:szCs w:val="16"/>
                <w:lang w:eastAsia="en-US"/>
              </w:rPr>
              <w:t>OJF</w:t>
            </w:r>
            <w:r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br/>
              <w:t>Raporte monitorimesh</w:t>
            </w:r>
            <w:r w:rsidR="00F03D39" w:rsidRPr="00024D5A">
              <w:rPr>
                <w:rFonts w:ascii="Garamond" w:eastAsia="Times New Roman" w:hAnsi="Garamond"/>
                <w:sz w:val="14"/>
                <w:szCs w:val="16"/>
                <w:lang w:eastAsia="en-US"/>
              </w:rPr>
              <w:t>.</w:t>
            </w:r>
          </w:p>
        </w:tc>
        <w:tc>
          <w:tcPr>
            <w:tcW w:w="1022" w:type="pct"/>
            <w:tcBorders>
              <w:bottom w:val="single" w:sz="4" w:space="0" w:color="auto"/>
            </w:tcBorders>
            <w:shd w:val="clear" w:color="auto" w:fill="D8F1D0"/>
          </w:tcPr>
          <w:p w14:paraId="2582FC21" w14:textId="3B9E05F1" w:rsidR="00AB01FD" w:rsidRPr="00024D5A" w:rsidRDefault="00AB01FD"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OZHQ3</w:t>
            </w:r>
            <w:r w:rsidRPr="00024D5A">
              <w:rPr>
                <w:rFonts w:ascii="Garamond" w:hAnsi="Garamond"/>
                <w:sz w:val="14"/>
                <w:szCs w:val="16"/>
              </w:rPr>
              <w:br/>
            </w:r>
            <w:r w:rsidRPr="00024D5A">
              <w:rPr>
                <w:rFonts w:ascii="Garamond" w:eastAsia="Times New Roman" w:hAnsi="Garamond"/>
                <w:sz w:val="14"/>
                <w:szCs w:val="16"/>
                <w:lang w:eastAsia="en-US"/>
              </w:rPr>
              <w:t>Konventa e OKB-së për të Drejtat e Personave me Aftësi të Kufizuara (</w:t>
            </w:r>
            <w:r w:rsidRPr="00024D5A">
              <w:rPr>
                <w:rFonts w:ascii="Garamond" w:eastAsia="Times New Roman" w:hAnsi="Garamond"/>
                <w:sz w:val="14"/>
                <w:szCs w:val="16"/>
              </w:rPr>
              <w:t xml:space="preserve"> KDPAK</w:t>
            </w:r>
            <w:r w:rsidRPr="00024D5A">
              <w:rPr>
                <w:rFonts w:ascii="Garamond" w:eastAsia="Times New Roman" w:hAnsi="Garamond"/>
                <w:sz w:val="14"/>
                <w:szCs w:val="16"/>
                <w:lang w:eastAsia="en-US"/>
              </w:rPr>
              <w:t xml:space="preserve">); </w:t>
            </w:r>
            <w:r w:rsidRPr="00024D5A">
              <w:rPr>
                <w:rFonts w:ascii="Garamond" w:hAnsi="Garamond"/>
                <w:sz w:val="14"/>
                <w:szCs w:val="16"/>
              </w:rPr>
              <w:br/>
            </w:r>
            <w:r w:rsidRPr="00024D5A">
              <w:rPr>
                <w:rFonts w:ascii="Garamond" w:eastAsia="Times New Roman" w:hAnsi="Garamond"/>
                <w:sz w:val="14"/>
                <w:szCs w:val="16"/>
                <w:lang w:eastAsia="en-US"/>
              </w:rPr>
              <w:t>Strategjia e BE-së 2021</w:t>
            </w:r>
            <w:r w:rsidR="00F03D3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2030 (aksesueshmëri, mosdiskriminim, shërbime të barabarta); </w:t>
            </w:r>
            <w:r w:rsidRPr="00024D5A">
              <w:rPr>
                <w:rFonts w:ascii="Garamond" w:hAnsi="Garamond"/>
                <w:sz w:val="14"/>
                <w:szCs w:val="16"/>
              </w:rPr>
              <w:br/>
            </w:r>
            <w:r w:rsidRPr="00024D5A">
              <w:rPr>
                <w:rFonts w:ascii="Garamond" w:eastAsia="Times New Roman" w:hAnsi="Garamond"/>
                <w:sz w:val="14"/>
                <w:szCs w:val="16"/>
                <w:lang w:eastAsia="en-US"/>
              </w:rPr>
              <w:t xml:space="preserve">Direktiva (BE) 2019/882 E Parlamentit Evropian dhe e Këshillit </w:t>
            </w:r>
            <w:r w:rsidR="0078161D"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Mbi kërkesat e aksesueshmërisë për produktet dhe shërbimet</w:t>
            </w:r>
            <w:r w:rsidR="0078161D"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w:t>
            </w:r>
            <w:r w:rsidRPr="00024D5A">
              <w:rPr>
                <w:rFonts w:ascii="Garamond" w:hAnsi="Garamond"/>
                <w:sz w:val="14"/>
                <w:szCs w:val="16"/>
              </w:rPr>
              <w:br/>
            </w:r>
            <w:r w:rsidRPr="00024D5A">
              <w:rPr>
                <w:rFonts w:ascii="Garamond" w:eastAsia="Times New Roman" w:hAnsi="Garamond"/>
                <w:sz w:val="14"/>
                <w:szCs w:val="16"/>
                <w:lang w:eastAsia="en-US"/>
              </w:rPr>
              <w:t xml:space="preserve">Akti Evropian i Aksesueshmërisë (European Accessibility Act </w:t>
            </w:r>
            <w:r w:rsidR="00F03D3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2019); Direktiva për Aksesueshmërinë e Uebit (2016);</w:t>
            </w:r>
            <w:r w:rsidRPr="00024D5A">
              <w:rPr>
                <w:rFonts w:ascii="Garamond" w:hAnsi="Garamond"/>
                <w:sz w:val="14"/>
                <w:szCs w:val="16"/>
              </w:rPr>
              <w:br/>
            </w:r>
            <w:r w:rsidRPr="00024D5A">
              <w:rPr>
                <w:rFonts w:ascii="Garamond" w:eastAsia="Times New Roman" w:hAnsi="Garamond"/>
                <w:sz w:val="14"/>
                <w:szCs w:val="16"/>
                <w:lang w:eastAsia="en-US"/>
              </w:rPr>
              <w:t xml:space="preserve">Strategjia Kombëtare për Mbrojtjen Sociale </w:t>
            </w:r>
            <w:r w:rsidRPr="00024D5A">
              <w:rPr>
                <w:rFonts w:ascii="Garamond" w:hAnsi="Garamond"/>
                <w:sz w:val="14"/>
                <w:szCs w:val="16"/>
              </w:rPr>
              <w:br/>
            </w:r>
            <w:r w:rsidRPr="00024D5A">
              <w:rPr>
                <w:rFonts w:ascii="Garamond" w:eastAsia="Times New Roman" w:hAnsi="Garamond"/>
                <w:sz w:val="14"/>
                <w:szCs w:val="16"/>
                <w:lang w:eastAsia="en-US"/>
              </w:rPr>
              <w:t>Ligji nr. 93/2014</w:t>
            </w:r>
            <w:r w:rsidR="00F03D3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w:t>
            </w:r>
            <w:r w:rsidR="0078161D"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Për përfshirjen dhe aksesueshmërinë e personave me aftësi të kufizuara</w:t>
            </w:r>
            <w:r w:rsidR="0078161D"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w:t>
            </w:r>
            <w:r w:rsidRPr="00024D5A">
              <w:rPr>
                <w:rFonts w:ascii="Garamond" w:hAnsi="Garamond"/>
                <w:sz w:val="14"/>
                <w:szCs w:val="16"/>
              </w:rPr>
              <w:br/>
            </w:r>
            <w:r w:rsidRPr="00024D5A">
              <w:rPr>
                <w:rFonts w:ascii="Garamond" w:eastAsia="Times New Roman" w:hAnsi="Garamond"/>
                <w:sz w:val="14"/>
                <w:szCs w:val="16"/>
                <w:lang w:eastAsia="en-US"/>
              </w:rPr>
              <w:t>Ligji për mbrojtjen nga diskriminimi;</w:t>
            </w:r>
            <w:r w:rsidRPr="00024D5A">
              <w:rPr>
                <w:rFonts w:ascii="Garamond" w:hAnsi="Garamond"/>
                <w:sz w:val="14"/>
                <w:szCs w:val="16"/>
              </w:rPr>
              <w:br/>
            </w:r>
            <w:r w:rsidRPr="00024D5A">
              <w:rPr>
                <w:rFonts w:ascii="Garamond" w:eastAsia="Times New Roman" w:hAnsi="Garamond"/>
                <w:sz w:val="14"/>
                <w:szCs w:val="16"/>
                <w:lang w:eastAsia="en-US"/>
              </w:rPr>
              <w:t>Standardet për ndërtimin e objekteve publike me akses për persona me aftësi të kufizuara</w:t>
            </w:r>
            <w:r w:rsidR="00F03D39" w:rsidRPr="00024D5A">
              <w:rPr>
                <w:rFonts w:ascii="Garamond" w:eastAsia="Times New Roman" w:hAnsi="Garamond"/>
                <w:sz w:val="14"/>
                <w:szCs w:val="16"/>
                <w:lang w:eastAsia="en-US"/>
              </w:rPr>
              <w:t>.</w:t>
            </w:r>
          </w:p>
        </w:tc>
      </w:tr>
      <w:tr w:rsidR="003E1630" w:rsidRPr="00024D5A" w14:paraId="5362EE0D" w14:textId="77777777" w:rsidTr="00F03D39">
        <w:trPr>
          <w:trHeight w:val="158"/>
          <w:jc w:val="center"/>
        </w:trPr>
        <w:tc>
          <w:tcPr>
            <w:tcW w:w="411" w:type="pct"/>
            <w:vMerge w:val="restart"/>
            <w:shd w:val="clear" w:color="auto" w:fill="CAEDFA"/>
          </w:tcPr>
          <w:p w14:paraId="4C77122C" w14:textId="77777777" w:rsidR="003E1630" w:rsidRPr="00024D5A" w:rsidRDefault="003E1630" w:rsidP="00791B1A">
            <w:pPr>
              <w:jc w:val="center"/>
              <w:rPr>
                <w:rFonts w:ascii="Garamond" w:eastAsia="Times New Roman" w:hAnsi="Garamond"/>
                <w:b/>
                <w:bCs/>
                <w:sz w:val="14"/>
                <w:szCs w:val="16"/>
                <w:lang w:eastAsia="en-US"/>
              </w:rPr>
            </w:pPr>
          </w:p>
          <w:p w14:paraId="0F00ED84" w14:textId="77777777" w:rsidR="003E1630" w:rsidRPr="00024D5A" w:rsidRDefault="003E1630" w:rsidP="00791B1A">
            <w:pPr>
              <w:jc w:val="center"/>
              <w:rPr>
                <w:rFonts w:ascii="Garamond" w:eastAsia="Times New Roman" w:hAnsi="Garamond"/>
                <w:b/>
                <w:bCs/>
                <w:sz w:val="14"/>
                <w:szCs w:val="16"/>
                <w:lang w:eastAsia="en-US"/>
              </w:rPr>
            </w:pPr>
          </w:p>
          <w:p w14:paraId="31A49807" w14:textId="77777777" w:rsidR="003E1630" w:rsidRPr="00024D5A" w:rsidRDefault="003E1630" w:rsidP="00791B1A">
            <w:pPr>
              <w:jc w:val="center"/>
              <w:rPr>
                <w:rFonts w:ascii="Garamond" w:eastAsia="Times New Roman" w:hAnsi="Garamond"/>
                <w:b/>
                <w:bCs/>
                <w:sz w:val="14"/>
                <w:szCs w:val="16"/>
                <w:lang w:eastAsia="en-US"/>
              </w:rPr>
            </w:pPr>
          </w:p>
          <w:p w14:paraId="12690B6E" w14:textId="77777777" w:rsidR="003E1630" w:rsidRPr="00024D5A" w:rsidRDefault="003E1630" w:rsidP="00791B1A">
            <w:pPr>
              <w:jc w:val="center"/>
              <w:rPr>
                <w:rFonts w:ascii="Garamond" w:eastAsia="Times New Roman" w:hAnsi="Garamond"/>
                <w:b/>
                <w:bCs/>
                <w:sz w:val="14"/>
                <w:szCs w:val="16"/>
                <w:lang w:eastAsia="en-US"/>
              </w:rPr>
            </w:pPr>
          </w:p>
          <w:p w14:paraId="62E827FE" w14:textId="77777777" w:rsidR="003E1630" w:rsidRPr="00024D5A" w:rsidRDefault="003E1630" w:rsidP="00791B1A">
            <w:pPr>
              <w:jc w:val="center"/>
              <w:rPr>
                <w:rFonts w:ascii="Garamond" w:eastAsia="Times New Roman" w:hAnsi="Garamond"/>
                <w:b/>
                <w:bCs/>
                <w:sz w:val="14"/>
                <w:szCs w:val="16"/>
                <w:lang w:eastAsia="en-US"/>
              </w:rPr>
            </w:pPr>
          </w:p>
          <w:p w14:paraId="7F531B7A" w14:textId="66CC8BC4" w:rsidR="003E1630" w:rsidRPr="00024D5A" w:rsidRDefault="005743A8" w:rsidP="00791B1A">
            <w:pPr>
              <w:jc w:val="center"/>
              <w:rPr>
                <w:rFonts w:ascii="Garamond" w:eastAsia="Times New Roman" w:hAnsi="Garamond"/>
                <w:b/>
                <w:bCs/>
                <w:sz w:val="14"/>
                <w:szCs w:val="16"/>
                <w:lang w:eastAsia="en-US"/>
              </w:rPr>
            </w:pPr>
            <w:r w:rsidRPr="00024D5A">
              <w:rPr>
                <w:rFonts w:ascii="Garamond" w:eastAsia="Times New Roman" w:hAnsi="Garamond"/>
                <w:b/>
                <w:bCs/>
                <w:sz w:val="14"/>
                <w:szCs w:val="16"/>
                <w:lang w:eastAsia="en-US"/>
              </w:rPr>
              <w:t>Objektivi specifik</w:t>
            </w:r>
          </w:p>
        </w:tc>
        <w:tc>
          <w:tcPr>
            <w:tcW w:w="732" w:type="pct"/>
            <w:vMerge w:val="restart"/>
            <w:shd w:val="clear" w:color="auto" w:fill="CAEDFA"/>
          </w:tcPr>
          <w:p w14:paraId="32522037" w14:textId="1BC0C981"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Objektivi </w:t>
            </w:r>
            <w:r w:rsidR="00F03D39" w:rsidRPr="00024D5A">
              <w:rPr>
                <w:rFonts w:ascii="Garamond" w:eastAsia="Times New Roman" w:hAnsi="Garamond"/>
                <w:sz w:val="14"/>
                <w:szCs w:val="16"/>
                <w:lang w:eastAsia="en-US"/>
              </w:rPr>
              <w:t xml:space="preserve">specifik </w:t>
            </w:r>
            <w:r w:rsidRPr="00024D5A">
              <w:rPr>
                <w:rFonts w:ascii="Garamond" w:eastAsia="Times New Roman" w:hAnsi="Garamond"/>
                <w:sz w:val="14"/>
                <w:szCs w:val="16"/>
                <w:lang w:eastAsia="en-US"/>
              </w:rPr>
              <w:t>1</w:t>
            </w:r>
            <w:r w:rsidR="00AC5DA9">
              <w:rPr>
                <w:rFonts w:ascii="Garamond" w:eastAsia="Times New Roman" w:hAnsi="Garamond"/>
                <w:sz w:val="14"/>
                <w:szCs w:val="16"/>
                <w:lang w:eastAsia="en-US"/>
              </w:rPr>
              <w:t xml:space="preserve">: </w:t>
            </w:r>
            <w:r w:rsidRPr="00024D5A">
              <w:rPr>
                <w:rFonts w:ascii="Garamond" w:eastAsia="Times New Roman" w:hAnsi="Garamond"/>
                <w:sz w:val="14"/>
                <w:szCs w:val="16"/>
                <w:lang w:eastAsia="en-US"/>
              </w:rPr>
              <w:t>Aksesueshmëria në mjedisin ndërtimor, infrastrukturë dhe në produkte e shërbime: Të sigurohet aksesueshmëria e mjedisit të ndërtimor, si një parakusht për integrim për personat me aftësi të kufizuara, për pjesëmarrje në të gjitha fushat e jetës shoqërore, duke eliminuar barrierat ekzistuese dhe duke penguar shfaqjen e barrierave t</w:t>
            </w:r>
            <w:r w:rsidR="0006183E" w:rsidRPr="00024D5A">
              <w:rPr>
                <w:rFonts w:ascii="Garamond" w:eastAsia="Times New Roman" w:hAnsi="Garamond"/>
                <w:sz w:val="14"/>
                <w:szCs w:val="16"/>
                <w:lang w:eastAsia="en-US"/>
              </w:rPr>
              <w:t>ë</w:t>
            </w:r>
            <w:r w:rsidRPr="00024D5A">
              <w:rPr>
                <w:rFonts w:ascii="Garamond" w:eastAsia="Times New Roman" w:hAnsi="Garamond"/>
                <w:sz w:val="14"/>
                <w:szCs w:val="16"/>
                <w:lang w:eastAsia="en-US"/>
              </w:rPr>
              <w:t xml:space="preserve"> reja.</w:t>
            </w:r>
          </w:p>
        </w:tc>
        <w:tc>
          <w:tcPr>
            <w:tcW w:w="850" w:type="pct"/>
            <w:vMerge w:val="restart"/>
            <w:shd w:val="clear" w:color="auto" w:fill="CAEDFA"/>
          </w:tcPr>
          <w:p w14:paraId="13AAB26D"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Eliminimi i barrierave ekzistuese në objektet e vlerësuara për nivelin e aksesueshmerisë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 xml:space="preserve">Pengimi i shfaqjes së barrierave të reja në projektet në proces për marrjen e lejes së ndërtimit </w:t>
            </w:r>
          </w:p>
        </w:tc>
        <w:tc>
          <w:tcPr>
            <w:tcW w:w="282" w:type="pct"/>
            <w:vMerge w:val="restart"/>
            <w:shd w:val="clear" w:color="auto" w:fill="CAEDFA"/>
          </w:tcPr>
          <w:p w14:paraId="168BCE46"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N/A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 xml:space="preserve">N/A </w:t>
            </w:r>
          </w:p>
        </w:tc>
        <w:tc>
          <w:tcPr>
            <w:tcW w:w="518" w:type="pct"/>
            <w:vMerge w:val="restart"/>
            <w:shd w:val="clear" w:color="auto" w:fill="CAEDFA"/>
          </w:tcPr>
          <w:p w14:paraId="0C7522A2" w14:textId="77C28963"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5</w:t>
            </w:r>
            <w:r w:rsidR="00F03D3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nga vlera bazë</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20</w:t>
            </w:r>
            <w:r w:rsidR="00F03D3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nga vlera bazë</w:t>
            </w:r>
          </w:p>
        </w:tc>
        <w:tc>
          <w:tcPr>
            <w:tcW w:w="518" w:type="pct"/>
            <w:vMerge w:val="restart"/>
            <w:shd w:val="clear" w:color="auto" w:fill="CAEDFA"/>
          </w:tcPr>
          <w:p w14:paraId="04BE541B" w14:textId="70920B21"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35</w:t>
            </w:r>
            <w:r w:rsidR="00F03D3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nga vlera bazë</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80</w:t>
            </w:r>
            <w:r w:rsidR="00F03D3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nga vlera bazë</w:t>
            </w:r>
          </w:p>
        </w:tc>
        <w:tc>
          <w:tcPr>
            <w:tcW w:w="666" w:type="pct"/>
            <w:vMerge w:val="restart"/>
            <w:shd w:val="clear" w:color="auto" w:fill="CAEDFA"/>
          </w:tcPr>
          <w:p w14:paraId="14AD4C94"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MIE;</w:t>
            </w:r>
            <w:r w:rsidRPr="00024D5A">
              <w:rPr>
                <w:rFonts w:ascii="Garamond" w:eastAsia="Times New Roman" w:hAnsi="Garamond"/>
                <w:sz w:val="14"/>
                <w:szCs w:val="16"/>
                <w:lang w:eastAsia="en-US"/>
              </w:rPr>
              <w:br/>
              <w:t>MEI;</w:t>
            </w:r>
            <w:r w:rsidRPr="00024D5A">
              <w:rPr>
                <w:rFonts w:ascii="Garamond" w:eastAsia="Times New Roman" w:hAnsi="Garamond"/>
                <w:sz w:val="14"/>
                <w:szCs w:val="16"/>
                <w:lang w:eastAsia="en-US"/>
              </w:rPr>
              <w:br/>
              <w:t>MTKS;</w:t>
            </w:r>
            <w:r w:rsidRPr="00024D5A">
              <w:rPr>
                <w:rFonts w:ascii="Garamond" w:eastAsia="Times New Roman" w:hAnsi="Garamond"/>
                <w:sz w:val="14"/>
                <w:szCs w:val="16"/>
                <w:lang w:eastAsia="en-US"/>
              </w:rPr>
              <w:br/>
              <w:t>MSHMS;</w:t>
            </w:r>
          </w:p>
          <w:p w14:paraId="575F8927" w14:textId="34019F0B" w:rsidR="003E1630" w:rsidRPr="00024D5A" w:rsidRDefault="005743A8" w:rsidP="00791B1A">
            <w:pPr>
              <w:rPr>
                <w:rFonts w:ascii="Garamond" w:eastAsia="Times New Roman" w:hAnsi="Garamond" w:cs="Arial"/>
                <w:sz w:val="14"/>
                <w:szCs w:val="16"/>
                <w:lang w:eastAsia="en-US"/>
              </w:rPr>
            </w:pPr>
            <w:r w:rsidRPr="00024D5A">
              <w:rPr>
                <w:rFonts w:ascii="Garamond" w:eastAsia="Times New Roman" w:hAnsi="Garamond" w:cs="Arial"/>
                <w:sz w:val="14"/>
                <w:szCs w:val="16"/>
                <w:lang w:eastAsia="en-US"/>
              </w:rPr>
              <w:t>MSHPV</w:t>
            </w:r>
            <w:r w:rsidR="0078022D" w:rsidRPr="00024D5A">
              <w:rPr>
                <w:rFonts w:ascii="Garamond" w:eastAsia="Times New Roman" w:hAnsi="Garamond" w:cs="Arial"/>
                <w:sz w:val="14"/>
                <w:szCs w:val="16"/>
                <w:lang w:eastAsia="en-US"/>
              </w:rPr>
              <w:t>;</w:t>
            </w:r>
          </w:p>
          <w:p w14:paraId="071D90A3" w14:textId="104F191B"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cs="Arial"/>
                <w:sz w:val="14"/>
                <w:szCs w:val="16"/>
                <w:lang w:eastAsia="en-US"/>
              </w:rPr>
              <w:t>AMVV</w:t>
            </w:r>
            <w:r w:rsidR="0078022D" w:rsidRPr="00024D5A">
              <w:rPr>
                <w:rFonts w:ascii="Garamond" w:eastAsia="Times New Roman" w:hAnsi="Garamond" w:cs="Arial"/>
                <w:sz w:val="14"/>
                <w:szCs w:val="16"/>
                <w:lang w:eastAsia="en-US"/>
              </w:rPr>
              <w:t>;</w:t>
            </w:r>
            <w:r w:rsidRPr="00024D5A">
              <w:rPr>
                <w:rFonts w:ascii="Garamond" w:eastAsia="Times New Roman" w:hAnsi="Garamond" w:cs="Arial"/>
                <w:sz w:val="14"/>
                <w:szCs w:val="16"/>
                <w:lang w:eastAsia="en-US"/>
              </w:rPr>
              <w:t xml:space="preserve"> </w:t>
            </w:r>
            <w:r w:rsidRPr="00024D5A">
              <w:rPr>
                <w:rFonts w:ascii="Garamond" w:eastAsia="Times New Roman" w:hAnsi="Garamond" w:cs="Arial"/>
                <w:sz w:val="14"/>
                <w:szCs w:val="16"/>
                <w:lang w:eastAsia="en-US"/>
              </w:rPr>
              <w:br/>
            </w:r>
            <w:r w:rsidR="003245E7" w:rsidRPr="00024D5A">
              <w:rPr>
                <w:rFonts w:ascii="Garamond" w:eastAsia="Times New Roman" w:hAnsi="Garamond"/>
                <w:sz w:val="14"/>
                <w:szCs w:val="16"/>
                <w:lang w:eastAsia="en-US"/>
              </w:rPr>
              <w:t>NJVV</w:t>
            </w:r>
            <w:r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br/>
              <w:t>Instituti i Ndërtimit;</w:t>
            </w:r>
            <w:r w:rsidRPr="00024D5A">
              <w:rPr>
                <w:rFonts w:ascii="Garamond" w:eastAsia="Times New Roman" w:hAnsi="Garamond"/>
                <w:sz w:val="14"/>
                <w:szCs w:val="16"/>
                <w:lang w:eastAsia="en-US"/>
              </w:rPr>
              <w:br/>
              <w:t>Shoqata e ndërtuesve</w:t>
            </w:r>
            <w:r w:rsidR="0078022D" w:rsidRPr="00024D5A">
              <w:rPr>
                <w:rFonts w:ascii="Garamond" w:eastAsia="Times New Roman" w:hAnsi="Garamond"/>
                <w:sz w:val="14"/>
                <w:szCs w:val="16"/>
                <w:lang w:eastAsia="en-US"/>
              </w:rPr>
              <w:t>.</w:t>
            </w:r>
          </w:p>
        </w:tc>
        <w:tc>
          <w:tcPr>
            <w:tcW w:w="1022" w:type="pct"/>
            <w:vMerge w:val="restart"/>
            <w:shd w:val="clear" w:color="auto" w:fill="CAEDFA"/>
          </w:tcPr>
          <w:p w14:paraId="14426D2C" w14:textId="7199E409"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Strategjia e BE-së 2021</w:t>
            </w:r>
            <w:r w:rsidR="0078022D"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2030 (aksesueshmëri, mosdiskriminim, shërbime të barabarta)</w:t>
            </w:r>
            <w:r w:rsidR="0073002C"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br/>
              <w:t xml:space="preserve">Direktiva (BE) 2019/882 E Parlamentit Evropian dhe e Këshillit </w:t>
            </w:r>
            <w:r w:rsidR="0078161D"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Mbi kërkesat e aksesueshmërisë për produktet dhe shërbimet</w:t>
            </w:r>
            <w:r w:rsidR="0078161D" w:rsidRPr="00024D5A">
              <w:rPr>
                <w:rFonts w:ascii="Garamond" w:eastAsia="Times New Roman" w:hAnsi="Garamond"/>
                <w:sz w:val="14"/>
                <w:szCs w:val="16"/>
                <w:lang w:eastAsia="en-US"/>
              </w:rPr>
              <w:t>”</w:t>
            </w:r>
            <w:r w:rsidR="0073002C"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w:t>
            </w:r>
            <w:r w:rsidRPr="00024D5A">
              <w:rPr>
                <w:rFonts w:ascii="Garamond" w:eastAsia="Times New Roman" w:hAnsi="Garamond"/>
                <w:sz w:val="14"/>
                <w:szCs w:val="16"/>
                <w:lang w:eastAsia="en-US"/>
              </w:rPr>
              <w:br/>
              <w:t xml:space="preserve">Akti Evropian i Aksesueshmërisë (European Accessibility Act - 2019); </w:t>
            </w:r>
            <w:r w:rsidRPr="00024D5A">
              <w:rPr>
                <w:rFonts w:ascii="Garamond" w:eastAsia="Times New Roman" w:hAnsi="Garamond"/>
                <w:sz w:val="14"/>
                <w:szCs w:val="16"/>
                <w:lang w:eastAsia="en-US"/>
              </w:rPr>
              <w:br/>
              <w:t xml:space="preserve">Strategjia Kombëtare për Mbrojtjen Sociale </w:t>
            </w:r>
            <w:r w:rsidR="0073002C"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br/>
              <w:t>Ligji nr. 93/2014</w:t>
            </w:r>
            <w:r w:rsidR="0073002C"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w:t>
            </w:r>
            <w:r w:rsidR="0078161D"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Për përfshirjen dhe aksesueshmërinë e personave me aftësi të kufizuara</w:t>
            </w:r>
            <w:r w:rsidR="0078161D"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br/>
              <w:t>Ligji për mbrojtjen nga diskriminimi;</w:t>
            </w:r>
            <w:r w:rsidRPr="00024D5A">
              <w:rPr>
                <w:rFonts w:ascii="Garamond" w:eastAsia="Times New Roman" w:hAnsi="Garamond"/>
                <w:sz w:val="14"/>
                <w:szCs w:val="16"/>
                <w:lang w:eastAsia="en-US"/>
              </w:rPr>
              <w:br/>
              <w:t>Standardet për ndërtimin e objekteve publike me akses për persona me aftësi të kufizuara</w:t>
            </w:r>
            <w:r w:rsidR="0073002C" w:rsidRPr="00024D5A">
              <w:rPr>
                <w:rFonts w:ascii="Garamond" w:eastAsia="Times New Roman" w:hAnsi="Garamond"/>
                <w:sz w:val="14"/>
                <w:szCs w:val="16"/>
                <w:lang w:eastAsia="en-US"/>
              </w:rPr>
              <w:t>.</w:t>
            </w:r>
          </w:p>
        </w:tc>
      </w:tr>
      <w:tr w:rsidR="003E1630" w:rsidRPr="00024D5A" w14:paraId="7A862F24" w14:textId="77777777" w:rsidTr="00F03D39">
        <w:trPr>
          <w:trHeight w:val="158"/>
          <w:jc w:val="center"/>
        </w:trPr>
        <w:tc>
          <w:tcPr>
            <w:tcW w:w="411" w:type="pct"/>
            <w:vMerge/>
          </w:tcPr>
          <w:p w14:paraId="155343FD" w14:textId="77777777" w:rsidR="003E1630" w:rsidRPr="00024D5A" w:rsidRDefault="003E1630" w:rsidP="00791B1A">
            <w:pPr>
              <w:rPr>
                <w:rFonts w:ascii="Garamond" w:eastAsia="Times New Roman" w:hAnsi="Garamond"/>
                <w:b/>
                <w:bCs/>
                <w:sz w:val="14"/>
                <w:szCs w:val="16"/>
                <w:lang w:eastAsia="en-US"/>
              </w:rPr>
            </w:pPr>
          </w:p>
        </w:tc>
        <w:tc>
          <w:tcPr>
            <w:tcW w:w="732" w:type="pct"/>
            <w:vMerge/>
          </w:tcPr>
          <w:p w14:paraId="3663FD87" w14:textId="77777777" w:rsidR="003E1630" w:rsidRPr="00024D5A" w:rsidRDefault="003E1630" w:rsidP="00791B1A">
            <w:pPr>
              <w:rPr>
                <w:rFonts w:ascii="Garamond" w:eastAsia="Times New Roman" w:hAnsi="Garamond"/>
                <w:sz w:val="14"/>
                <w:szCs w:val="16"/>
                <w:lang w:eastAsia="en-US"/>
              </w:rPr>
            </w:pPr>
          </w:p>
        </w:tc>
        <w:tc>
          <w:tcPr>
            <w:tcW w:w="850" w:type="pct"/>
            <w:vMerge/>
          </w:tcPr>
          <w:p w14:paraId="3501FBDC" w14:textId="77777777" w:rsidR="003E1630" w:rsidRPr="00024D5A" w:rsidRDefault="003E1630" w:rsidP="00791B1A">
            <w:pPr>
              <w:rPr>
                <w:rFonts w:ascii="Garamond" w:eastAsia="Times New Roman" w:hAnsi="Garamond"/>
                <w:sz w:val="14"/>
                <w:szCs w:val="16"/>
                <w:lang w:eastAsia="en-US"/>
              </w:rPr>
            </w:pPr>
          </w:p>
        </w:tc>
        <w:tc>
          <w:tcPr>
            <w:tcW w:w="282" w:type="pct"/>
            <w:vMerge/>
          </w:tcPr>
          <w:p w14:paraId="2827FC44" w14:textId="77777777" w:rsidR="003E1630" w:rsidRPr="00024D5A" w:rsidRDefault="003E1630" w:rsidP="00791B1A">
            <w:pPr>
              <w:rPr>
                <w:rFonts w:ascii="Garamond" w:eastAsia="Times New Roman" w:hAnsi="Garamond"/>
                <w:sz w:val="14"/>
                <w:szCs w:val="16"/>
                <w:lang w:eastAsia="en-US"/>
              </w:rPr>
            </w:pPr>
          </w:p>
        </w:tc>
        <w:tc>
          <w:tcPr>
            <w:tcW w:w="518" w:type="pct"/>
            <w:vMerge/>
          </w:tcPr>
          <w:p w14:paraId="21059246" w14:textId="77777777" w:rsidR="003E1630" w:rsidRPr="00024D5A" w:rsidRDefault="003E1630" w:rsidP="00791B1A">
            <w:pPr>
              <w:rPr>
                <w:rFonts w:ascii="Garamond" w:eastAsia="Times New Roman" w:hAnsi="Garamond"/>
                <w:sz w:val="14"/>
                <w:szCs w:val="16"/>
                <w:lang w:eastAsia="en-US"/>
              </w:rPr>
            </w:pPr>
          </w:p>
        </w:tc>
        <w:tc>
          <w:tcPr>
            <w:tcW w:w="518" w:type="pct"/>
            <w:vMerge/>
          </w:tcPr>
          <w:p w14:paraId="6DC94B89" w14:textId="77777777" w:rsidR="003E1630" w:rsidRPr="00024D5A" w:rsidRDefault="003E1630" w:rsidP="00791B1A">
            <w:pPr>
              <w:rPr>
                <w:rFonts w:ascii="Garamond" w:eastAsia="Times New Roman" w:hAnsi="Garamond"/>
                <w:sz w:val="14"/>
                <w:szCs w:val="16"/>
                <w:lang w:eastAsia="en-US"/>
              </w:rPr>
            </w:pPr>
          </w:p>
        </w:tc>
        <w:tc>
          <w:tcPr>
            <w:tcW w:w="666" w:type="pct"/>
            <w:vMerge/>
          </w:tcPr>
          <w:p w14:paraId="5E63CB3E" w14:textId="77777777" w:rsidR="003E1630" w:rsidRPr="00024D5A" w:rsidRDefault="003E1630" w:rsidP="00791B1A">
            <w:pPr>
              <w:rPr>
                <w:rFonts w:ascii="Garamond" w:eastAsia="Times New Roman" w:hAnsi="Garamond"/>
                <w:sz w:val="14"/>
                <w:szCs w:val="16"/>
                <w:lang w:eastAsia="en-US"/>
              </w:rPr>
            </w:pPr>
          </w:p>
        </w:tc>
        <w:tc>
          <w:tcPr>
            <w:tcW w:w="1022" w:type="pct"/>
            <w:vMerge/>
          </w:tcPr>
          <w:p w14:paraId="3578E8C2" w14:textId="77777777" w:rsidR="003E1630" w:rsidRPr="00024D5A" w:rsidRDefault="003E1630" w:rsidP="00791B1A">
            <w:pPr>
              <w:rPr>
                <w:rFonts w:ascii="Garamond" w:eastAsia="Times New Roman" w:hAnsi="Garamond"/>
                <w:sz w:val="14"/>
                <w:szCs w:val="16"/>
                <w:lang w:eastAsia="en-US"/>
              </w:rPr>
            </w:pPr>
          </w:p>
        </w:tc>
      </w:tr>
      <w:tr w:rsidR="003E1630" w:rsidRPr="00024D5A" w14:paraId="49A4CEA1" w14:textId="77777777" w:rsidTr="00F03D39">
        <w:trPr>
          <w:trHeight w:val="158"/>
          <w:jc w:val="center"/>
        </w:trPr>
        <w:tc>
          <w:tcPr>
            <w:tcW w:w="411" w:type="pct"/>
            <w:vMerge/>
          </w:tcPr>
          <w:p w14:paraId="08CB8206" w14:textId="77777777" w:rsidR="003E1630" w:rsidRPr="00024D5A" w:rsidRDefault="003E1630" w:rsidP="00791B1A">
            <w:pPr>
              <w:rPr>
                <w:rFonts w:ascii="Garamond" w:eastAsia="Times New Roman" w:hAnsi="Garamond"/>
                <w:b/>
                <w:bCs/>
                <w:sz w:val="14"/>
                <w:szCs w:val="16"/>
                <w:lang w:eastAsia="en-US"/>
              </w:rPr>
            </w:pPr>
          </w:p>
        </w:tc>
        <w:tc>
          <w:tcPr>
            <w:tcW w:w="732" w:type="pct"/>
            <w:vMerge/>
          </w:tcPr>
          <w:p w14:paraId="0247E318" w14:textId="77777777" w:rsidR="003E1630" w:rsidRPr="00024D5A" w:rsidRDefault="003E1630" w:rsidP="00791B1A">
            <w:pPr>
              <w:rPr>
                <w:rFonts w:ascii="Garamond" w:eastAsia="Times New Roman" w:hAnsi="Garamond"/>
                <w:sz w:val="14"/>
                <w:szCs w:val="16"/>
                <w:lang w:eastAsia="en-US"/>
              </w:rPr>
            </w:pPr>
          </w:p>
        </w:tc>
        <w:tc>
          <w:tcPr>
            <w:tcW w:w="850" w:type="pct"/>
            <w:vMerge/>
          </w:tcPr>
          <w:p w14:paraId="1ADFCB11" w14:textId="77777777" w:rsidR="003E1630" w:rsidRPr="00024D5A" w:rsidRDefault="003E1630" w:rsidP="00791B1A">
            <w:pPr>
              <w:rPr>
                <w:rFonts w:ascii="Garamond" w:eastAsia="Times New Roman" w:hAnsi="Garamond"/>
                <w:sz w:val="14"/>
                <w:szCs w:val="16"/>
                <w:lang w:eastAsia="en-US"/>
              </w:rPr>
            </w:pPr>
          </w:p>
        </w:tc>
        <w:tc>
          <w:tcPr>
            <w:tcW w:w="282" w:type="pct"/>
            <w:vMerge/>
          </w:tcPr>
          <w:p w14:paraId="167DF943" w14:textId="77777777" w:rsidR="003E1630" w:rsidRPr="00024D5A" w:rsidRDefault="003E1630" w:rsidP="00791B1A">
            <w:pPr>
              <w:rPr>
                <w:rFonts w:ascii="Garamond" w:eastAsia="Times New Roman" w:hAnsi="Garamond"/>
                <w:sz w:val="14"/>
                <w:szCs w:val="16"/>
                <w:lang w:eastAsia="en-US"/>
              </w:rPr>
            </w:pPr>
          </w:p>
        </w:tc>
        <w:tc>
          <w:tcPr>
            <w:tcW w:w="518" w:type="pct"/>
            <w:vMerge/>
          </w:tcPr>
          <w:p w14:paraId="79D03EA7" w14:textId="77777777" w:rsidR="003E1630" w:rsidRPr="00024D5A" w:rsidRDefault="003E1630" w:rsidP="00791B1A">
            <w:pPr>
              <w:rPr>
                <w:rFonts w:ascii="Garamond" w:eastAsia="Times New Roman" w:hAnsi="Garamond"/>
                <w:sz w:val="14"/>
                <w:szCs w:val="16"/>
                <w:lang w:eastAsia="en-US"/>
              </w:rPr>
            </w:pPr>
          </w:p>
        </w:tc>
        <w:tc>
          <w:tcPr>
            <w:tcW w:w="518" w:type="pct"/>
            <w:vMerge/>
          </w:tcPr>
          <w:p w14:paraId="4500792A" w14:textId="77777777" w:rsidR="003E1630" w:rsidRPr="00024D5A" w:rsidRDefault="003E1630" w:rsidP="00791B1A">
            <w:pPr>
              <w:rPr>
                <w:rFonts w:ascii="Garamond" w:eastAsia="Times New Roman" w:hAnsi="Garamond"/>
                <w:sz w:val="14"/>
                <w:szCs w:val="16"/>
                <w:lang w:eastAsia="en-US"/>
              </w:rPr>
            </w:pPr>
          </w:p>
        </w:tc>
        <w:tc>
          <w:tcPr>
            <w:tcW w:w="666" w:type="pct"/>
            <w:vMerge/>
          </w:tcPr>
          <w:p w14:paraId="3E351AB2" w14:textId="77777777" w:rsidR="003E1630" w:rsidRPr="00024D5A" w:rsidRDefault="003E1630" w:rsidP="00791B1A">
            <w:pPr>
              <w:rPr>
                <w:rFonts w:ascii="Garamond" w:eastAsia="Times New Roman" w:hAnsi="Garamond"/>
                <w:sz w:val="14"/>
                <w:szCs w:val="16"/>
                <w:lang w:eastAsia="en-US"/>
              </w:rPr>
            </w:pPr>
          </w:p>
        </w:tc>
        <w:tc>
          <w:tcPr>
            <w:tcW w:w="1022" w:type="pct"/>
            <w:vMerge/>
          </w:tcPr>
          <w:p w14:paraId="164E01B9" w14:textId="77777777" w:rsidR="003E1630" w:rsidRPr="00024D5A" w:rsidRDefault="003E1630" w:rsidP="00791B1A">
            <w:pPr>
              <w:rPr>
                <w:rFonts w:ascii="Garamond" w:eastAsia="Times New Roman" w:hAnsi="Garamond"/>
                <w:sz w:val="14"/>
                <w:szCs w:val="16"/>
                <w:lang w:eastAsia="en-US"/>
              </w:rPr>
            </w:pPr>
          </w:p>
        </w:tc>
      </w:tr>
      <w:tr w:rsidR="003E1630" w:rsidRPr="00024D5A" w14:paraId="1EC46E94" w14:textId="77777777" w:rsidTr="00F03D39">
        <w:trPr>
          <w:trHeight w:val="158"/>
          <w:jc w:val="center"/>
        </w:trPr>
        <w:tc>
          <w:tcPr>
            <w:tcW w:w="411" w:type="pct"/>
            <w:vMerge/>
          </w:tcPr>
          <w:p w14:paraId="5297C7B6" w14:textId="77777777" w:rsidR="003E1630" w:rsidRPr="00024D5A" w:rsidRDefault="003E1630" w:rsidP="00791B1A">
            <w:pPr>
              <w:rPr>
                <w:rFonts w:ascii="Garamond" w:eastAsia="Times New Roman" w:hAnsi="Garamond"/>
                <w:b/>
                <w:bCs/>
                <w:sz w:val="14"/>
                <w:szCs w:val="16"/>
                <w:lang w:eastAsia="en-US"/>
              </w:rPr>
            </w:pPr>
          </w:p>
        </w:tc>
        <w:tc>
          <w:tcPr>
            <w:tcW w:w="732" w:type="pct"/>
            <w:vMerge/>
          </w:tcPr>
          <w:p w14:paraId="23D56710" w14:textId="77777777" w:rsidR="003E1630" w:rsidRPr="00024D5A" w:rsidRDefault="003E1630" w:rsidP="00791B1A">
            <w:pPr>
              <w:rPr>
                <w:rFonts w:ascii="Garamond" w:eastAsia="Times New Roman" w:hAnsi="Garamond"/>
                <w:sz w:val="14"/>
                <w:szCs w:val="16"/>
                <w:lang w:eastAsia="en-US"/>
              </w:rPr>
            </w:pPr>
          </w:p>
        </w:tc>
        <w:tc>
          <w:tcPr>
            <w:tcW w:w="850" w:type="pct"/>
            <w:vMerge/>
          </w:tcPr>
          <w:p w14:paraId="4CDF9166" w14:textId="77777777" w:rsidR="003E1630" w:rsidRPr="00024D5A" w:rsidRDefault="003E1630" w:rsidP="00791B1A">
            <w:pPr>
              <w:rPr>
                <w:rFonts w:ascii="Garamond" w:eastAsia="Times New Roman" w:hAnsi="Garamond"/>
                <w:sz w:val="14"/>
                <w:szCs w:val="16"/>
                <w:lang w:eastAsia="en-US"/>
              </w:rPr>
            </w:pPr>
          </w:p>
        </w:tc>
        <w:tc>
          <w:tcPr>
            <w:tcW w:w="282" w:type="pct"/>
            <w:vMerge/>
          </w:tcPr>
          <w:p w14:paraId="37D9E5EC" w14:textId="77777777" w:rsidR="003E1630" w:rsidRPr="00024D5A" w:rsidRDefault="003E1630" w:rsidP="00791B1A">
            <w:pPr>
              <w:rPr>
                <w:rFonts w:ascii="Garamond" w:eastAsia="Times New Roman" w:hAnsi="Garamond"/>
                <w:sz w:val="14"/>
                <w:szCs w:val="16"/>
                <w:lang w:eastAsia="en-US"/>
              </w:rPr>
            </w:pPr>
          </w:p>
        </w:tc>
        <w:tc>
          <w:tcPr>
            <w:tcW w:w="518" w:type="pct"/>
            <w:vMerge/>
          </w:tcPr>
          <w:p w14:paraId="3D566FD8" w14:textId="77777777" w:rsidR="003E1630" w:rsidRPr="00024D5A" w:rsidRDefault="003E1630" w:rsidP="00791B1A">
            <w:pPr>
              <w:rPr>
                <w:rFonts w:ascii="Garamond" w:eastAsia="Times New Roman" w:hAnsi="Garamond"/>
                <w:sz w:val="14"/>
                <w:szCs w:val="16"/>
                <w:lang w:eastAsia="en-US"/>
              </w:rPr>
            </w:pPr>
          </w:p>
        </w:tc>
        <w:tc>
          <w:tcPr>
            <w:tcW w:w="518" w:type="pct"/>
            <w:vMerge/>
          </w:tcPr>
          <w:p w14:paraId="380D7488" w14:textId="77777777" w:rsidR="003E1630" w:rsidRPr="00024D5A" w:rsidRDefault="003E1630" w:rsidP="00791B1A">
            <w:pPr>
              <w:rPr>
                <w:rFonts w:ascii="Garamond" w:eastAsia="Times New Roman" w:hAnsi="Garamond"/>
                <w:sz w:val="14"/>
                <w:szCs w:val="16"/>
                <w:lang w:eastAsia="en-US"/>
              </w:rPr>
            </w:pPr>
          </w:p>
        </w:tc>
        <w:tc>
          <w:tcPr>
            <w:tcW w:w="666" w:type="pct"/>
            <w:vMerge/>
          </w:tcPr>
          <w:p w14:paraId="773C4EAF" w14:textId="77777777" w:rsidR="003E1630" w:rsidRPr="00024D5A" w:rsidRDefault="003E1630" w:rsidP="00791B1A">
            <w:pPr>
              <w:rPr>
                <w:rFonts w:ascii="Garamond" w:eastAsia="Times New Roman" w:hAnsi="Garamond"/>
                <w:sz w:val="14"/>
                <w:szCs w:val="16"/>
                <w:lang w:eastAsia="en-US"/>
              </w:rPr>
            </w:pPr>
          </w:p>
        </w:tc>
        <w:tc>
          <w:tcPr>
            <w:tcW w:w="1022" w:type="pct"/>
            <w:vMerge/>
          </w:tcPr>
          <w:p w14:paraId="5FA38223" w14:textId="77777777" w:rsidR="003E1630" w:rsidRPr="00024D5A" w:rsidRDefault="003E1630" w:rsidP="00791B1A">
            <w:pPr>
              <w:rPr>
                <w:rFonts w:ascii="Garamond" w:eastAsia="Times New Roman" w:hAnsi="Garamond"/>
                <w:sz w:val="14"/>
                <w:szCs w:val="16"/>
                <w:lang w:eastAsia="en-US"/>
              </w:rPr>
            </w:pPr>
          </w:p>
        </w:tc>
      </w:tr>
      <w:tr w:rsidR="003E1630" w:rsidRPr="00024D5A" w14:paraId="37CA6DF8" w14:textId="77777777" w:rsidTr="00F03D39">
        <w:trPr>
          <w:trHeight w:val="158"/>
          <w:jc w:val="center"/>
        </w:trPr>
        <w:tc>
          <w:tcPr>
            <w:tcW w:w="411" w:type="pct"/>
            <w:vMerge/>
          </w:tcPr>
          <w:p w14:paraId="70D2F2E3" w14:textId="77777777" w:rsidR="003E1630" w:rsidRPr="00024D5A" w:rsidRDefault="003E1630" w:rsidP="00791B1A">
            <w:pPr>
              <w:rPr>
                <w:rFonts w:ascii="Garamond" w:eastAsia="Times New Roman" w:hAnsi="Garamond"/>
                <w:b/>
                <w:bCs/>
                <w:sz w:val="14"/>
                <w:szCs w:val="16"/>
                <w:lang w:eastAsia="en-US"/>
              </w:rPr>
            </w:pPr>
          </w:p>
        </w:tc>
        <w:tc>
          <w:tcPr>
            <w:tcW w:w="732" w:type="pct"/>
            <w:vMerge/>
          </w:tcPr>
          <w:p w14:paraId="67BCE779" w14:textId="77777777" w:rsidR="003E1630" w:rsidRPr="00024D5A" w:rsidRDefault="003E1630" w:rsidP="00791B1A">
            <w:pPr>
              <w:rPr>
                <w:rFonts w:ascii="Garamond" w:eastAsia="Times New Roman" w:hAnsi="Garamond"/>
                <w:sz w:val="14"/>
                <w:szCs w:val="16"/>
                <w:lang w:eastAsia="en-US"/>
              </w:rPr>
            </w:pPr>
          </w:p>
        </w:tc>
        <w:tc>
          <w:tcPr>
            <w:tcW w:w="850" w:type="pct"/>
            <w:vMerge/>
          </w:tcPr>
          <w:p w14:paraId="5508F448" w14:textId="77777777" w:rsidR="003E1630" w:rsidRPr="00024D5A" w:rsidRDefault="003E1630" w:rsidP="00791B1A">
            <w:pPr>
              <w:rPr>
                <w:rFonts w:ascii="Garamond" w:eastAsia="Times New Roman" w:hAnsi="Garamond"/>
                <w:sz w:val="14"/>
                <w:szCs w:val="16"/>
                <w:lang w:eastAsia="en-US"/>
              </w:rPr>
            </w:pPr>
          </w:p>
        </w:tc>
        <w:tc>
          <w:tcPr>
            <w:tcW w:w="282" w:type="pct"/>
            <w:vMerge/>
          </w:tcPr>
          <w:p w14:paraId="53905A80" w14:textId="77777777" w:rsidR="003E1630" w:rsidRPr="00024D5A" w:rsidRDefault="003E1630" w:rsidP="00791B1A">
            <w:pPr>
              <w:rPr>
                <w:rFonts w:ascii="Garamond" w:eastAsia="Times New Roman" w:hAnsi="Garamond"/>
                <w:sz w:val="14"/>
                <w:szCs w:val="16"/>
                <w:lang w:eastAsia="en-US"/>
              </w:rPr>
            </w:pPr>
          </w:p>
        </w:tc>
        <w:tc>
          <w:tcPr>
            <w:tcW w:w="518" w:type="pct"/>
            <w:vMerge/>
          </w:tcPr>
          <w:p w14:paraId="63ECD35D" w14:textId="77777777" w:rsidR="003E1630" w:rsidRPr="00024D5A" w:rsidRDefault="003E1630" w:rsidP="00791B1A">
            <w:pPr>
              <w:rPr>
                <w:rFonts w:ascii="Garamond" w:eastAsia="Times New Roman" w:hAnsi="Garamond"/>
                <w:sz w:val="14"/>
                <w:szCs w:val="16"/>
                <w:lang w:eastAsia="en-US"/>
              </w:rPr>
            </w:pPr>
          </w:p>
        </w:tc>
        <w:tc>
          <w:tcPr>
            <w:tcW w:w="518" w:type="pct"/>
            <w:vMerge/>
          </w:tcPr>
          <w:p w14:paraId="0F758216" w14:textId="77777777" w:rsidR="003E1630" w:rsidRPr="00024D5A" w:rsidRDefault="003E1630" w:rsidP="00791B1A">
            <w:pPr>
              <w:rPr>
                <w:rFonts w:ascii="Garamond" w:eastAsia="Times New Roman" w:hAnsi="Garamond"/>
                <w:sz w:val="14"/>
                <w:szCs w:val="16"/>
                <w:lang w:eastAsia="en-US"/>
              </w:rPr>
            </w:pPr>
          </w:p>
        </w:tc>
        <w:tc>
          <w:tcPr>
            <w:tcW w:w="666" w:type="pct"/>
            <w:vMerge/>
          </w:tcPr>
          <w:p w14:paraId="2A0C3DAA" w14:textId="77777777" w:rsidR="003E1630" w:rsidRPr="00024D5A" w:rsidRDefault="003E1630" w:rsidP="00791B1A">
            <w:pPr>
              <w:rPr>
                <w:rFonts w:ascii="Garamond" w:eastAsia="Times New Roman" w:hAnsi="Garamond"/>
                <w:sz w:val="14"/>
                <w:szCs w:val="16"/>
                <w:lang w:eastAsia="en-US"/>
              </w:rPr>
            </w:pPr>
          </w:p>
        </w:tc>
        <w:tc>
          <w:tcPr>
            <w:tcW w:w="1022" w:type="pct"/>
            <w:vMerge/>
          </w:tcPr>
          <w:p w14:paraId="32A67B06" w14:textId="77777777" w:rsidR="003E1630" w:rsidRPr="00024D5A" w:rsidRDefault="003E1630" w:rsidP="00791B1A">
            <w:pPr>
              <w:rPr>
                <w:rFonts w:ascii="Garamond" w:eastAsia="Times New Roman" w:hAnsi="Garamond"/>
                <w:sz w:val="14"/>
                <w:szCs w:val="16"/>
                <w:lang w:eastAsia="en-US"/>
              </w:rPr>
            </w:pPr>
          </w:p>
        </w:tc>
      </w:tr>
      <w:tr w:rsidR="003E1630" w:rsidRPr="00024D5A" w14:paraId="6DD84E17" w14:textId="77777777" w:rsidTr="00F03D39">
        <w:trPr>
          <w:trHeight w:val="158"/>
          <w:jc w:val="center"/>
        </w:trPr>
        <w:tc>
          <w:tcPr>
            <w:tcW w:w="411" w:type="pct"/>
            <w:vMerge/>
          </w:tcPr>
          <w:p w14:paraId="6BE9A64C" w14:textId="77777777" w:rsidR="003E1630" w:rsidRPr="00024D5A" w:rsidRDefault="003E1630" w:rsidP="00791B1A">
            <w:pPr>
              <w:rPr>
                <w:rFonts w:ascii="Garamond" w:eastAsia="Times New Roman" w:hAnsi="Garamond"/>
                <w:b/>
                <w:bCs/>
                <w:sz w:val="14"/>
                <w:szCs w:val="16"/>
                <w:lang w:eastAsia="en-US"/>
              </w:rPr>
            </w:pPr>
          </w:p>
        </w:tc>
        <w:tc>
          <w:tcPr>
            <w:tcW w:w="732" w:type="pct"/>
            <w:vMerge w:val="restart"/>
            <w:shd w:val="clear" w:color="auto" w:fill="CAEDFA"/>
          </w:tcPr>
          <w:p w14:paraId="7D9D9E54" w14:textId="702B1A38"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Objektivi </w:t>
            </w:r>
            <w:r w:rsidR="0073002C" w:rsidRPr="00024D5A">
              <w:rPr>
                <w:rFonts w:ascii="Garamond" w:eastAsia="Times New Roman" w:hAnsi="Garamond"/>
                <w:sz w:val="14"/>
                <w:szCs w:val="16"/>
                <w:lang w:eastAsia="en-US"/>
              </w:rPr>
              <w:t xml:space="preserve">specifik </w:t>
            </w:r>
            <w:r w:rsidRPr="00024D5A">
              <w:rPr>
                <w:rFonts w:ascii="Garamond" w:eastAsia="Times New Roman" w:hAnsi="Garamond"/>
                <w:sz w:val="14"/>
                <w:szCs w:val="16"/>
                <w:lang w:eastAsia="en-US"/>
              </w:rPr>
              <w:t>2: Aksesueshmëria në transport, në shërbime dhe mjete: Të përmirësohet niveli i aksesueshmërisë në transportin publik, si në mjetet edhe në shërbime ndaj udhëtarëve me aftësi të kufizuara. Të mundësohet udhëtimi falas për personat me aftësi të kufizuara.</w:t>
            </w:r>
          </w:p>
        </w:tc>
        <w:tc>
          <w:tcPr>
            <w:tcW w:w="850" w:type="pct"/>
            <w:vMerge w:val="restart"/>
            <w:shd w:val="clear" w:color="auto" w:fill="CAEDFA"/>
          </w:tcPr>
          <w:p w14:paraId="22CFEBF0" w14:textId="03DCD492"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Operatorët e transportit publik sigurojnë pajisje dhe shërbime të aksesueshme për PAK</w:t>
            </w:r>
            <w:r w:rsidR="0073002C" w:rsidRPr="00024D5A">
              <w:rPr>
                <w:rFonts w:ascii="Garamond" w:eastAsia="Times New Roman" w:hAnsi="Garamond"/>
                <w:sz w:val="14"/>
                <w:szCs w:val="16"/>
                <w:lang w:eastAsia="en-US"/>
              </w:rPr>
              <w:t>-në,</w:t>
            </w:r>
            <w:r w:rsidRPr="00024D5A">
              <w:rPr>
                <w:rFonts w:ascii="Garamond" w:eastAsia="Times New Roman" w:hAnsi="Garamond"/>
                <w:sz w:val="14"/>
                <w:szCs w:val="16"/>
                <w:lang w:eastAsia="en-US"/>
              </w:rPr>
              <w:t xml:space="preserve"> sipas standardeve të BE-së.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 xml:space="preserve">% e </w:t>
            </w:r>
            <w:r w:rsidR="008639DB" w:rsidRPr="00024D5A">
              <w:rPr>
                <w:rFonts w:ascii="Garamond" w:eastAsia="Times New Roman" w:hAnsi="Garamond"/>
                <w:sz w:val="14"/>
                <w:szCs w:val="16"/>
                <w:lang w:eastAsia="en-US"/>
              </w:rPr>
              <w:t xml:space="preserve">stafit </w:t>
            </w:r>
            <w:r w:rsidRPr="00024D5A">
              <w:rPr>
                <w:rFonts w:ascii="Garamond" w:eastAsia="Times New Roman" w:hAnsi="Garamond"/>
                <w:sz w:val="14"/>
                <w:szCs w:val="16"/>
                <w:lang w:eastAsia="en-US"/>
              </w:rPr>
              <w:t>t</w:t>
            </w:r>
            <w:r w:rsidR="0006183E" w:rsidRPr="00024D5A">
              <w:rPr>
                <w:rFonts w:ascii="Garamond" w:eastAsia="Times New Roman" w:hAnsi="Garamond"/>
                <w:sz w:val="14"/>
                <w:szCs w:val="16"/>
                <w:lang w:eastAsia="en-US"/>
              </w:rPr>
              <w:t>ë</w:t>
            </w:r>
            <w:r w:rsidRPr="00024D5A">
              <w:rPr>
                <w:rFonts w:ascii="Garamond" w:eastAsia="Times New Roman" w:hAnsi="Garamond"/>
                <w:sz w:val="14"/>
                <w:szCs w:val="16"/>
                <w:lang w:eastAsia="en-US"/>
              </w:rPr>
              <w:t xml:space="preserve"> trajnuar të zbatojë sjellje të respektueshme dhe ndihmuese ndaj udhëtarëve me aftësi të kufizuara</w:t>
            </w:r>
            <w:r w:rsidR="008639DB"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Raport studimi për përgatitjen e kartës së transportit falas për personat me aftësi të kufizuara</w:t>
            </w:r>
            <w:r w:rsidR="008639DB"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w:t>
            </w:r>
          </w:p>
        </w:tc>
        <w:tc>
          <w:tcPr>
            <w:tcW w:w="282" w:type="pct"/>
            <w:vMerge w:val="restart"/>
            <w:shd w:val="clear" w:color="auto" w:fill="CAEDFA"/>
          </w:tcPr>
          <w:p w14:paraId="1D9B0D90"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N/A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 xml:space="preserve">N/A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 xml:space="preserve">N/A </w:t>
            </w:r>
          </w:p>
        </w:tc>
        <w:tc>
          <w:tcPr>
            <w:tcW w:w="518" w:type="pct"/>
            <w:vMerge w:val="restart"/>
            <w:shd w:val="clear" w:color="auto" w:fill="CAEDFA"/>
          </w:tcPr>
          <w:p w14:paraId="606409B4" w14:textId="3C205C13"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10</w:t>
            </w:r>
            <w:r w:rsidR="00F03D3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nga vlera bazë</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20</w:t>
            </w:r>
            <w:r w:rsidR="00F03D3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nga vlera bazë</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1</w:t>
            </w:r>
          </w:p>
        </w:tc>
        <w:tc>
          <w:tcPr>
            <w:tcW w:w="518" w:type="pct"/>
            <w:vMerge w:val="restart"/>
            <w:shd w:val="clear" w:color="auto" w:fill="CAEDFA"/>
          </w:tcPr>
          <w:p w14:paraId="78D527A9" w14:textId="0382FAD8"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30% nga vlera bazë</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20</w:t>
            </w:r>
            <w:r w:rsidR="00F03D3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nga vlera bazë</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1</w:t>
            </w:r>
          </w:p>
        </w:tc>
        <w:tc>
          <w:tcPr>
            <w:tcW w:w="666" w:type="pct"/>
            <w:vMerge w:val="restart"/>
            <w:shd w:val="clear" w:color="auto" w:fill="CAEDFA"/>
          </w:tcPr>
          <w:p w14:paraId="03C13AC6" w14:textId="2BBAC577" w:rsidR="006527F4" w:rsidRPr="00024D5A" w:rsidRDefault="006527F4"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MSHMS</w:t>
            </w:r>
          </w:p>
          <w:p w14:paraId="245F8677" w14:textId="57972DC6"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MIE;</w:t>
            </w:r>
            <w:r w:rsidRPr="00024D5A">
              <w:rPr>
                <w:rFonts w:ascii="Garamond" w:eastAsia="Times New Roman" w:hAnsi="Garamond"/>
                <w:sz w:val="14"/>
                <w:szCs w:val="16"/>
                <w:lang w:eastAsia="en-US"/>
              </w:rPr>
              <w:br/>
              <w:t>DPSHTRR;</w:t>
            </w:r>
          </w:p>
          <w:p w14:paraId="7FB657AC" w14:textId="49D39BA9" w:rsidR="003E1630" w:rsidRPr="00024D5A" w:rsidRDefault="005743A8" w:rsidP="00791B1A">
            <w:pPr>
              <w:rPr>
                <w:rFonts w:ascii="Garamond" w:eastAsia="Times New Roman" w:hAnsi="Garamond" w:cs="Arial"/>
                <w:sz w:val="14"/>
                <w:szCs w:val="16"/>
                <w:lang w:eastAsia="en-US"/>
              </w:rPr>
            </w:pPr>
            <w:r w:rsidRPr="00024D5A">
              <w:rPr>
                <w:rFonts w:ascii="Garamond" w:eastAsia="Times New Roman" w:hAnsi="Garamond" w:cs="Arial"/>
                <w:sz w:val="14"/>
                <w:szCs w:val="16"/>
                <w:lang w:eastAsia="en-US"/>
              </w:rPr>
              <w:t>MSHPV</w:t>
            </w:r>
            <w:r w:rsidR="008639DB" w:rsidRPr="00024D5A">
              <w:rPr>
                <w:rFonts w:ascii="Garamond" w:eastAsia="Times New Roman" w:hAnsi="Garamond" w:cs="Arial"/>
                <w:sz w:val="14"/>
                <w:szCs w:val="16"/>
                <w:lang w:eastAsia="en-US"/>
              </w:rPr>
              <w:t>;</w:t>
            </w:r>
          </w:p>
          <w:p w14:paraId="41931737" w14:textId="56078C31" w:rsidR="006527F4" w:rsidRPr="00024D5A" w:rsidRDefault="005743A8" w:rsidP="00791B1A">
            <w:pPr>
              <w:rPr>
                <w:rFonts w:ascii="Garamond" w:eastAsia="Times New Roman" w:hAnsi="Garamond"/>
                <w:sz w:val="14"/>
                <w:szCs w:val="16"/>
                <w:lang w:eastAsia="en-US"/>
              </w:rPr>
            </w:pPr>
            <w:r w:rsidRPr="00024D5A">
              <w:rPr>
                <w:rFonts w:ascii="Garamond" w:eastAsia="Times New Roman" w:hAnsi="Garamond" w:cs="Arial"/>
                <w:sz w:val="14"/>
                <w:szCs w:val="16"/>
                <w:lang w:eastAsia="en-US"/>
              </w:rPr>
              <w:t>AMVV</w:t>
            </w:r>
            <w:r w:rsidR="008639DB" w:rsidRPr="00024D5A">
              <w:rPr>
                <w:rFonts w:ascii="Garamond" w:eastAsia="Times New Roman" w:hAnsi="Garamond" w:cs="Arial"/>
                <w:sz w:val="14"/>
                <w:szCs w:val="16"/>
                <w:lang w:eastAsia="en-US"/>
              </w:rPr>
              <w:t>;</w:t>
            </w:r>
            <w:r w:rsidRPr="00024D5A">
              <w:rPr>
                <w:rFonts w:ascii="Garamond" w:eastAsia="Times New Roman" w:hAnsi="Garamond" w:cs="Arial"/>
                <w:sz w:val="14"/>
                <w:szCs w:val="16"/>
                <w:lang w:eastAsia="en-US"/>
              </w:rPr>
              <w:t xml:space="preserve"> </w:t>
            </w:r>
            <w:r w:rsidRPr="00024D5A">
              <w:rPr>
                <w:rFonts w:ascii="Garamond" w:eastAsia="Times New Roman" w:hAnsi="Garamond" w:cs="Arial"/>
                <w:sz w:val="14"/>
                <w:szCs w:val="16"/>
                <w:lang w:eastAsia="en-US"/>
              </w:rPr>
              <w:br/>
            </w:r>
            <w:r w:rsidR="003245E7" w:rsidRPr="00024D5A">
              <w:rPr>
                <w:rFonts w:ascii="Garamond" w:eastAsia="Times New Roman" w:hAnsi="Garamond"/>
                <w:sz w:val="14"/>
                <w:szCs w:val="16"/>
                <w:lang w:eastAsia="en-US"/>
              </w:rPr>
              <w:t>NJVV</w:t>
            </w:r>
            <w:r w:rsidRPr="00024D5A">
              <w:rPr>
                <w:rFonts w:ascii="Garamond" w:eastAsia="Times New Roman" w:hAnsi="Garamond"/>
                <w:sz w:val="14"/>
                <w:szCs w:val="16"/>
                <w:lang w:eastAsia="en-US"/>
              </w:rPr>
              <w:t>;</w:t>
            </w:r>
          </w:p>
          <w:p w14:paraId="114E5687" w14:textId="09B5A5FC" w:rsidR="003E1630" w:rsidRPr="00024D5A" w:rsidRDefault="006527F4"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SHSSH</w:t>
            </w:r>
            <w:r w:rsidR="008639DB" w:rsidRPr="00024D5A">
              <w:rPr>
                <w:rFonts w:ascii="Garamond" w:eastAsia="Times New Roman" w:hAnsi="Garamond"/>
                <w:sz w:val="14"/>
                <w:szCs w:val="16"/>
                <w:lang w:eastAsia="en-US"/>
              </w:rPr>
              <w:t>;</w:t>
            </w:r>
            <w:r w:rsidR="005743A8" w:rsidRPr="00024D5A">
              <w:rPr>
                <w:rFonts w:ascii="Garamond" w:eastAsia="Times New Roman" w:hAnsi="Garamond"/>
                <w:sz w:val="14"/>
                <w:szCs w:val="16"/>
                <w:lang w:eastAsia="en-US"/>
              </w:rPr>
              <w:br/>
              <w:t>Kompani transporti</w:t>
            </w:r>
            <w:r w:rsidR="007675EC" w:rsidRPr="00024D5A">
              <w:rPr>
                <w:rFonts w:ascii="Garamond" w:eastAsia="Times New Roman" w:hAnsi="Garamond"/>
                <w:sz w:val="14"/>
                <w:szCs w:val="16"/>
                <w:lang w:eastAsia="en-US"/>
              </w:rPr>
              <w:t>/</w:t>
            </w:r>
            <w:r w:rsidR="005743A8" w:rsidRPr="00024D5A">
              <w:rPr>
                <w:rFonts w:ascii="Garamond" w:eastAsia="Times New Roman" w:hAnsi="Garamond"/>
                <w:sz w:val="14"/>
                <w:szCs w:val="16"/>
                <w:lang w:eastAsia="en-US"/>
              </w:rPr>
              <w:t>taksish;</w:t>
            </w:r>
            <w:r w:rsidR="005743A8" w:rsidRPr="00024D5A">
              <w:rPr>
                <w:rFonts w:ascii="Garamond" w:eastAsia="Times New Roman" w:hAnsi="Garamond"/>
                <w:sz w:val="14"/>
                <w:szCs w:val="16"/>
                <w:lang w:eastAsia="en-US"/>
              </w:rPr>
              <w:br/>
            </w:r>
            <w:r w:rsidR="00BA4F73" w:rsidRPr="00024D5A">
              <w:rPr>
                <w:rFonts w:ascii="Garamond" w:eastAsia="Times New Roman" w:hAnsi="Garamond"/>
                <w:sz w:val="14"/>
                <w:szCs w:val="16"/>
                <w:lang w:eastAsia="en-US"/>
              </w:rPr>
              <w:t>OJF</w:t>
            </w:r>
            <w:r w:rsidR="008639DB" w:rsidRPr="00024D5A">
              <w:rPr>
                <w:rFonts w:ascii="Garamond" w:eastAsia="Times New Roman" w:hAnsi="Garamond"/>
                <w:sz w:val="14"/>
                <w:szCs w:val="16"/>
                <w:lang w:eastAsia="en-US"/>
              </w:rPr>
              <w:t>.</w:t>
            </w:r>
          </w:p>
        </w:tc>
        <w:tc>
          <w:tcPr>
            <w:tcW w:w="1022" w:type="pct"/>
            <w:vMerge w:val="restart"/>
            <w:shd w:val="clear" w:color="auto" w:fill="CAEDFA"/>
          </w:tcPr>
          <w:p w14:paraId="055A2208" w14:textId="580DD8A4"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Strategjia e BE-së 2021</w:t>
            </w:r>
            <w:r w:rsidR="008639DB"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2030 (aksesueshmëri, mosdiskriminim, shërbime të barabarta);</w:t>
            </w:r>
            <w:r w:rsidRPr="00024D5A">
              <w:rPr>
                <w:rFonts w:ascii="Garamond" w:eastAsia="Times New Roman" w:hAnsi="Garamond"/>
                <w:sz w:val="14"/>
                <w:szCs w:val="16"/>
                <w:lang w:eastAsia="en-US"/>
              </w:rPr>
              <w:br/>
              <w:t>Legjislacioni i BE-së për të Drejtat e Pasagjerëve</w:t>
            </w:r>
            <w:r w:rsidRPr="00024D5A">
              <w:rPr>
                <w:rFonts w:ascii="Garamond" w:eastAsia="Times New Roman" w:hAnsi="Garamond"/>
                <w:sz w:val="14"/>
                <w:szCs w:val="16"/>
                <w:lang w:eastAsia="en-US"/>
              </w:rPr>
              <w:br/>
              <w:t>Aksesueshmëria Digjitale;</w:t>
            </w:r>
            <w:r w:rsidRPr="00024D5A">
              <w:rPr>
                <w:rFonts w:ascii="Garamond" w:eastAsia="Times New Roman" w:hAnsi="Garamond"/>
                <w:sz w:val="14"/>
                <w:szCs w:val="16"/>
                <w:lang w:eastAsia="en-US"/>
              </w:rPr>
              <w:br/>
              <w:t>Bileta elektronike dhe aplikacione të aksesueshme; Informacion audio dhe vizual në kohë reale;</w:t>
            </w:r>
            <w:r w:rsidRPr="00024D5A">
              <w:rPr>
                <w:rFonts w:ascii="Garamond" w:eastAsia="Times New Roman" w:hAnsi="Garamond"/>
                <w:sz w:val="14"/>
                <w:szCs w:val="16"/>
                <w:lang w:eastAsia="en-US"/>
              </w:rPr>
              <w:br/>
              <w:t xml:space="preserve">Standarde </w:t>
            </w:r>
            <w:r w:rsidR="008639DB" w:rsidRPr="00024D5A">
              <w:rPr>
                <w:rFonts w:ascii="Garamond" w:eastAsia="Times New Roman" w:hAnsi="Garamond"/>
                <w:sz w:val="14"/>
                <w:szCs w:val="16"/>
                <w:lang w:eastAsia="en-US"/>
              </w:rPr>
              <w:t>W</w:t>
            </w:r>
            <w:r w:rsidRPr="00024D5A">
              <w:rPr>
                <w:rFonts w:ascii="Garamond" w:eastAsia="Times New Roman" w:hAnsi="Garamond"/>
                <w:sz w:val="14"/>
                <w:szCs w:val="16"/>
                <w:lang w:eastAsia="en-US"/>
              </w:rPr>
              <w:t>CAG për faqet e transportit publik;</w:t>
            </w:r>
            <w:r w:rsidRPr="00024D5A">
              <w:rPr>
                <w:rFonts w:ascii="Garamond" w:eastAsia="Times New Roman" w:hAnsi="Garamond"/>
                <w:sz w:val="14"/>
                <w:szCs w:val="16"/>
                <w:lang w:eastAsia="en-US"/>
              </w:rPr>
              <w:br/>
              <w:t xml:space="preserve">Parimi i </w:t>
            </w:r>
            <w:r w:rsidR="0078161D"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Design for All</w:t>
            </w:r>
            <w:r w:rsidR="0078161D"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br/>
              <w:t>Autobusë me platforma ngritëse;</w:t>
            </w:r>
            <w:r w:rsidRPr="00024D5A">
              <w:rPr>
                <w:rFonts w:ascii="Garamond" w:eastAsia="Times New Roman" w:hAnsi="Garamond"/>
                <w:sz w:val="14"/>
                <w:szCs w:val="16"/>
                <w:lang w:eastAsia="en-US"/>
              </w:rPr>
              <w:br/>
              <w:t>Stacione me ashensorë dhe rampa;</w:t>
            </w:r>
            <w:r w:rsidRPr="00024D5A">
              <w:rPr>
                <w:rFonts w:ascii="Garamond" w:eastAsia="Times New Roman" w:hAnsi="Garamond"/>
                <w:sz w:val="14"/>
                <w:szCs w:val="16"/>
                <w:lang w:eastAsia="en-US"/>
              </w:rPr>
              <w:br/>
              <w:t>Sinjalistikë me Braille dhe njoftime zanore.</w:t>
            </w:r>
          </w:p>
        </w:tc>
      </w:tr>
      <w:tr w:rsidR="003E1630" w:rsidRPr="00024D5A" w14:paraId="0A75A3D3" w14:textId="77777777" w:rsidTr="00F03D39">
        <w:trPr>
          <w:trHeight w:val="158"/>
          <w:jc w:val="center"/>
        </w:trPr>
        <w:tc>
          <w:tcPr>
            <w:tcW w:w="411" w:type="pct"/>
            <w:vMerge/>
          </w:tcPr>
          <w:p w14:paraId="1E38C99C" w14:textId="77777777" w:rsidR="003E1630" w:rsidRPr="00024D5A" w:rsidRDefault="003E1630" w:rsidP="00791B1A">
            <w:pPr>
              <w:rPr>
                <w:rFonts w:ascii="Garamond" w:eastAsia="Times New Roman" w:hAnsi="Garamond"/>
                <w:b/>
                <w:bCs/>
                <w:sz w:val="14"/>
                <w:szCs w:val="16"/>
                <w:lang w:eastAsia="en-US"/>
              </w:rPr>
            </w:pPr>
          </w:p>
        </w:tc>
        <w:tc>
          <w:tcPr>
            <w:tcW w:w="732" w:type="pct"/>
            <w:vMerge/>
          </w:tcPr>
          <w:p w14:paraId="039B25E4" w14:textId="77777777" w:rsidR="003E1630" w:rsidRPr="00024D5A" w:rsidRDefault="003E1630" w:rsidP="00791B1A">
            <w:pPr>
              <w:rPr>
                <w:rFonts w:ascii="Garamond" w:eastAsia="Times New Roman" w:hAnsi="Garamond"/>
                <w:sz w:val="14"/>
                <w:szCs w:val="16"/>
                <w:lang w:eastAsia="en-US"/>
              </w:rPr>
            </w:pPr>
          </w:p>
        </w:tc>
        <w:tc>
          <w:tcPr>
            <w:tcW w:w="850" w:type="pct"/>
            <w:vMerge/>
          </w:tcPr>
          <w:p w14:paraId="7209427D" w14:textId="77777777" w:rsidR="003E1630" w:rsidRPr="00024D5A" w:rsidRDefault="003E1630" w:rsidP="00791B1A">
            <w:pPr>
              <w:rPr>
                <w:rFonts w:ascii="Garamond" w:eastAsia="Times New Roman" w:hAnsi="Garamond"/>
                <w:sz w:val="14"/>
                <w:szCs w:val="16"/>
                <w:lang w:eastAsia="en-US"/>
              </w:rPr>
            </w:pPr>
          </w:p>
        </w:tc>
        <w:tc>
          <w:tcPr>
            <w:tcW w:w="282" w:type="pct"/>
            <w:vMerge/>
          </w:tcPr>
          <w:p w14:paraId="6848AB1F" w14:textId="77777777" w:rsidR="003E1630" w:rsidRPr="00024D5A" w:rsidRDefault="003E1630" w:rsidP="00791B1A">
            <w:pPr>
              <w:rPr>
                <w:rFonts w:ascii="Garamond" w:eastAsia="Times New Roman" w:hAnsi="Garamond"/>
                <w:sz w:val="14"/>
                <w:szCs w:val="16"/>
                <w:lang w:eastAsia="en-US"/>
              </w:rPr>
            </w:pPr>
          </w:p>
        </w:tc>
        <w:tc>
          <w:tcPr>
            <w:tcW w:w="518" w:type="pct"/>
            <w:vMerge/>
          </w:tcPr>
          <w:p w14:paraId="46D9ABE3" w14:textId="77777777" w:rsidR="003E1630" w:rsidRPr="00024D5A" w:rsidRDefault="003E1630" w:rsidP="00791B1A">
            <w:pPr>
              <w:rPr>
                <w:rFonts w:ascii="Garamond" w:eastAsia="Times New Roman" w:hAnsi="Garamond"/>
                <w:sz w:val="14"/>
                <w:szCs w:val="16"/>
                <w:lang w:eastAsia="en-US"/>
              </w:rPr>
            </w:pPr>
          </w:p>
        </w:tc>
        <w:tc>
          <w:tcPr>
            <w:tcW w:w="518" w:type="pct"/>
            <w:vMerge/>
          </w:tcPr>
          <w:p w14:paraId="27A40553" w14:textId="77777777" w:rsidR="003E1630" w:rsidRPr="00024D5A" w:rsidRDefault="003E1630" w:rsidP="00791B1A">
            <w:pPr>
              <w:rPr>
                <w:rFonts w:ascii="Garamond" w:eastAsia="Times New Roman" w:hAnsi="Garamond"/>
                <w:sz w:val="14"/>
                <w:szCs w:val="16"/>
                <w:lang w:eastAsia="en-US"/>
              </w:rPr>
            </w:pPr>
          </w:p>
        </w:tc>
        <w:tc>
          <w:tcPr>
            <w:tcW w:w="666" w:type="pct"/>
            <w:vMerge/>
          </w:tcPr>
          <w:p w14:paraId="5A6CFD2B" w14:textId="77777777" w:rsidR="003E1630" w:rsidRPr="00024D5A" w:rsidRDefault="003E1630" w:rsidP="00791B1A">
            <w:pPr>
              <w:rPr>
                <w:rFonts w:ascii="Garamond" w:eastAsia="Times New Roman" w:hAnsi="Garamond"/>
                <w:sz w:val="14"/>
                <w:szCs w:val="16"/>
                <w:lang w:eastAsia="en-US"/>
              </w:rPr>
            </w:pPr>
          </w:p>
        </w:tc>
        <w:tc>
          <w:tcPr>
            <w:tcW w:w="1022" w:type="pct"/>
            <w:vMerge/>
          </w:tcPr>
          <w:p w14:paraId="2239476B" w14:textId="77777777" w:rsidR="003E1630" w:rsidRPr="00024D5A" w:rsidRDefault="003E1630" w:rsidP="00791B1A">
            <w:pPr>
              <w:rPr>
                <w:rFonts w:ascii="Garamond" w:eastAsia="Times New Roman" w:hAnsi="Garamond"/>
                <w:sz w:val="14"/>
                <w:szCs w:val="16"/>
                <w:lang w:eastAsia="en-US"/>
              </w:rPr>
            </w:pPr>
          </w:p>
        </w:tc>
      </w:tr>
      <w:tr w:rsidR="003E1630" w:rsidRPr="00024D5A" w14:paraId="53E272F0" w14:textId="77777777" w:rsidTr="00F03D39">
        <w:trPr>
          <w:trHeight w:val="158"/>
          <w:jc w:val="center"/>
        </w:trPr>
        <w:tc>
          <w:tcPr>
            <w:tcW w:w="411" w:type="pct"/>
            <w:vMerge/>
          </w:tcPr>
          <w:p w14:paraId="5E1A81DC" w14:textId="77777777" w:rsidR="003E1630" w:rsidRPr="00024D5A" w:rsidRDefault="003E1630" w:rsidP="00791B1A">
            <w:pPr>
              <w:rPr>
                <w:rFonts w:ascii="Garamond" w:eastAsia="Times New Roman" w:hAnsi="Garamond"/>
                <w:b/>
                <w:bCs/>
                <w:sz w:val="14"/>
                <w:szCs w:val="16"/>
                <w:lang w:eastAsia="en-US"/>
              </w:rPr>
            </w:pPr>
          </w:p>
        </w:tc>
        <w:tc>
          <w:tcPr>
            <w:tcW w:w="732" w:type="pct"/>
            <w:vMerge/>
          </w:tcPr>
          <w:p w14:paraId="39F4B535" w14:textId="77777777" w:rsidR="003E1630" w:rsidRPr="00024D5A" w:rsidRDefault="003E1630" w:rsidP="00791B1A">
            <w:pPr>
              <w:rPr>
                <w:rFonts w:ascii="Garamond" w:eastAsia="Times New Roman" w:hAnsi="Garamond"/>
                <w:sz w:val="14"/>
                <w:szCs w:val="16"/>
                <w:lang w:eastAsia="en-US"/>
              </w:rPr>
            </w:pPr>
          </w:p>
        </w:tc>
        <w:tc>
          <w:tcPr>
            <w:tcW w:w="850" w:type="pct"/>
            <w:vMerge/>
          </w:tcPr>
          <w:p w14:paraId="7BD87563" w14:textId="77777777" w:rsidR="003E1630" w:rsidRPr="00024D5A" w:rsidRDefault="003E1630" w:rsidP="00791B1A">
            <w:pPr>
              <w:rPr>
                <w:rFonts w:ascii="Garamond" w:eastAsia="Times New Roman" w:hAnsi="Garamond"/>
                <w:sz w:val="14"/>
                <w:szCs w:val="16"/>
                <w:lang w:eastAsia="en-US"/>
              </w:rPr>
            </w:pPr>
          </w:p>
        </w:tc>
        <w:tc>
          <w:tcPr>
            <w:tcW w:w="282" w:type="pct"/>
            <w:vMerge/>
          </w:tcPr>
          <w:p w14:paraId="3A1C4D94" w14:textId="77777777" w:rsidR="003E1630" w:rsidRPr="00024D5A" w:rsidRDefault="003E1630" w:rsidP="00791B1A">
            <w:pPr>
              <w:rPr>
                <w:rFonts w:ascii="Garamond" w:eastAsia="Times New Roman" w:hAnsi="Garamond"/>
                <w:sz w:val="14"/>
                <w:szCs w:val="16"/>
                <w:lang w:eastAsia="en-US"/>
              </w:rPr>
            </w:pPr>
          </w:p>
        </w:tc>
        <w:tc>
          <w:tcPr>
            <w:tcW w:w="518" w:type="pct"/>
            <w:vMerge/>
          </w:tcPr>
          <w:p w14:paraId="6AD8EEEB" w14:textId="77777777" w:rsidR="003E1630" w:rsidRPr="00024D5A" w:rsidRDefault="003E1630" w:rsidP="00791B1A">
            <w:pPr>
              <w:rPr>
                <w:rFonts w:ascii="Garamond" w:eastAsia="Times New Roman" w:hAnsi="Garamond"/>
                <w:sz w:val="14"/>
                <w:szCs w:val="16"/>
                <w:lang w:eastAsia="en-US"/>
              </w:rPr>
            </w:pPr>
          </w:p>
        </w:tc>
        <w:tc>
          <w:tcPr>
            <w:tcW w:w="518" w:type="pct"/>
            <w:vMerge/>
          </w:tcPr>
          <w:p w14:paraId="1F52AA81" w14:textId="77777777" w:rsidR="003E1630" w:rsidRPr="00024D5A" w:rsidRDefault="003E1630" w:rsidP="00791B1A">
            <w:pPr>
              <w:rPr>
                <w:rFonts w:ascii="Garamond" w:eastAsia="Times New Roman" w:hAnsi="Garamond"/>
                <w:sz w:val="14"/>
                <w:szCs w:val="16"/>
                <w:lang w:eastAsia="en-US"/>
              </w:rPr>
            </w:pPr>
          </w:p>
        </w:tc>
        <w:tc>
          <w:tcPr>
            <w:tcW w:w="666" w:type="pct"/>
            <w:vMerge/>
          </w:tcPr>
          <w:p w14:paraId="4163D787" w14:textId="77777777" w:rsidR="003E1630" w:rsidRPr="00024D5A" w:rsidRDefault="003E1630" w:rsidP="00791B1A">
            <w:pPr>
              <w:rPr>
                <w:rFonts w:ascii="Garamond" w:eastAsia="Times New Roman" w:hAnsi="Garamond"/>
                <w:sz w:val="14"/>
                <w:szCs w:val="16"/>
                <w:lang w:eastAsia="en-US"/>
              </w:rPr>
            </w:pPr>
          </w:p>
        </w:tc>
        <w:tc>
          <w:tcPr>
            <w:tcW w:w="1022" w:type="pct"/>
            <w:vMerge/>
          </w:tcPr>
          <w:p w14:paraId="2E502684" w14:textId="77777777" w:rsidR="003E1630" w:rsidRPr="00024D5A" w:rsidRDefault="003E1630" w:rsidP="00791B1A">
            <w:pPr>
              <w:rPr>
                <w:rFonts w:ascii="Garamond" w:eastAsia="Times New Roman" w:hAnsi="Garamond"/>
                <w:sz w:val="14"/>
                <w:szCs w:val="16"/>
                <w:lang w:eastAsia="en-US"/>
              </w:rPr>
            </w:pPr>
          </w:p>
        </w:tc>
      </w:tr>
      <w:tr w:rsidR="003E1630" w:rsidRPr="00024D5A" w14:paraId="5117FEC3" w14:textId="77777777" w:rsidTr="00F03D39">
        <w:trPr>
          <w:trHeight w:val="158"/>
          <w:jc w:val="center"/>
        </w:trPr>
        <w:tc>
          <w:tcPr>
            <w:tcW w:w="411" w:type="pct"/>
            <w:vMerge/>
          </w:tcPr>
          <w:p w14:paraId="31604AFD" w14:textId="77777777" w:rsidR="003E1630" w:rsidRPr="00024D5A" w:rsidRDefault="003E1630" w:rsidP="00791B1A">
            <w:pPr>
              <w:rPr>
                <w:rFonts w:ascii="Garamond" w:eastAsia="Times New Roman" w:hAnsi="Garamond"/>
                <w:b/>
                <w:bCs/>
                <w:sz w:val="14"/>
                <w:szCs w:val="16"/>
                <w:lang w:eastAsia="en-US"/>
              </w:rPr>
            </w:pPr>
          </w:p>
        </w:tc>
        <w:tc>
          <w:tcPr>
            <w:tcW w:w="732" w:type="pct"/>
            <w:vMerge/>
          </w:tcPr>
          <w:p w14:paraId="562991AB" w14:textId="77777777" w:rsidR="003E1630" w:rsidRPr="00024D5A" w:rsidRDefault="003E1630" w:rsidP="00791B1A">
            <w:pPr>
              <w:rPr>
                <w:rFonts w:ascii="Garamond" w:eastAsia="Times New Roman" w:hAnsi="Garamond"/>
                <w:sz w:val="14"/>
                <w:szCs w:val="16"/>
                <w:lang w:eastAsia="en-US"/>
              </w:rPr>
            </w:pPr>
          </w:p>
        </w:tc>
        <w:tc>
          <w:tcPr>
            <w:tcW w:w="850" w:type="pct"/>
            <w:vMerge/>
          </w:tcPr>
          <w:p w14:paraId="13C62B16" w14:textId="77777777" w:rsidR="003E1630" w:rsidRPr="00024D5A" w:rsidRDefault="003E1630" w:rsidP="00791B1A">
            <w:pPr>
              <w:rPr>
                <w:rFonts w:ascii="Garamond" w:eastAsia="Times New Roman" w:hAnsi="Garamond"/>
                <w:sz w:val="14"/>
                <w:szCs w:val="16"/>
                <w:lang w:eastAsia="en-US"/>
              </w:rPr>
            </w:pPr>
          </w:p>
        </w:tc>
        <w:tc>
          <w:tcPr>
            <w:tcW w:w="282" w:type="pct"/>
            <w:vMerge/>
          </w:tcPr>
          <w:p w14:paraId="346F95ED" w14:textId="77777777" w:rsidR="003E1630" w:rsidRPr="00024D5A" w:rsidRDefault="003E1630" w:rsidP="00791B1A">
            <w:pPr>
              <w:rPr>
                <w:rFonts w:ascii="Garamond" w:eastAsia="Times New Roman" w:hAnsi="Garamond"/>
                <w:sz w:val="14"/>
                <w:szCs w:val="16"/>
                <w:lang w:eastAsia="en-US"/>
              </w:rPr>
            </w:pPr>
          </w:p>
        </w:tc>
        <w:tc>
          <w:tcPr>
            <w:tcW w:w="518" w:type="pct"/>
            <w:vMerge/>
          </w:tcPr>
          <w:p w14:paraId="37D78202" w14:textId="77777777" w:rsidR="003E1630" w:rsidRPr="00024D5A" w:rsidRDefault="003E1630" w:rsidP="00791B1A">
            <w:pPr>
              <w:rPr>
                <w:rFonts w:ascii="Garamond" w:eastAsia="Times New Roman" w:hAnsi="Garamond"/>
                <w:sz w:val="14"/>
                <w:szCs w:val="16"/>
                <w:lang w:eastAsia="en-US"/>
              </w:rPr>
            </w:pPr>
          </w:p>
        </w:tc>
        <w:tc>
          <w:tcPr>
            <w:tcW w:w="518" w:type="pct"/>
            <w:vMerge/>
          </w:tcPr>
          <w:p w14:paraId="61A3698E" w14:textId="77777777" w:rsidR="003E1630" w:rsidRPr="00024D5A" w:rsidRDefault="003E1630" w:rsidP="00791B1A">
            <w:pPr>
              <w:rPr>
                <w:rFonts w:ascii="Garamond" w:eastAsia="Times New Roman" w:hAnsi="Garamond"/>
                <w:sz w:val="14"/>
                <w:szCs w:val="16"/>
                <w:lang w:eastAsia="en-US"/>
              </w:rPr>
            </w:pPr>
          </w:p>
        </w:tc>
        <w:tc>
          <w:tcPr>
            <w:tcW w:w="666" w:type="pct"/>
            <w:vMerge/>
          </w:tcPr>
          <w:p w14:paraId="55155CD4" w14:textId="77777777" w:rsidR="003E1630" w:rsidRPr="00024D5A" w:rsidRDefault="003E1630" w:rsidP="00791B1A">
            <w:pPr>
              <w:rPr>
                <w:rFonts w:ascii="Garamond" w:eastAsia="Times New Roman" w:hAnsi="Garamond"/>
                <w:sz w:val="14"/>
                <w:szCs w:val="16"/>
                <w:lang w:eastAsia="en-US"/>
              </w:rPr>
            </w:pPr>
          </w:p>
        </w:tc>
        <w:tc>
          <w:tcPr>
            <w:tcW w:w="1022" w:type="pct"/>
            <w:vMerge/>
          </w:tcPr>
          <w:p w14:paraId="2F970E9A" w14:textId="77777777" w:rsidR="003E1630" w:rsidRPr="00024D5A" w:rsidRDefault="003E1630" w:rsidP="00791B1A">
            <w:pPr>
              <w:rPr>
                <w:rFonts w:ascii="Garamond" w:eastAsia="Times New Roman" w:hAnsi="Garamond"/>
                <w:sz w:val="14"/>
                <w:szCs w:val="16"/>
                <w:lang w:eastAsia="en-US"/>
              </w:rPr>
            </w:pPr>
          </w:p>
        </w:tc>
      </w:tr>
      <w:tr w:rsidR="003E1630" w:rsidRPr="00024D5A" w14:paraId="6B40522B" w14:textId="77777777" w:rsidTr="00F03D39">
        <w:trPr>
          <w:trHeight w:val="158"/>
          <w:jc w:val="center"/>
        </w:trPr>
        <w:tc>
          <w:tcPr>
            <w:tcW w:w="411" w:type="pct"/>
            <w:vMerge/>
          </w:tcPr>
          <w:p w14:paraId="2095705C" w14:textId="77777777" w:rsidR="003E1630" w:rsidRPr="00024D5A" w:rsidRDefault="003E1630" w:rsidP="00791B1A">
            <w:pPr>
              <w:rPr>
                <w:rFonts w:ascii="Garamond" w:eastAsia="Times New Roman" w:hAnsi="Garamond"/>
                <w:b/>
                <w:bCs/>
                <w:sz w:val="14"/>
                <w:szCs w:val="16"/>
                <w:lang w:eastAsia="en-US"/>
              </w:rPr>
            </w:pPr>
          </w:p>
        </w:tc>
        <w:tc>
          <w:tcPr>
            <w:tcW w:w="732" w:type="pct"/>
            <w:vMerge/>
          </w:tcPr>
          <w:p w14:paraId="20043405" w14:textId="77777777" w:rsidR="003E1630" w:rsidRPr="00024D5A" w:rsidRDefault="003E1630" w:rsidP="00791B1A">
            <w:pPr>
              <w:rPr>
                <w:rFonts w:ascii="Garamond" w:eastAsia="Times New Roman" w:hAnsi="Garamond"/>
                <w:sz w:val="14"/>
                <w:szCs w:val="16"/>
                <w:lang w:eastAsia="en-US"/>
              </w:rPr>
            </w:pPr>
          </w:p>
        </w:tc>
        <w:tc>
          <w:tcPr>
            <w:tcW w:w="850" w:type="pct"/>
            <w:vMerge/>
          </w:tcPr>
          <w:p w14:paraId="5C4C58F0" w14:textId="77777777" w:rsidR="003E1630" w:rsidRPr="00024D5A" w:rsidRDefault="003E1630" w:rsidP="00791B1A">
            <w:pPr>
              <w:rPr>
                <w:rFonts w:ascii="Garamond" w:eastAsia="Times New Roman" w:hAnsi="Garamond"/>
                <w:sz w:val="14"/>
                <w:szCs w:val="16"/>
                <w:lang w:eastAsia="en-US"/>
              </w:rPr>
            </w:pPr>
          </w:p>
        </w:tc>
        <w:tc>
          <w:tcPr>
            <w:tcW w:w="282" w:type="pct"/>
            <w:vMerge/>
          </w:tcPr>
          <w:p w14:paraId="77FCE712" w14:textId="77777777" w:rsidR="003E1630" w:rsidRPr="00024D5A" w:rsidRDefault="003E1630" w:rsidP="00791B1A">
            <w:pPr>
              <w:rPr>
                <w:rFonts w:ascii="Garamond" w:eastAsia="Times New Roman" w:hAnsi="Garamond"/>
                <w:sz w:val="14"/>
                <w:szCs w:val="16"/>
                <w:lang w:eastAsia="en-US"/>
              </w:rPr>
            </w:pPr>
          </w:p>
        </w:tc>
        <w:tc>
          <w:tcPr>
            <w:tcW w:w="518" w:type="pct"/>
            <w:vMerge/>
          </w:tcPr>
          <w:p w14:paraId="3C398F5B" w14:textId="77777777" w:rsidR="003E1630" w:rsidRPr="00024D5A" w:rsidRDefault="003E1630" w:rsidP="00791B1A">
            <w:pPr>
              <w:rPr>
                <w:rFonts w:ascii="Garamond" w:eastAsia="Times New Roman" w:hAnsi="Garamond"/>
                <w:sz w:val="14"/>
                <w:szCs w:val="16"/>
                <w:lang w:eastAsia="en-US"/>
              </w:rPr>
            </w:pPr>
          </w:p>
        </w:tc>
        <w:tc>
          <w:tcPr>
            <w:tcW w:w="518" w:type="pct"/>
            <w:vMerge/>
          </w:tcPr>
          <w:p w14:paraId="073D6C9B" w14:textId="77777777" w:rsidR="003E1630" w:rsidRPr="00024D5A" w:rsidRDefault="003E1630" w:rsidP="00791B1A">
            <w:pPr>
              <w:rPr>
                <w:rFonts w:ascii="Garamond" w:eastAsia="Times New Roman" w:hAnsi="Garamond"/>
                <w:sz w:val="14"/>
                <w:szCs w:val="16"/>
                <w:lang w:eastAsia="en-US"/>
              </w:rPr>
            </w:pPr>
          </w:p>
        </w:tc>
        <w:tc>
          <w:tcPr>
            <w:tcW w:w="666" w:type="pct"/>
            <w:vMerge/>
          </w:tcPr>
          <w:p w14:paraId="5A7C21EA" w14:textId="77777777" w:rsidR="003E1630" w:rsidRPr="00024D5A" w:rsidRDefault="003E1630" w:rsidP="00791B1A">
            <w:pPr>
              <w:rPr>
                <w:rFonts w:ascii="Garamond" w:eastAsia="Times New Roman" w:hAnsi="Garamond"/>
                <w:sz w:val="14"/>
                <w:szCs w:val="16"/>
                <w:lang w:eastAsia="en-US"/>
              </w:rPr>
            </w:pPr>
          </w:p>
        </w:tc>
        <w:tc>
          <w:tcPr>
            <w:tcW w:w="1022" w:type="pct"/>
            <w:vMerge/>
          </w:tcPr>
          <w:p w14:paraId="672E0345" w14:textId="77777777" w:rsidR="003E1630" w:rsidRPr="00024D5A" w:rsidRDefault="003E1630" w:rsidP="00791B1A">
            <w:pPr>
              <w:rPr>
                <w:rFonts w:ascii="Garamond" w:eastAsia="Times New Roman" w:hAnsi="Garamond"/>
                <w:sz w:val="14"/>
                <w:szCs w:val="16"/>
                <w:lang w:eastAsia="en-US"/>
              </w:rPr>
            </w:pPr>
          </w:p>
        </w:tc>
      </w:tr>
      <w:tr w:rsidR="003E1630" w:rsidRPr="00024D5A" w14:paraId="5FE10AC0" w14:textId="77777777" w:rsidTr="00F03D39">
        <w:trPr>
          <w:trHeight w:val="158"/>
          <w:jc w:val="center"/>
        </w:trPr>
        <w:tc>
          <w:tcPr>
            <w:tcW w:w="411" w:type="pct"/>
            <w:vMerge/>
          </w:tcPr>
          <w:p w14:paraId="1D9D2F3D" w14:textId="77777777" w:rsidR="003E1630" w:rsidRPr="00024D5A" w:rsidRDefault="003E1630" w:rsidP="00791B1A">
            <w:pPr>
              <w:rPr>
                <w:rFonts w:ascii="Garamond" w:eastAsia="Times New Roman" w:hAnsi="Garamond"/>
                <w:b/>
                <w:bCs/>
                <w:sz w:val="14"/>
                <w:szCs w:val="16"/>
                <w:lang w:eastAsia="en-US"/>
              </w:rPr>
            </w:pPr>
          </w:p>
        </w:tc>
        <w:tc>
          <w:tcPr>
            <w:tcW w:w="732" w:type="pct"/>
            <w:vMerge/>
          </w:tcPr>
          <w:p w14:paraId="3229F521" w14:textId="77777777" w:rsidR="003E1630" w:rsidRPr="00024D5A" w:rsidRDefault="003E1630" w:rsidP="00791B1A">
            <w:pPr>
              <w:rPr>
                <w:rFonts w:ascii="Garamond" w:eastAsia="Times New Roman" w:hAnsi="Garamond"/>
                <w:sz w:val="14"/>
                <w:szCs w:val="16"/>
                <w:lang w:eastAsia="en-US"/>
              </w:rPr>
            </w:pPr>
          </w:p>
        </w:tc>
        <w:tc>
          <w:tcPr>
            <w:tcW w:w="850" w:type="pct"/>
            <w:vMerge/>
          </w:tcPr>
          <w:p w14:paraId="0EADAEC9" w14:textId="77777777" w:rsidR="003E1630" w:rsidRPr="00024D5A" w:rsidRDefault="003E1630" w:rsidP="00791B1A">
            <w:pPr>
              <w:rPr>
                <w:rFonts w:ascii="Garamond" w:eastAsia="Times New Roman" w:hAnsi="Garamond"/>
                <w:sz w:val="14"/>
                <w:szCs w:val="16"/>
                <w:lang w:eastAsia="en-US"/>
              </w:rPr>
            </w:pPr>
          </w:p>
        </w:tc>
        <w:tc>
          <w:tcPr>
            <w:tcW w:w="282" w:type="pct"/>
            <w:vMerge/>
          </w:tcPr>
          <w:p w14:paraId="3817068C" w14:textId="77777777" w:rsidR="003E1630" w:rsidRPr="00024D5A" w:rsidRDefault="003E1630" w:rsidP="00791B1A">
            <w:pPr>
              <w:rPr>
                <w:rFonts w:ascii="Garamond" w:eastAsia="Times New Roman" w:hAnsi="Garamond"/>
                <w:sz w:val="14"/>
                <w:szCs w:val="16"/>
                <w:lang w:eastAsia="en-US"/>
              </w:rPr>
            </w:pPr>
          </w:p>
        </w:tc>
        <w:tc>
          <w:tcPr>
            <w:tcW w:w="518" w:type="pct"/>
            <w:vMerge/>
          </w:tcPr>
          <w:p w14:paraId="6663052B" w14:textId="77777777" w:rsidR="003E1630" w:rsidRPr="00024D5A" w:rsidRDefault="003E1630" w:rsidP="00791B1A">
            <w:pPr>
              <w:rPr>
                <w:rFonts w:ascii="Garamond" w:eastAsia="Times New Roman" w:hAnsi="Garamond"/>
                <w:sz w:val="14"/>
                <w:szCs w:val="16"/>
                <w:lang w:eastAsia="en-US"/>
              </w:rPr>
            </w:pPr>
          </w:p>
        </w:tc>
        <w:tc>
          <w:tcPr>
            <w:tcW w:w="518" w:type="pct"/>
            <w:vMerge/>
          </w:tcPr>
          <w:p w14:paraId="7FCA3A6E" w14:textId="77777777" w:rsidR="003E1630" w:rsidRPr="00024D5A" w:rsidRDefault="003E1630" w:rsidP="00791B1A">
            <w:pPr>
              <w:rPr>
                <w:rFonts w:ascii="Garamond" w:eastAsia="Times New Roman" w:hAnsi="Garamond"/>
                <w:sz w:val="14"/>
                <w:szCs w:val="16"/>
                <w:lang w:eastAsia="en-US"/>
              </w:rPr>
            </w:pPr>
          </w:p>
        </w:tc>
        <w:tc>
          <w:tcPr>
            <w:tcW w:w="666" w:type="pct"/>
            <w:vMerge/>
          </w:tcPr>
          <w:p w14:paraId="0C3078D0" w14:textId="77777777" w:rsidR="003E1630" w:rsidRPr="00024D5A" w:rsidRDefault="003E1630" w:rsidP="00791B1A">
            <w:pPr>
              <w:rPr>
                <w:rFonts w:ascii="Garamond" w:eastAsia="Times New Roman" w:hAnsi="Garamond"/>
                <w:sz w:val="14"/>
                <w:szCs w:val="16"/>
                <w:lang w:eastAsia="en-US"/>
              </w:rPr>
            </w:pPr>
          </w:p>
        </w:tc>
        <w:tc>
          <w:tcPr>
            <w:tcW w:w="1022" w:type="pct"/>
            <w:vMerge/>
          </w:tcPr>
          <w:p w14:paraId="3A9777F0" w14:textId="77777777" w:rsidR="003E1630" w:rsidRPr="00024D5A" w:rsidRDefault="003E1630" w:rsidP="00791B1A">
            <w:pPr>
              <w:rPr>
                <w:rFonts w:ascii="Garamond" w:eastAsia="Times New Roman" w:hAnsi="Garamond"/>
                <w:sz w:val="14"/>
                <w:szCs w:val="16"/>
                <w:lang w:eastAsia="en-US"/>
              </w:rPr>
            </w:pPr>
          </w:p>
        </w:tc>
      </w:tr>
      <w:tr w:rsidR="003E1630" w:rsidRPr="00024D5A" w14:paraId="5519C803" w14:textId="77777777" w:rsidTr="00F03D39">
        <w:trPr>
          <w:trHeight w:val="158"/>
          <w:jc w:val="center"/>
        </w:trPr>
        <w:tc>
          <w:tcPr>
            <w:tcW w:w="411" w:type="pct"/>
            <w:vMerge/>
          </w:tcPr>
          <w:p w14:paraId="57665C6A" w14:textId="77777777" w:rsidR="003E1630" w:rsidRPr="00024D5A" w:rsidRDefault="003E1630" w:rsidP="00791B1A">
            <w:pPr>
              <w:rPr>
                <w:rFonts w:ascii="Garamond" w:eastAsia="Times New Roman" w:hAnsi="Garamond"/>
                <w:b/>
                <w:bCs/>
                <w:sz w:val="14"/>
                <w:szCs w:val="16"/>
                <w:lang w:eastAsia="en-US"/>
              </w:rPr>
            </w:pPr>
          </w:p>
        </w:tc>
        <w:tc>
          <w:tcPr>
            <w:tcW w:w="732" w:type="pct"/>
            <w:vMerge/>
          </w:tcPr>
          <w:p w14:paraId="0CF4213B" w14:textId="77777777" w:rsidR="003E1630" w:rsidRPr="00024D5A" w:rsidRDefault="003E1630" w:rsidP="00791B1A">
            <w:pPr>
              <w:rPr>
                <w:rFonts w:ascii="Garamond" w:eastAsia="Times New Roman" w:hAnsi="Garamond"/>
                <w:sz w:val="14"/>
                <w:szCs w:val="16"/>
                <w:lang w:eastAsia="en-US"/>
              </w:rPr>
            </w:pPr>
          </w:p>
        </w:tc>
        <w:tc>
          <w:tcPr>
            <w:tcW w:w="850" w:type="pct"/>
            <w:vMerge/>
          </w:tcPr>
          <w:p w14:paraId="0CAB9C4B" w14:textId="77777777" w:rsidR="003E1630" w:rsidRPr="00024D5A" w:rsidRDefault="003E1630" w:rsidP="00791B1A">
            <w:pPr>
              <w:rPr>
                <w:rFonts w:ascii="Garamond" w:eastAsia="Times New Roman" w:hAnsi="Garamond"/>
                <w:sz w:val="14"/>
                <w:szCs w:val="16"/>
                <w:lang w:eastAsia="en-US"/>
              </w:rPr>
            </w:pPr>
          </w:p>
        </w:tc>
        <w:tc>
          <w:tcPr>
            <w:tcW w:w="282" w:type="pct"/>
            <w:vMerge/>
          </w:tcPr>
          <w:p w14:paraId="2E97A424" w14:textId="77777777" w:rsidR="003E1630" w:rsidRPr="00024D5A" w:rsidRDefault="003E1630" w:rsidP="00791B1A">
            <w:pPr>
              <w:rPr>
                <w:rFonts w:ascii="Garamond" w:eastAsia="Times New Roman" w:hAnsi="Garamond"/>
                <w:sz w:val="14"/>
                <w:szCs w:val="16"/>
                <w:lang w:eastAsia="en-US"/>
              </w:rPr>
            </w:pPr>
          </w:p>
        </w:tc>
        <w:tc>
          <w:tcPr>
            <w:tcW w:w="518" w:type="pct"/>
            <w:vMerge/>
          </w:tcPr>
          <w:p w14:paraId="0A80CA14" w14:textId="77777777" w:rsidR="003E1630" w:rsidRPr="00024D5A" w:rsidRDefault="003E1630" w:rsidP="00791B1A">
            <w:pPr>
              <w:rPr>
                <w:rFonts w:ascii="Garamond" w:eastAsia="Times New Roman" w:hAnsi="Garamond"/>
                <w:sz w:val="14"/>
                <w:szCs w:val="16"/>
                <w:lang w:eastAsia="en-US"/>
              </w:rPr>
            </w:pPr>
          </w:p>
        </w:tc>
        <w:tc>
          <w:tcPr>
            <w:tcW w:w="518" w:type="pct"/>
            <w:vMerge/>
          </w:tcPr>
          <w:p w14:paraId="09D5224F" w14:textId="77777777" w:rsidR="003E1630" w:rsidRPr="00024D5A" w:rsidRDefault="003E1630" w:rsidP="00791B1A">
            <w:pPr>
              <w:rPr>
                <w:rFonts w:ascii="Garamond" w:eastAsia="Times New Roman" w:hAnsi="Garamond"/>
                <w:sz w:val="14"/>
                <w:szCs w:val="16"/>
                <w:lang w:eastAsia="en-US"/>
              </w:rPr>
            </w:pPr>
          </w:p>
        </w:tc>
        <w:tc>
          <w:tcPr>
            <w:tcW w:w="666" w:type="pct"/>
            <w:vMerge/>
          </w:tcPr>
          <w:p w14:paraId="5091D749" w14:textId="77777777" w:rsidR="003E1630" w:rsidRPr="00024D5A" w:rsidRDefault="003E1630" w:rsidP="00791B1A">
            <w:pPr>
              <w:rPr>
                <w:rFonts w:ascii="Garamond" w:eastAsia="Times New Roman" w:hAnsi="Garamond"/>
                <w:sz w:val="14"/>
                <w:szCs w:val="16"/>
                <w:lang w:eastAsia="en-US"/>
              </w:rPr>
            </w:pPr>
          </w:p>
        </w:tc>
        <w:tc>
          <w:tcPr>
            <w:tcW w:w="1022" w:type="pct"/>
            <w:vMerge/>
          </w:tcPr>
          <w:p w14:paraId="05FCFA44" w14:textId="77777777" w:rsidR="003E1630" w:rsidRPr="00024D5A" w:rsidRDefault="003E1630" w:rsidP="00791B1A">
            <w:pPr>
              <w:rPr>
                <w:rFonts w:ascii="Garamond" w:eastAsia="Times New Roman" w:hAnsi="Garamond"/>
                <w:sz w:val="14"/>
                <w:szCs w:val="16"/>
                <w:lang w:eastAsia="en-US"/>
              </w:rPr>
            </w:pPr>
          </w:p>
        </w:tc>
      </w:tr>
      <w:tr w:rsidR="003E1630" w:rsidRPr="00024D5A" w14:paraId="2219EF6A" w14:textId="77777777" w:rsidTr="00F03D39">
        <w:trPr>
          <w:trHeight w:val="158"/>
          <w:jc w:val="center"/>
        </w:trPr>
        <w:tc>
          <w:tcPr>
            <w:tcW w:w="411" w:type="pct"/>
            <w:vMerge/>
          </w:tcPr>
          <w:p w14:paraId="591AF59A" w14:textId="77777777" w:rsidR="003E1630" w:rsidRPr="00024D5A" w:rsidRDefault="003E1630" w:rsidP="00791B1A">
            <w:pPr>
              <w:rPr>
                <w:rFonts w:ascii="Garamond" w:eastAsia="Times New Roman" w:hAnsi="Garamond"/>
                <w:b/>
                <w:bCs/>
                <w:sz w:val="14"/>
                <w:szCs w:val="16"/>
                <w:lang w:eastAsia="en-US"/>
              </w:rPr>
            </w:pPr>
          </w:p>
        </w:tc>
        <w:tc>
          <w:tcPr>
            <w:tcW w:w="732" w:type="pct"/>
            <w:vMerge/>
          </w:tcPr>
          <w:p w14:paraId="7A4CFEF7" w14:textId="77777777" w:rsidR="003E1630" w:rsidRPr="00024D5A" w:rsidRDefault="003E1630" w:rsidP="00791B1A">
            <w:pPr>
              <w:rPr>
                <w:rFonts w:ascii="Garamond" w:eastAsia="Times New Roman" w:hAnsi="Garamond"/>
                <w:sz w:val="14"/>
                <w:szCs w:val="16"/>
                <w:lang w:eastAsia="en-US"/>
              </w:rPr>
            </w:pPr>
          </w:p>
        </w:tc>
        <w:tc>
          <w:tcPr>
            <w:tcW w:w="850" w:type="pct"/>
            <w:vMerge/>
          </w:tcPr>
          <w:p w14:paraId="76DE4AC1" w14:textId="77777777" w:rsidR="003E1630" w:rsidRPr="00024D5A" w:rsidRDefault="003E1630" w:rsidP="00791B1A">
            <w:pPr>
              <w:rPr>
                <w:rFonts w:ascii="Garamond" w:eastAsia="Times New Roman" w:hAnsi="Garamond"/>
                <w:sz w:val="14"/>
                <w:szCs w:val="16"/>
                <w:lang w:eastAsia="en-US"/>
              </w:rPr>
            </w:pPr>
          </w:p>
        </w:tc>
        <w:tc>
          <w:tcPr>
            <w:tcW w:w="282" w:type="pct"/>
            <w:vMerge/>
          </w:tcPr>
          <w:p w14:paraId="48E6C639" w14:textId="77777777" w:rsidR="003E1630" w:rsidRPr="00024D5A" w:rsidRDefault="003E1630" w:rsidP="00791B1A">
            <w:pPr>
              <w:rPr>
                <w:rFonts w:ascii="Garamond" w:eastAsia="Times New Roman" w:hAnsi="Garamond"/>
                <w:sz w:val="14"/>
                <w:szCs w:val="16"/>
                <w:lang w:eastAsia="en-US"/>
              </w:rPr>
            </w:pPr>
          </w:p>
        </w:tc>
        <w:tc>
          <w:tcPr>
            <w:tcW w:w="518" w:type="pct"/>
            <w:vMerge/>
          </w:tcPr>
          <w:p w14:paraId="584F5923" w14:textId="77777777" w:rsidR="003E1630" w:rsidRPr="00024D5A" w:rsidRDefault="003E1630" w:rsidP="00791B1A">
            <w:pPr>
              <w:rPr>
                <w:rFonts w:ascii="Garamond" w:eastAsia="Times New Roman" w:hAnsi="Garamond"/>
                <w:sz w:val="14"/>
                <w:szCs w:val="16"/>
                <w:lang w:eastAsia="en-US"/>
              </w:rPr>
            </w:pPr>
          </w:p>
        </w:tc>
        <w:tc>
          <w:tcPr>
            <w:tcW w:w="518" w:type="pct"/>
            <w:vMerge/>
          </w:tcPr>
          <w:p w14:paraId="771B8B26" w14:textId="77777777" w:rsidR="003E1630" w:rsidRPr="00024D5A" w:rsidRDefault="003E1630" w:rsidP="00791B1A">
            <w:pPr>
              <w:rPr>
                <w:rFonts w:ascii="Garamond" w:eastAsia="Times New Roman" w:hAnsi="Garamond"/>
                <w:sz w:val="14"/>
                <w:szCs w:val="16"/>
                <w:lang w:eastAsia="en-US"/>
              </w:rPr>
            </w:pPr>
          </w:p>
        </w:tc>
        <w:tc>
          <w:tcPr>
            <w:tcW w:w="666" w:type="pct"/>
            <w:vMerge/>
          </w:tcPr>
          <w:p w14:paraId="76B61F2C" w14:textId="77777777" w:rsidR="003E1630" w:rsidRPr="00024D5A" w:rsidRDefault="003E1630" w:rsidP="00791B1A">
            <w:pPr>
              <w:rPr>
                <w:rFonts w:ascii="Garamond" w:eastAsia="Times New Roman" w:hAnsi="Garamond"/>
                <w:sz w:val="14"/>
                <w:szCs w:val="16"/>
                <w:lang w:eastAsia="en-US"/>
              </w:rPr>
            </w:pPr>
          </w:p>
        </w:tc>
        <w:tc>
          <w:tcPr>
            <w:tcW w:w="1022" w:type="pct"/>
            <w:vMerge/>
          </w:tcPr>
          <w:p w14:paraId="43D6CA41" w14:textId="77777777" w:rsidR="003E1630" w:rsidRPr="00024D5A" w:rsidRDefault="003E1630" w:rsidP="00791B1A">
            <w:pPr>
              <w:rPr>
                <w:rFonts w:ascii="Garamond" w:eastAsia="Times New Roman" w:hAnsi="Garamond"/>
                <w:sz w:val="14"/>
                <w:szCs w:val="16"/>
                <w:lang w:eastAsia="en-US"/>
              </w:rPr>
            </w:pPr>
          </w:p>
        </w:tc>
      </w:tr>
      <w:tr w:rsidR="003E1630" w:rsidRPr="00024D5A" w14:paraId="7B3CA0E6" w14:textId="77777777" w:rsidTr="00F03D39">
        <w:trPr>
          <w:trHeight w:val="158"/>
          <w:jc w:val="center"/>
        </w:trPr>
        <w:tc>
          <w:tcPr>
            <w:tcW w:w="411" w:type="pct"/>
            <w:vMerge/>
          </w:tcPr>
          <w:p w14:paraId="58027A24" w14:textId="77777777" w:rsidR="003E1630" w:rsidRPr="00024D5A" w:rsidRDefault="003E1630" w:rsidP="00791B1A">
            <w:pPr>
              <w:rPr>
                <w:rFonts w:ascii="Garamond" w:eastAsia="Times New Roman" w:hAnsi="Garamond"/>
                <w:b/>
                <w:bCs/>
                <w:sz w:val="14"/>
                <w:szCs w:val="16"/>
                <w:lang w:eastAsia="en-US"/>
              </w:rPr>
            </w:pPr>
          </w:p>
        </w:tc>
        <w:tc>
          <w:tcPr>
            <w:tcW w:w="732" w:type="pct"/>
            <w:vMerge w:val="restart"/>
            <w:shd w:val="clear" w:color="auto" w:fill="CAEDFA"/>
          </w:tcPr>
          <w:p w14:paraId="72149F9A"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Objektivi specifik 3: Aksesueshmëria në informacion, komunikim dhe media: Të sigurohet akses i barabartë dhe gjithëpërfshirës në informacion, komunikim dhe media për të gjitha kategoritë e personave me aftësi të kufizuara, në të gjitha shërbimet dhe platformat e ofruara për publikun (sportele, portale dhe faqe interneti, pajisje dhe shërbime celulare, transmetime dhe programe televizive, publikime, takime dhe ngjarje publike), duke garantuar përdorimin e sistemeve të informacionit dhe komunikimit në kushte të barabarta me të tjerët.</w:t>
            </w:r>
          </w:p>
        </w:tc>
        <w:tc>
          <w:tcPr>
            <w:tcW w:w="850" w:type="pct"/>
            <w:vMerge w:val="restart"/>
            <w:shd w:val="clear" w:color="auto" w:fill="CAEDFA"/>
          </w:tcPr>
          <w:p w14:paraId="1C3BBFB3" w14:textId="033FA65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Raport vlerësim i ndryshimeve ligjore dhe nënligjore të miratuara për nivelin e përfshirjes se standarde të detyrueshme të aksesueshmërisë në informacion dhe komunikim në shërbimet publike në sportel</w:t>
            </w:r>
            <w:r w:rsidR="008639DB"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 xml:space="preserve">Strategji komunikimi nga AMA me fokus tek aksesueshmëria për personat me aftësi të </w:t>
            </w:r>
            <w:r w:rsidR="008639DB" w:rsidRPr="00024D5A">
              <w:rPr>
                <w:rFonts w:ascii="Garamond" w:eastAsia="Times New Roman" w:hAnsi="Garamond"/>
                <w:sz w:val="14"/>
                <w:szCs w:val="16"/>
                <w:lang w:eastAsia="en-US"/>
              </w:rPr>
              <w:t xml:space="preserve">kufizuara </w:t>
            </w:r>
            <w:r w:rsidRPr="00024D5A">
              <w:rPr>
                <w:rFonts w:ascii="Garamond" w:eastAsia="Times New Roman" w:hAnsi="Garamond"/>
                <w:sz w:val="14"/>
                <w:szCs w:val="16"/>
                <w:lang w:eastAsia="en-US"/>
              </w:rPr>
              <w:t>që të sigurojë bashkërendimin mes shërbimeve televizive dhe pajisjeve që u mundësojnë përdoruesve marrjen, dekodimin, shfaqjen e shërbimeve të aksesueshme.</w:t>
            </w:r>
          </w:p>
        </w:tc>
        <w:tc>
          <w:tcPr>
            <w:tcW w:w="282" w:type="pct"/>
            <w:vMerge w:val="restart"/>
            <w:shd w:val="clear" w:color="auto" w:fill="CAEDFA"/>
          </w:tcPr>
          <w:p w14:paraId="3B35E71B"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N/A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 xml:space="preserve">N/A </w:t>
            </w:r>
          </w:p>
        </w:tc>
        <w:tc>
          <w:tcPr>
            <w:tcW w:w="518" w:type="pct"/>
            <w:vMerge w:val="restart"/>
            <w:shd w:val="clear" w:color="auto" w:fill="CAEDFA"/>
          </w:tcPr>
          <w:p w14:paraId="1DEFCFAD"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1</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1</w:t>
            </w:r>
          </w:p>
        </w:tc>
        <w:tc>
          <w:tcPr>
            <w:tcW w:w="518" w:type="pct"/>
            <w:vMerge w:val="restart"/>
            <w:shd w:val="clear" w:color="auto" w:fill="CAEDFA"/>
          </w:tcPr>
          <w:p w14:paraId="13FEE3A9"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1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1</w:t>
            </w:r>
          </w:p>
        </w:tc>
        <w:tc>
          <w:tcPr>
            <w:tcW w:w="666" w:type="pct"/>
            <w:vMerge w:val="restart"/>
            <w:shd w:val="clear" w:color="auto" w:fill="CAEDFA"/>
          </w:tcPr>
          <w:p w14:paraId="34708CA2"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MEI; </w:t>
            </w:r>
            <w:r w:rsidRPr="00024D5A">
              <w:rPr>
                <w:rFonts w:ascii="Garamond" w:eastAsia="Times New Roman" w:hAnsi="Garamond"/>
                <w:sz w:val="14"/>
                <w:szCs w:val="16"/>
                <w:lang w:eastAsia="en-US"/>
              </w:rPr>
              <w:br/>
              <w:t>AKSHI;</w:t>
            </w:r>
            <w:r w:rsidRPr="00024D5A">
              <w:rPr>
                <w:rFonts w:ascii="Garamond" w:eastAsia="Times New Roman" w:hAnsi="Garamond"/>
                <w:sz w:val="14"/>
                <w:szCs w:val="16"/>
                <w:lang w:eastAsia="en-US"/>
              </w:rPr>
              <w:br/>
              <w:t>AMA;</w:t>
            </w:r>
            <w:r w:rsidRPr="00024D5A">
              <w:rPr>
                <w:rFonts w:ascii="Garamond" w:eastAsia="Times New Roman" w:hAnsi="Garamond"/>
                <w:sz w:val="14"/>
                <w:szCs w:val="16"/>
                <w:lang w:eastAsia="en-US"/>
              </w:rPr>
              <w:br/>
              <w:t xml:space="preserve">AKEP; </w:t>
            </w:r>
          </w:p>
          <w:p w14:paraId="5CCFEC34" w14:textId="2AB6EE0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MSHMS</w:t>
            </w:r>
            <w:r w:rsidR="008639DB"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br/>
              <w:t>Kompanitë telefonike;</w:t>
            </w:r>
            <w:r w:rsidRPr="00024D5A">
              <w:rPr>
                <w:rFonts w:ascii="Garamond" w:eastAsia="Times New Roman" w:hAnsi="Garamond"/>
                <w:sz w:val="14"/>
                <w:szCs w:val="16"/>
                <w:lang w:eastAsia="en-US"/>
              </w:rPr>
              <w:br/>
            </w:r>
            <w:r w:rsidR="00BA4F73" w:rsidRPr="00024D5A">
              <w:rPr>
                <w:rFonts w:ascii="Garamond" w:eastAsia="Times New Roman" w:hAnsi="Garamond"/>
                <w:sz w:val="14"/>
                <w:szCs w:val="16"/>
                <w:lang w:eastAsia="en-US"/>
              </w:rPr>
              <w:t>OJF</w:t>
            </w:r>
            <w:r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br/>
              <w:t>Raporte monitorimi</w:t>
            </w:r>
            <w:r w:rsidR="008639DB" w:rsidRPr="00024D5A">
              <w:rPr>
                <w:rFonts w:ascii="Garamond" w:eastAsia="Times New Roman" w:hAnsi="Garamond"/>
                <w:sz w:val="14"/>
                <w:szCs w:val="16"/>
                <w:lang w:eastAsia="en-US"/>
              </w:rPr>
              <w:t>.</w:t>
            </w:r>
          </w:p>
        </w:tc>
        <w:tc>
          <w:tcPr>
            <w:tcW w:w="1022" w:type="pct"/>
            <w:vMerge w:val="restart"/>
            <w:shd w:val="clear" w:color="auto" w:fill="CAEDFA"/>
          </w:tcPr>
          <w:p w14:paraId="53657D76" w14:textId="778B087B" w:rsidR="008639DB"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OZHQ3 </w:t>
            </w:r>
            <w:r w:rsidRPr="00024D5A">
              <w:rPr>
                <w:rFonts w:ascii="Garamond" w:hAnsi="Garamond"/>
                <w:sz w:val="14"/>
                <w:szCs w:val="16"/>
              </w:rPr>
              <w:br/>
            </w:r>
            <w:r w:rsidRPr="00024D5A">
              <w:rPr>
                <w:rFonts w:ascii="Garamond" w:eastAsia="Times New Roman" w:hAnsi="Garamond"/>
                <w:sz w:val="14"/>
                <w:szCs w:val="16"/>
                <w:lang w:eastAsia="en-US"/>
              </w:rPr>
              <w:t>Konventa e OKB-së për të Drejtat e Personave me Aftësi të Kufizuara (</w:t>
            </w:r>
            <w:r w:rsidRPr="00024D5A">
              <w:rPr>
                <w:rFonts w:ascii="Garamond" w:eastAsia="Times New Roman" w:hAnsi="Garamond"/>
                <w:sz w:val="14"/>
                <w:szCs w:val="16"/>
              </w:rPr>
              <w:t>KDPAK</w:t>
            </w:r>
            <w:r w:rsidRPr="00024D5A">
              <w:rPr>
                <w:rFonts w:ascii="Garamond" w:eastAsia="Times New Roman" w:hAnsi="Garamond"/>
                <w:sz w:val="14"/>
                <w:szCs w:val="16"/>
                <w:lang w:eastAsia="en-US"/>
              </w:rPr>
              <w:t xml:space="preserve">); </w:t>
            </w:r>
            <w:r w:rsidRPr="00024D5A">
              <w:rPr>
                <w:rFonts w:ascii="Garamond" w:hAnsi="Garamond"/>
                <w:sz w:val="14"/>
                <w:szCs w:val="16"/>
              </w:rPr>
              <w:br/>
            </w:r>
            <w:r w:rsidRPr="00024D5A">
              <w:rPr>
                <w:rFonts w:ascii="Garamond" w:eastAsia="Times New Roman" w:hAnsi="Garamond"/>
                <w:sz w:val="14"/>
                <w:szCs w:val="16"/>
                <w:lang w:eastAsia="en-US"/>
              </w:rPr>
              <w:t xml:space="preserve">Strategjia e BE-së </w:t>
            </w:r>
            <w:r w:rsidR="008639DB" w:rsidRPr="00024D5A">
              <w:rPr>
                <w:rFonts w:ascii="Garamond" w:eastAsia="Times New Roman" w:hAnsi="Garamond"/>
                <w:sz w:val="14"/>
                <w:szCs w:val="16"/>
                <w:lang w:eastAsia="en-US"/>
              </w:rPr>
              <w:t>2021–2030</w:t>
            </w:r>
            <w:r w:rsidRPr="00024D5A">
              <w:rPr>
                <w:rFonts w:ascii="Garamond" w:eastAsia="Times New Roman" w:hAnsi="Garamond"/>
                <w:sz w:val="14"/>
                <w:szCs w:val="16"/>
                <w:lang w:eastAsia="en-US"/>
              </w:rPr>
              <w:t xml:space="preserve"> (aksesueshmëri, mosdiskriminim, shërbime të barabarta)</w:t>
            </w:r>
            <w:r w:rsidR="008639DB"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w:t>
            </w:r>
          </w:p>
          <w:p w14:paraId="2FA5806D" w14:textId="1907B3E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Direktiva (BE) 2019/882 E Parlamentit Evropian dhe e Këshillit </w:t>
            </w:r>
            <w:r w:rsidR="0078161D"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Mbi kërkesat e aksesueshmërisë për produktet dhe shërbimet</w:t>
            </w:r>
            <w:r w:rsidR="0078161D"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w:t>
            </w:r>
            <w:r w:rsidRPr="00024D5A">
              <w:rPr>
                <w:rFonts w:ascii="Garamond" w:hAnsi="Garamond"/>
                <w:sz w:val="14"/>
                <w:szCs w:val="16"/>
              </w:rPr>
              <w:br/>
            </w:r>
            <w:r w:rsidRPr="00024D5A">
              <w:rPr>
                <w:rFonts w:ascii="Garamond" w:eastAsia="Times New Roman" w:hAnsi="Garamond"/>
                <w:sz w:val="14"/>
                <w:szCs w:val="16"/>
                <w:lang w:eastAsia="en-US"/>
              </w:rPr>
              <w:t>Akti Evropian i Aksesueshmërisë (European Accessibility Act - 2019);</w:t>
            </w:r>
            <w:r w:rsidRPr="00024D5A">
              <w:rPr>
                <w:rFonts w:ascii="Garamond" w:hAnsi="Garamond"/>
                <w:sz w:val="14"/>
                <w:szCs w:val="16"/>
              </w:rPr>
              <w:br/>
            </w:r>
            <w:r w:rsidRPr="00024D5A">
              <w:rPr>
                <w:rFonts w:ascii="Garamond" w:eastAsia="Times New Roman" w:hAnsi="Garamond"/>
                <w:sz w:val="14"/>
                <w:szCs w:val="16"/>
                <w:lang w:eastAsia="en-US"/>
              </w:rPr>
              <w:t xml:space="preserve">Direktiva për Aksesueshmërinë e Uebit (2016); </w:t>
            </w:r>
            <w:r w:rsidRPr="00024D5A">
              <w:rPr>
                <w:rFonts w:ascii="Garamond" w:hAnsi="Garamond"/>
                <w:sz w:val="14"/>
                <w:szCs w:val="16"/>
              </w:rPr>
              <w:br/>
            </w:r>
            <w:r w:rsidRPr="00024D5A">
              <w:rPr>
                <w:rFonts w:ascii="Garamond" w:eastAsia="Times New Roman" w:hAnsi="Garamond"/>
                <w:sz w:val="14"/>
                <w:szCs w:val="16"/>
                <w:lang w:eastAsia="en-US"/>
              </w:rPr>
              <w:t xml:space="preserve">Kodi Evropian i Komunikimeve Elektronike; </w:t>
            </w:r>
            <w:r w:rsidRPr="00024D5A">
              <w:rPr>
                <w:rFonts w:ascii="Garamond" w:hAnsi="Garamond"/>
                <w:sz w:val="14"/>
                <w:szCs w:val="16"/>
              </w:rPr>
              <w:br/>
            </w:r>
            <w:r w:rsidRPr="00024D5A">
              <w:rPr>
                <w:rFonts w:ascii="Garamond" w:eastAsia="Times New Roman" w:hAnsi="Garamond"/>
                <w:sz w:val="14"/>
                <w:szCs w:val="16"/>
                <w:lang w:eastAsia="en-US"/>
              </w:rPr>
              <w:t xml:space="preserve">Ligji për komunikimet elektronike; </w:t>
            </w:r>
            <w:r w:rsidRPr="00024D5A">
              <w:rPr>
                <w:rFonts w:ascii="Garamond" w:hAnsi="Garamond"/>
                <w:sz w:val="14"/>
                <w:szCs w:val="16"/>
              </w:rPr>
              <w:br/>
            </w:r>
            <w:r w:rsidRPr="00024D5A">
              <w:rPr>
                <w:rFonts w:ascii="Garamond" w:eastAsia="Times New Roman" w:hAnsi="Garamond"/>
                <w:sz w:val="14"/>
                <w:szCs w:val="16"/>
                <w:lang w:eastAsia="en-US"/>
              </w:rPr>
              <w:t xml:space="preserve">Strategjia Kombëtare për Mbrojtjen Sociale; </w:t>
            </w:r>
            <w:r w:rsidRPr="00024D5A">
              <w:rPr>
                <w:rFonts w:ascii="Garamond" w:hAnsi="Garamond"/>
                <w:sz w:val="14"/>
                <w:szCs w:val="16"/>
              </w:rPr>
              <w:br/>
            </w:r>
            <w:r w:rsidRPr="00024D5A">
              <w:rPr>
                <w:rFonts w:ascii="Garamond" w:eastAsia="Times New Roman" w:hAnsi="Garamond"/>
                <w:sz w:val="14"/>
                <w:szCs w:val="16"/>
                <w:lang w:eastAsia="en-US"/>
              </w:rPr>
              <w:t xml:space="preserve">Ligji nr. 93/2014 </w:t>
            </w:r>
            <w:r w:rsidR="0078161D"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Për përfshirjen dhe aksesueshmërinë e personave me aftësi të kufizuara</w:t>
            </w:r>
            <w:r w:rsidR="0078161D"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w:t>
            </w:r>
            <w:r w:rsidRPr="00024D5A">
              <w:rPr>
                <w:rFonts w:ascii="Garamond" w:hAnsi="Garamond"/>
                <w:sz w:val="14"/>
                <w:szCs w:val="16"/>
              </w:rPr>
              <w:br/>
            </w:r>
            <w:r w:rsidRPr="00024D5A">
              <w:rPr>
                <w:rFonts w:ascii="Garamond" w:eastAsia="Times New Roman" w:hAnsi="Garamond"/>
                <w:sz w:val="14"/>
                <w:szCs w:val="16"/>
                <w:lang w:eastAsia="en-US"/>
              </w:rPr>
              <w:t>Ligji për mbrojtjen nga diskriminimi</w:t>
            </w:r>
            <w:r w:rsidR="008639DB" w:rsidRPr="00024D5A">
              <w:rPr>
                <w:rFonts w:ascii="Garamond" w:eastAsia="Times New Roman" w:hAnsi="Garamond"/>
                <w:sz w:val="14"/>
                <w:szCs w:val="16"/>
                <w:lang w:eastAsia="en-US"/>
              </w:rPr>
              <w:t>.</w:t>
            </w:r>
          </w:p>
        </w:tc>
      </w:tr>
      <w:tr w:rsidR="003E1630" w:rsidRPr="00024D5A" w14:paraId="3CC5794F" w14:textId="77777777" w:rsidTr="00F03D39">
        <w:trPr>
          <w:trHeight w:val="158"/>
          <w:jc w:val="center"/>
        </w:trPr>
        <w:tc>
          <w:tcPr>
            <w:tcW w:w="411" w:type="pct"/>
            <w:vMerge/>
          </w:tcPr>
          <w:p w14:paraId="5FF58672" w14:textId="77777777" w:rsidR="003E1630" w:rsidRPr="00024D5A" w:rsidRDefault="003E1630" w:rsidP="00791B1A">
            <w:pPr>
              <w:rPr>
                <w:rFonts w:ascii="Garamond" w:eastAsia="Times New Roman" w:hAnsi="Garamond"/>
                <w:b/>
                <w:bCs/>
                <w:sz w:val="14"/>
                <w:szCs w:val="16"/>
                <w:lang w:eastAsia="en-US"/>
              </w:rPr>
            </w:pPr>
          </w:p>
        </w:tc>
        <w:tc>
          <w:tcPr>
            <w:tcW w:w="732" w:type="pct"/>
            <w:vMerge/>
          </w:tcPr>
          <w:p w14:paraId="6933BD05" w14:textId="77777777" w:rsidR="003E1630" w:rsidRPr="00024D5A" w:rsidRDefault="003E1630" w:rsidP="00791B1A">
            <w:pPr>
              <w:rPr>
                <w:rFonts w:ascii="Garamond" w:eastAsia="Times New Roman" w:hAnsi="Garamond"/>
                <w:sz w:val="14"/>
                <w:szCs w:val="16"/>
                <w:lang w:eastAsia="en-US"/>
              </w:rPr>
            </w:pPr>
          </w:p>
        </w:tc>
        <w:tc>
          <w:tcPr>
            <w:tcW w:w="850" w:type="pct"/>
            <w:vMerge/>
          </w:tcPr>
          <w:p w14:paraId="00E76175" w14:textId="77777777" w:rsidR="003E1630" w:rsidRPr="00024D5A" w:rsidRDefault="003E1630" w:rsidP="00791B1A">
            <w:pPr>
              <w:rPr>
                <w:rFonts w:ascii="Garamond" w:eastAsia="Times New Roman" w:hAnsi="Garamond"/>
                <w:sz w:val="14"/>
                <w:szCs w:val="16"/>
                <w:lang w:eastAsia="en-US"/>
              </w:rPr>
            </w:pPr>
          </w:p>
        </w:tc>
        <w:tc>
          <w:tcPr>
            <w:tcW w:w="282" w:type="pct"/>
            <w:vMerge/>
          </w:tcPr>
          <w:p w14:paraId="4792638D" w14:textId="77777777" w:rsidR="003E1630" w:rsidRPr="00024D5A" w:rsidRDefault="003E1630" w:rsidP="00791B1A">
            <w:pPr>
              <w:rPr>
                <w:rFonts w:ascii="Garamond" w:eastAsia="Times New Roman" w:hAnsi="Garamond"/>
                <w:sz w:val="14"/>
                <w:szCs w:val="16"/>
                <w:lang w:eastAsia="en-US"/>
              </w:rPr>
            </w:pPr>
          </w:p>
        </w:tc>
        <w:tc>
          <w:tcPr>
            <w:tcW w:w="518" w:type="pct"/>
            <w:vMerge/>
          </w:tcPr>
          <w:p w14:paraId="5601EBD8" w14:textId="77777777" w:rsidR="003E1630" w:rsidRPr="00024D5A" w:rsidRDefault="003E1630" w:rsidP="00791B1A">
            <w:pPr>
              <w:rPr>
                <w:rFonts w:ascii="Garamond" w:eastAsia="Times New Roman" w:hAnsi="Garamond"/>
                <w:sz w:val="14"/>
                <w:szCs w:val="16"/>
                <w:lang w:eastAsia="en-US"/>
              </w:rPr>
            </w:pPr>
          </w:p>
        </w:tc>
        <w:tc>
          <w:tcPr>
            <w:tcW w:w="518" w:type="pct"/>
            <w:vMerge/>
          </w:tcPr>
          <w:p w14:paraId="22C197AF" w14:textId="77777777" w:rsidR="003E1630" w:rsidRPr="00024D5A" w:rsidRDefault="003E1630" w:rsidP="00791B1A">
            <w:pPr>
              <w:rPr>
                <w:rFonts w:ascii="Garamond" w:eastAsia="Times New Roman" w:hAnsi="Garamond"/>
                <w:sz w:val="14"/>
                <w:szCs w:val="16"/>
                <w:lang w:eastAsia="en-US"/>
              </w:rPr>
            </w:pPr>
          </w:p>
        </w:tc>
        <w:tc>
          <w:tcPr>
            <w:tcW w:w="666" w:type="pct"/>
            <w:vMerge/>
          </w:tcPr>
          <w:p w14:paraId="77E4E2B9" w14:textId="77777777" w:rsidR="003E1630" w:rsidRPr="00024D5A" w:rsidRDefault="003E1630" w:rsidP="00791B1A">
            <w:pPr>
              <w:rPr>
                <w:rFonts w:ascii="Garamond" w:eastAsia="Times New Roman" w:hAnsi="Garamond"/>
                <w:sz w:val="14"/>
                <w:szCs w:val="16"/>
                <w:lang w:eastAsia="en-US"/>
              </w:rPr>
            </w:pPr>
          </w:p>
        </w:tc>
        <w:tc>
          <w:tcPr>
            <w:tcW w:w="1022" w:type="pct"/>
            <w:vMerge/>
          </w:tcPr>
          <w:p w14:paraId="22DABE5B" w14:textId="77777777" w:rsidR="003E1630" w:rsidRPr="00024D5A" w:rsidRDefault="003E1630" w:rsidP="00791B1A">
            <w:pPr>
              <w:rPr>
                <w:rFonts w:ascii="Garamond" w:eastAsia="Times New Roman" w:hAnsi="Garamond"/>
                <w:sz w:val="14"/>
                <w:szCs w:val="16"/>
                <w:lang w:eastAsia="en-US"/>
              </w:rPr>
            </w:pPr>
          </w:p>
        </w:tc>
      </w:tr>
      <w:tr w:rsidR="003E1630" w:rsidRPr="00024D5A" w14:paraId="2FD85249" w14:textId="77777777" w:rsidTr="00F03D39">
        <w:trPr>
          <w:trHeight w:val="158"/>
          <w:jc w:val="center"/>
        </w:trPr>
        <w:tc>
          <w:tcPr>
            <w:tcW w:w="411" w:type="pct"/>
            <w:vMerge/>
          </w:tcPr>
          <w:p w14:paraId="7ECB93C7" w14:textId="77777777" w:rsidR="003E1630" w:rsidRPr="00024D5A" w:rsidRDefault="003E1630" w:rsidP="00791B1A">
            <w:pPr>
              <w:rPr>
                <w:rFonts w:ascii="Garamond" w:eastAsia="Times New Roman" w:hAnsi="Garamond"/>
                <w:b/>
                <w:bCs/>
                <w:sz w:val="14"/>
                <w:szCs w:val="16"/>
                <w:lang w:eastAsia="en-US"/>
              </w:rPr>
            </w:pPr>
          </w:p>
        </w:tc>
        <w:tc>
          <w:tcPr>
            <w:tcW w:w="732" w:type="pct"/>
            <w:vMerge/>
          </w:tcPr>
          <w:p w14:paraId="62F12F74" w14:textId="77777777" w:rsidR="003E1630" w:rsidRPr="00024D5A" w:rsidRDefault="003E1630" w:rsidP="00791B1A">
            <w:pPr>
              <w:rPr>
                <w:rFonts w:ascii="Garamond" w:eastAsia="Times New Roman" w:hAnsi="Garamond"/>
                <w:sz w:val="14"/>
                <w:szCs w:val="16"/>
                <w:lang w:eastAsia="en-US"/>
              </w:rPr>
            </w:pPr>
          </w:p>
        </w:tc>
        <w:tc>
          <w:tcPr>
            <w:tcW w:w="850" w:type="pct"/>
            <w:vMerge/>
          </w:tcPr>
          <w:p w14:paraId="59B66036" w14:textId="77777777" w:rsidR="003E1630" w:rsidRPr="00024D5A" w:rsidRDefault="003E1630" w:rsidP="00791B1A">
            <w:pPr>
              <w:rPr>
                <w:rFonts w:ascii="Garamond" w:eastAsia="Times New Roman" w:hAnsi="Garamond"/>
                <w:sz w:val="14"/>
                <w:szCs w:val="16"/>
                <w:lang w:eastAsia="en-US"/>
              </w:rPr>
            </w:pPr>
          </w:p>
        </w:tc>
        <w:tc>
          <w:tcPr>
            <w:tcW w:w="282" w:type="pct"/>
            <w:vMerge/>
          </w:tcPr>
          <w:p w14:paraId="4495E71C" w14:textId="77777777" w:rsidR="003E1630" w:rsidRPr="00024D5A" w:rsidRDefault="003E1630" w:rsidP="00791B1A">
            <w:pPr>
              <w:rPr>
                <w:rFonts w:ascii="Garamond" w:eastAsia="Times New Roman" w:hAnsi="Garamond"/>
                <w:sz w:val="14"/>
                <w:szCs w:val="16"/>
                <w:lang w:eastAsia="en-US"/>
              </w:rPr>
            </w:pPr>
          </w:p>
        </w:tc>
        <w:tc>
          <w:tcPr>
            <w:tcW w:w="518" w:type="pct"/>
            <w:vMerge/>
          </w:tcPr>
          <w:p w14:paraId="45D001CD" w14:textId="77777777" w:rsidR="003E1630" w:rsidRPr="00024D5A" w:rsidRDefault="003E1630" w:rsidP="00791B1A">
            <w:pPr>
              <w:rPr>
                <w:rFonts w:ascii="Garamond" w:eastAsia="Times New Roman" w:hAnsi="Garamond"/>
                <w:sz w:val="14"/>
                <w:szCs w:val="16"/>
                <w:lang w:eastAsia="en-US"/>
              </w:rPr>
            </w:pPr>
          </w:p>
        </w:tc>
        <w:tc>
          <w:tcPr>
            <w:tcW w:w="518" w:type="pct"/>
            <w:vMerge/>
          </w:tcPr>
          <w:p w14:paraId="57E1ED23" w14:textId="77777777" w:rsidR="003E1630" w:rsidRPr="00024D5A" w:rsidRDefault="003E1630" w:rsidP="00791B1A">
            <w:pPr>
              <w:rPr>
                <w:rFonts w:ascii="Garamond" w:eastAsia="Times New Roman" w:hAnsi="Garamond"/>
                <w:sz w:val="14"/>
                <w:szCs w:val="16"/>
                <w:lang w:eastAsia="en-US"/>
              </w:rPr>
            </w:pPr>
          </w:p>
        </w:tc>
        <w:tc>
          <w:tcPr>
            <w:tcW w:w="666" w:type="pct"/>
            <w:vMerge/>
          </w:tcPr>
          <w:p w14:paraId="1153457D" w14:textId="77777777" w:rsidR="003E1630" w:rsidRPr="00024D5A" w:rsidRDefault="003E1630" w:rsidP="00791B1A">
            <w:pPr>
              <w:rPr>
                <w:rFonts w:ascii="Garamond" w:eastAsia="Times New Roman" w:hAnsi="Garamond"/>
                <w:sz w:val="14"/>
                <w:szCs w:val="16"/>
                <w:lang w:eastAsia="en-US"/>
              </w:rPr>
            </w:pPr>
          </w:p>
        </w:tc>
        <w:tc>
          <w:tcPr>
            <w:tcW w:w="1022" w:type="pct"/>
            <w:vMerge/>
          </w:tcPr>
          <w:p w14:paraId="429D83DB" w14:textId="77777777" w:rsidR="003E1630" w:rsidRPr="00024D5A" w:rsidRDefault="003E1630" w:rsidP="00791B1A">
            <w:pPr>
              <w:rPr>
                <w:rFonts w:ascii="Garamond" w:eastAsia="Times New Roman" w:hAnsi="Garamond"/>
                <w:sz w:val="14"/>
                <w:szCs w:val="16"/>
                <w:lang w:eastAsia="en-US"/>
              </w:rPr>
            </w:pPr>
          </w:p>
        </w:tc>
      </w:tr>
      <w:tr w:rsidR="003E1630" w:rsidRPr="00024D5A" w14:paraId="6438506A" w14:textId="77777777" w:rsidTr="00F03D39">
        <w:trPr>
          <w:trHeight w:val="158"/>
          <w:jc w:val="center"/>
        </w:trPr>
        <w:tc>
          <w:tcPr>
            <w:tcW w:w="411" w:type="pct"/>
            <w:vMerge/>
          </w:tcPr>
          <w:p w14:paraId="18D97950" w14:textId="77777777" w:rsidR="003E1630" w:rsidRPr="00024D5A" w:rsidRDefault="003E1630" w:rsidP="00791B1A">
            <w:pPr>
              <w:rPr>
                <w:rFonts w:ascii="Garamond" w:eastAsia="Times New Roman" w:hAnsi="Garamond"/>
                <w:b/>
                <w:bCs/>
                <w:sz w:val="14"/>
                <w:szCs w:val="16"/>
                <w:lang w:eastAsia="en-US"/>
              </w:rPr>
            </w:pPr>
          </w:p>
        </w:tc>
        <w:tc>
          <w:tcPr>
            <w:tcW w:w="732" w:type="pct"/>
            <w:vMerge/>
          </w:tcPr>
          <w:p w14:paraId="6A0FADC7" w14:textId="77777777" w:rsidR="003E1630" w:rsidRPr="00024D5A" w:rsidRDefault="003E1630" w:rsidP="00791B1A">
            <w:pPr>
              <w:rPr>
                <w:rFonts w:ascii="Garamond" w:eastAsia="Times New Roman" w:hAnsi="Garamond"/>
                <w:sz w:val="14"/>
                <w:szCs w:val="16"/>
                <w:lang w:eastAsia="en-US"/>
              </w:rPr>
            </w:pPr>
          </w:p>
        </w:tc>
        <w:tc>
          <w:tcPr>
            <w:tcW w:w="850" w:type="pct"/>
            <w:vMerge/>
          </w:tcPr>
          <w:p w14:paraId="768AA293" w14:textId="77777777" w:rsidR="003E1630" w:rsidRPr="00024D5A" w:rsidRDefault="003E1630" w:rsidP="00791B1A">
            <w:pPr>
              <w:rPr>
                <w:rFonts w:ascii="Garamond" w:eastAsia="Times New Roman" w:hAnsi="Garamond"/>
                <w:sz w:val="14"/>
                <w:szCs w:val="16"/>
                <w:lang w:eastAsia="en-US"/>
              </w:rPr>
            </w:pPr>
          </w:p>
        </w:tc>
        <w:tc>
          <w:tcPr>
            <w:tcW w:w="282" w:type="pct"/>
            <w:vMerge/>
          </w:tcPr>
          <w:p w14:paraId="3F8BE833" w14:textId="77777777" w:rsidR="003E1630" w:rsidRPr="00024D5A" w:rsidRDefault="003E1630" w:rsidP="00791B1A">
            <w:pPr>
              <w:rPr>
                <w:rFonts w:ascii="Garamond" w:eastAsia="Times New Roman" w:hAnsi="Garamond"/>
                <w:sz w:val="14"/>
                <w:szCs w:val="16"/>
                <w:lang w:eastAsia="en-US"/>
              </w:rPr>
            </w:pPr>
          </w:p>
        </w:tc>
        <w:tc>
          <w:tcPr>
            <w:tcW w:w="518" w:type="pct"/>
            <w:vMerge/>
          </w:tcPr>
          <w:p w14:paraId="7557BDAC" w14:textId="77777777" w:rsidR="003E1630" w:rsidRPr="00024D5A" w:rsidRDefault="003E1630" w:rsidP="00791B1A">
            <w:pPr>
              <w:rPr>
                <w:rFonts w:ascii="Garamond" w:eastAsia="Times New Roman" w:hAnsi="Garamond"/>
                <w:sz w:val="14"/>
                <w:szCs w:val="16"/>
                <w:lang w:eastAsia="en-US"/>
              </w:rPr>
            </w:pPr>
          </w:p>
        </w:tc>
        <w:tc>
          <w:tcPr>
            <w:tcW w:w="518" w:type="pct"/>
            <w:vMerge/>
          </w:tcPr>
          <w:p w14:paraId="421464D3" w14:textId="77777777" w:rsidR="003E1630" w:rsidRPr="00024D5A" w:rsidRDefault="003E1630" w:rsidP="00791B1A">
            <w:pPr>
              <w:rPr>
                <w:rFonts w:ascii="Garamond" w:eastAsia="Times New Roman" w:hAnsi="Garamond"/>
                <w:sz w:val="14"/>
                <w:szCs w:val="16"/>
                <w:lang w:eastAsia="en-US"/>
              </w:rPr>
            </w:pPr>
          </w:p>
        </w:tc>
        <w:tc>
          <w:tcPr>
            <w:tcW w:w="666" w:type="pct"/>
            <w:vMerge/>
          </w:tcPr>
          <w:p w14:paraId="236CB783" w14:textId="77777777" w:rsidR="003E1630" w:rsidRPr="00024D5A" w:rsidRDefault="003E1630" w:rsidP="00791B1A">
            <w:pPr>
              <w:rPr>
                <w:rFonts w:ascii="Garamond" w:eastAsia="Times New Roman" w:hAnsi="Garamond"/>
                <w:sz w:val="14"/>
                <w:szCs w:val="16"/>
                <w:lang w:eastAsia="en-US"/>
              </w:rPr>
            </w:pPr>
          </w:p>
        </w:tc>
        <w:tc>
          <w:tcPr>
            <w:tcW w:w="1022" w:type="pct"/>
            <w:vMerge/>
          </w:tcPr>
          <w:p w14:paraId="1CC8F3A9" w14:textId="77777777" w:rsidR="003E1630" w:rsidRPr="00024D5A" w:rsidRDefault="003E1630" w:rsidP="00791B1A">
            <w:pPr>
              <w:rPr>
                <w:rFonts w:ascii="Garamond" w:eastAsia="Times New Roman" w:hAnsi="Garamond"/>
                <w:sz w:val="14"/>
                <w:szCs w:val="16"/>
                <w:lang w:eastAsia="en-US"/>
              </w:rPr>
            </w:pPr>
          </w:p>
        </w:tc>
      </w:tr>
      <w:tr w:rsidR="003E1630" w:rsidRPr="00024D5A" w14:paraId="35DEEABA" w14:textId="77777777" w:rsidTr="00F03D39">
        <w:trPr>
          <w:trHeight w:val="158"/>
          <w:jc w:val="center"/>
        </w:trPr>
        <w:tc>
          <w:tcPr>
            <w:tcW w:w="411" w:type="pct"/>
            <w:vMerge/>
          </w:tcPr>
          <w:p w14:paraId="5F71F149" w14:textId="77777777" w:rsidR="003E1630" w:rsidRPr="00024D5A" w:rsidRDefault="003E1630" w:rsidP="00791B1A">
            <w:pPr>
              <w:rPr>
                <w:rFonts w:ascii="Garamond" w:eastAsia="Times New Roman" w:hAnsi="Garamond"/>
                <w:b/>
                <w:bCs/>
                <w:sz w:val="14"/>
                <w:szCs w:val="16"/>
                <w:lang w:eastAsia="en-US"/>
              </w:rPr>
            </w:pPr>
          </w:p>
        </w:tc>
        <w:tc>
          <w:tcPr>
            <w:tcW w:w="732" w:type="pct"/>
            <w:vMerge/>
          </w:tcPr>
          <w:p w14:paraId="3142643F" w14:textId="77777777" w:rsidR="003E1630" w:rsidRPr="00024D5A" w:rsidRDefault="003E1630" w:rsidP="00791B1A">
            <w:pPr>
              <w:rPr>
                <w:rFonts w:ascii="Garamond" w:eastAsia="Times New Roman" w:hAnsi="Garamond"/>
                <w:sz w:val="14"/>
                <w:szCs w:val="16"/>
                <w:lang w:eastAsia="en-US"/>
              </w:rPr>
            </w:pPr>
          </w:p>
        </w:tc>
        <w:tc>
          <w:tcPr>
            <w:tcW w:w="850" w:type="pct"/>
            <w:vMerge/>
          </w:tcPr>
          <w:p w14:paraId="5B0C9FD9" w14:textId="77777777" w:rsidR="003E1630" w:rsidRPr="00024D5A" w:rsidRDefault="003E1630" w:rsidP="00791B1A">
            <w:pPr>
              <w:rPr>
                <w:rFonts w:ascii="Garamond" w:eastAsia="Times New Roman" w:hAnsi="Garamond"/>
                <w:sz w:val="14"/>
                <w:szCs w:val="16"/>
                <w:lang w:eastAsia="en-US"/>
              </w:rPr>
            </w:pPr>
          </w:p>
        </w:tc>
        <w:tc>
          <w:tcPr>
            <w:tcW w:w="282" w:type="pct"/>
            <w:vMerge/>
          </w:tcPr>
          <w:p w14:paraId="0E5D354E" w14:textId="77777777" w:rsidR="003E1630" w:rsidRPr="00024D5A" w:rsidRDefault="003E1630" w:rsidP="00791B1A">
            <w:pPr>
              <w:rPr>
                <w:rFonts w:ascii="Garamond" w:eastAsia="Times New Roman" w:hAnsi="Garamond"/>
                <w:sz w:val="14"/>
                <w:szCs w:val="16"/>
                <w:lang w:eastAsia="en-US"/>
              </w:rPr>
            </w:pPr>
          </w:p>
        </w:tc>
        <w:tc>
          <w:tcPr>
            <w:tcW w:w="518" w:type="pct"/>
            <w:vMerge/>
          </w:tcPr>
          <w:p w14:paraId="28D2B346" w14:textId="77777777" w:rsidR="003E1630" w:rsidRPr="00024D5A" w:rsidRDefault="003E1630" w:rsidP="00791B1A">
            <w:pPr>
              <w:rPr>
                <w:rFonts w:ascii="Garamond" w:eastAsia="Times New Roman" w:hAnsi="Garamond"/>
                <w:sz w:val="14"/>
                <w:szCs w:val="16"/>
                <w:lang w:eastAsia="en-US"/>
              </w:rPr>
            </w:pPr>
          </w:p>
        </w:tc>
        <w:tc>
          <w:tcPr>
            <w:tcW w:w="518" w:type="pct"/>
            <w:vMerge/>
          </w:tcPr>
          <w:p w14:paraId="36345846" w14:textId="77777777" w:rsidR="003E1630" w:rsidRPr="00024D5A" w:rsidRDefault="003E1630" w:rsidP="00791B1A">
            <w:pPr>
              <w:rPr>
                <w:rFonts w:ascii="Garamond" w:eastAsia="Times New Roman" w:hAnsi="Garamond"/>
                <w:sz w:val="14"/>
                <w:szCs w:val="16"/>
                <w:lang w:eastAsia="en-US"/>
              </w:rPr>
            </w:pPr>
          </w:p>
        </w:tc>
        <w:tc>
          <w:tcPr>
            <w:tcW w:w="666" w:type="pct"/>
            <w:vMerge/>
          </w:tcPr>
          <w:p w14:paraId="112B5916" w14:textId="77777777" w:rsidR="003E1630" w:rsidRPr="00024D5A" w:rsidRDefault="003E1630" w:rsidP="00791B1A">
            <w:pPr>
              <w:rPr>
                <w:rFonts w:ascii="Garamond" w:eastAsia="Times New Roman" w:hAnsi="Garamond"/>
                <w:sz w:val="14"/>
                <w:szCs w:val="16"/>
                <w:lang w:eastAsia="en-US"/>
              </w:rPr>
            </w:pPr>
          </w:p>
        </w:tc>
        <w:tc>
          <w:tcPr>
            <w:tcW w:w="1022" w:type="pct"/>
            <w:vMerge/>
          </w:tcPr>
          <w:p w14:paraId="47056ACC" w14:textId="77777777" w:rsidR="003E1630" w:rsidRPr="00024D5A" w:rsidRDefault="003E1630" w:rsidP="00791B1A">
            <w:pPr>
              <w:rPr>
                <w:rFonts w:ascii="Garamond" w:eastAsia="Times New Roman" w:hAnsi="Garamond"/>
                <w:sz w:val="14"/>
                <w:szCs w:val="16"/>
                <w:lang w:eastAsia="en-US"/>
              </w:rPr>
            </w:pPr>
          </w:p>
        </w:tc>
      </w:tr>
      <w:tr w:rsidR="003E1630" w:rsidRPr="00024D5A" w14:paraId="5AF0E50A" w14:textId="77777777" w:rsidTr="00F03D39">
        <w:trPr>
          <w:trHeight w:val="158"/>
          <w:jc w:val="center"/>
        </w:trPr>
        <w:tc>
          <w:tcPr>
            <w:tcW w:w="411" w:type="pct"/>
            <w:vMerge/>
          </w:tcPr>
          <w:p w14:paraId="43DFBA83" w14:textId="77777777" w:rsidR="003E1630" w:rsidRPr="00024D5A" w:rsidRDefault="003E1630" w:rsidP="00791B1A">
            <w:pPr>
              <w:rPr>
                <w:rFonts w:ascii="Garamond" w:eastAsia="Times New Roman" w:hAnsi="Garamond"/>
                <w:b/>
                <w:bCs/>
                <w:sz w:val="14"/>
                <w:szCs w:val="16"/>
                <w:lang w:eastAsia="en-US"/>
              </w:rPr>
            </w:pPr>
          </w:p>
        </w:tc>
        <w:tc>
          <w:tcPr>
            <w:tcW w:w="732" w:type="pct"/>
            <w:vMerge/>
          </w:tcPr>
          <w:p w14:paraId="7902FE5D" w14:textId="77777777" w:rsidR="003E1630" w:rsidRPr="00024D5A" w:rsidRDefault="003E1630" w:rsidP="00791B1A">
            <w:pPr>
              <w:rPr>
                <w:rFonts w:ascii="Garamond" w:eastAsia="Times New Roman" w:hAnsi="Garamond"/>
                <w:sz w:val="14"/>
                <w:szCs w:val="16"/>
                <w:lang w:eastAsia="en-US"/>
              </w:rPr>
            </w:pPr>
          </w:p>
        </w:tc>
        <w:tc>
          <w:tcPr>
            <w:tcW w:w="850" w:type="pct"/>
            <w:vMerge/>
          </w:tcPr>
          <w:p w14:paraId="02E540A2" w14:textId="77777777" w:rsidR="003E1630" w:rsidRPr="00024D5A" w:rsidRDefault="003E1630" w:rsidP="00791B1A">
            <w:pPr>
              <w:rPr>
                <w:rFonts w:ascii="Garamond" w:eastAsia="Times New Roman" w:hAnsi="Garamond"/>
                <w:sz w:val="14"/>
                <w:szCs w:val="16"/>
                <w:lang w:eastAsia="en-US"/>
              </w:rPr>
            </w:pPr>
          </w:p>
        </w:tc>
        <w:tc>
          <w:tcPr>
            <w:tcW w:w="282" w:type="pct"/>
            <w:vMerge/>
          </w:tcPr>
          <w:p w14:paraId="2FED2A4B" w14:textId="77777777" w:rsidR="003E1630" w:rsidRPr="00024D5A" w:rsidRDefault="003E1630" w:rsidP="00791B1A">
            <w:pPr>
              <w:rPr>
                <w:rFonts w:ascii="Garamond" w:eastAsia="Times New Roman" w:hAnsi="Garamond"/>
                <w:sz w:val="14"/>
                <w:szCs w:val="16"/>
                <w:lang w:eastAsia="en-US"/>
              </w:rPr>
            </w:pPr>
          </w:p>
        </w:tc>
        <w:tc>
          <w:tcPr>
            <w:tcW w:w="518" w:type="pct"/>
            <w:vMerge/>
          </w:tcPr>
          <w:p w14:paraId="387C55DE" w14:textId="77777777" w:rsidR="003E1630" w:rsidRPr="00024D5A" w:rsidRDefault="003E1630" w:rsidP="00791B1A">
            <w:pPr>
              <w:rPr>
                <w:rFonts w:ascii="Garamond" w:eastAsia="Times New Roman" w:hAnsi="Garamond"/>
                <w:sz w:val="14"/>
                <w:szCs w:val="16"/>
                <w:lang w:eastAsia="en-US"/>
              </w:rPr>
            </w:pPr>
          </w:p>
        </w:tc>
        <w:tc>
          <w:tcPr>
            <w:tcW w:w="518" w:type="pct"/>
            <w:vMerge/>
          </w:tcPr>
          <w:p w14:paraId="14F6EF3B" w14:textId="77777777" w:rsidR="003E1630" w:rsidRPr="00024D5A" w:rsidRDefault="003E1630" w:rsidP="00791B1A">
            <w:pPr>
              <w:rPr>
                <w:rFonts w:ascii="Garamond" w:eastAsia="Times New Roman" w:hAnsi="Garamond"/>
                <w:sz w:val="14"/>
                <w:szCs w:val="16"/>
                <w:lang w:eastAsia="en-US"/>
              </w:rPr>
            </w:pPr>
          </w:p>
        </w:tc>
        <w:tc>
          <w:tcPr>
            <w:tcW w:w="666" w:type="pct"/>
            <w:vMerge/>
          </w:tcPr>
          <w:p w14:paraId="60446C25" w14:textId="77777777" w:rsidR="003E1630" w:rsidRPr="00024D5A" w:rsidRDefault="003E1630" w:rsidP="00791B1A">
            <w:pPr>
              <w:rPr>
                <w:rFonts w:ascii="Garamond" w:eastAsia="Times New Roman" w:hAnsi="Garamond"/>
                <w:sz w:val="14"/>
                <w:szCs w:val="16"/>
                <w:lang w:eastAsia="en-US"/>
              </w:rPr>
            </w:pPr>
          </w:p>
        </w:tc>
        <w:tc>
          <w:tcPr>
            <w:tcW w:w="1022" w:type="pct"/>
            <w:vMerge/>
          </w:tcPr>
          <w:p w14:paraId="3BF5ACBF" w14:textId="77777777" w:rsidR="003E1630" w:rsidRPr="00024D5A" w:rsidRDefault="003E1630" w:rsidP="00791B1A">
            <w:pPr>
              <w:rPr>
                <w:rFonts w:ascii="Garamond" w:eastAsia="Times New Roman" w:hAnsi="Garamond"/>
                <w:sz w:val="14"/>
                <w:szCs w:val="16"/>
                <w:lang w:eastAsia="en-US"/>
              </w:rPr>
            </w:pPr>
          </w:p>
        </w:tc>
      </w:tr>
      <w:tr w:rsidR="003E1630" w:rsidRPr="00024D5A" w14:paraId="4ED722E1" w14:textId="77777777" w:rsidTr="00F03D39">
        <w:trPr>
          <w:trHeight w:val="20"/>
          <w:jc w:val="center"/>
        </w:trPr>
        <w:tc>
          <w:tcPr>
            <w:tcW w:w="411" w:type="pct"/>
            <w:vMerge/>
          </w:tcPr>
          <w:p w14:paraId="668F9FAD" w14:textId="77777777" w:rsidR="003E1630" w:rsidRPr="00024D5A" w:rsidRDefault="003E1630" w:rsidP="00791B1A">
            <w:pPr>
              <w:rPr>
                <w:rFonts w:ascii="Garamond" w:eastAsia="Times New Roman" w:hAnsi="Garamond"/>
                <w:b/>
                <w:bCs/>
                <w:sz w:val="14"/>
                <w:szCs w:val="16"/>
                <w:lang w:eastAsia="en-US"/>
              </w:rPr>
            </w:pPr>
          </w:p>
        </w:tc>
        <w:tc>
          <w:tcPr>
            <w:tcW w:w="732" w:type="pct"/>
            <w:shd w:val="clear" w:color="auto" w:fill="CAEDFA"/>
          </w:tcPr>
          <w:p w14:paraId="2EED9108" w14:textId="24130AEA"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Objektivi specifik 4: Aksesueshmëria në objektet dhe shërbimet turistike dhe të trashëgimisë kulturore: Të sigurohet akses për </w:t>
            </w:r>
            <w:r w:rsidR="008639DB" w:rsidRPr="00024D5A">
              <w:rPr>
                <w:rFonts w:ascii="Garamond" w:eastAsia="Times New Roman" w:hAnsi="Garamond"/>
                <w:sz w:val="14"/>
                <w:szCs w:val="16"/>
                <w:lang w:eastAsia="en-US"/>
              </w:rPr>
              <w:t xml:space="preserve">personat </w:t>
            </w:r>
            <w:r w:rsidRPr="00024D5A">
              <w:rPr>
                <w:rFonts w:ascii="Garamond" w:eastAsia="Times New Roman" w:hAnsi="Garamond"/>
                <w:sz w:val="14"/>
                <w:szCs w:val="16"/>
                <w:lang w:eastAsia="en-US"/>
              </w:rPr>
              <w:t>me aftësi të kufizuara në strukturat turistike dhe shërbimet në turret turistike, duke siguruar edhe mjete të përshtatura</w:t>
            </w:r>
            <w:r w:rsidR="00226C39" w:rsidRPr="00024D5A">
              <w:rPr>
                <w:rFonts w:ascii="Garamond" w:eastAsia="Times New Roman" w:hAnsi="Garamond"/>
                <w:sz w:val="14"/>
                <w:szCs w:val="16"/>
                <w:lang w:eastAsia="en-US"/>
              </w:rPr>
              <w:t>.</w:t>
            </w:r>
          </w:p>
        </w:tc>
        <w:tc>
          <w:tcPr>
            <w:tcW w:w="850" w:type="pct"/>
            <w:shd w:val="clear" w:color="auto" w:fill="CAEDFA"/>
          </w:tcPr>
          <w:p w14:paraId="6AE1A9EF" w14:textId="5F55E2F0"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Strukturat turistike dhe shërbimet në turret turistike sigurojnë akses për PAK</w:t>
            </w:r>
            <w:r w:rsidR="00226C39" w:rsidRPr="00024D5A">
              <w:rPr>
                <w:rFonts w:ascii="Garamond" w:eastAsia="Times New Roman" w:hAnsi="Garamond"/>
                <w:sz w:val="14"/>
                <w:szCs w:val="16"/>
                <w:lang w:eastAsia="en-US"/>
              </w:rPr>
              <w:t>-në</w:t>
            </w:r>
            <w:r w:rsidRPr="00024D5A">
              <w:rPr>
                <w:rFonts w:ascii="Garamond" w:eastAsia="Times New Roman" w:hAnsi="Garamond"/>
                <w:sz w:val="14"/>
                <w:szCs w:val="16"/>
                <w:lang w:eastAsia="en-US"/>
              </w:rPr>
              <w:t xml:space="preserve">. </w:t>
            </w:r>
          </w:p>
        </w:tc>
        <w:tc>
          <w:tcPr>
            <w:tcW w:w="282" w:type="pct"/>
            <w:shd w:val="clear" w:color="auto" w:fill="CAEDFA"/>
          </w:tcPr>
          <w:p w14:paraId="6E412158"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N/A </w:t>
            </w:r>
          </w:p>
        </w:tc>
        <w:tc>
          <w:tcPr>
            <w:tcW w:w="518" w:type="pct"/>
            <w:shd w:val="clear" w:color="auto" w:fill="CAEDFA"/>
          </w:tcPr>
          <w:p w14:paraId="53A91FFC"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518" w:type="pct"/>
            <w:shd w:val="clear" w:color="auto" w:fill="CAEDFA"/>
          </w:tcPr>
          <w:p w14:paraId="1A3CD97F"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666" w:type="pct"/>
            <w:shd w:val="clear" w:color="auto" w:fill="CAEDFA"/>
          </w:tcPr>
          <w:p w14:paraId="2B709389"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MTKS;</w:t>
            </w:r>
            <w:r w:rsidRPr="00024D5A">
              <w:rPr>
                <w:rFonts w:ascii="Garamond" w:eastAsia="Times New Roman" w:hAnsi="Garamond"/>
                <w:sz w:val="14"/>
                <w:szCs w:val="16"/>
                <w:lang w:eastAsia="en-US"/>
              </w:rPr>
              <w:br/>
              <w:t>MSHMS;</w:t>
            </w:r>
            <w:r w:rsidRPr="00024D5A">
              <w:rPr>
                <w:rFonts w:ascii="Garamond" w:eastAsia="Times New Roman" w:hAnsi="Garamond"/>
                <w:sz w:val="14"/>
                <w:szCs w:val="16"/>
                <w:lang w:eastAsia="en-US"/>
              </w:rPr>
              <w:br/>
              <w:t>UP;</w:t>
            </w:r>
            <w:r w:rsidRPr="00024D5A">
              <w:rPr>
                <w:rFonts w:ascii="Garamond" w:eastAsia="Times New Roman" w:hAnsi="Garamond"/>
                <w:sz w:val="14"/>
                <w:szCs w:val="16"/>
                <w:lang w:eastAsia="en-US"/>
              </w:rPr>
              <w:br/>
              <w:t>Agjencia e Turizmit; Raporte monitorimi;</w:t>
            </w:r>
          </w:p>
        </w:tc>
        <w:tc>
          <w:tcPr>
            <w:tcW w:w="1022" w:type="pct"/>
            <w:shd w:val="clear" w:color="auto" w:fill="CAEDFA"/>
          </w:tcPr>
          <w:p w14:paraId="18D8C3AA" w14:textId="1B17DF2A"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Direktiva (BE) 2019/882 E Parlamentit Evropian dhe e Këshillit </w:t>
            </w:r>
            <w:r w:rsidR="0078161D"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Mbi kërkesat e aksesueshmërisë për produktet dhe shërbimet</w:t>
            </w:r>
            <w:r w:rsidR="0078161D"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w:t>
            </w:r>
            <w:r w:rsidRPr="00024D5A">
              <w:rPr>
                <w:rFonts w:ascii="Garamond" w:eastAsia="Times New Roman" w:hAnsi="Garamond"/>
                <w:sz w:val="14"/>
                <w:szCs w:val="16"/>
                <w:lang w:eastAsia="en-US"/>
              </w:rPr>
              <w:br/>
              <w:t xml:space="preserve">Akti Evropian i Aksesueshmërisë (European Accessibility Act - 2019); </w:t>
            </w:r>
            <w:r w:rsidRPr="00024D5A">
              <w:rPr>
                <w:rFonts w:ascii="Garamond" w:eastAsia="Times New Roman" w:hAnsi="Garamond"/>
                <w:sz w:val="14"/>
                <w:szCs w:val="16"/>
                <w:lang w:eastAsia="en-US"/>
              </w:rPr>
              <w:br/>
              <w:t>Strategjia Kombëtare e Turizmit 2024</w:t>
            </w:r>
            <w:r w:rsidR="00587DE2"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2030; </w:t>
            </w:r>
            <w:r w:rsidR="00587DE2" w:rsidRPr="00024D5A">
              <w:rPr>
                <w:rFonts w:ascii="Garamond" w:eastAsia="Times New Roman" w:hAnsi="Garamond"/>
                <w:sz w:val="14"/>
                <w:szCs w:val="16"/>
                <w:lang w:eastAsia="en-US"/>
              </w:rPr>
              <w:t xml:space="preserve">ligji </w:t>
            </w:r>
            <w:r w:rsidRPr="00024D5A">
              <w:rPr>
                <w:rFonts w:ascii="Garamond" w:eastAsia="Times New Roman" w:hAnsi="Garamond"/>
                <w:sz w:val="14"/>
                <w:szCs w:val="16"/>
                <w:lang w:eastAsia="en-US"/>
              </w:rPr>
              <w:t xml:space="preserve">nr. 93/2014 </w:t>
            </w:r>
            <w:r w:rsidR="0078161D"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Për përfshirjen dhe aksesueshmërinë e personave me aftësi të kufizuara</w:t>
            </w:r>
            <w:r w:rsidR="0078161D"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br/>
              <w:t>Ligji për mbrojtjen nga diskriminimi.</w:t>
            </w:r>
          </w:p>
        </w:tc>
      </w:tr>
      <w:tr w:rsidR="003E1630" w:rsidRPr="00024D5A" w14:paraId="2863CEB1" w14:textId="77777777" w:rsidTr="00F03D39">
        <w:trPr>
          <w:trHeight w:val="20"/>
          <w:jc w:val="center"/>
        </w:trPr>
        <w:tc>
          <w:tcPr>
            <w:tcW w:w="411" w:type="pct"/>
            <w:vMerge w:val="restart"/>
          </w:tcPr>
          <w:p w14:paraId="2E61EE93" w14:textId="77777777" w:rsidR="003E1630" w:rsidRPr="00024D5A" w:rsidRDefault="005743A8" w:rsidP="00791B1A">
            <w:pPr>
              <w:rPr>
                <w:rFonts w:ascii="Garamond" w:eastAsia="Times New Roman" w:hAnsi="Garamond"/>
                <w:b/>
                <w:bCs/>
                <w:sz w:val="14"/>
                <w:szCs w:val="16"/>
                <w:lang w:eastAsia="en-US"/>
              </w:rPr>
            </w:pPr>
            <w:r w:rsidRPr="00024D5A">
              <w:rPr>
                <w:rFonts w:ascii="Garamond" w:eastAsia="Times New Roman" w:hAnsi="Garamond"/>
                <w:b/>
                <w:bCs/>
                <w:sz w:val="14"/>
                <w:szCs w:val="16"/>
                <w:lang w:eastAsia="en-US"/>
              </w:rPr>
              <w:t>Masat prioritare</w:t>
            </w:r>
          </w:p>
        </w:tc>
        <w:tc>
          <w:tcPr>
            <w:tcW w:w="732" w:type="pct"/>
          </w:tcPr>
          <w:p w14:paraId="7E0A5943" w14:textId="3801C68D"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Masa prioritare 1.1</w:t>
            </w:r>
            <w:r w:rsidR="00110C9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Rishikimi i bazës ligjore për aksesueshmërinë dhe fuqizimi i monitorimit të zbatimit të saj. </w:t>
            </w:r>
          </w:p>
        </w:tc>
        <w:tc>
          <w:tcPr>
            <w:tcW w:w="850" w:type="pct"/>
          </w:tcPr>
          <w:p w14:paraId="6E0F53B3" w14:textId="6687F99C"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Akte ligjore/nënligjore penalizimi në ligjin </w:t>
            </w:r>
            <w:r w:rsidR="0078161D"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Për përfshirjen dhe aksesueshmërinë</w:t>
            </w:r>
            <w:r w:rsidR="0078161D"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w:t>
            </w:r>
            <w:r w:rsidR="0006183E" w:rsidRPr="00024D5A">
              <w:rPr>
                <w:rFonts w:ascii="Garamond" w:eastAsia="Times New Roman" w:hAnsi="Garamond"/>
                <w:sz w:val="14"/>
                <w:szCs w:val="16"/>
                <w:lang w:eastAsia="en-US"/>
              </w:rPr>
              <w:t>të</w:t>
            </w:r>
            <w:r w:rsidRPr="00024D5A">
              <w:rPr>
                <w:rFonts w:ascii="Garamond" w:eastAsia="Times New Roman" w:hAnsi="Garamond"/>
                <w:sz w:val="14"/>
                <w:szCs w:val="16"/>
                <w:lang w:eastAsia="en-US"/>
              </w:rPr>
              <w:t xml:space="preserve"> rishikuar</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p>
        </w:tc>
        <w:tc>
          <w:tcPr>
            <w:tcW w:w="282" w:type="pct"/>
          </w:tcPr>
          <w:p w14:paraId="5D0AFDAD"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N/A </w:t>
            </w:r>
          </w:p>
        </w:tc>
        <w:tc>
          <w:tcPr>
            <w:tcW w:w="518" w:type="pct"/>
          </w:tcPr>
          <w:p w14:paraId="09B2B53C" w14:textId="33863361"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2 nene të reja të vendosura n</w:t>
            </w:r>
            <w:r w:rsidR="00B678F1" w:rsidRPr="00024D5A">
              <w:rPr>
                <w:rFonts w:ascii="Garamond" w:eastAsia="Times New Roman" w:hAnsi="Garamond"/>
                <w:sz w:val="14"/>
                <w:szCs w:val="16"/>
                <w:lang w:eastAsia="en-US"/>
              </w:rPr>
              <w:t>ë</w:t>
            </w:r>
            <w:r w:rsidRPr="00024D5A">
              <w:rPr>
                <w:rFonts w:ascii="Garamond" w:eastAsia="Times New Roman" w:hAnsi="Garamond"/>
                <w:sz w:val="14"/>
                <w:szCs w:val="16"/>
                <w:lang w:eastAsia="en-US"/>
              </w:rPr>
              <w:t xml:space="preserve"> ligj</w:t>
            </w:r>
          </w:p>
        </w:tc>
        <w:tc>
          <w:tcPr>
            <w:tcW w:w="518" w:type="pct"/>
          </w:tcPr>
          <w:p w14:paraId="27DF7B0B" w14:textId="097FB3C9"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2 nene të reja të vendosura në ligj; VKM për zhvillimin e gjuhës së shenjave dhe shërbimet e interpretimit</w:t>
            </w:r>
            <w:r w:rsidR="00941F99" w:rsidRPr="00024D5A">
              <w:rPr>
                <w:rFonts w:ascii="Garamond" w:eastAsia="Times New Roman" w:hAnsi="Garamond"/>
                <w:sz w:val="14"/>
                <w:szCs w:val="16"/>
                <w:lang w:eastAsia="en-US"/>
              </w:rPr>
              <w:t>.</w:t>
            </w:r>
          </w:p>
        </w:tc>
        <w:tc>
          <w:tcPr>
            <w:tcW w:w="666" w:type="pct"/>
          </w:tcPr>
          <w:p w14:paraId="438009F8" w14:textId="22291C41"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MSHMS;</w:t>
            </w:r>
            <w:r w:rsidRPr="00024D5A">
              <w:rPr>
                <w:rFonts w:ascii="Garamond" w:eastAsia="Times New Roman" w:hAnsi="Garamond"/>
                <w:sz w:val="14"/>
                <w:szCs w:val="16"/>
                <w:lang w:eastAsia="en-US"/>
              </w:rPr>
              <w:br/>
              <w:t>MD;</w:t>
            </w:r>
            <w:r w:rsidRPr="00024D5A">
              <w:rPr>
                <w:rFonts w:ascii="Garamond" w:eastAsia="Times New Roman" w:hAnsi="Garamond"/>
                <w:sz w:val="14"/>
                <w:szCs w:val="16"/>
                <w:lang w:eastAsia="en-US"/>
              </w:rPr>
              <w:br/>
            </w:r>
            <w:r w:rsidR="00BA4F73" w:rsidRPr="00024D5A">
              <w:rPr>
                <w:rFonts w:ascii="Garamond" w:eastAsia="Times New Roman" w:hAnsi="Garamond"/>
                <w:sz w:val="14"/>
                <w:szCs w:val="16"/>
                <w:lang w:eastAsia="en-US"/>
              </w:rPr>
              <w:t>OJF</w:t>
            </w:r>
            <w:r w:rsidRPr="00024D5A">
              <w:rPr>
                <w:rFonts w:ascii="Garamond" w:eastAsia="Times New Roman" w:hAnsi="Garamond"/>
                <w:sz w:val="14"/>
                <w:szCs w:val="16"/>
                <w:lang w:eastAsia="en-US"/>
              </w:rPr>
              <w:t>;</w:t>
            </w:r>
          </w:p>
        </w:tc>
        <w:tc>
          <w:tcPr>
            <w:tcW w:w="1022" w:type="pct"/>
          </w:tcPr>
          <w:p w14:paraId="220B590B"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r>
      <w:tr w:rsidR="003E1630" w:rsidRPr="00024D5A" w14:paraId="033A8C45" w14:textId="77777777" w:rsidTr="00F03D39">
        <w:trPr>
          <w:trHeight w:val="20"/>
          <w:jc w:val="center"/>
        </w:trPr>
        <w:tc>
          <w:tcPr>
            <w:tcW w:w="411" w:type="pct"/>
            <w:vMerge/>
          </w:tcPr>
          <w:p w14:paraId="17FD3206" w14:textId="77777777" w:rsidR="003E1630" w:rsidRPr="00024D5A" w:rsidRDefault="003E1630" w:rsidP="00791B1A">
            <w:pPr>
              <w:rPr>
                <w:rFonts w:ascii="Garamond" w:eastAsia="Times New Roman" w:hAnsi="Garamond"/>
                <w:b/>
                <w:bCs/>
                <w:sz w:val="14"/>
                <w:szCs w:val="16"/>
                <w:lang w:eastAsia="en-US"/>
              </w:rPr>
            </w:pPr>
          </w:p>
        </w:tc>
        <w:tc>
          <w:tcPr>
            <w:tcW w:w="732" w:type="pct"/>
          </w:tcPr>
          <w:p w14:paraId="6774BBDC" w14:textId="0286F025"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Masa prioritare 1.2</w:t>
            </w:r>
            <w:r w:rsidR="00110C9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Vlerësimi i situatës së aksesueshmërisë së aseteve publike (ndërtesa dhe infrastrukturë), detajimi i planit me aksione konkrete për përfshirjen e elementeve të aksesueshmërisë në të gjitha asetet, sipas përparësive, krijimi i regjistrit</w:t>
            </w:r>
            <w:r w:rsidR="00941F99" w:rsidRPr="00024D5A">
              <w:rPr>
                <w:rFonts w:ascii="Garamond" w:eastAsia="Times New Roman" w:hAnsi="Garamond"/>
                <w:sz w:val="14"/>
                <w:szCs w:val="16"/>
                <w:lang w:eastAsia="en-US"/>
              </w:rPr>
              <w:t>.</w:t>
            </w:r>
          </w:p>
        </w:tc>
        <w:tc>
          <w:tcPr>
            <w:tcW w:w="850" w:type="pct"/>
          </w:tcPr>
          <w:p w14:paraId="0457E328" w14:textId="23B488CB"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Raporti i vlerësimit të aksesueshmërisë në objektet publike, përfshir</w:t>
            </w:r>
            <w:r w:rsidR="003245E7" w:rsidRPr="00024D5A">
              <w:rPr>
                <w:rFonts w:ascii="Garamond" w:eastAsia="Times New Roman" w:hAnsi="Garamond"/>
                <w:sz w:val="14"/>
                <w:szCs w:val="16"/>
                <w:lang w:eastAsia="en-US"/>
              </w:rPr>
              <w:t>ë</w:t>
            </w:r>
            <w:r w:rsidRPr="00024D5A">
              <w:rPr>
                <w:rFonts w:ascii="Garamond" w:eastAsia="Times New Roman" w:hAnsi="Garamond"/>
                <w:sz w:val="14"/>
                <w:szCs w:val="16"/>
                <w:lang w:eastAsia="en-US"/>
              </w:rPr>
              <w:t xml:space="preserve"> edhe ato të artit e kulturës dhe të ambienteve sportive</w:t>
            </w:r>
            <w:r w:rsidR="00941F9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Krijimi dhe funksionimi i regjistrit të aksesueshmërisë së aseteve publike</w:t>
            </w:r>
            <w:r w:rsidR="00941F99" w:rsidRPr="00024D5A">
              <w:rPr>
                <w:rFonts w:ascii="Garamond" w:eastAsia="Times New Roman" w:hAnsi="Garamond"/>
                <w:sz w:val="14"/>
                <w:szCs w:val="16"/>
                <w:lang w:eastAsia="en-US"/>
              </w:rPr>
              <w:t>.</w:t>
            </w:r>
          </w:p>
        </w:tc>
        <w:tc>
          <w:tcPr>
            <w:tcW w:w="282" w:type="pct"/>
          </w:tcPr>
          <w:p w14:paraId="3AB22F27"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N/A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 xml:space="preserve">N/A </w:t>
            </w:r>
          </w:p>
        </w:tc>
        <w:tc>
          <w:tcPr>
            <w:tcW w:w="518" w:type="pct"/>
          </w:tcPr>
          <w:p w14:paraId="60C7B8CB"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1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40% e rregjistrit të plotësuar</w:t>
            </w:r>
          </w:p>
        </w:tc>
        <w:tc>
          <w:tcPr>
            <w:tcW w:w="518" w:type="pct"/>
          </w:tcPr>
          <w:p w14:paraId="6909247A" w14:textId="248A3795"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1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80</w:t>
            </w:r>
            <w:r w:rsidR="00F03D3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e rregjistrit të plotësuar</w:t>
            </w:r>
          </w:p>
        </w:tc>
        <w:tc>
          <w:tcPr>
            <w:tcW w:w="666" w:type="pct"/>
          </w:tcPr>
          <w:p w14:paraId="2B0C9397" w14:textId="1DB70340"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MTKS</w:t>
            </w:r>
            <w:r w:rsidR="007675EC"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MIE</w:t>
            </w:r>
            <w:r w:rsidR="003245E7"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MEI</w:t>
            </w:r>
            <w:r w:rsidRPr="00024D5A">
              <w:rPr>
                <w:rFonts w:ascii="Garamond" w:eastAsia="Times New Roman" w:hAnsi="Garamond"/>
                <w:sz w:val="14"/>
                <w:szCs w:val="16"/>
                <w:lang w:eastAsia="en-US"/>
              </w:rPr>
              <w:br/>
              <w:t>MSHM</w:t>
            </w:r>
            <w:r w:rsidR="003245E7" w:rsidRPr="00024D5A">
              <w:rPr>
                <w:rFonts w:ascii="Garamond" w:eastAsia="Times New Roman" w:hAnsi="Garamond"/>
                <w:sz w:val="14"/>
                <w:szCs w:val="16"/>
                <w:lang w:eastAsia="en-US"/>
              </w:rPr>
              <w:t>S/</w:t>
            </w:r>
            <w:r w:rsidR="00941F99" w:rsidRPr="00024D5A">
              <w:rPr>
                <w:rFonts w:ascii="Garamond" w:eastAsia="Times New Roman" w:hAnsi="Garamond"/>
                <w:sz w:val="14"/>
                <w:szCs w:val="16"/>
                <w:lang w:eastAsia="en-US"/>
              </w:rPr>
              <w:t xml:space="preserve">të </w:t>
            </w:r>
            <w:r w:rsidR="003245E7" w:rsidRPr="00024D5A">
              <w:rPr>
                <w:rFonts w:ascii="Garamond" w:eastAsia="Times New Roman" w:hAnsi="Garamond"/>
                <w:sz w:val="14"/>
                <w:szCs w:val="16"/>
                <w:lang w:eastAsia="en-US"/>
              </w:rPr>
              <w:t>gjitha institucionet</w:t>
            </w:r>
            <w:r w:rsidR="00941F9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br/>
              <w:t>UP;</w:t>
            </w:r>
            <w:r w:rsidR="003245E7" w:rsidRPr="00024D5A">
              <w:rPr>
                <w:rFonts w:ascii="Garamond" w:eastAsia="Times New Roman" w:hAnsi="Garamond"/>
                <w:sz w:val="14"/>
                <w:szCs w:val="16"/>
                <w:lang w:eastAsia="en-US"/>
              </w:rPr>
              <w:t xml:space="preserve"> </w:t>
            </w:r>
            <w:r w:rsidRPr="00024D5A">
              <w:rPr>
                <w:rFonts w:ascii="Garamond" w:eastAsia="Times New Roman" w:hAnsi="Garamond"/>
                <w:sz w:val="14"/>
                <w:szCs w:val="16"/>
                <w:lang w:eastAsia="en-US"/>
              </w:rPr>
              <w:t>MSHPV</w:t>
            </w:r>
          </w:p>
          <w:p w14:paraId="1C86D230" w14:textId="04B7617F"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AMVV</w:t>
            </w:r>
            <w:r w:rsidR="003245E7" w:rsidRPr="00024D5A">
              <w:rPr>
                <w:rFonts w:ascii="Garamond" w:eastAsia="Times New Roman" w:hAnsi="Garamond"/>
                <w:sz w:val="14"/>
                <w:szCs w:val="16"/>
                <w:lang w:eastAsia="en-US"/>
              </w:rPr>
              <w:t xml:space="preserve">, </w:t>
            </w:r>
            <w:r w:rsidRPr="00024D5A">
              <w:rPr>
                <w:rFonts w:ascii="Garamond" w:eastAsia="Times New Roman" w:hAnsi="Garamond"/>
                <w:sz w:val="14"/>
                <w:szCs w:val="16"/>
                <w:lang w:eastAsia="en-US"/>
              </w:rPr>
              <w:t>NJ</w:t>
            </w:r>
            <w:r w:rsidR="003245E7" w:rsidRPr="00024D5A">
              <w:rPr>
                <w:rFonts w:ascii="Garamond" w:eastAsia="Times New Roman" w:hAnsi="Garamond"/>
                <w:sz w:val="14"/>
                <w:szCs w:val="16"/>
                <w:lang w:eastAsia="en-US"/>
              </w:rPr>
              <w:t>V</w:t>
            </w:r>
            <w:r w:rsidRPr="00024D5A">
              <w:rPr>
                <w:rFonts w:ascii="Garamond" w:eastAsia="Times New Roman" w:hAnsi="Garamond"/>
                <w:sz w:val="14"/>
                <w:szCs w:val="16"/>
                <w:lang w:eastAsia="en-US"/>
              </w:rPr>
              <w:t>V;</w:t>
            </w:r>
            <w:r w:rsidRPr="00024D5A">
              <w:rPr>
                <w:rFonts w:ascii="Garamond" w:eastAsia="Times New Roman" w:hAnsi="Garamond"/>
                <w:sz w:val="14"/>
                <w:szCs w:val="16"/>
                <w:lang w:eastAsia="en-US"/>
              </w:rPr>
              <w:br/>
            </w:r>
            <w:r w:rsidR="00941F99" w:rsidRPr="00024D5A">
              <w:rPr>
                <w:rFonts w:ascii="Garamond" w:eastAsia="Times New Roman" w:hAnsi="Garamond"/>
                <w:sz w:val="14"/>
                <w:szCs w:val="16"/>
                <w:lang w:eastAsia="en-US"/>
              </w:rPr>
              <w:t xml:space="preserve">shoqatat </w:t>
            </w:r>
            <w:r w:rsidRPr="00024D5A">
              <w:rPr>
                <w:rFonts w:ascii="Garamond" w:eastAsia="Times New Roman" w:hAnsi="Garamond"/>
                <w:sz w:val="14"/>
                <w:szCs w:val="16"/>
                <w:lang w:eastAsia="en-US"/>
              </w:rPr>
              <w:t xml:space="preserve">e ndërtuesve; </w:t>
            </w:r>
            <w:r w:rsidR="00941F99" w:rsidRPr="00024D5A">
              <w:rPr>
                <w:rFonts w:ascii="Garamond" w:eastAsia="Times New Roman" w:hAnsi="Garamond"/>
                <w:sz w:val="14"/>
                <w:szCs w:val="16"/>
                <w:lang w:eastAsia="en-US"/>
              </w:rPr>
              <w:t xml:space="preserve">kompanitë </w:t>
            </w:r>
            <w:r w:rsidRPr="00024D5A">
              <w:rPr>
                <w:rFonts w:ascii="Garamond" w:eastAsia="Times New Roman" w:hAnsi="Garamond"/>
                <w:sz w:val="14"/>
                <w:szCs w:val="16"/>
                <w:lang w:eastAsia="en-US"/>
              </w:rPr>
              <w:t>e shërbimeve elektronike;</w:t>
            </w:r>
            <w:r w:rsidRPr="00024D5A">
              <w:rPr>
                <w:rFonts w:ascii="Garamond" w:eastAsia="Times New Roman" w:hAnsi="Garamond"/>
                <w:sz w:val="14"/>
                <w:szCs w:val="16"/>
                <w:lang w:eastAsia="en-US"/>
              </w:rPr>
              <w:br/>
            </w:r>
            <w:r w:rsidR="00BA4F73" w:rsidRPr="00024D5A">
              <w:rPr>
                <w:rFonts w:ascii="Garamond" w:eastAsia="Times New Roman" w:hAnsi="Garamond"/>
                <w:sz w:val="14"/>
                <w:szCs w:val="16"/>
                <w:lang w:eastAsia="en-US"/>
              </w:rPr>
              <w:t>OJF</w:t>
            </w:r>
            <w:r w:rsidRPr="00024D5A">
              <w:rPr>
                <w:rFonts w:ascii="Garamond" w:eastAsia="Times New Roman" w:hAnsi="Garamond"/>
                <w:sz w:val="14"/>
                <w:szCs w:val="16"/>
                <w:lang w:eastAsia="en-US"/>
              </w:rPr>
              <w:t xml:space="preserve">; </w:t>
            </w:r>
            <w:r w:rsidRPr="00024D5A">
              <w:rPr>
                <w:rFonts w:ascii="Garamond" w:eastAsia="Times New Roman" w:hAnsi="Garamond"/>
                <w:sz w:val="14"/>
                <w:szCs w:val="16"/>
                <w:lang w:eastAsia="en-US"/>
              </w:rPr>
              <w:br/>
              <w:t>Raporte monitorimesh;</w:t>
            </w:r>
          </w:p>
        </w:tc>
        <w:tc>
          <w:tcPr>
            <w:tcW w:w="1022" w:type="pct"/>
          </w:tcPr>
          <w:p w14:paraId="7B3A361A"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r>
      <w:tr w:rsidR="003E1630" w:rsidRPr="00024D5A" w14:paraId="299A3F93" w14:textId="77777777" w:rsidTr="00F03D39">
        <w:trPr>
          <w:trHeight w:val="158"/>
          <w:jc w:val="center"/>
        </w:trPr>
        <w:tc>
          <w:tcPr>
            <w:tcW w:w="411" w:type="pct"/>
            <w:vMerge/>
          </w:tcPr>
          <w:p w14:paraId="7823DA40" w14:textId="77777777" w:rsidR="003E1630" w:rsidRPr="00024D5A" w:rsidRDefault="003E1630" w:rsidP="00791B1A">
            <w:pPr>
              <w:rPr>
                <w:rFonts w:ascii="Garamond" w:eastAsia="Times New Roman" w:hAnsi="Garamond"/>
                <w:b/>
                <w:bCs/>
                <w:sz w:val="14"/>
                <w:szCs w:val="16"/>
                <w:lang w:eastAsia="en-US"/>
              </w:rPr>
            </w:pPr>
          </w:p>
        </w:tc>
        <w:tc>
          <w:tcPr>
            <w:tcW w:w="732" w:type="pct"/>
            <w:vMerge w:val="restart"/>
          </w:tcPr>
          <w:p w14:paraId="1278C962" w14:textId="52F8AA18"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Masa prioritare 2.1</w:t>
            </w:r>
            <w:r w:rsidR="00110C9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Të aplikohen standardet e BE-së dhe të përafrohet kuadri ligjor për të mundësuar realizimin e të drejtave të pasagjerëve me aftësi të kufizuara në udhëtimet me autobusë (brenda qyteteve dhe ndër qytete), dhe t</w:t>
            </w:r>
            <w:r w:rsidR="0006183E" w:rsidRPr="00024D5A">
              <w:rPr>
                <w:rFonts w:ascii="Garamond" w:eastAsia="Times New Roman" w:hAnsi="Garamond"/>
                <w:sz w:val="14"/>
                <w:szCs w:val="16"/>
                <w:lang w:eastAsia="en-US"/>
              </w:rPr>
              <w:t>ë</w:t>
            </w:r>
            <w:r w:rsidRPr="00024D5A">
              <w:rPr>
                <w:rFonts w:ascii="Garamond" w:eastAsia="Times New Roman" w:hAnsi="Garamond"/>
                <w:sz w:val="14"/>
                <w:szCs w:val="16"/>
                <w:lang w:eastAsia="en-US"/>
              </w:rPr>
              <w:t xml:space="preserve"> gjitha mjetet e tjera t</w:t>
            </w:r>
            <w:r w:rsidR="0006183E" w:rsidRPr="00024D5A">
              <w:rPr>
                <w:rFonts w:ascii="Garamond" w:eastAsia="Times New Roman" w:hAnsi="Garamond"/>
                <w:sz w:val="14"/>
                <w:szCs w:val="16"/>
                <w:lang w:eastAsia="en-US"/>
              </w:rPr>
              <w:t>ë</w:t>
            </w:r>
            <w:r w:rsidRPr="00024D5A">
              <w:rPr>
                <w:rFonts w:ascii="Garamond" w:eastAsia="Times New Roman" w:hAnsi="Garamond"/>
                <w:sz w:val="14"/>
                <w:szCs w:val="16"/>
                <w:lang w:eastAsia="en-US"/>
              </w:rPr>
              <w:t xml:space="preserve"> transportit hekurudhor e ujor. Përmirësimi i qëndrimeve dhe sjelljeve ndaj udhëtarëve</w:t>
            </w:r>
            <w:r w:rsidR="00941F9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w:t>
            </w:r>
          </w:p>
        </w:tc>
        <w:tc>
          <w:tcPr>
            <w:tcW w:w="850" w:type="pct"/>
            <w:vMerge w:val="restart"/>
          </w:tcPr>
          <w:p w14:paraId="3ED27005" w14:textId="6E0FAE16"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1. Raport vlerësimi nëse terminalet dhe stacionet (autobus) </w:t>
            </w:r>
            <w:r w:rsidR="00BB6DFF" w:rsidRPr="00024D5A">
              <w:rPr>
                <w:rFonts w:ascii="Garamond" w:eastAsia="Times New Roman" w:hAnsi="Garamond"/>
                <w:sz w:val="14"/>
                <w:szCs w:val="16"/>
                <w:lang w:eastAsia="en-US"/>
              </w:rPr>
              <w:t>dhe vendparkimet e dedikuara p</w:t>
            </w:r>
            <w:r w:rsidR="000D5711" w:rsidRPr="00024D5A">
              <w:rPr>
                <w:rFonts w:ascii="Garamond" w:eastAsia="Times New Roman" w:hAnsi="Garamond"/>
                <w:sz w:val="14"/>
                <w:szCs w:val="16"/>
                <w:lang w:eastAsia="en-US"/>
              </w:rPr>
              <w:t>ë</w:t>
            </w:r>
            <w:r w:rsidR="00BB6DFF" w:rsidRPr="00024D5A">
              <w:rPr>
                <w:rFonts w:ascii="Garamond" w:eastAsia="Times New Roman" w:hAnsi="Garamond"/>
                <w:sz w:val="14"/>
                <w:szCs w:val="16"/>
                <w:lang w:eastAsia="en-US"/>
              </w:rPr>
              <w:t>r PAK</w:t>
            </w:r>
            <w:r w:rsidR="000D5711" w:rsidRPr="00024D5A">
              <w:rPr>
                <w:rFonts w:ascii="Garamond" w:eastAsia="Times New Roman" w:hAnsi="Garamond"/>
                <w:sz w:val="14"/>
                <w:szCs w:val="16"/>
                <w:lang w:eastAsia="en-US"/>
              </w:rPr>
              <w:t>-në</w:t>
            </w:r>
            <w:r w:rsidR="00BB6DFF" w:rsidRPr="00024D5A">
              <w:rPr>
                <w:rFonts w:ascii="Garamond" w:eastAsia="Times New Roman" w:hAnsi="Garamond"/>
                <w:sz w:val="14"/>
                <w:szCs w:val="16"/>
                <w:lang w:eastAsia="en-US"/>
              </w:rPr>
              <w:t xml:space="preserve"> </w:t>
            </w:r>
            <w:r w:rsidRPr="00024D5A">
              <w:rPr>
                <w:rFonts w:ascii="Garamond" w:eastAsia="Times New Roman" w:hAnsi="Garamond"/>
                <w:sz w:val="14"/>
                <w:szCs w:val="16"/>
                <w:lang w:eastAsia="en-US"/>
              </w:rPr>
              <w:t xml:space="preserve">plotësojnë standardet e aksesueshmërisë për personat me aftësi të kufizuara.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2. Raport studimi për kartën e transportit për PAK. Sigurimi i autorizimit për vend parkimi falas në nivel kombëtar për PAK</w:t>
            </w:r>
            <w:r w:rsidR="00941F99" w:rsidRPr="00024D5A">
              <w:rPr>
                <w:rFonts w:ascii="Garamond" w:eastAsia="Times New Roman" w:hAnsi="Garamond"/>
                <w:sz w:val="14"/>
                <w:szCs w:val="16"/>
                <w:lang w:eastAsia="en-US"/>
              </w:rPr>
              <w:t>-në</w:t>
            </w:r>
            <w:r w:rsidRPr="00024D5A">
              <w:rPr>
                <w:rFonts w:ascii="Garamond" w:eastAsia="Times New Roman" w:hAnsi="Garamond"/>
                <w:sz w:val="14"/>
                <w:szCs w:val="16"/>
                <w:lang w:eastAsia="en-US"/>
              </w:rPr>
              <w:t xml:space="preserve">. </w:t>
            </w:r>
            <w:r w:rsidRPr="00024D5A">
              <w:rPr>
                <w:rFonts w:ascii="Garamond" w:eastAsia="Times New Roman" w:hAnsi="Garamond"/>
                <w:sz w:val="14"/>
                <w:szCs w:val="16"/>
                <w:lang w:eastAsia="en-US"/>
              </w:rPr>
              <w:br/>
              <w:t xml:space="preserve"> </w:t>
            </w:r>
            <w:r w:rsidRPr="00024D5A">
              <w:rPr>
                <w:rFonts w:ascii="Garamond" w:eastAsia="Times New Roman" w:hAnsi="Garamond"/>
                <w:sz w:val="14"/>
                <w:szCs w:val="16"/>
                <w:lang w:eastAsia="en-US"/>
              </w:rPr>
              <w:br/>
              <w:t>3. Akte nënligjore nga bashkitë për të vendosur n</w:t>
            </w:r>
            <w:r w:rsidR="00B678F1" w:rsidRPr="00024D5A">
              <w:rPr>
                <w:rFonts w:ascii="Garamond" w:eastAsia="Times New Roman" w:hAnsi="Garamond"/>
                <w:sz w:val="14"/>
                <w:szCs w:val="16"/>
                <w:lang w:eastAsia="en-US"/>
              </w:rPr>
              <w:t>ë</w:t>
            </w:r>
            <w:r w:rsidRPr="00024D5A">
              <w:rPr>
                <w:rFonts w:ascii="Garamond" w:eastAsia="Times New Roman" w:hAnsi="Garamond"/>
                <w:sz w:val="14"/>
                <w:szCs w:val="16"/>
                <w:lang w:eastAsia="en-US"/>
              </w:rPr>
              <w:t xml:space="preserve"> kushtet e licencimit të kompanive të taksive</w:t>
            </w:r>
            <w:r w:rsidR="00B47620"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detyrimin për sigurim të taksive të përshtatura për shërbim ndaj PAK</w:t>
            </w:r>
            <w:r w:rsidR="007E7BEC" w:rsidRPr="00024D5A">
              <w:rPr>
                <w:rFonts w:ascii="Garamond" w:eastAsia="Times New Roman" w:hAnsi="Garamond"/>
                <w:sz w:val="14"/>
                <w:szCs w:val="16"/>
                <w:lang w:eastAsia="en-US"/>
              </w:rPr>
              <w:t>-së.</w:t>
            </w:r>
            <w:r w:rsidRPr="00024D5A">
              <w:rPr>
                <w:rFonts w:ascii="Garamond" w:eastAsia="Times New Roman" w:hAnsi="Garamond"/>
                <w:sz w:val="14"/>
                <w:szCs w:val="16"/>
                <w:lang w:eastAsia="en-US"/>
              </w:rPr>
              <w:t xml:space="preserve"> </w:t>
            </w:r>
          </w:p>
        </w:tc>
        <w:tc>
          <w:tcPr>
            <w:tcW w:w="282" w:type="pct"/>
            <w:vMerge w:val="restart"/>
          </w:tcPr>
          <w:p w14:paraId="2A204B3B"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N/A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 xml:space="preserve">N/A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 xml:space="preserve">N/A </w:t>
            </w:r>
          </w:p>
        </w:tc>
        <w:tc>
          <w:tcPr>
            <w:tcW w:w="518" w:type="pct"/>
            <w:vMerge w:val="restart"/>
          </w:tcPr>
          <w:p w14:paraId="33F2E0FD"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1</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1</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5% nga vlera bazë</w:t>
            </w:r>
          </w:p>
        </w:tc>
        <w:tc>
          <w:tcPr>
            <w:tcW w:w="518" w:type="pct"/>
            <w:vMerge w:val="restart"/>
          </w:tcPr>
          <w:p w14:paraId="07AE197D"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1</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 xml:space="preserve">1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20% nga vlera bazë</w:t>
            </w:r>
          </w:p>
        </w:tc>
        <w:tc>
          <w:tcPr>
            <w:tcW w:w="666" w:type="pct"/>
            <w:vMerge w:val="restart"/>
          </w:tcPr>
          <w:p w14:paraId="3D148024" w14:textId="142D592F"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MIE;</w:t>
            </w:r>
            <w:r w:rsidRPr="00024D5A">
              <w:rPr>
                <w:rFonts w:ascii="Garamond" w:eastAsia="Times New Roman" w:hAnsi="Garamond"/>
                <w:sz w:val="14"/>
                <w:szCs w:val="16"/>
                <w:lang w:eastAsia="en-US"/>
              </w:rPr>
              <w:br/>
              <w:t>MSHMS;</w:t>
            </w:r>
            <w:r w:rsidRPr="00024D5A">
              <w:rPr>
                <w:rFonts w:ascii="Garamond" w:eastAsia="Times New Roman" w:hAnsi="Garamond"/>
                <w:sz w:val="14"/>
                <w:szCs w:val="16"/>
                <w:lang w:eastAsia="en-US"/>
              </w:rPr>
              <w:br/>
              <w:t>DPSHTRR;</w:t>
            </w:r>
          </w:p>
          <w:p w14:paraId="5684B39A" w14:textId="6A967BAC"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MSHPV</w:t>
            </w:r>
            <w:r w:rsidR="007E7BEC" w:rsidRPr="00024D5A">
              <w:rPr>
                <w:rFonts w:ascii="Garamond" w:eastAsia="Times New Roman" w:hAnsi="Garamond"/>
                <w:sz w:val="14"/>
                <w:szCs w:val="16"/>
                <w:lang w:eastAsia="en-US"/>
              </w:rPr>
              <w:t>;</w:t>
            </w:r>
          </w:p>
          <w:p w14:paraId="3BEB0292" w14:textId="091B94F1"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AMVV</w:t>
            </w:r>
            <w:r w:rsidR="007E7BEC"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w:t>
            </w:r>
            <w:r w:rsidRPr="00024D5A">
              <w:rPr>
                <w:rFonts w:ascii="Garamond" w:eastAsia="Times New Roman" w:hAnsi="Garamond"/>
                <w:sz w:val="14"/>
                <w:szCs w:val="16"/>
                <w:lang w:eastAsia="en-US"/>
              </w:rPr>
              <w:br/>
            </w:r>
            <w:r w:rsidR="003245E7" w:rsidRPr="00024D5A">
              <w:rPr>
                <w:rFonts w:ascii="Garamond" w:eastAsia="Times New Roman" w:hAnsi="Garamond"/>
                <w:sz w:val="14"/>
                <w:szCs w:val="16"/>
                <w:lang w:eastAsia="en-US"/>
              </w:rPr>
              <w:t>NJVV</w:t>
            </w:r>
            <w:r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br/>
              <w:t>Kompani transporti</w:t>
            </w:r>
            <w:r w:rsidR="007675EC"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taksish;</w:t>
            </w:r>
            <w:r w:rsidRPr="00024D5A">
              <w:rPr>
                <w:rFonts w:ascii="Garamond" w:eastAsia="Times New Roman" w:hAnsi="Garamond"/>
                <w:sz w:val="14"/>
                <w:szCs w:val="16"/>
                <w:lang w:eastAsia="en-US"/>
              </w:rPr>
              <w:br/>
            </w:r>
            <w:r w:rsidR="00BA4F73" w:rsidRPr="00024D5A">
              <w:rPr>
                <w:rFonts w:ascii="Garamond" w:eastAsia="Times New Roman" w:hAnsi="Garamond"/>
                <w:sz w:val="14"/>
                <w:szCs w:val="16"/>
                <w:lang w:eastAsia="en-US"/>
              </w:rPr>
              <w:t>OJF</w:t>
            </w:r>
            <w:r w:rsidR="007E7BEC" w:rsidRPr="00024D5A">
              <w:rPr>
                <w:rFonts w:ascii="Garamond" w:eastAsia="Times New Roman" w:hAnsi="Garamond"/>
                <w:sz w:val="14"/>
                <w:szCs w:val="16"/>
                <w:lang w:eastAsia="en-US"/>
              </w:rPr>
              <w:t>.</w:t>
            </w:r>
          </w:p>
        </w:tc>
        <w:tc>
          <w:tcPr>
            <w:tcW w:w="1022" w:type="pct"/>
            <w:vMerge w:val="restart"/>
          </w:tcPr>
          <w:p w14:paraId="41CE7CE5"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r>
      <w:tr w:rsidR="003E1630" w:rsidRPr="00024D5A" w14:paraId="725101C7" w14:textId="77777777" w:rsidTr="00F03D39">
        <w:trPr>
          <w:trHeight w:val="158"/>
          <w:jc w:val="center"/>
        </w:trPr>
        <w:tc>
          <w:tcPr>
            <w:tcW w:w="411" w:type="pct"/>
            <w:vMerge/>
          </w:tcPr>
          <w:p w14:paraId="1D85B0D6" w14:textId="77777777" w:rsidR="003E1630" w:rsidRPr="00024D5A" w:rsidRDefault="003E1630" w:rsidP="00791B1A">
            <w:pPr>
              <w:rPr>
                <w:rFonts w:ascii="Garamond" w:eastAsia="Times New Roman" w:hAnsi="Garamond"/>
                <w:b/>
                <w:bCs/>
                <w:sz w:val="14"/>
                <w:szCs w:val="16"/>
                <w:lang w:eastAsia="en-US"/>
              </w:rPr>
            </w:pPr>
          </w:p>
        </w:tc>
        <w:tc>
          <w:tcPr>
            <w:tcW w:w="732" w:type="pct"/>
            <w:vMerge/>
          </w:tcPr>
          <w:p w14:paraId="2CDDD1B1" w14:textId="77777777" w:rsidR="003E1630" w:rsidRPr="00024D5A" w:rsidRDefault="003E1630" w:rsidP="00791B1A">
            <w:pPr>
              <w:rPr>
                <w:rFonts w:ascii="Garamond" w:eastAsia="Times New Roman" w:hAnsi="Garamond"/>
                <w:sz w:val="14"/>
                <w:szCs w:val="16"/>
                <w:lang w:eastAsia="en-US"/>
              </w:rPr>
            </w:pPr>
          </w:p>
        </w:tc>
        <w:tc>
          <w:tcPr>
            <w:tcW w:w="850" w:type="pct"/>
            <w:vMerge/>
          </w:tcPr>
          <w:p w14:paraId="54C245DF" w14:textId="77777777" w:rsidR="003E1630" w:rsidRPr="00024D5A" w:rsidRDefault="003E1630" w:rsidP="00791B1A">
            <w:pPr>
              <w:rPr>
                <w:rFonts w:ascii="Garamond" w:eastAsia="Times New Roman" w:hAnsi="Garamond"/>
                <w:sz w:val="14"/>
                <w:szCs w:val="16"/>
                <w:lang w:eastAsia="en-US"/>
              </w:rPr>
            </w:pPr>
          </w:p>
        </w:tc>
        <w:tc>
          <w:tcPr>
            <w:tcW w:w="282" w:type="pct"/>
            <w:vMerge/>
          </w:tcPr>
          <w:p w14:paraId="3BFF5C4C" w14:textId="77777777" w:rsidR="003E1630" w:rsidRPr="00024D5A" w:rsidRDefault="003E1630" w:rsidP="00791B1A">
            <w:pPr>
              <w:rPr>
                <w:rFonts w:ascii="Garamond" w:eastAsia="Times New Roman" w:hAnsi="Garamond"/>
                <w:sz w:val="14"/>
                <w:szCs w:val="16"/>
                <w:lang w:eastAsia="en-US"/>
              </w:rPr>
            </w:pPr>
          </w:p>
        </w:tc>
        <w:tc>
          <w:tcPr>
            <w:tcW w:w="518" w:type="pct"/>
            <w:vMerge/>
          </w:tcPr>
          <w:p w14:paraId="4E8492BF" w14:textId="77777777" w:rsidR="003E1630" w:rsidRPr="00024D5A" w:rsidRDefault="003E1630" w:rsidP="00791B1A">
            <w:pPr>
              <w:rPr>
                <w:rFonts w:ascii="Garamond" w:eastAsia="Times New Roman" w:hAnsi="Garamond"/>
                <w:sz w:val="14"/>
                <w:szCs w:val="16"/>
                <w:lang w:eastAsia="en-US"/>
              </w:rPr>
            </w:pPr>
          </w:p>
        </w:tc>
        <w:tc>
          <w:tcPr>
            <w:tcW w:w="518" w:type="pct"/>
            <w:vMerge/>
          </w:tcPr>
          <w:p w14:paraId="4EFE79A2" w14:textId="77777777" w:rsidR="003E1630" w:rsidRPr="00024D5A" w:rsidRDefault="003E1630" w:rsidP="00791B1A">
            <w:pPr>
              <w:rPr>
                <w:rFonts w:ascii="Garamond" w:eastAsia="Times New Roman" w:hAnsi="Garamond"/>
                <w:sz w:val="14"/>
                <w:szCs w:val="16"/>
                <w:lang w:eastAsia="en-US"/>
              </w:rPr>
            </w:pPr>
          </w:p>
        </w:tc>
        <w:tc>
          <w:tcPr>
            <w:tcW w:w="666" w:type="pct"/>
            <w:vMerge/>
          </w:tcPr>
          <w:p w14:paraId="138D2A4D" w14:textId="77777777" w:rsidR="003E1630" w:rsidRPr="00024D5A" w:rsidRDefault="003E1630" w:rsidP="00791B1A">
            <w:pPr>
              <w:rPr>
                <w:rFonts w:ascii="Garamond" w:eastAsia="Times New Roman" w:hAnsi="Garamond"/>
                <w:sz w:val="14"/>
                <w:szCs w:val="16"/>
                <w:lang w:eastAsia="en-US"/>
              </w:rPr>
            </w:pPr>
          </w:p>
        </w:tc>
        <w:tc>
          <w:tcPr>
            <w:tcW w:w="1022" w:type="pct"/>
            <w:vMerge/>
          </w:tcPr>
          <w:p w14:paraId="299C7569" w14:textId="77777777" w:rsidR="003E1630" w:rsidRPr="00024D5A" w:rsidRDefault="003E1630" w:rsidP="00791B1A">
            <w:pPr>
              <w:rPr>
                <w:rFonts w:ascii="Garamond" w:eastAsia="Times New Roman" w:hAnsi="Garamond"/>
                <w:sz w:val="14"/>
                <w:szCs w:val="16"/>
                <w:lang w:eastAsia="en-US"/>
              </w:rPr>
            </w:pPr>
          </w:p>
        </w:tc>
      </w:tr>
      <w:tr w:rsidR="003E1630" w:rsidRPr="00024D5A" w14:paraId="224A8FD9" w14:textId="77777777" w:rsidTr="00F03D39">
        <w:trPr>
          <w:trHeight w:val="20"/>
          <w:jc w:val="center"/>
        </w:trPr>
        <w:tc>
          <w:tcPr>
            <w:tcW w:w="411" w:type="pct"/>
            <w:vMerge/>
          </w:tcPr>
          <w:p w14:paraId="28BE17D2" w14:textId="77777777" w:rsidR="003E1630" w:rsidRPr="00024D5A" w:rsidRDefault="003E1630" w:rsidP="00791B1A">
            <w:pPr>
              <w:rPr>
                <w:rFonts w:ascii="Garamond" w:eastAsia="Times New Roman" w:hAnsi="Garamond"/>
                <w:b/>
                <w:bCs/>
                <w:sz w:val="14"/>
                <w:szCs w:val="16"/>
                <w:lang w:eastAsia="en-US"/>
              </w:rPr>
            </w:pPr>
          </w:p>
        </w:tc>
        <w:tc>
          <w:tcPr>
            <w:tcW w:w="732" w:type="pct"/>
          </w:tcPr>
          <w:p w14:paraId="1FA495C1" w14:textId="72D83755"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Masa prioritare 3.1</w:t>
            </w:r>
            <w:r w:rsidR="00110C9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Përmirësimet ligjore dhe adaptimi i standardeve ndërkombëtare të sigurimit të aksesueshmërisë në TIK. Strukturat për monitorimin dhe inspektimin e zbatimit të kuadrit ligjor</w:t>
            </w:r>
            <w:r w:rsidR="007E7BEC" w:rsidRPr="00024D5A">
              <w:rPr>
                <w:rFonts w:ascii="Garamond" w:eastAsia="Times New Roman" w:hAnsi="Garamond"/>
                <w:sz w:val="14"/>
                <w:szCs w:val="16"/>
                <w:lang w:eastAsia="en-US"/>
              </w:rPr>
              <w:t>.</w:t>
            </w:r>
          </w:p>
        </w:tc>
        <w:tc>
          <w:tcPr>
            <w:tcW w:w="850" w:type="pct"/>
          </w:tcPr>
          <w:p w14:paraId="0811C503" w14:textId="278A786F"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Miratimi dhe hyrja në fuqi e akteve ligjore/nënligjore të harmonizuara me standardet ndërkombëtare (p.sh. </w:t>
            </w:r>
            <w:r w:rsidR="003245E7" w:rsidRPr="00024D5A">
              <w:rPr>
                <w:rFonts w:ascii="Garamond" w:eastAsia="Times New Roman" w:hAnsi="Garamond"/>
                <w:sz w:val="14"/>
                <w:szCs w:val="16"/>
                <w:lang w:eastAsia="en-US"/>
              </w:rPr>
              <w:t>W</w:t>
            </w:r>
            <w:r w:rsidRPr="00024D5A">
              <w:rPr>
                <w:rFonts w:ascii="Garamond" w:eastAsia="Times New Roman" w:hAnsi="Garamond"/>
                <w:sz w:val="14"/>
                <w:szCs w:val="16"/>
                <w:lang w:eastAsia="en-US"/>
              </w:rPr>
              <w:t xml:space="preserve">CAG, EN 301 549).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 e faqeve zyrtare dhe shërbimeve elektronike publike që certifikohen si të aksesueshme</w:t>
            </w:r>
            <w:r w:rsidR="007E7BEC"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sipas standardeve të miratuara.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 xml:space="preserve">Numri i auditimeve/inspektimeve vjetore për aksesueshmërinë digjitale </w:t>
            </w:r>
          </w:p>
        </w:tc>
        <w:tc>
          <w:tcPr>
            <w:tcW w:w="282" w:type="pct"/>
          </w:tcPr>
          <w:p w14:paraId="2CBFCAE6"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1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 xml:space="preserve">N/A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 xml:space="preserve">N/A </w:t>
            </w:r>
          </w:p>
        </w:tc>
        <w:tc>
          <w:tcPr>
            <w:tcW w:w="518" w:type="pct"/>
          </w:tcPr>
          <w:p w14:paraId="54D7A5FB" w14:textId="6EB71E1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2 akte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30</w:t>
            </w:r>
            <w:r w:rsidR="00F03D3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e faqeve zyrtare nga vlera bazë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2 audite/vit</w:t>
            </w:r>
          </w:p>
        </w:tc>
        <w:tc>
          <w:tcPr>
            <w:tcW w:w="518" w:type="pct"/>
          </w:tcPr>
          <w:p w14:paraId="70077283" w14:textId="5EB57D25"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2 akte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50</w:t>
            </w:r>
            <w:r w:rsidR="00F03D3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e faqeve zyrtare nga vlera bazë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6 audite</w:t>
            </w:r>
          </w:p>
        </w:tc>
        <w:tc>
          <w:tcPr>
            <w:tcW w:w="666" w:type="pct"/>
          </w:tcPr>
          <w:p w14:paraId="68C0EDBE" w14:textId="335DE343"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MEI; </w:t>
            </w:r>
            <w:r w:rsidRPr="00024D5A">
              <w:rPr>
                <w:rFonts w:ascii="Garamond" w:eastAsia="Times New Roman" w:hAnsi="Garamond"/>
                <w:sz w:val="14"/>
                <w:szCs w:val="16"/>
                <w:lang w:eastAsia="en-US"/>
              </w:rPr>
              <w:br/>
              <w:t xml:space="preserve">MSHMS; </w:t>
            </w:r>
            <w:r w:rsidRPr="00024D5A">
              <w:rPr>
                <w:rFonts w:ascii="Garamond" w:eastAsia="Times New Roman" w:hAnsi="Garamond"/>
                <w:sz w:val="14"/>
                <w:szCs w:val="16"/>
                <w:lang w:eastAsia="en-US"/>
              </w:rPr>
              <w:br/>
              <w:t>AKSHI;</w:t>
            </w:r>
            <w:r w:rsidRPr="00024D5A">
              <w:rPr>
                <w:rFonts w:ascii="Garamond" w:eastAsia="Times New Roman" w:hAnsi="Garamond"/>
                <w:sz w:val="14"/>
                <w:szCs w:val="16"/>
                <w:lang w:eastAsia="en-US"/>
              </w:rPr>
              <w:br/>
              <w:t>AMA;</w:t>
            </w:r>
            <w:r w:rsidRPr="00024D5A">
              <w:rPr>
                <w:rFonts w:ascii="Garamond" w:eastAsia="Times New Roman" w:hAnsi="Garamond"/>
                <w:sz w:val="14"/>
                <w:szCs w:val="16"/>
                <w:lang w:eastAsia="en-US"/>
              </w:rPr>
              <w:br/>
              <w:t xml:space="preserve">AKEP; </w:t>
            </w:r>
            <w:r w:rsidRPr="00024D5A">
              <w:rPr>
                <w:rFonts w:ascii="Garamond" w:eastAsia="Times New Roman" w:hAnsi="Garamond"/>
                <w:sz w:val="14"/>
                <w:szCs w:val="16"/>
                <w:lang w:eastAsia="en-US"/>
              </w:rPr>
              <w:br/>
            </w:r>
            <w:r w:rsidR="007E7BEC" w:rsidRPr="00024D5A">
              <w:rPr>
                <w:rFonts w:ascii="Garamond" w:eastAsia="Times New Roman" w:hAnsi="Garamond"/>
                <w:sz w:val="14"/>
                <w:szCs w:val="16"/>
                <w:lang w:eastAsia="en-US"/>
              </w:rPr>
              <w:t xml:space="preserve">kompanitë </w:t>
            </w:r>
            <w:r w:rsidRPr="00024D5A">
              <w:rPr>
                <w:rFonts w:ascii="Garamond" w:eastAsia="Times New Roman" w:hAnsi="Garamond"/>
                <w:sz w:val="14"/>
                <w:szCs w:val="16"/>
                <w:lang w:eastAsia="en-US"/>
              </w:rPr>
              <w:t>telefonike;</w:t>
            </w:r>
            <w:r w:rsidRPr="00024D5A">
              <w:rPr>
                <w:rFonts w:ascii="Garamond" w:eastAsia="Times New Roman" w:hAnsi="Garamond"/>
                <w:sz w:val="14"/>
                <w:szCs w:val="16"/>
                <w:lang w:eastAsia="en-US"/>
              </w:rPr>
              <w:br/>
            </w:r>
            <w:r w:rsidR="00BA4F73" w:rsidRPr="00024D5A">
              <w:rPr>
                <w:rFonts w:ascii="Garamond" w:eastAsia="Times New Roman" w:hAnsi="Garamond"/>
                <w:sz w:val="14"/>
                <w:szCs w:val="16"/>
                <w:lang w:eastAsia="en-US"/>
              </w:rPr>
              <w:t>OJF</w:t>
            </w:r>
            <w:r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br/>
            </w:r>
            <w:r w:rsidR="007E7BEC" w:rsidRPr="00024D5A">
              <w:rPr>
                <w:rFonts w:ascii="Garamond" w:eastAsia="Times New Roman" w:hAnsi="Garamond"/>
                <w:sz w:val="14"/>
                <w:szCs w:val="16"/>
                <w:lang w:eastAsia="en-US"/>
              </w:rPr>
              <w:t xml:space="preserve">raporte </w:t>
            </w:r>
            <w:r w:rsidRPr="00024D5A">
              <w:rPr>
                <w:rFonts w:ascii="Garamond" w:eastAsia="Times New Roman" w:hAnsi="Garamond"/>
                <w:sz w:val="14"/>
                <w:szCs w:val="16"/>
                <w:lang w:eastAsia="en-US"/>
              </w:rPr>
              <w:t>monitorimi</w:t>
            </w:r>
            <w:r w:rsidR="007E7BEC" w:rsidRPr="00024D5A">
              <w:rPr>
                <w:rFonts w:ascii="Garamond" w:eastAsia="Times New Roman" w:hAnsi="Garamond"/>
                <w:sz w:val="14"/>
                <w:szCs w:val="16"/>
                <w:lang w:eastAsia="en-US"/>
              </w:rPr>
              <w:t>.</w:t>
            </w:r>
          </w:p>
        </w:tc>
        <w:tc>
          <w:tcPr>
            <w:tcW w:w="1022" w:type="pct"/>
          </w:tcPr>
          <w:p w14:paraId="4C6D906D"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r>
      <w:tr w:rsidR="003E1630" w:rsidRPr="00024D5A" w14:paraId="5300FA7A" w14:textId="77777777" w:rsidTr="00F03D39">
        <w:trPr>
          <w:trHeight w:val="158"/>
          <w:jc w:val="center"/>
        </w:trPr>
        <w:tc>
          <w:tcPr>
            <w:tcW w:w="411" w:type="pct"/>
            <w:vMerge/>
          </w:tcPr>
          <w:p w14:paraId="217D410A" w14:textId="77777777" w:rsidR="003E1630" w:rsidRPr="00024D5A" w:rsidRDefault="003E1630" w:rsidP="00791B1A">
            <w:pPr>
              <w:rPr>
                <w:rFonts w:ascii="Garamond" w:eastAsia="Times New Roman" w:hAnsi="Garamond"/>
                <w:b/>
                <w:bCs/>
                <w:sz w:val="14"/>
                <w:szCs w:val="16"/>
                <w:lang w:eastAsia="en-US"/>
              </w:rPr>
            </w:pPr>
          </w:p>
        </w:tc>
        <w:tc>
          <w:tcPr>
            <w:tcW w:w="732" w:type="pct"/>
            <w:vMerge w:val="restart"/>
          </w:tcPr>
          <w:p w14:paraId="5D34E1DD" w14:textId="6BCFAFC3"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Masa prioritare 3.2</w:t>
            </w:r>
            <w:r w:rsidR="00110C9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Sigurimi i produkteve dhe shërbimeve të aksesueshme për informacion dhe komunikim për PAK</w:t>
            </w:r>
            <w:r w:rsidR="007E7BEC" w:rsidRPr="00024D5A">
              <w:rPr>
                <w:rFonts w:ascii="Garamond" w:eastAsia="Times New Roman" w:hAnsi="Garamond"/>
                <w:sz w:val="14"/>
                <w:szCs w:val="16"/>
                <w:lang w:eastAsia="en-US"/>
              </w:rPr>
              <w:t>-në</w:t>
            </w:r>
          </w:p>
        </w:tc>
        <w:tc>
          <w:tcPr>
            <w:tcW w:w="850" w:type="pct"/>
            <w:vMerge w:val="restart"/>
          </w:tcPr>
          <w:p w14:paraId="50C9D531" w14:textId="2B41DFBF"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Të gjitha institucionet qendrore miratojnë udhëzime/akte të brendshme për komunikim të aksesueshëm</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 xml:space="preserve">Raport vlerësimi për numrin e orëve të programeve të verifikuara për aksesueshmëri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Të gjitha institucione publike të përfshira, duke filluar nga institucionet qendrore.</w:t>
            </w:r>
            <w:r w:rsidRPr="00024D5A">
              <w:rPr>
                <w:rFonts w:ascii="Garamond" w:eastAsia="Times New Roman" w:hAnsi="Garamond"/>
                <w:sz w:val="14"/>
                <w:szCs w:val="16"/>
                <w:lang w:eastAsia="en-US"/>
              </w:rPr>
              <w:br/>
              <w:t xml:space="preserve">5 institucione blejnë set pajisjesh/softuerëve </w:t>
            </w:r>
            <w:r w:rsidRPr="00024D5A">
              <w:rPr>
                <w:rFonts w:ascii="Garamond" w:eastAsia="Times New Roman" w:hAnsi="Garamond"/>
                <w:i/>
                <w:iCs/>
                <w:sz w:val="14"/>
                <w:szCs w:val="16"/>
                <w:lang w:eastAsia="en-US"/>
              </w:rPr>
              <w:t xml:space="preserve">(screen readers, </w:t>
            </w:r>
            <w:r w:rsidRPr="00024D5A">
              <w:rPr>
                <w:rFonts w:ascii="Garamond" w:eastAsia="Times New Roman" w:hAnsi="Garamond"/>
                <w:sz w:val="14"/>
                <w:szCs w:val="16"/>
                <w:lang w:eastAsia="en-US"/>
              </w:rPr>
              <w:t>zmadhues, pajisje audio) për informacion dhe komunikim t</w:t>
            </w:r>
            <w:r w:rsidR="0006183E" w:rsidRPr="00024D5A">
              <w:rPr>
                <w:rFonts w:ascii="Garamond" w:eastAsia="Times New Roman" w:hAnsi="Garamond"/>
                <w:sz w:val="14"/>
                <w:szCs w:val="16"/>
                <w:lang w:eastAsia="en-US"/>
              </w:rPr>
              <w:t>ë</w:t>
            </w:r>
            <w:r w:rsidRPr="00024D5A">
              <w:rPr>
                <w:rFonts w:ascii="Garamond" w:eastAsia="Times New Roman" w:hAnsi="Garamond"/>
                <w:sz w:val="14"/>
                <w:szCs w:val="16"/>
                <w:lang w:eastAsia="en-US"/>
              </w:rPr>
              <w:t xml:space="preserve"> aksesueshëm për PAK</w:t>
            </w:r>
            <w:r w:rsidR="0006183E" w:rsidRPr="00024D5A">
              <w:rPr>
                <w:rFonts w:ascii="Garamond" w:eastAsia="Times New Roman" w:hAnsi="Garamond"/>
                <w:sz w:val="14"/>
                <w:szCs w:val="16"/>
                <w:lang w:eastAsia="en-US"/>
              </w:rPr>
              <w:t>-në</w:t>
            </w:r>
            <w:r w:rsidRPr="00024D5A">
              <w:rPr>
                <w:rFonts w:ascii="Garamond" w:eastAsia="Times New Roman" w:hAnsi="Garamond"/>
                <w:sz w:val="14"/>
                <w:szCs w:val="16"/>
                <w:lang w:eastAsia="en-US"/>
              </w:rPr>
              <w:t xml:space="preserve"> </w:t>
            </w:r>
          </w:p>
        </w:tc>
        <w:tc>
          <w:tcPr>
            <w:tcW w:w="282" w:type="pct"/>
            <w:vMerge w:val="restart"/>
          </w:tcPr>
          <w:p w14:paraId="6A04A6F1"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N/A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 xml:space="preserve">N/A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 xml:space="preserve">N/A </w:t>
            </w:r>
          </w:p>
        </w:tc>
        <w:tc>
          <w:tcPr>
            <w:tcW w:w="518" w:type="pct"/>
            <w:vMerge w:val="restart"/>
          </w:tcPr>
          <w:p w14:paraId="4F856C34" w14:textId="532D4B6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2 akte/çdo institucion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 xml:space="preserve">1 raport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 xml:space="preserve">30% e institucioneve qendrore nga vlera bazë </w:t>
            </w:r>
          </w:p>
        </w:tc>
        <w:tc>
          <w:tcPr>
            <w:tcW w:w="518" w:type="pct"/>
            <w:vMerge w:val="restart"/>
          </w:tcPr>
          <w:p w14:paraId="4C94DC02" w14:textId="4AD40E94"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1 raport</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100</w:t>
            </w:r>
            <w:r w:rsidR="00F03D3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e institucioneve qendrore nga vlera bazë</w:t>
            </w:r>
          </w:p>
        </w:tc>
        <w:tc>
          <w:tcPr>
            <w:tcW w:w="666" w:type="pct"/>
            <w:vMerge w:val="restart"/>
          </w:tcPr>
          <w:p w14:paraId="05C91FC2" w14:textId="3C7B822E"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MEI;</w:t>
            </w:r>
            <w:r w:rsidRPr="00024D5A">
              <w:rPr>
                <w:rFonts w:ascii="Garamond" w:eastAsia="Times New Roman" w:hAnsi="Garamond"/>
                <w:sz w:val="14"/>
                <w:szCs w:val="16"/>
                <w:lang w:eastAsia="en-US"/>
              </w:rPr>
              <w:br/>
              <w:t xml:space="preserve">MSHMS; </w:t>
            </w:r>
            <w:r w:rsidRPr="00024D5A">
              <w:rPr>
                <w:rFonts w:ascii="Garamond" w:eastAsia="Times New Roman" w:hAnsi="Garamond"/>
                <w:sz w:val="14"/>
                <w:szCs w:val="16"/>
                <w:lang w:eastAsia="en-US"/>
              </w:rPr>
              <w:br/>
              <w:t>AKSHI;</w:t>
            </w:r>
            <w:r w:rsidRPr="00024D5A">
              <w:rPr>
                <w:rFonts w:ascii="Garamond" w:eastAsia="Times New Roman" w:hAnsi="Garamond"/>
                <w:sz w:val="14"/>
                <w:szCs w:val="16"/>
                <w:lang w:eastAsia="en-US"/>
              </w:rPr>
              <w:br/>
              <w:t xml:space="preserve">AMA; </w:t>
            </w:r>
            <w:r w:rsidRPr="00024D5A">
              <w:rPr>
                <w:rFonts w:ascii="Garamond" w:eastAsia="Times New Roman" w:hAnsi="Garamond"/>
                <w:sz w:val="14"/>
                <w:szCs w:val="16"/>
                <w:lang w:eastAsia="en-US"/>
              </w:rPr>
              <w:br/>
              <w:t>AKEP;</w:t>
            </w:r>
            <w:r w:rsidRPr="00024D5A">
              <w:rPr>
                <w:rFonts w:ascii="Garamond" w:eastAsia="Times New Roman" w:hAnsi="Garamond"/>
                <w:sz w:val="14"/>
                <w:szCs w:val="16"/>
                <w:lang w:eastAsia="en-US"/>
              </w:rPr>
              <w:br/>
              <w:t>Kompanitë telefonike;</w:t>
            </w:r>
            <w:r w:rsidRPr="00024D5A">
              <w:rPr>
                <w:rFonts w:ascii="Garamond" w:eastAsia="Times New Roman" w:hAnsi="Garamond"/>
                <w:sz w:val="14"/>
                <w:szCs w:val="16"/>
                <w:lang w:eastAsia="en-US"/>
              </w:rPr>
              <w:br/>
            </w:r>
            <w:r w:rsidR="00BA4F73" w:rsidRPr="00024D5A">
              <w:rPr>
                <w:rFonts w:ascii="Garamond" w:eastAsia="Times New Roman" w:hAnsi="Garamond"/>
                <w:sz w:val="14"/>
                <w:szCs w:val="16"/>
                <w:lang w:eastAsia="en-US"/>
              </w:rPr>
              <w:t>OJF</w:t>
            </w:r>
            <w:r w:rsidR="007675EC"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raporte vlerësim</w:t>
            </w:r>
            <w:r w:rsidR="000C2D3A" w:rsidRPr="00024D5A">
              <w:rPr>
                <w:rFonts w:ascii="Garamond" w:eastAsia="Times New Roman" w:hAnsi="Garamond"/>
                <w:sz w:val="14"/>
                <w:szCs w:val="16"/>
                <w:lang w:eastAsia="en-US"/>
              </w:rPr>
              <w:t>.</w:t>
            </w:r>
          </w:p>
        </w:tc>
        <w:tc>
          <w:tcPr>
            <w:tcW w:w="1022" w:type="pct"/>
            <w:vMerge w:val="restart"/>
          </w:tcPr>
          <w:p w14:paraId="0FD3FF97"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r>
      <w:tr w:rsidR="003E1630" w:rsidRPr="00024D5A" w14:paraId="6148B226" w14:textId="77777777" w:rsidTr="00F03D39">
        <w:trPr>
          <w:trHeight w:val="158"/>
          <w:jc w:val="center"/>
        </w:trPr>
        <w:tc>
          <w:tcPr>
            <w:tcW w:w="411" w:type="pct"/>
            <w:vMerge/>
          </w:tcPr>
          <w:p w14:paraId="6796041E" w14:textId="77777777" w:rsidR="003E1630" w:rsidRPr="00024D5A" w:rsidRDefault="003E1630" w:rsidP="00791B1A">
            <w:pPr>
              <w:rPr>
                <w:rFonts w:ascii="Garamond" w:eastAsia="Times New Roman" w:hAnsi="Garamond"/>
                <w:b/>
                <w:bCs/>
                <w:sz w:val="14"/>
                <w:szCs w:val="16"/>
                <w:lang w:eastAsia="en-US"/>
              </w:rPr>
            </w:pPr>
          </w:p>
        </w:tc>
        <w:tc>
          <w:tcPr>
            <w:tcW w:w="732" w:type="pct"/>
            <w:vMerge/>
          </w:tcPr>
          <w:p w14:paraId="0128DF06" w14:textId="77777777" w:rsidR="003E1630" w:rsidRPr="00024D5A" w:rsidRDefault="003E1630" w:rsidP="00791B1A">
            <w:pPr>
              <w:rPr>
                <w:rFonts w:ascii="Garamond" w:eastAsia="Times New Roman" w:hAnsi="Garamond"/>
                <w:sz w:val="14"/>
                <w:szCs w:val="16"/>
                <w:lang w:eastAsia="en-US"/>
              </w:rPr>
            </w:pPr>
          </w:p>
        </w:tc>
        <w:tc>
          <w:tcPr>
            <w:tcW w:w="850" w:type="pct"/>
            <w:vMerge/>
          </w:tcPr>
          <w:p w14:paraId="1800A0C7" w14:textId="77777777" w:rsidR="003E1630" w:rsidRPr="00024D5A" w:rsidRDefault="003E1630" w:rsidP="00791B1A">
            <w:pPr>
              <w:rPr>
                <w:rFonts w:ascii="Garamond" w:eastAsia="Times New Roman" w:hAnsi="Garamond"/>
                <w:sz w:val="14"/>
                <w:szCs w:val="16"/>
                <w:lang w:eastAsia="en-US"/>
              </w:rPr>
            </w:pPr>
          </w:p>
        </w:tc>
        <w:tc>
          <w:tcPr>
            <w:tcW w:w="282" w:type="pct"/>
            <w:vMerge/>
          </w:tcPr>
          <w:p w14:paraId="6B24C397" w14:textId="77777777" w:rsidR="003E1630" w:rsidRPr="00024D5A" w:rsidRDefault="003E1630" w:rsidP="00791B1A">
            <w:pPr>
              <w:rPr>
                <w:rFonts w:ascii="Garamond" w:eastAsia="Times New Roman" w:hAnsi="Garamond"/>
                <w:sz w:val="14"/>
                <w:szCs w:val="16"/>
                <w:lang w:eastAsia="en-US"/>
              </w:rPr>
            </w:pPr>
          </w:p>
        </w:tc>
        <w:tc>
          <w:tcPr>
            <w:tcW w:w="518" w:type="pct"/>
            <w:vMerge/>
          </w:tcPr>
          <w:p w14:paraId="7C706044" w14:textId="77777777" w:rsidR="003E1630" w:rsidRPr="00024D5A" w:rsidRDefault="003E1630" w:rsidP="00791B1A">
            <w:pPr>
              <w:rPr>
                <w:rFonts w:ascii="Garamond" w:eastAsia="Times New Roman" w:hAnsi="Garamond"/>
                <w:sz w:val="14"/>
                <w:szCs w:val="16"/>
                <w:lang w:eastAsia="en-US"/>
              </w:rPr>
            </w:pPr>
          </w:p>
        </w:tc>
        <w:tc>
          <w:tcPr>
            <w:tcW w:w="518" w:type="pct"/>
            <w:vMerge/>
          </w:tcPr>
          <w:p w14:paraId="7E2A0237" w14:textId="77777777" w:rsidR="003E1630" w:rsidRPr="00024D5A" w:rsidRDefault="003E1630" w:rsidP="00791B1A">
            <w:pPr>
              <w:rPr>
                <w:rFonts w:ascii="Garamond" w:eastAsia="Times New Roman" w:hAnsi="Garamond"/>
                <w:sz w:val="14"/>
                <w:szCs w:val="16"/>
                <w:lang w:eastAsia="en-US"/>
              </w:rPr>
            </w:pPr>
          </w:p>
        </w:tc>
        <w:tc>
          <w:tcPr>
            <w:tcW w:w="666" w:type="pct"/>
            <w:vMerge/>
          </w:tcPr>
          <w:p w14:paraId="2CA3FF61" w14:textId="77777777" w:rsidR="003E1630" w:rsidRPr="00024D5A" w:rsidRDefault="003E1630" w:rsidP="00791B1A">
            <w:pPr>
              <w:rPr>
                <w:rFonts w:ascii="Garamond" w:eastAsia="Times New Roman" w:hAnsi="Garamond"/>
                <w:sz w:val="14"/>
                <w:szCs w:val="16"/>
                <w:lang w:eastAsia="en-US"/>
              </w:rPr>
            </w:pPr>
          </w:p>
        </w:tc>
        <w:tc>
          <w:tcPr>
            <w:tcW w:w="1022" w:type="pct"/>
            <w:vMerge/>
          </w:tcPr>
          <w:p w14:paraId="2A88E868" w14:textId="77777777" w:rsidR="003E1630" w:rsidRPr="00024D5A" w:rsidRDefault="003E1630" w:rsidP="00791B1A">
            <w:pPr>
              <w:rPr>
                <w:rFonts w:ascii="Garamond" w:eastAsia="Times New Roman" w:hAnsi="Garamond"/>
                <w:sz w:val="14"/>
                <w:szCs w:val="16"/>
                <w:lang w:eastAsia="en-US"/>
              </w:rPr>
            </w:pPr>
          </w:p>
        </w:tc>
      </w:tr>
      <w:tr w:rsidR="003E1630" w:rsidRPr="00024D5A" w14:paraId="240E169C" w14:textId="77777777" w:rsidTr="00F03D39">
        <w:trPr>
          <w:trHeight w:val="158"/>
          <w:jc w:val="center"/>
        </w:trPr>
        <w:tc>
          <w:tcPr>
            <w:tcW w:w="411" w:type="pct"/>
            <w:vMerge/>
          </w:tcPr>
          <w:p w14:paraId="3CE749E0" w14:textId="77777777" w:rsidR="003E1630" w:rsidRPr="00024D5A" w:rsidRDefault="003E1630" w:rsidP="00791B1A">
            <w:pPr>
              <w:rPr>
                <w:rFonts w:ascii="Garamond" w:eastAsia="Times New Roman" w:hAnsi="Garamond"/>
                <w:b/>
                <w:bCs/>
                <w:sz w:val="14"/>
                <w:szCs w:val="16"/>
                <w:lang w:eastAsia="en-US"/>
              </w:rPr>
            </w:pPr>
          </w:p>
        </w:tc>
        <w:tc>
          <w:tcPr>
            <w:tcW w:w="732" w:type="pct"/>
            <w:vMerge/>
          </w:tcPr>
          <w:p w14:paraId="1009E9B3" w14:textId="77777777" w:rsidR="003E1630" w:rsidRPr="00024D5A" w:rsidRDefault="003E1630" w:rsidP="00791B1A">
            <w:pPr>
              <w:rPr>
                <w:rFonts w:ascii="Garamond" w:eastAsia="Times New Roman" w:hAnsi="Garamond"/>
                <w:sz w:val="14"/>
                <w:szCs w:val="16"/>
                <w:lang w:eastAsia="en-US"/>
              </w:rPr>
            </w:pPr>
          </w:p>
        </w:tc>
        <w:tc>
          <w:tcPr>
            <w:tcW w:w="850" w:type="pct"/>
            <w:vMerge/>
          </w:tcPr>
          <w:p w14:paraId="67572AE7" w14:textId="77777777" w:rsidR="003E1630" w:rsidRPr="00024D5A" w:rsidRDefault="003E1630" w:rsidP="00791B1A">
            <w:pPr>
              <w:rPr>
                <w:rFonts w:ascii="Garamond" w:eastAsia="Times New Roman" w:hAnsi="Garamond"/>
                <w:sz w:val="14"/>
                <w:szCs w:val="16"/>
                <w:lang w:eastAsia="en-US"/>
              </w:rPr>
            </w:pPr>
          </w:p>
        </w:tc>
        <w:tc>
          <w:tcPr>
            <w:tcW w:w="282" w:type="pct"/>
            <w:vMerge/>
          </w:tcPr>
          <w:p w14:paraId="1615C693" w14:textId="77777777" w:rsidR="003E1630" w:rsidRPr="00024D5A" w:rsidRDefault="003E1630" w:rsidP="00791B1A">
            <w:pPr>
              <w:rPr>
                <w:rFonts w:ascii="Garamond" w:eastAsia="Times New Roman" w:hAnsi="Garamond"/>
                <w:sz w:val="14"/>
                <w:szCs w:val="16"/>
                <w:lang w:eastAsia="en-US"/>
              </w:rPr>
            </w:pPr>
          </w:p>
        </w:tc>
        <w:tc>
          <w:tcPr>
            <w:tcW w:w="518" w:type="pct"/>
            <w:vMerge/>
          </w:tcPr>
          <w:p w14:paraId="5C6FA308" w14:textId="77777777" w:rsidR="003E1630" w:rsidRPr="00024D5A" w:rsidRDefault="003E1630" w:rsidP="00791B1A">
            <w:pPr>
              <w:rPr>
                <w:rFonts w:ascii="Garamond" w:eastAsia="Times New Roman" w:hAnsi="Garamond"/>
                <w:sz w:val="14"/>
                <w:szCs w:val="16"/>
                <w:lang w:eastAsia="en-US"/>
              </w:rPr>
            </w:pPr>
          </w:p>
        </w:tc>
        <w:tc>
          <w:tcPr>
            <w:tcW w:w="518" w:type="pct"/>
            <w:vMerge/>
          </w:tcPr>
          <w:p w14:paraId="41CE5B7F" w14:textId="77777777" w:rsidR="003E1630" w:rsidRPr="00024D5A" w:rsidRDefault="003E1630" w:rsidP="00791B1A">
            <w:pPr>
              <w:rPr>
                <w:rFonts w:ascii="Garamond" w:eastAsia="Times New Roman" w:hAnsi="Garamond"/>
                <w:sz w:val="14"/>
                <w:szCs w:val="16"/>
                <w:lang w:eastAsia="en-US"/>
              </w:rPr>
            </w:pPr>
          </w:p>
        </w:tc>
        <w:tc>
          <w:tcPr>
            <w:tcW w:w="666" w:type="pct"/>
            <w:vMerge/>
          </w:tcPr>
          <w:p w14:paraId="2498FF10" w14:textId="77777777" w:rsidR="003E1630" w:rsidRPr="00024D5A" w:rsidRDefault="003E1630" w:rsidP="00791B1A">
            <w:pPr>
              <w:rPr>
                <w:rFonts w:ascii="Garamond" w:eastAsia="Times New Roman" w:hAnsi="Garamond"/>
                <w:sz w:val="14"/>
                <w:szCs w:val="16"/>
                <w:lang w:eastAsia="en-US"/>
              </w:rPr>
            </w:pPr>
          </w:p>
        </w:tc>
        <w:tc>
          <w:tcPr>
            <w:tcW w:w="1022" w:type="pct"/>
            <w:vMerge/>
          </w:tcPr>
          <w:p w14:paraId="1C7DE02E" w14:textId="77777777" w:rsidR="003E1630" w:rsidRPr="00024D5A" w:rsidRDefault="003E1630" w:rsidP="00791B1A">
            <w:pPr>
              <w:rPr>
                <w:rFonts w:ascii="Garamond" w:eastAsia="Times New Roman" w:hAnsi="Garamond"/>
                <w:sz w:val="14"/>
                <w:szCs w:val="16"/>
                <w:lang w:eastAsia="en-US"/>
              </w:rPr>
            </w:pPr>
          </w:p>
        </w:tc>
      </w:tr>
      <w:tr w:rsidR="003E1630" w:rsidRPr="00024D5A" w14:paraId="0860AA51" w14:textId="77777777" w:rsidTr="00F03D39">
        <w:trPr>
          <w:trHeight w:val="158"/>
          <w:jc w:val="center"/>
        </w:trPr>
        <w:tc>
          <w:tcPr>
            <w:tcW w:w="411" w:type="pct"/>
            <w:vMerge/>
          </w:tcPr>
          <w:p w14:paraId="4B86269A" w14:textId="77777777" w:rsidR="003E1630" w:rsidRPr="00024D5A" w:rsidRDefault="003E1630" w:rsidP="00791B1A">
            <w:pPr>
              <w:rPr>
                <w:rFonts w:ascii="Garamond" w:eastAsia="Times New Roman" w:hAnsi="Garamond"/>
                <w:b/>
                <w:bCs/>
                <w:sz w:val="14"/>
                <w:szCs w:val="16"/>
                <w:lang w:eastAsia="en-US"/>
              </w:rPr>
            </w:pPr>
          </w:p>
        </w:tc>
        <w:tc>
          <w:tcPr>
            <w:tcW w:w="732" w:type="pct"/>
            <w:vMerge/>
          </w:tcPr>
          <w:p w14:paraId="7483CA2B" w14:textId="77777777" w:rsidR="003E1630" w:rsidRPr="00024D5A" w:rsidRDefault="003E1630" w:rsidP="00791B1A">
            <w:pPr>
              <w:rPr>
                <w:rFonts w:ascii="Garamond" w:eastAsia="Times New Roman" w:hAnsi="Garamond"/>
                <w:sz w:val="14"/>
                <w:szCs w:val="16"/>
                <w:lang w:eastAsia="en-US"/>
              </w:rPr>
            </w:pPr>
          </w:p>
        </w:tc>
        <w:tc>
          <w:tcPr>
            <w:tcW w:w="850" w:type="pct"/>
            <w:vMerge/>
          </w:tcPr>
          <w:p w14:paraId="7EEFC6DB" w14:textId="77777777" w:rsidR="003E1630" w:rsidRPr="00024D5A" w:rsidRDefault="003E1630" w:rsidP="00791B1A">
            <w:pPr>
              <w:rPr>
                <w:rFonts w:ascii="Garamond" w:eastAsia="Times New Roman" w:hAnsi="Garamond"/>
                <w:sz w:val="14"/>
                <w:szCs w:val="16"/>
                <w:lang w:eastAsia="en-US"/>
              </w:rPr>
            </w:pPr>
          </w:p>
        </w:tc>
        <w:tc>
          <w:tcPr>
            <w:tcW w:w="282" w:type="pct"/>
            <w:vMerge/>
          </w:tcPr>
          <w:p w14:paraId="4FACCDD9" w14:textId="77777777" w:rsidR="003E1630" w:rsidRPr="00024D5A" w:rsidRDefault="003E1630" w:rsidP="00791B1A">
            <w:pPr>
              <w:rPr>
                <w:rFonts w:ascii="Garamond" w:eastAsia="Times New Roman" w:hAnsi="Garamond"/>
                <w:sz w:val="14"/>
                <w:szCs w:val="16"/>
                <w:lang w:eastAsia="en-US"/>
              </w:rPr>
            </w:pPr>
          </w:p>
        </w:tc>
        <w:tc>
          <w:tcPr>
            <w:tcW w:w="518" w:type="pct"/>
            <w:vMerge/>
          </w:tcPr>
          <w:p w14:paraId="3361D546" w14:textId="77777777" w:rsidR="003E1630" w:rsidRPr="00024D5A" w:rsidRDefault="003E1630" w:rsidP="00791B1A">
            <w:pPr>
              <w:rPr>
                <w:rFonts w:ascii="Garamond" w:eastAsia="Times New Roman" w:hAnsi="Garamond"/>
                <w:sz w:val="14"/>
                <w:szCs w:val="16"/>
                <w:lang w:eastAsia="en-US"/>
              </w:rPr>
            </w:pPr>
          </w:p>
        </w:tc>
        <w:tc>
          <w:tcPr>
            <w:tcW w:w="518" w:type="pct"/>
            <w:vMerge/>
          </w:tcPr>
          <w:p w14:paraId="4B3FB74B" w14:textId="77777777" w:rsidR="003E1630" w:rsidRPr="00024D5A" w:rsidRDefault="003E1630" w:rsidP="00791B1A">
            <w:pPr>
              <w:rPr>
                <w:rFonts w:ascii="Garamond" w:eastAsia="Times New Roman" w:hAnsi="Garamond"/>
                <w:sz w:val="14"/>
                <w:szCs w:val="16"/>
                <w:lang w:eastAsia="en-US"/>
              </w:rPr>
            </w:pPr>
          </w:p>
        </w:tc>
        <w:tc>
          <w:tcPr>
            <w:tcW w:w="666" w:type="pct"/>
            <w:vMerge/>
          </w:tcPr>
          <w:p w14:paraId="6667A26B" w14:textId="77777777" w:rsidR="003E1630" w:rsidRPr="00024D5A" w:rsidRDefault="003E1630" w:rsidP="00791B1A">
            <w:pPr>
              <w:rPr>
                <w:rFonts w:ascii="Garamond" w:eastAsia="Times New Roman" w:hAnsi="Garamond"/>
                <w:sz w:val="14"/>
                <w:szCs w:val="16"/>
                <w:lang w:eastAsia="en-US"/>
              </w:rPr>
            </w:pPr>
          </w:p>
        </w:tc>
        <w:tc>
          <w:tcPr>
            <w:tcW w:w="1022" w:type="pct"/>
            <w:vMerge/>
          </w:tcPr>
          <w:p w14:paraId="30CECB79" w14:textId="77777777" w:rsidR="003E1630" w:rsidRPr="00024D5A" w:rsidRDefault="003E1630" w:rsidP="00791B1A">
            <w:pPr>
              <w:rPr>
                <w:rFonts w:ascii="Garamond" w:eastAsia="Times New Roman" w:hAnsi="Garamond"/>
                <w:sz w:val="14"/>
                <w:szCs w:val="16"/>
                <w:lang w:eastAsia="en-US"/>
              </w:rPr>
            </w:pPr>
          </w:p>
        </w:tc>
      </w:tr>
      <w:tr w:rsidR="003E1630" w:rsidRPr="00024D5A" w14:paraId="6A3A91CB" w14:textId="77777777" w:rsidTr="00F03D39">
        <w:trPr>
          <w:trHeight w:val="158"/>
          <w:jc w:val="center"/>
        </w:trPr>
        <w:tc>
          <w:tcPr>
            <w:tcW w:w="411" w:type="pct"/>
            <w:vMerge/>
          </w:tcPr>
          <w:p w14:paraId="7F72923B" w14:textId="77777777" w:rsidR="003E1630" w:rsidRPr="00024D5A" w:rsidRDefault="003E1630" w:rsidP="00791B1A">
            <w:pPr>
              <w:rPr>
                <w:rFonts w:ascii="Garamond" w:eastAsia="Times New Roman" w:hAnsi="Garamond"/>
                <w:b/>
                <w:bCs/>
                <w:sz w:val="14"/>
                <w:szCs w:val="16"/>
                <w:lang w:eastAsia="en-US"/>
              </w:rPr>
            </w:pPr>
          </w:p>
        </w:tc>
        <w:tc>
          <w:tcPr>
            <w:tcW w:w="732" w:type="pct"/>
            <w:vMerge/>
          </w:tcPr>
          <w:p w14:paraId="6960D319" w14:textId="77777777" w:rsidR="003E1630" w:rsidRPr="00024D5A" w:rsidRDefault="003E1630" w:rsidP="00791B1A">
            <w:pPr>
              <w:rPr>
                <w:rFonts w:ascii="Garamond" w:eastAsia="Times New Roman" w:hAnsi="Garamond"/>
                <w:sz w:val="14"/>
                <w:szCs w:val="16"/>
                <w:lang w:eastAsia="en-US"/>
              </w:rPr>
            </w:pPr>
          </w:p>
        </w:tc>
        <w:tc>
          <w:tcPr>
            <w:tcW w:w="850" w:type="pct"/>
            <w:vMerge/>
          </w:tcPr>
          <w:p w14:paraId="428F550D" w14:textId="77777777" w:rsidR="003E1630" w:rsidRPr="00024D5A" w:rsidRDefault="003E1630" w:rsidP="00791B1A">
            <w:pPr>
              <w:rPr>
                <w:rFonts w:ascii="Garamond" w:eastAsia="Times New Roman" w:hAnsi="Garamond"/>
                <w:sz w:val="14"/>
                <w:szCs w:val="16"/>
                <w:lang w:eastAsia="en-US"/>
              </w:rPr>
            </w:pPr>
          </w:p>
        </w:tc>
        <w:tc>
          <w:tcPr>
            <w:tcW w:w="282" w:type="pct"/>
            <w:vMerge/>
          </w:tcPr>
          <w:p w14:paraId="0FBEADF1" w14:textId="77777777" w:rsidR="003E1630" w:rsidRPr="00024D5A" w:rsidRDefault="003E1630" w:rsidP="00791B1A">
            <w:pPr>
              <w:rPr>
                <w:rFonts w:ascii="Garamond" w:eastAsia="Times New Roman" w:hAnsi="Garamond"/>
                <w:sz w:val="14"/>
                <w:szCs w:val="16"/>
                <w:lang w:eastAsia="en-US"/>
              </w:rPr>
            </w:pPr>
          </w:p>
        </w:tc>
        <w:tc>
          <w:tcPr>
            <w:tcW w:w="518" w:type="pct"/>
            <w:vMerge/>
          </w:tcPr>
          <w:p w14:paraId="21239E57" w14:textId="77777777" w:rsidR="003E1630" w:rsidRPr="00024D5A" w:rsidRDefault="003E1630" w:rsidP="00791B1A">
            <w:pPr>
              <w:rPr>
                <w:rFonts w:ascii="Garamond" w:eastAsia="Times New Roman" w:hAnsi="Garamond"/>
                <w:sz w:val="14"/>
                <w:szCs w:val="16"/>
                <w:lang w:eastAsia="en-US"/>
              </w:rPr>
            </w:pPr>
          </w:p>
        </w:tc>
        <w:tc>
          <w:tcPr>
            <w:tcW w:w="518" w:type="pct"/>
            <w:vMerge/>
          </w:tcPr>
          <w:p w14:paraId="6E7E3463" w14:textId="77777777" w:rsidR="003E1630" w:rsidRPr="00024D5A" w:rsidRDefault="003E1630" w:rsidP="00791B1A">
            <w:pPr>
              <w:rPr>
                <w:rFonts w:ascii="Garamond" w:eastAsia="Times New Roman" w:hAnsi="Garamond"/>
                <w:sz w:val="14"/>
                <w:szCs w:val="16"/>
                <w:lang w:eastAsia="en-US"/>
              </w:rPr>
            </w:pPr>
          </w:p>
        </w:tc>
        <w:tc>
          <w:tcPr>
            <w:tcW w:w="666" w:type="pct"/>
            <w:vMerge/>
          </w:tcPr>
          <w:p w14:paraId="7AACB06C" w14:textId="77777777" w:rsidR="003E1630" w:rsidRPr="00024D5A" w:rsidRDefault="003E1630" w:rsidP="00791B1A">
            <w:pPr>
              <w:rPr>
                <w:rFonts w:ascii="Garamond" w:eastAsia="Times New Roman" w:hAnsi="Garamond"/>
                <w:sz w:val="14"/>
                <w:szCs w:val="16"/>
                <w:lang w:eastAsia="en-US"/>
              </w:rPr>
            </w:pPr>
          </w:p>
        </w:tc>
        <w:tc>
          <w:tcPr>
            <w:tcW w:w="1022" w:type="pct"/>
            <w:vMerge/>
          </w:tcPr>
          <w:p w14:paraId="4DF9262E" w14:textId="77777777" w:rsidR="003E1630" w:rsidRPr="00024D5A" w:rsidRDefault="003E1630" w:rsidP="00791B1A">
            <w:pPr>
              <w:rPr>
                <w:rFonts w:ascii="Garamond" w:eastAsia="Times New Roman" w:hAnsi="Garamond"/>
                <w:sz w:val="14"/>
                <w:szCs w:val="16"/>
                <w:lang w:eastAsia="en-US"/>
              </w:rPr>
            </w:pPr>
          </w:p>
        </w:tc>
      </w:tr>
      <w:tr w:rsidR="003E1630" w:rsidRPr="00024D5A" w14:paraId="6B95C50D" w14:textId="77777777" w:rsidTr="00F03D39">
        <w:trPr>
          <w:trHeight w:val="158"/>
          <w:jc w:val="center"/>
        </w:trPr>
        <w:tc>
          <w:tcPr>
            <w:tcW w:w="411" w:type="pct"/>
            <w:vMerge/>
          </w:tcPr>
          <w:p w14:paraId="63F805D7" w14:textId="77777777" w:rsidR="003E1630" w:rsidRPr="00024D5A" w:rsidRDefault="003E1630" w:rsidP="00791B1A">
            <w:pPr>
              <w:rPr>
                <w:rFonts w:ascii="Garamond" w:eastAsia="Times New Roman" w:hAnsi="Garamond"/>
                <w:b/>
                <w:bCs/>
                <w:sz w:val="14"/>
                <w:szCs w:val="16"/>
                <w:lang w:eastAsia="en-US"/>
              </w:rPr>
            </w:pPr>
          </w:p>
        </w:tc>
        <w:tc>
          <w:tcPr>
            <w:tcW w:w="732" w:type="pct"/>
            <w:vMerge/>
          </w:tcPr>
          <w:p w14:paraId="3D04F4EE" w14:textId="77777777" w:rsidR="003E1630" w:rsidRPr="00024D5A" w:rsidRDefault="003E1630" w:rsidP="00791B1A">
            <w:pPr>
              <w:rPr>
                <w:rFonts w:ascii="Garamond" w:eastAsia="Times New Roman" w:hAnsi="Garamond"/>
                <w:sz w:val="14"/>
                <w:szCs w:val="16"/>
                <w:lang w:eastAsia="en-US"/>
              </w:rPr>
            </w:pPr>
          </w:p>
        </w:tc>
        <w:tc>
          <w:tcPr>
            <w:tcW w:w="850" w:type="pct"/>
            <w:vMerge/>
          </w:tcPr>
          <w:p w14:paraId="0235108D" w14:textId="77777777" w:rsidR="003E1630" w:rsidRPr="00024D5A" w:rsidRDefault="003E1630" w:rsidP="00791B1A">
            <w:pPr>
              <w:rPr>
                <w:rFonts w:ascii="Garamond" w:eastAsia="Times New Roman" w:hAnsi="Garamond"/>
                <w:sz w:val="14"/>
                <w:szCs w:val="16"/>
                <w:lang w:eastAsia="en-US"/>
              </w:rPr>
            </w:pPr>
          </w:p>
        </w:tc>
        <w:tc>
          <w:tcPr>
            <w:tcW w:w="282" w:type="pct"/>
            <w:vMerge/>
          </w:tcPr>
          <w:p w14:paraId="48C8ACA4" w14:textId="77777777" w:rsidR="003E1630" w:rsidRPr="00024D5A" w:rsidRDefault="003E1630" w:rsidP="00791B1A">
            <w:pPr>
              <w:rPr>
                <w:rFonts w:ascii="Garamond" w:eastAsia="Times New Roman" w:hAnsi="Garamond"/>
                <w:sz w:val="14"/>
                <w:szCs w:val="16"/>
                <w:lang w:eastAsia="en-US"/>
              </w:rPr>
            </w:pPr>
          </w:p>
        </w:tc>
        <w:tc>
          <w:tcPr>
            <w:tcW w:w="518" w:type="pct"/>
            <w:vMerge/>
          </w:tcPr>
          <w:p w14:paraId="5593EAFE" w14:textId="77777777" w:rsidR="003E1630" w:rsidRPr="00024D5A" w:rsidRDefault="003E1630" w:rsidP="00791B1A">
            <w:pPr>
              <w:rPr>
                <w:rFonts w:ascii="Garamond" w:eastAsia="Times New Roman" w:hAnsi="Garamond"/>
                <w:sz w:val="14"/>
                <w:szCs w:val="16"/>
                <w:lang w:eastAsia="en-US"/>
              </w:rPr>
            </w:pPr>
          </w:p>
        </w:tc>
        <w:tc>
          <w:tcPr>
            <w:tcW w:w="518" w:type="pct"/>
            <w:vMerge/>
          </w:tcPr>
          <w:p w14:paraId="26AAF3D5" w14:textId="77777777" w:rsidR="003E1630" w:rsidRPr="00024D5A" w:rsidRDefault="003E1630" w:rsidP="00791B1A">
            <w:pPr>
              <w:rPr>
                <w:rFonts w:ascii="Garamond" w:eastAsia="Times New Roman" w:hAnsi="Garamond"/>
                <w:sz w:val="14"/>
                <w:szCs w:val="16"/>
                <w:lang w:eastAsia="en-US"/>
              </w:rPr>
            </w:pPr>
          </w:p>
        </w:tc>
        <w:tc>
          <w:tcPr>
            <w:tcW w:w="666" w:type="pct"/>
            <w:vMerge/>
          </w:tcPr>
          <w:p w14:paraId="0758F8E4" w14:textId="77777777" w:rsidR="003E1630" w:rsidRPr="00024D5A" w:rsidRDefault="003E1630" w:rsidP="00791B1A">
            <w:pPr>
              <w:rPr>
                <w:rFonts w:ascii="Garamond" w:eastAsia="Times New Roman" w:hAnsi="Garamond"/>
                <w:sz w:val="14"/>
                <w:szCs w:val="16"/>
                <w:lang w:eastAsia="en-US"/>
              </w:rPr>
            </w:pPr>
          </w:p>
        </w:tc>
        <w:tc>
          <w:tcPr>
            <w:tcW w:w="1022" w:type="pct"/>
            <w:vMerge/>
          </w:tcPr>
          <w:p w14:paraId="7B50F361" w14:textId="77777777" w:rsidR="003E1630" w:rsidRPr="00024D5A" w:rsidRDefault="003E1630" w:rsidP="00791B1A">
            <w:pPr>
              <w:rPr>
                <w:rFonts w:ascii="Garamond" w:eastAsia="Times New Roman" w:hAnsi="Garamond"/>
                <w:sz w:val="14"/>
                <w:szCs w:val="16"/>
                <w:lang w:eastAsia="en-US"/>
              </w:rPr>
            </w:pPr>
          </w:p>
        </w:tc>
      </w:tr>
      <w:tr w:rsidR="003E1630" w:rsidRPr="00024D5A" w14:paraId="30A5FE69" w14:textId="77777777" w:rsidTr="00F03D39">
        <w:trPr>
          <w:trHeight w:val="158"/>
          <w:jc w:val="center"/>
        </w:trPr>
        <w:tc>
          <w:tcPr>
            <w:tcW w:w="411" w:type="pct"/>
            <w:vMerge/>
          </w:tcPr>
          <w:p w14:paraId="6BB56474" w14:textId="77777777" w:rsidR="003E1630" w:rsidRPr="00024D5A" w:rsidRDefault="003E1630" w:rsidP="00791B1A">
            <w:pPr>
              <w:rPr>
                <w:rFonts w:ascii="Garamond" w:eastAsia="Times New Roman" w:hAnsi="Garamond"/>
                <w:b/>
                <w:bCs/>
                <w:sz w:val="14"/>
                <w:szCs w:val="16"/>
                <w:lang w:eastAsia="en-US"/>
              </w:rPr>
            </w:pPr>
          </w:p>
        </w:tc>
        <w:tc>
          <w:tcPr>
            <w:tcW w:w="732" w:type="pct"/>
            <w:vMerge/>
          </w:tcPr>
          <w:p w14:paraId="28DBA32A" w14:textId="77777777" w:rsidR="003E1630" w:rsidRPr="00024D5A" w:rsidRDefault="003E1630" w:rsidP="00791B1A">
            <w:pPr>
              <w:rPr>
                <w:rFonts w:ascii="Garamond" w:eastAsia="Times New Roman" w:hAnsi="Garamond"/>
                <w:sz w:val="14"/>
                <w:szCs w:val="16"/>
                <w:lang w:eastAsia="en-US"/>
              </w:rPr>
            </w:pPr>
          </w:p>
        </w:tc>
        <w:tc>
          <w:tcPr>
            <w:tcW w:w="850" w:type="pct"/>
            <w:vMerge/>
          </w:tcPr>
          <w:p w14:paraId="0D0F40D4" w14:textId="77777777" w:rsidR="003E1630" w:rsidRPr="00024D5A" w:rsidRDefault="003E1630" w:rsidP="00791B1A">
            <w:pPr>
              <w:rPr>
                <w:rFonts w:ascii="Garamond" w:eastAsia="Times New Roman" w:hAnsi="Garamond"/>
                <w:sz w:val="14"/>
                <w:szCs w:val="16"/>
                <w:lang w:eastAsia="en-US"/>
              </w:rPr>
            </w:pPr>
          </w:p>
        </w:tc>
        <w:tc>
          <w:tcPr>
            <w:tcW w:w="282" w:type="pct"/>
            <w:vMerge/>
          </w:tcPr>
          <w:p w14:paraId="1D36ABD5" w14:textId="77777777" w:rsidR="003E1630" w:rsidRPr="00024D5A" w:rsidRDefault="003E1630" w:rsidP="00791B1A">
            <w:pPr>
              <w:rPr>
                <w:rFonts w:ascii="Garamond" w:eastAsia="Times New Roman" w:hAnsi="Garamond"/>
                <w:sz w:val="14"/>
                <w:szCs w:val="16"/>
                <w:lang w:eastAsia="en-US"/>
              </w:rPr>
            </w:pPr>
          </w:p>
        </w:tc>
        <w:tc>
          <w:tcPr>
            <w:tcW w:w="518" w:type="pct"/>
            <w:vMerge/>
          </w:tcPr>
          <w:p w14:paraId="556AC14D" w14:textId="77777777" w:rsidR="003E1630" w:rsidRPr="00024D5A" w:rsidRDefault="003E1630" w:rsidP="00791B1A">
            <w:pPr>
              <w:rPr>
                <w:rFonts w:ascii="Garamond" w:eastAsia="Times New Roman" w:hAnsi="Garamond"/>
                <w:sz w:val="14"/>
                <w:szCs w:val="16"/>
                <w:lang w:eastAsia="en-US"/>
              </w:rPr>
            </w:pPr>
          </w:p>
        </w:tc>
        <w:tc>
          <w:tcPr>
            <w:tcW w:w="518" w:type="pct"/>
            <w:vMerge/>
          </w:tcPr>
          <w:p w14:paraId="7B868647" w14:textId="77777777" w:rsidR="003E1630" w:rsidRPr="00024D5A" w:rsidRDefault="003E1630" w:rsidP="00791B1A">
            <w:pPr>
              <w:rPr>
                <w:rFonts w:ascii="Garamond" w:eastAsia="Times New Roman" w:hAnsi="Garamond"/>
                <w:sz w:val="14"/>
                <w:szCs w:val="16"/>
                <w:lang w:eastAsia="en-US"/>
              </w:rPr>
            </w:pPr>
          </w:p>
        </w:tc>
        <w:tc>
          <w:tcPr>
            <w:tcW w:w="666" w:type="pct"/>
            <w:vMerge/>
          </w:tcPr>
          <w:p w14:paraId="72DA53CA" w14:textId="77777777" w:rsidR="003E1630" w:rsidRPr="00024D5A" w:rsidRDefault="003E1630" w:rsidP="00791B1A">
            <w:pPr>
              <w:rPr>
                <w:rFonts w:ascii="Garamond" w:eastAsia="Times New Roman" w:hAnsi="Garamond"/>
                <w:sz w:val="14"/>
                <w:szCs w:val="16"/>
                <w:lang w:eastAsia="en-US"/>
              </w:rPr>
            </w:pPr>
          </w:p>
        </w:tc>
        <w:tc>
          <w:tcPr>
            <w:tcW w:w="1022" w:type="pct"/>
            <w:vMerge/>
          </w:tcPr>
          <w:p w14:paraId="3CCD7248" w14:textId="77777777" w:rsidR="003E1630" w:rsidRPr="00024D5A" w:rsidRDefault="003E1630" w:rsidP="00791B1A">
            <w:pPr>
              <w:rPr>
                <w:rFonts w:ascii="Garamond" w:eastAsia="Times New Roman" w:hAnsi="Garamond"/>
                <w:sz w:val="14"/>
                <w:szCs w:val="16"/>
                <w:lang w:eastAsia="en-US"/>
              </w:rPr>
            </w:pPr>
          </w:p>
        </w:tc>
      </w:tr>
      <w:tr w:rsidR="003E1630" w:rsidRPr="00024D5A" w14:paraId="089C7271" w14:textId="77777777" w:rsidTr="00F03D39">
        <w:trPr>
          <w:trHeight w:val="158"/>
          <w:jc w:val="center"/>
        </w:trPr>
        <w:tc>
          <w:tcPr>
            <w:tcW w:w="411" w:type="pct"/>
            <w:vMerge/>
          </w:tcPr>
          <w:p w14:paraId="6B1DDC35" w14:textId="77777777" w:rsidR="003E1630" w:rsidRPr="00024D5A" w:rsidRDefault="003E1630" w:rsidP="00791B1A">
            <w:pPr>
              <w:rPr>
                <w:rFonts w:ascii="Garamond" w:eastAsia="Times New Roman" w:hAnsi="Garamond"/>
                <w:b/>
                <w:bCs/>
                <w:sz w:val="14"/>
                <w:szCs w:val="16"/>
                <w:lang w:eastAsia="en-US"/>
              </w:rPr>
            </w:pPr>
          </w:p>
        </w:tc>
        <w:tc>
          <w:tcPr>
            <w:tcW w:w="732" w:type="pct"/>
            <w:vMerge/>
          </w:tcPr>
          <w:p w14:paraId="7395C3D4" w14:textId="77777777" w:rsidR="003E1630" w:rsidRPr="00024D5A" w:rsidRDefault="003E1630" w:rsidP="00791B1A">
            <w:pPr>
              <w:rPr>
                <w:rFonts w:ascii="Garamond" w:eastAsia="Times New Roman" w:hAnsi="Garamond"/>
                <w:sz w:val="14"/>
                <w:szCs w:val="16"/>
                <w:lang w:eastAsia="en-US"/>
              </w:rPr>
            </w:pPr>
          </w:p>
        </w:tc>
        <w:tc>
          <w:tcPr>
            <w:tcW w:w="850" w:type="pct"/>
            <w:vMerge/>
          </w:tcPr>
          <w:p w14:paraId="53868F7B" w14:textId="77777777" w:rsidR="003E1630" w:rsidRPr="00024D5A" w:rsidRDefault="003E1630" w:rsidP="00791B1A">
            <w:pPr>
              <w:rPr>
                <w:rFonts w:ascii="Garamond" w:eastAsia="Times New Roman" w:hAnsi="Garamond"/>
                <w:sz w:val="14"/>
                <w:szCs w:val="16"/>
                <w:lang w:eastAsia="en-US"/>
              </w:rPr>
            </w:pPr>
          </w:p>
        </w:tc>
        <w:tc>
          <w:tcPr>
            <w:tcW w:w="282" w:type="pct"/>
            <w:vMerge/>
          </w:tcPr>
          <w:p w14:paraId="6C3B3813" w14:textId="77777777" w:rsidR="003E1630" w:rsidRPr="00024D5A" w:rsidRDefault="003E1630" w:rsidP="00791B1A">
            <w:pPr>
              <w:rPr>
                <w:rFonts w:ascii="Garamond" w:eastAsia="Times New Roman" w:hAnsi="Garamond"/>
                <w:sz w:val="14"/>
                <w:szCs w:val="16"/>
                <w:lang w:eastAsia="en-US"/>
              </w:rPr>
            </w:pPr>
          </w:p>
        </w:tc>
        <w:tc>
          <w:tcPr>
            <w:tcW w:w="518" w:type="pct"/>
            <w:vMerge/>
          </w:tcPr>
          <w:p w14:paraId="36E31B4D" w14:textId="77777777" w:rsidR="003E1630" w:rsidRPr="00024D5A" w:rsidRDefault="003E1630" w:rsidP="00791B1A">
            <w:pPr>
              <w:rPr>
                <w:rFonts w:ascii="Garamond" w:eastAsia="Times New Roman" w:hAnsi="Garamond"/>
                <w:sz w:val="14"/>
                <w:szCs w:val="16"/>
                <w:lang w:eastAsia="en-US"/>
              </w:rPr>
            </w:pPr>
          </w:p>
        </w:tc>
        <w:tc>
          <w:tcPr>
            <w:tcW w:w="518" w:type="pct"/>
            <w:vMerge/>
          </w:tcPr>
          <w:p w14:paraId="419B301D" w14:textId="77777777" w:rsidR="003E1630" w:rsidRPr="00024D5A" w:rsidRDefault="003E1630" w:rsidP="00791B1A">
            <w:pPr>
              <w:rPr>
                <w:rFonts w:ascii="Garamond" w:eastAsia="Times New Roman" w:hAnsi="Garamond"/>
                <w:sz w:val="14"/>
                <w:szCs w:val="16"/>
                <w:lang w:eastAsia="en-US"/>
              </w:rPr>
            </w:pPr>
          </w:p>
        </w:tc>
        <w:tc>
          <w:tcPr>
            <w:tcW w:w="666" w:type="pct"/>
            <w:vMerge/>
          </w:tcPr>
          <w:p w14:paraId="7991ABE3" w14:textId="77777777" w:rsidR="003E1630" w:rsidRPr="00024D5A" w:rsidRDefault="003E1630" w:rsidP="00791B1A">
            <w:pPr>
              <w:rPr>
                <w:rFonts w:ascii="Garamond" w:eastAsia="Times New Roman" w:hAnsi="Garamond"/>
                <w:sz w:val="14"/>
                <w:szCs w:val="16"/>
                <w:lang w:eastAsia="en-US"/>
              </w:rPr>
            </w:pPr>
          </w:p>
        </w:tc>
        <w:tc>
          <w:tcPr>
            <w:tcW w:w="1022" w:type="pct"/>
            <w:vMerge/>
          </w:tcPr>
          <w:p w14:paraId="647C1E1F" w14:textId="77777777" w:rsidR="003E1630" w:rsidRPr="00024D5A" w:rsidRDefault="003E1630" w:rsidP="00791B1A">
            <w:pPr>
              <w:rPr>
                <w:rFonts w:ascii="Garamond" w:eastAsia="Times New Roman" w:hAnsi="Garamond"/>
                <w:sz w:val="14"/>
                <w:szCs w:val="16"/>
                <w:lang w:eastAsia="en-US"/>
              </w:rPr>
            </w:pPr>
          </w:p>
        </w:tc>
      </w:tr>
      <w:tr w:rsidR="003E1630" w:rsidRPr="00024D5A" w14:paraId="1E0CEF06" w14:textId="77777777" w:rsidTr="00F03D39">
        <w:trPr>
          <w:trHeight w:val="158"/>
          <w:jc w:val="center"/>
        </w:trPr>
        <w:tc>
          <w:tcPr>
            <w:tcW w:w="411" w:type="pct"/>
            <w:vMerge/>
          </w:tcPr>
          <w:p w14:paraId="74DF1118" w14:textId="77777777" w:rsidR="003E1630" w:rsidRPr="00024D5A" w:rsidRDefault="003E1630" w:rsidP="00791B1A">
            <w:pPr>
              <w:rPr>
                <w:rFonts w:ascii="Garamond" w:eastAsia="Times New Roman" w:hAnsi="Garamond"/>
                <w:b/>
                <w:bCs/>
                <w:sz w:val="14"/>
                <w:szCs w:val="16"/>
                <w:lang w:eastAsia="en-US"/>
              </w:rPr>
            </w:pPr>
          </w:p>
        </w:tc>
        <w:tc>
          <w:tcPr>
            <w:tcW w:w="732" w:type="pct"/>
            <w:vMerge/>
          </w:tcPr>
          <w:p w14:paraId="2C9FC0D4" w14:textId="77777777" w:rsidR="003E1630" w:rsidRPr="00024D5A" w:rsidRDefault="003E1630" w:rsidP="00791B1A">
            <w:pPr>
              <w:rPr>
                <w:rFonts w:ascii="Garamond" w:eastAsia="Times New Roman" w:hAnsi="Garamond"/>
                <w:sz w:val="14"/>
                <w:szCs w:val="16"/>
                <w:lang w:eastAsia="en-US"/>
              </w:rPr>
            </w:pPr>
          </w:p>
        </w:tc>
        <w:tc>
          <w:tcPr>
            <w:tcW w:w="850" w:type="pct"/>
            <w:vMerge/>
          </w:tcPr>
          <w:p w14:paraId="07B54947" w14:textId="77777777" w:rsidR="003E1630" w:rsidRPr="00024D5A" w:rsidRDefault="003E1630" w:rsidP="00791B1A">
            <w:pPr>
              <w:rPr>
                <w:rFonts w:ascii="Garamond" w:eastAsia="Times New Roman" w:hAnsi="Garamond"/>
                <w:sz w:val="14"/>
                <w:szCs w:val="16"/>
                <w:lang w:eastAsia="en-US"/>
              </w:rPr>
            </w:pPr>
          </w:p>
        </w:tc>
        <w:tc>
          <w:tcPr>
            <w:tcW w:w="282" w:type="pct"/>
            <w:vMerge/>
          </w:tcPr>
          <w:p w14:paraId="50C8EE7A" w14:textId="77777777" w:rsidR="003E1630" w:rsidRPr="00024D5A" w:rsidRDefault="003E1630" w:rsidP="00791B1A">
            <w:pPr>
              <w:rPr>
                <w:rFonts w:ascii="Garamond" w:eastAsia="Times New Roman" w:hAnsi="Garamond"/>
                <w:sz w:val="14"/>
                <w:szCs w:val="16"/>
                <w:lang w:eastAsia="en-US"/>
              </w:rPr>
            </w:pPr>
          </w:p>
        </w:tc>
        <w:tc>
          <w:tcPr>
            <w:tcW w:w="518" w:type="pct"/>
            <w:vMerge/>
          </w:tcPr>
          <w:p w14:paraId="47719550" w14:textId="77777777" w:rsidR="003E1630" w:rsidRPr="00024D5A" w:rsidRDefault="003E1630" w:rsidP="00791B1A">
            <w:pPr>
              <w:rPr>
                <w:rFonts w:ascii="Garamond" w:eastAsia="Times New Roman" w:hAnsi="Garamond"/>
                <w:sz w:val="14"/>
                <w:szCs w:val="16"/>
                <w:lang w:eastAsia="en-US"/>
              </w:rPr>
            </w:pPr>
          </w:p>
        </w:tc>
        <w:tc>
          <w:tcPr>
            <w:tcW w:w="518" w:type="pct"/>
            <w:vMerge/>
          </w:tcPr>
          <w:p w14:paraId="6B79F37A" w14:textId="77777777" w:rsidR="003E1630" w:rsidRPr="00024D5A" w:rsidRDefault="003E1630" w:rsidP="00791B1A">
            <w:pPr>
              <w:rPr>
                <w:rFonts w:ascii="Garamond" w:eastAsia="Times New Roman" w:hAnsi="Garamond"/>
                <w:sz w:val="14"/>
                <w:szCs w:val="16"/>
                <w:lang w:eastAsia="en-US"/>
              </w:rPr>
            </w:pPr>
          </w:p>
        </w:tc>
        <w:tc>
          <w:tcPr>
            <w:tcW w:w="666" w:type="pct"/>
            <w:vMerge/>
          </w:tcPr>
          <w:p w14:paraId="407E9238" w14:textId="77777777" w:rsidR="003E1630" w:rsidRPr="00024D5A" w:rsidRDefault="003E1630" w:rsidP="00791B1A">
            <w:pPr>
              <w:rPr>
                <w:rFonts w:ascii="Garamond" w:eastAsia="Times New Roman" w:hAnsi="Garamond"/>
                <w:sz w:val="14"/>
                <w:szCs w:val="16"/>
                <w:lang w:eastAsia="en-US"/>
              </w:rPr>
            </w:pPr>
          </w:p>
        </w:tc>
        <w:tc>
          <w:tcPr>
            <w:tcW w:w="1022" w:type="pct"/>
            <w:vMerge/>
          </w:tcPr>
          <w:p w14:paraId="52BC54C5" w14:textId="77777777" w:rsidR="003E1630" w:rsidRPr="00024D5A" w:rsidRDefault="003E1630" w:rsidP="00791B1A">
            <w:pPr>
              <w:rPr>
                <w:rFonts w:ascii="Garamond" w:eastAsia="Times New Roman" w:hAnsi="Garamond"/>
                <w:sz w:val="14"/>
                <w:szCs w:val="16"/>
                <w:lang w:eastAsia="en-US"/>
              </w:rPr>
            </w:pPr>
          </w:p>
        </w:tc>
      </w:tr>
      <w:tr w:rsidR="003E1630" w:rsidRPr="00024D5A" w14:paraId="32FBEC26" w14:textId="77777777" w:rsidTr="00F03D39">
        <w:trPr>
          <w:trHeight w:val="20"/>
          <w:jc w:val="center"/>
        </w:trPr>
        <w:tc>
          <w:tcPr>
            <w:tcW w:w="411" w:type="pct"/>
            <w:vMerge/>
          </w:tcPr>
          <w:p w14:paraId="713A6A68" w14:textId="77777777" w:rsidR="003E1630" w:rsidRPr="00024D5A" w:rsidRDefault="003E1630" w:rsidP="00791B1A">
            <w:pPr>
              <w:rPr>
                <w:rFonts w:ascii="Garamond" w:eastAsia="Times New Roman" w:hAnsi="Garamond"/>
                <w:b/>
                <w:bCs/>
                <w:sz w:val="14"/>
                <w:szCs w:val="16"/>
                <w:lang w:eastAsia="en-US"/>
              </w:rPr>
            </w:pPr>
          </w:p>
        </w:tc>
        <w:tc>
          <w:tcPr>
            <w:tcW w:w="732" w:type="pct"/>
          </w:tcPr>
          <w:p w14:paraId="6910FE95" w14:textId="51C75331"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Masa prioritare 4.1: Aksesueshmëria fizike dhe e shërbimeve në Objekte turistike, objektet të trashëgimisë kulturore, n</w:t>
            </w:r>
            <w:r w:rsidR="00B678F1" w:rsidRPr="00024D5A">
              <w:rPr>
                <w:rFonts w:ascii="Garamond" w:eastAsia="Times New Roman" w:hAnsi="Garamond"/>
                <w:sz w:val="14"/>
                <w:szCs w:val="16"/>
                <w:lang w:eastAsia="en-US"/>
              </w:rPr>
              <w:t>ë</w:t>
            </w:r>
            <w:r w:rsidRPr="00024D5A">
              <w:rPr>
                <w:rFonts w:ascii="Garamond" w:eastAsia="Times New Roman" w:hAnsi="Garamond"/>
                <w:sz w:val="14"/>
                <w:szCs w:val="16"/>
                <w:lang w:eastAsia="en-US"/>
              </w:rPr>
              <w:t xml:space="preserve"> parqe kombëtare dhe plazhe, në ambientet sportive dhe shërbimet e guidave turistike.</w:t>
            </w:r>
          </w:p>
        </w:tc>
        <w:tc>
          <w:tcPr>
            <w:tcW w:w="850" w:type="pct"/>
          </w:tcPr>
          <w:p w14:paraId="4C037C0F" w14:textId="5E49D94E"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1. Studim vlerësues, për përfshirjen e standardeve të aksesueshmërisë në kriteret e licencimit për strukturat akomoduese.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 xml:space="preserve">2. Raport për vlerësimin e nivelit të aksesueshmërisë të objekteve turistike dhe të trashëgimisë kulturore, parqe kombëtare dhe plazhe.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3. Krijimi i regjistrit me të dhënat e nivelit të aksesueshmërisë së objekteve turistike dhe t</w:t>
            </w:r>
            <w:r w:rsidR="0006183E" w:rsidRPr="00024D5A">
              <w:rPr>
                <w:rFonts w:ascii="Garamond" w:eastAsia="Times New Roman" w:hAnsi="Garamond"/>
                <w:sz w:val="14"/>
                <w:szCs w:val="16"/>
                <w:lang w:eastAsia="en-US"/>
              </w:rPr>
              <w:t>ë</w:t>
            </w:r>
            <w:r w:rsidRPr="00024D5A">
              <w:rPr>
                <w:rFonts w:ascii="Garamond" w:eastAsia="Times New Roman" w:hAnsi="Garamond"/>
                <w:sz w:val="14"/>
                <w:szCs w:val="16"/>
                <w:lang w:eastAsia="en-US"/>
              </w:rPr>
              <w:t xml:space="preserve"> trashëgimisë kulturore, të vlerësuara n</w:t>
            </w:r>
            <w:r w:rsidR="00B678F1" w:rsidRPr="00024D5A">
              <w:rPr>
                <w:rFonts w:ascii="Garamond" w:eastAsia="Times New Roman" w:hAnsi="Garamond"/>
                <w:sz w:val="14"/>
                <w:szCs w:val="16"/>
                <w:lang w:eastAsia="en-US"/>
              </w:rPr>
              <w:t xml:space="preserve">ë </w:t>
            </w:r>
            <w:r w:rsidRPr="00024D5A">
              <w:rPr>
                <w:rFonts w:ascii="Garamond" w:eastAsia="Times New Roman" w:hAnsi="Garamond"/>
                <w:sz w:val="14"/>
                <w:szCs w:val="16"/>
                <w:lang w:eastAsia="en-US"/>
              </w:rPr>
              <w:t xml:space="preserve">raport. </w:t>
            </w:r>
          </w:p>
        </w:tc>
        <w:tc>
          <w:tcPr>
            <w:tcW w:w="282" w:type="pct"/>
          </w:tcPr>
          <w:p w14:paraId="3CBB34CD"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N/A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 xml:space="preserve">N/A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 xml:space="preserve">N/A </w:t>
            </w:r>
          </w:p>
        </w:tc>
        <w:tc>
          <w:tcPr>
            <w:tcW w:w="518" w:type="pct"/>
          </w:tcPr>
          <w:p w14:paraId="74E55EC8"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1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 xml:space="preserve"> 1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 xml:space="preserve"> 1 </w:t>
            </w:r>
          </w:p>
        </w:tc>
        <w:tc>
          <w:tcPr>
            <w:tcW w:w="518" w:type="pct"/>
          </w:tcPr>
          <w:p w14:paraId="1E721558"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1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 xml:space="preserve"> </w:t>
            </w:r>
            <w:r w:rsidRPr="00024D5A">
              <w:rPr>
                <w:rFonts w:ascii="Garamond" w:eastAsia="Times New Roman" w:hAnsi="Garamond"/>
                <w:sz w:val="14"/>
                <w:szCs w:val="16"/>
                <w:lang w:eastAsia="en-US"/>
              </w:rPr>
              <w:br/>
              <w:t xml:space="preserve"> 1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 xml:space="preserve"> 1 </w:t>
            </w:r>
          </w:p>
        </w:tc>
        <w:tc>
          <w:tcPr>
            <w:tcW w:w="666" w:type="pct"/>
          </w:tcPr>
          <w:p w14:paraId="19A9A005" w14:textId="7ED68835"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MTKS;</w:t>
            </w:r>
            <w:r w:rsidRPr="00024D5A">
              <w:rPr>
                <w:rFonts w:ascii="Garamond" w:eastAsia="Times New Roman" w:hAnsi="Garamond"/>
                <w:sz w:val="14"/>
                <w:szCs w:val="16"/>
                <w:lang w:eastAsia="en-US"/>
              </w:rPr>
              <w:br/>
              <w:t xml:space="preserve">MSHMS; </w:t>
            </w:r>
            <w:r w:rsidRPr="00024D5A">
              <w:rPr>
                <w:rFonts w:ascii="Garamond" w:eastAsia="Times New Roman" w:hAnsi="Garamond"/>
                <w:sz w:val="14"/>
                <w:szCs w:val="16"/>
                <w:lang w:eastAsia="en-US"/>
              </w:rPr>
              <w:br/>
            </w:r>
            <w:r w:rsidR="003245E7" w:rsidRPr="00024D5A">
              <w:rPr>
                <w:rFonts w:ascii="Garamond" w:eastAsia="Times New Roman" w:hAnsi="Garamond"/>
                <w:sz w:val="14"/>
                <w:szCs w:val="16"/>
                <w:lang w:eastAsia="en-US"/>
              </w:rPr>
              <w:t>NJVV</w:t>
            </w:r>
            <w:r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br/>
              <w:t>UP;</w:t>
            </w:r>
            <w:r w:rsidRPr="00024D5A">
              <w:rPr>
                <w:rFonts w:ascii="Garamond" w:eastAsia="Times New Roman" w:hAnsi="Garamond"/>
                <w:sz w:val="14"/>
                <w:szCs w:val="16"/>
                <w:lang w:eastAsia="en-US"/>
              </w:rPr>
              <w:br/>
            </w:r>
            <w:r w:rsidR="00BA4F73" w:rsidRPr="00024D5A">
              <w:rPr>
                <w:rFonts w:ascii="Garamond" w:eastAsia="Times New Roman" w:hAnsi="Garamond"/>
                <w:sz w:val="14"/>
                <w:szCs w:val="16"/>
                <w:lang w:eastAsia="en-US"/>
              </w:rPr>
              <w:t>OJF</w:t>
            </w:r>
            <w:r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br/>
            </w:r>
            <w:r w:rsidR="00D84A8A" w:rsidRPr="00024D5A">
              <w:rPr>
                <w:rFonts w:ascii="Garamond" w:eastAsia="Times New Roman" w:hAnsi="Garamond"/>
                <w:sz w:val="14"/>
                <w:szCs w:val="16"/>
                <w:lang w:eastAsia="en-US"/>
              </w:rPr>
              <w:t xml:space="preserve">raporte </w:t>
            </w:r>
            <w:r w:rsidRPr="00024D5A">
              <w:rPr>
                <w:rFonts w:ascii="Garamond" w:eastAsia="Times New Roman" w:hAnsi="Garamond"/>
                <w:sz w:val="14"/>
                <w:szCs w:val="16"/>
                <w:lang w:eastAsia="en-US"/>
              </w:rPr>
              <w:t>studimesh</w:t>
            </w:r>
            <w:r w:rsidR="00D84A8A" w:rsidRPr="00024D5A">
              <w:rPr>
                <w:rFonts w:ascii="Garamond" w:eastAsia="Times New Roman" w:hAnsi="Garamond"/>
                <w:sz w:val="14"/>
                <w:szCs w:val="16"/>
                <w:lang w:eastAsia="en-US"/>
              </w:rPr>
              <w:t>.</w:t>
            </w:r>
          </w:p>
        </w:tc>
        <w:tc>
          <w:tcPr>
            <w:tcW w:w="1022" w:type="pct"/>
          </w:tcPr>
          <w:p w14:paraId="1B6CAB7F"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r>
    </w:tbl>
    <w:p w14:paraId="623CAD21" w14:textId="7FCB7E7D" w:rsidR="00657405" w:rsidRPr="00024D5A" w:rsidRDefault="005743A8" w:rsidP="00D84A8A">
      <w:pPr>
        <w:rPr>
          <w:rFonts w:ascii="Garamond" w:hAnsi="Garamond"/>
          <w:lang w:eastAsia="en-US"/>
        </w:rPr>
      </w:pPr>
      <w:r w:rsidRPr="00024D5A">
        <w:rPr>
          <w:rFonts w:ascii="Garamond" w:eastAsia="MS Mincho" w:hAnsi="Garamond"/>
          <w:lang w:eastAsia="en-US"/>
        </w:rPr>
        <w:t xml:space="preserve"> </w:t>
      </w:r>
      <w:bookmarkStart w:id="60" w:name="_Toc231489658"/>
    </w:p>
    <w:p w14:paraId="6DACBF71" w14:textId="70F82D90" w:rsidR="003E1630" w:rsidRPr="00024D5A" w:rsidRDefault="0058487E" w:rsidP="00D84A8A">
      <w:pPr>
        <w:pStyle w:val="Heading2"/>
        <w:keepNext w:val="0"/>
        <w:widowControl w:val="0"/>
        <w:spacing w:before="0"/>
        <w:ind w:firstLine="288"/>
        <w:rPr>
          <w:rFonts w:ascii="Garamond" w:hAnsi="Garamond"/>
          <w:color w:val="auto"/>
          <w:sz w:val="24"/>
          <w:szCs w:val="24"/>
          <w:lang w:eastAsia="en-US"/>
        </w:rPr>
      </w:pPr>
      <w:r w:rsidRPr="00024D5A">
        <w:rPr>
          <w:rFonts w:ascii="Garamond" w:hAnsi="Garamond"/>
          <w:color w:val="auto"/>
          <w:sz w:val="24"/>
          <w:szCs w:val="24"/>
          <w:lang w:eastAsia="en-US"/>
        </w:rPr>
        <w:t>5</w:t>
      </w:r>
      <w:r w:rsidR="005743A8" w:rsidRPr="00024D5A">
        <w:rPr>
          <w:rFonts w:ascii="Garamond" w:hAnsi="Garamond"/>
          <w:color w:val="auto"/>
          <w:sz w:val="24"/>
          <w:szCs w:val="24"/>
          <w:lang w:eastAsia="en-US"/>
        </w:rPr>
        <w:t xml:space="preserve">.2. Aksesi në </w:t>
      </w:r>
      <w:r w:rsidR="00D84A8A" w:rsidRPr="00024D5A">
        <w:rPr>
          <w:rFonts w:ascii="Garamond" w:hAnsi="Garamond"/>
          <w:color w:val="auto"/>
          <w:sz w:val="24"/>
          <w:szCs w:val="24"/>
          <w:lang w:eastAsia="en-US"/>
        </w:rPr>
        <w:t>drejtësi dhe barazia para ligjit</w:t>
      </w:r>
      <w:bookmarkEnd w:id="60"/>
    </w:p>
    <w:p w14:paraId="0B970AA4" w14:textId="77777777" w:rsidR="003E1630" w:rsidRPr="00024D5A" w:rsidRDefault="003E1630" w:rsidP="00791B1A">
      <w:pPr>
        <w:rPr>
          <w:rFonts w:ascii="Garamond" w:eastAsia="MS Mincho" w:hAnsi="Garamond"/>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894"/>
        <w:gridCol w:w="1034"/>
        <w:gridCol w:w="739"/>
        <w:gridCol w:w="898"/>
        <w:gridCol w:w="862"/>
        <w:gridCol w:w="215"/>
        <w:gridCol w:w="217"/>
        <w:gridCol w:w="2788"/>
        <w:gridCol w:w="899"/>
      </w:tblGrid>
      <w:tr w:rsidR="003E1630" w:rsidRPr="00024D5A" w14:paraId="03DC15A2" w14:textId="77777777" w:rsidTr="00F958F2">
        <w:trPr>
          <w:trHeight w:val="20"/>
        </w:trPr>
        <w:tc>
          <w:tcPr>
            <w:tcW w:w="430" w:type="pct"/>
            <w:shd w:val="clear" w:color="auto" w:fill="C0E5F3"/>
            <w:vAlign w:val="center"/>
          </w:tcPr>
          <w:p w14:paraId="3C7FDB31" w14:textId="6D123BE4" w:rsidR="003E1630" w:rsidRPr="00024D5A" w:rsidRDefault="003E1630" w:rsidP="00657405">
            <w:pPr>
              <w:jc w:val="center"/>
              <w:rPr>
                <w:rFonts w:ascii="Garamond" w:eastAsia="Times New Roman" w:hAnsi="Garamond"/>
                <w:sz w:val="14"/>
                <w:szCs w:val="16"/>
                <w:lang w:eastAsia="en-US"/>
              </w:rPr>
            </w:pPr>
          </w:p>
        </w:tc>
        <w:tc>
          <w:tcPr>
            <w:tcW w:w="478" w:type="pct"/>
            <w:shd w:val="clear" w:color="auto" w:fill="C0E5F3"/>
            <w:vAlign w:val="center"/>
          </w:tcPr>
          <w:p w14:paraId="1008C7B0" w14:textId="77777777" w:rsidR="003E1630" w:rsidRPr="00024D5A" w:rsidRDefault="005743A8" w:rsidP="00657405">
            <w:pPr>
              <w:jc w:val="center"/>
              <w:rPr>
                <w:rFonts w:ascii="Garamond" w:eastAsia="Times New Roman" w:hAnsi="Garamond"/>
                <w:b/>
                <w:bCs/>
                <w:sz w:val="14"/>
                <w:szCs w:val="16"/>
                <w:lang w:eastAsia="en-US"/>
              </w:rPr>
            </w:pPr>
            <w:r w:rsidRPr="00024D5A">
              <w:rPr>
                <w:rFonts w:ascii="Garamond" w:eastAsia="Times New Roman" w:hAnsi="Garamond"/>
                <w:b/>
                <w:bCs/>
                <w:sz w:val="14"/>
                <w:szCs w:val="16"/>
                <w:lang w:eastAsia="en-US"/>
              </w:rPr>
              <w:t>Objektivat</w:t>
            </w:r>
          </w:p>
        </w:tc>
        <w:tc>
          <w:tcPr>
            <w:tcW w:w="553" w:type="pct"/>
            <w:shd w:val="clear" w:color="auto" w:fill="C0E5F3"/>
            <w:vAlign w:val="center"/>
          </w:tcPr>
          <w:p w14:paraId="3BE15918" w14:textId="77777777" w:rsidR="003E1630" w:rsidRPr="00024D5A" w:rsidRDefault="005743A8" w:rsidP="00657405">
            <w:pPr>
              <w:jc w:val="center"/>
              <w:rPr>
                <w:rFonts w:ascii="Garamond" w:eastAsia="Times New Roman" w:hAnsi="Garamond"/>
                <w:b/>
                <w:bCs/>
                <w:sz w:val="14"/>
                <w:szCs w:val="16"/>
                <w:lang w:eastAsia="en-US"/>
              </w:rPr>
            </w:pPr>
            <w:r w:rsidRPr="00024D5A">
              <w:rPr>
                <w:rFonts w:ascii="Garamond" w:eastAsia="Times New Roman" w:hAnsi="Garamond"/>
                <w:b/>
                <w:bCs/>
                <w:sz w:val="14"/>
                <w:szCs w:val="16"/>
                <w:lang w:eastAsia="en-US"/>
              </w:rPr>
              <w:t>Treguesi</w:t>
            </w:r>
          </w:p>
        </w:tc>
        <w:tc>
          <w:tcPr>
            <w:tcW w:w="395" w:type="pct"/>
            <w:shd w:val="clear" w:color="auto" w:fill="C0E5F3"/>
            <w:vAlign w:val="center"/>
          </w:tcPr>
          <w:p w14:paraId="4F23C35C" w14:textId="77777777" w:rsidR="003E1630" w:rsidRPr="00024D5A" w:rsidRDefault="005743A8" w:rsidP="00657405">
            <w:pPr>
              <w:jc w:val="center"/>
              <w:rPr>
                <w:rFonts w:ascii="Garamond" w:eastAsia="Times New Roman" w:hAnsi="Garamond"/>
                <w:b/>
                <w:bCs/>
                <w:sz w:val="14"/>
                <w:szCs w:val="16"/>
                <w:lang w:eastAsia="en-US"/>
              </w:rPr>
            </w:pPr>
            <w:r w:rsidRPr="00024D5A">
              <w:rPr>
                <w:rFonts w:ascii="Garamond" w:eastAsia="Times New Roman" w:hAnsi="Garamond"/>
                <w:b/>
                <w:bCs/>
                <w:sz w:val="14"/>
                <w:szCs w:val="16"/>
                <w:lang w:eastAsia="en-US"/>
              </w:rPr>
              <w:t>Vlera bazë</w:t>
            </w:r>
          </w:p>
        </w:tc>
        <w:tc>
          <w:tcPr>
            <w:tcW w:w="480" w:type="pct"/>
            <w:shd w:val="clear" w:color="auto" w:fill="C0E5F3"/>
            <w:vAlign w:val="center"/>
          </w:tcPr>
          <w:p w14:paraId="2A0A91DD" w14:textId="77777777" w:rsidR="003E1630" w:rsidRPr="00024D5A" w:rsidRDefault="005743A8" w:rsidP="00657405">
            <w:pPr>
              <w:jc w:val="center"/>
              <w:rPr>
                <w:rFonts w:ascii="Garamond" w:eastAsia="Times New Roman" w:hAnsi="Garamond"/>
                <w:b/>
                <w:bCs/>
                <w:sz w:val="14"/>
                <w:szCs w:val="16"/>
                <w:lang w:eastAsia="en-US"/>
              </w:rPr>
            </w:pPr>
            <w:r w:rsidRPr="00024D5A">
              <w:rPr>
                <w:rFonts w:ascii="Garamond" w:eastAsia="Times New Roman" w:hAnsi="Garamond"/>
                <w:b/>
                <w:bCs/>
                <w:sz w:val="14"/>
                <w:szCs w:val="16"/>
                <w:lang w:eastAsia="en-US"/>
              </w:rPr>
              <w:t>Synimi 2028</w:t>
            </w:r>
          </w:p>
        </w:tc>
        <w:tc>
          <w:tcPr>
            <w:tcW w:w="576" w:type="pct"/>
            <w:gridSpan w:val="2"/>
            <w:shd w:val="clear" w:color="auto" w:fill="C0E5F3"/>
            <w:vAlign w:val="center"/>
          </w:tcPr>
          <w:p w14:paraId="728AA545" w14:textId="77777777" w:rsidR="003E1630" w:rsidRPr="00024D5A" w:rsidRDefault="005743A8" w:rsidP="00657405">
            <w:pPr>
              <w:jc w:val="center"/>
              <w:rPr>
                <w:rFonts w:ascii="Garamond" w:eastAsia="Times New Roman" w:hAnsi="Garamond"/>
                <w:b/>
                <w:bCs/>
                <w:sz w:val="14"/>
                <w:szCs w:val="16"/>
                <w:lang w:eastAsia="en-US"/>
              </w:rPr>
            </w:pPr>
            <w:r w:rsidRPr="00024D5A">
              <w:rPr>
                <w:rFonts w:ascii="Garamond" w:eastAsia="Times New Roman" w:hAnsi="Garamond"/>
                <w:b/>
                <w:bCs/>
                <w:sz w:val="14"/>
                <w:szCs w:val="16"/>
                <w:lang w:eastAsia="en-US"/>
              </w:rPr>
              <w:t>Synimi 2030</w:t>
            </w:r>
          </w:p>
        </w:tc>
        <w:tc>
          <w:tcPr>
            <w:tcW w:w="1607" w:type="pct"/>
            <w:gridSpan w:val="2"/>
            <w:shd w:val="clear" w:color="auto" w:fill="C0E5F3"/>
            <w:vAlign w:val="center"/>
          </w:tcPr>
          <w:p w14:paraId="4BF34E0A" w14:textId="77777777" w:rsidR="003E1630" w:rsidRPr="00024D5A" w:rsidRDefault="005743A8" w:rsidP="00657405">
            <w:pPr>
              <w:jc w:val="center"/>
              <w:rPr>
                <w:rFonts w:ascii="Garamond" w:eastAsia="Times New Roman" w:hAnsi="Garamond"/>
                <w:b/>
                <w:bCs/>
                <w:sz w:val="14"/>
                <w:szCs w:val="16"/>
                <w:lang w:eastAsia="en-US"/>
              </w:rPr>
            </w:pPr>
            <w:r w:rsidRPr="00024D5A">
              <w:rPr>
                <w:rFonts w:ascii="Garamond" w:eastAsia="Times New Roman" w:hAnsi="Garamond"/>
                <w:b/>
                <w:bCs/>
                <w:sz w:val="14"/>
                <w:szCs w:val="16"/>
                <w:lang w:eastAsia="en-US"/>
              </w:rPr>
              <w:t>Burimet dhe mjetet e verifikimit</w:t>
            </w:r>
          </w:p>
        </w:tc>
        <w:tc>
          <w:tcPr>
            <w:tcW w:w="481" w:type="pct"/>
            <w:shd w:val="clear" w:color="auto" w:fill="C0E5F3"/>
            <w:vAlign w:val="center"/>
          </w:tcPr>
          <w:p w14:paraId="5005A6C8" w14:textId="77777777" w:rsidR="003E1630" w:rsidRPr="00024D5A" w:rsidRDefault="005743A8" w:rsidP="00657405">
            <w:pPr>
              <w:jc w:val="center"/>
              <w:rPr>
                <w:rFonts w:ascii="Garamond" w:eastAsia="Times New Roman" w:hAnsi="Garamond"/>
                <w:b/>
                <w:bCs/>
                <w:sz w:val="14"/>
                <w:szCs w:val="16"/>
                <w:lang w:eastAsia="en-US"/>
              </w:rPr>
            </w:pPr>
            <w:r w:rsidRPr="00024D5A">
              <w:rPr>
                <w:rFonts w:ascii="Garamond" w:eastAsia="Times New Roman" w:hAnsi="Garamond"/>
                <w:b/>
                <w:bCs/>
                <w:sz w:val="14"/>
                <w:szCs w:val="16"/>
                <w:lang w:eastAsia="en-US"/>
              </w:rPr>
              <w:t>Referenca në dok. të tjera</w:t>
            </w:r>
          </w:p>
        </w:tc>
      </w:tr>
      <w:tr w:rsidR="003E1630" w:rsidRPr="00024D5A" w14:paraId="001BC9C2" w14:textId="77777777" w:rsidTr="00F958F2">
        <w:trPr>
          <w:trHeight w:val="20"/>
        </w:trPr>
        <w:tc>
          <w:tcPr>
            <w:tcW w:w="430" w:type="pct"/>
            <w:shd w:val="clear" w:color="auto" w:fill="D8F1D0"/>
          </w:tcPr>
          <w:p w14:paraId="2D36AC90" w14:textId="77777777" w:rsidR="003E1630" w:rsidRPr="00024D5A" w:rsidRDefault="005743A8" w:rsidP="00791B1A">
            <w:pPr>
              <w:rPr>
                <w:rFonts w:ascii="Garamond" w:eastAsia="Times New Roman" w:hAnsi="Garamond"/>
                <w:b/>
                <w:bCs/>
                <w:sz w:val="14"/>
                <w:szCs w:val="16"/>
                <w:lang w:eastAsia="en-US"/>
              </w:rPr>
            </w:pPr>
            <w:r w:rsidRPr="00024D5A">
              <w:rPr>
                <w:rFonts w:ascii="Garamond" w:eastAsia="Times New Roman" w:hAnsi="Garamond"/>
                <w:b/>
                <w:bCs/>
                <w:sz w:val="14"/>
                <w:szCs w:val="16"/>
                <w:lang w:eastAsia="en-US"/>
              </w:rPr>
              <w:t xml:space="preserve">Qëllimi i politikës </w:t>
            </w:r>
          </w:p>
        </w:tc>
        <w:tc>
          <w:tcPr>
            <w:tcW w:w="478" w:type="pct"/>
            <w:shd w:val="clear" w:color="auto" w:fill="D8F1D0"/>
          </w:tcPr>
          <w:p w14:paraId="2586D972"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Të garantohet që personat me aftësi të kufizuara të ushtrojnë plotësisht zotësinë për të vepruar, të kenë akses të barabartë dhe efektiv në sistemin e drejtësisë dhe të mbrohen nga dhuna, abuzimi dhe shkeljet e të drejtave, përmes vendimmarrjes së mbështetur dhe akomodimit të arsyeshëm.</w:t>
            </w:r>
          </w:p>
        </w:tc>
        <w:tc>
          <w:tcPr>
            <w:tcW w:w="553" w:type="pct"/>
            <w:shd w:val="clear" w:color="auto" w:fill="D8F1D0"/>
          </w:tcPr>
          <w:p w14:paraId="4150A8AE"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Personat me aftësi të kufizuara kanë akses efektiv dhe të barabartë në sistemin e drejtësisë, përmes ushtrimit të zotësisë për të vepruar, përdorimit të shërbimeve të ndihmës juridike dhe marrjes së akomodimit të arsyeshëm në procedurat administrative, civile dhe penale.</w:t>
            </w:r>
          </w:p>
        </w:tc>
        <w:tc>
          <w:tcPr>
            <w:tcW w:w="395" w:type="pct"/>
            <w:shd w:val="clear" w:color="auto" w:fill="D8F1D0"/>
          </w:tcPr>
          <w:p w14:paraId="4E63F2E0"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N/A</w:t>
            </w:r>
          </w:p>
        </w:tc>
        <w:tc>
          <w:tcPr>
            <w:tcW w:w="480" w:type="pct"/>
            <w:shd w:val="clear" w:color="auto" w:fill="D8F1D0"/>
          </w:tcPr>
          <w:p w14:paraId="6B696925"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Më shumë se 6500 persona</w:t>
            </w:r>
          </w:p>
        </w:tc>
        <w:tc>
          <w:tcPr>
            <w:tcW w:w="576" w:type="pct"/>
            <w:gridSpan w:val="2"/>
            <w:shd w:val="clear" w:color="auto" w:fill="D8F1D0"/>
          </w:tcPr>
          <w:p w14:paraId="45F38E40"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Më shumë se 7800 persona</w:t>
            </w:r>
          </w:p>
        </w:tc>
        <w:tc>
          <w:tcPr>
            <w:tcW w:w="1607" w:type="pct"/>
            <w:gridSpan w:val="2"/>
            <w:shd w:val="clear" w:color="auto" w:fill="D8F1D0"/>
          </w:tcPr>
          <w:p w14:paraId="2BA516FA" w14:textId="2054273D"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Raportet vjetore të institucioneve të drejtësisë (MD, KLGJ, Prokuroria, DPP, DNJF);</w:t>
            </w:r>
            <w:r w:rsidRPr="00024D5A">
              <w:rPr>
                <w:rFonts w:ascii="Garamond" w:eastAsia="Times New Roman" w:hAnsi="Garamond"/>
                <w:sz w:val="14"/>
                <w:szCs w:val="16"/>
                <w:lang w:eastAsia="en-US"/>
              </w:rPr>
              <w:br/>
              <w:t>Raportet e Avokatit të Popullit;</w:t>
            </w:r>
            <w:r w:rsidRPr="00024D5A">
              <w:rPr>
                <w:rFonts w:ascii="Garamond" w:eastAsia="Times New Roman" w:hAnsi="Garamond"/>
                <w:sz w:val="14"/>
                <w:szCs w:val="16"/>
                <w:lang w:eastAsia="en-US"/>
              </w:rPr>
              <w:br/>
              <w:t>Raportet e monitorimit të zbatimit të Planit Kombëtar;</w:t>
            </w:r>
            <w:r w:rsidRPr="00024D5A">
              <w:rPr>
                <w:rFonts w:ascii="Garamond" w:eastAsia="Times New Roman" w:hAnsi="Garamond"/>
                <w:sz w:val="14"/>
                <w:szCs w:val="16"/>
                <w:lang w:eastAsia="en-US"/>
              </w:rPr>
              <w:br/>
              <w:t>Raportime nga shërbimi i ndihmës juridike falas</w:t>
            </w:r>
            <w:r w:rsidR="000F1F1E" w:rsidRPr="00024D5A">
              <w:rPr>
                <w:rFonts w:ascii="Garamond" w:eastAsia="Times New Roman" w:hAnsi="Garamond"/>
                <w:sz w:val="14"/>
                <w:szCs w:val="16"/>
                <w:lang w:eastAsia="en-US"/>
              </w:rPr>
              <w:t>.</w:t>
            </w:r>
          </w:p>
        </w:tc>
        <w:tc>
          <w:tcPr>
            <w:tcW w:w="481" w:type="pct"/>
            <w:shd w:val="clear" w:color="auto" w:fill="D8F1D0"/>
          </w:tcPr>
          <w:p w14:paraId="776F339B" w14:textId="2C96E484"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Konventën e OKB për të Drejtat e Personave me Aftësi të Kufizuara (</w:t>
            </w:r>
            <w:r w:rsidRPr="00024D5A">
              <w:rPr>
                <w:rFonts w:ascii="Garamond" w:eastAsia="Times New Roman" w:hAnsi="Garamond"/>
                <w:sz w:val="14"/>
                <w:szCs w:val="16"/>
              </w:rPr>
              <w:t>KDPAK</w:t>
            </w:r>
            <w:r w:rsidRPr="00024D5A">
              <w:rPr>
                <w:rFonts w:ascii="Garamond" w:eastAsia="Times New Roman" w:hAnsi="Garamond"/>
                <w:sz w:val="14"/>
                <w:szCs w:val="16"/>
                <w:lang w:eastAsia="en-US"/>
              </w:rPr>
              <w:t xml:space="preserve">), neni 13 </w:t>
            </w:r>
            <w:r w:rsidR="0078161D"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Aksesi në drejtësi</w:t>
            </w:r>
            <w:r w:rsidR="0078161D"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OZHQ 16; OZHQ 10;</w:t>
            </w:r>
            <w:r w:rsidRPr="00024D5A">
              <w:rPr>
                <w:rFonts w:ascii="Garamond" w:hAnsi="Garamond"/>
                <w:sz w:val="14"/>
              </w:rPr>
              <w:br/>
            </w:r>
            <w:r w:rsidRPr="00024D5A">
              <w:rPr>
                <w:rFonts w:ascii="Garamond" w:eastAsia="Times New Roman" w:hAnsi="Garamond"/>
                <w:sz w:val="14"/>
                <w:szCs w:val="16"/>
                <w:lang w:eastAsia="en-US"/>
              </w:rPr>
              <w:t xml:space="preserve">Strategjinë e BE për të Drejtat e Personave me Aftësi të Kufizuara </w:t>
            </w:r>
            <w:r w:rsidR="008639DB" w:rsidRPr="00024D5A">
              <w:rPr>
                <w:rFonts w:ascii="Garamond" w:eastAsia="Times New Roman" w:hAnsi="Garamond"/>
                <w:sz w:val="14"/>
                <w:szCs w:val="16"/>
                <w:lang w:eastAsia="en-US"/>
              </w:rPr>
              <w:t>2021–2030</w:t>
            </w:r>
            <w:r w:rsidRPr="00024D5A">
              <w:rPr>
                <w:rFonts w:ascii="Garamond" w:eastAsia="Times New Roman" w:hAnsi="Garamond"/>
                <w:sz w:val="14"/>
                <w:szCs w:val="16"/>
                <w:lang w:eastAsia="en-US"/>
              </w:rPr>
              <w:t>;</w:t>
            </w:r>
            <w:r w:rsidRPr="00024D5A">
              <w:rPr>
                <w:rFonts w:ascii="Garamond" w:hAnsi="Garamond"/>
                <w:sz w:val="14"/>
              </w:rPr>
              <w:br/>
            </w:r>
            <w:r w:rsidRPr="00024D5A">
              <w:rPr>
                <w:rFonts w:ascii="Garamond" w:eastAsia="Times New Roman" w:hAnsi="Garamond"/>
                <w:sz w:val="14"/>
                <w:szCs w:val="16"/>
                <w:lang w:eastAsia="en-US"/>
              </w:rPr>
              <w:t>Programi Kombëtar për Integrimin Evropian (PKIE);</w:t>
            </w:r>
            <w:r w:rsidRPr="00024D5A">
              <w:rPr>
                <w:rFonts w:ascii="Garamond" w:hAnsi="Garamond"/>
                <w:sz w:val="14"/>
              </w:rPr>
              <w:br/>
            </w:r>
            <w:r w:rsidRPr="00024D5A">
              <w:rPr>
                <w:rFonts w:ascii="Garamond" w:eastAsia="Times New Roman" w:hAnsi="Garamond"/>
                <w:sz w:val="14"/>
                <w:szCs w:val="16"/>
                <w:lang w:eastAsia="en-US"/>
              </w:rPr>
              <w:t xml:space="preserve">Shtyllën Evropiane të të Drejtave Sociale (Parimi 20 </w:t>
            </w:r>
            <w:r w:rsidR="007D6152"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w:t>
            </w:r>
            <w:r w:rsidR="007D6152" w:rsidRPr="00024D5A">
              <w:rPr>
                <w:rFonts w:ascii="Garamond" w:eastAsia="Times New Roman" w:hAnsi="Garamond"/>
                <w:sz w:val="14"/>
                <w:szCs w:val="16"/>
                <w:lang w:eastAsia="en-US"/>
              </w:rPr>
              <w:t xml:space="preserve">përfshirja </w:t>
            </w:r>
            <w:r w:rsidRPr="00024D5A">
              <w:rPr>
                <w:rFonts w:ascii="Garamond" w:eastAsia="Times New Roman" w:hAnsi="Garamond"/>
                <w:sz w:val="14"/>
                <w:szCs w:val="16"/>
                <w:lang w:eastAsia="en-US"/>
              </w:rPr>
              <w:t>e personave me aftësi të kufizuara);</w:t>
            </w:r>
            <w:r w:rsidRPr="00024D5A">
              <w:rPr>
                <w:rFonts w:ascii="Garamond" w:hAnsi="Garamond"/>
                <w:sz w:val="14"/>
              </w:rPr>
              <w:br/>
            </w:r>
            <w:r w:rsidRPr="00024D5A">
              <w:rPr>
                <w:rFonts w:ascii="Garamond" w:eastAsia="Times New Roman" w:hAnsi="Garamond"/>
                <w:sz w:val="14"/>
                <w:szCs w:val="16"/>
                <w:lang w:eastAsia="en-US"/>
              </w:rPr>
              <w:t xml:space="preserve">Strategjinë Kombëtare për Zhvillim dhe Integrim Evropian (SKZHIE) </w:t>
            </w:r>
            <w:r w:rsidR="007D6152"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qeverisja e mirë dhe barazia para ligjit;</w:t>
            </w:r>
            <w:r w:rsidRPr="00024D5A">
              <w:rPr>
                <w:rFonts w:ascii="Garamond" w:hAnsi="Garamond"/>
                <w:sz w:val="14"/>
              </w:rPr>
              <w:br/>
            </w:r>
            <w:r w:rsidRPr="00024D5A">
              <w:rPr>
                <w:rFonts w:ascii="Garamond" w:eastAsia="Times New Roman" w:hAnsi="Garamond"/>
                <w:sz w:val="14"/>
                <w:szCs w:val="16"/>
                <w:lang w:eastAsia="en-US"/>
              </w:rPr>
              <w:t xml:space="preserve">Raportet e Progresit të Komisionit Evropian për Shqipërinë (Kapitulli 23 </w:t>
            </w:r>
            <w:r w:rsidR="007D6152"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w:t>
            </w:r>
            <w:r w:rsidR="007D6152" w:rsidRPr="00024D5A">
              <w:rPr>
                <w:rFonts w:ascii="Garamond" w:eastAsia="Times New Roman" w:hAnsi="Garamond"/>
                <w:sz w:val="14"/>
                <w:szCs w:val="16"/>
                <w:lang w:eastAsia="en-US"/>
              </w:rPr>
              <w:t xml:space="preserve">gjyqësori </w:t>
            </w:r>
            <w:r w:rsidRPr="00024D5A">
              <w:rPr>
                <w:rFonts w:ascii="Garamond" w:eastAsia="Times New Roman" w:hAnsi="Garamond"/>
                <w:sz w:val="14"/>
                <w:szCs w:val="16"/>
                <w:lang w:eastAsia="en-US"/>
              </w:rPr>
              <w:t xml:space="preserve">dhe të </w:t>
            </w:r>
            <w:r w:rsidR="007D6152" w:rsidRPr="00024D5A">
              <w:rPr>
                <w:rFonts w:ascii="Garamond" w:eastAsia="Times New Roman" w:hAnsi="Garamond"/>
                <w:sz w:val="14"/>
                <w:szCs w:val="16"/>
                <w:lang w:eastAsia="en-US"/>
              </w:rPr>
              <w:t>drejtat themelore</w:t>
            </w:r>
            <w:r w:rsidRPr="00024D5A">
              <w:rPr>
                <w:rFonts w:ascii="Garamond" w:eastAsia="Times New Roman" w:hAnsi="Garamond"/>
                <w:sz w:val="14"/>
                <w:szCs w:val="16"/>
                <w:lang w:eastAsia="en-US"/>
              </w:rPr>
              <w:t>)</w:t>
            </w:r>
            <w:r w:rsidR="007D6152" w:rsidRPr="00024D5A">
              <w:rPr>
                <w:rFonts w:ascii="Garamond" w:eastAsia="Times New Roman" w:hAnsi="Garamond"/>
                <w:sz w:val="14"/>
                <w:szCs w:val="16"/>
                <w:lang w:eastAsia="en-US"/>
              </w:rPr>
              <w:t>.</w:t>
            </w:r>
          </w:p>
        </w:tc>
      </w:tr>
      <w:tr w:rsidR="0011579E" w:rsidRPr="00024D5A" w14:paraId="079C1188" w14:textId="77777777" w:rsidTr="00F958F2">
        <w:trPr>
          <w:trHeight w:val="20"/>
        </w:trPr>
        <w:tc>
          <w:tcPr>
            <w:tcW w:w="430" w:type="pct"/>
            <w:vMerge w:val="restart"/>
            <w:shd w:val="clear" w:color="auto" w:fill="CAEDFA"/>
            <w:vAlign w:val="center"/>
          </w:tcPr>
          <w:p w14:paraId="1DFA5D01" w14:textId="284A968E" w:rsidR="0011579E" w:rsidRPr="00024D5A" w:rsidRDefault="0011579E" w:rsidP="00657405">
            <w:pPr>
              <w:jc w:val="center"/>
              <w:rPr>
                <w:rFonts w:ascii="Garamond" w:eastAsia="Times New Roman" w:hAnsi="Garamond"/>
                <w:sz w:val="14"/>
                <w:szCs w:val="16"/>
                <w:lang w:eastAsia="en-US"/>
              </w:rPr>
            </w:pPr>
          </w:p>
          <w:p w14:paraId="28CEAAEF" w14:textId="507E99BB" w:rsidR="0011579E" w:rsidRPr="00024D5A" w:rsidRDefault="0011579E" w:rsidP="00657405">
            <w:pPr>
              <w:jc w:val="center"/>
              <w:rPr>
                <w:rFonts w:ascii="Garamond" w:eastAsia="Times New Roman" w:hAnsi="Garamond"/>
                <w:sz w:val="14"/>
                <w:szCs w:val="16"/>
                <w:lang w:eastAsia="en-US"/>
              </w:rPr>
            </w:pPr>
          </w:p>
          <w:p w14:paraId="1B8055D0" w14:textId="23DC741A" w:rsidR="0011579E" w:rsidRPr="00024D5A" w:rsidRDefault="0011579E" w:rsidP="00657405">
            <w:pPr>
              <w:jc w:val="center"/>
              <w:rPr>
                <w:rFonts w:ascii="Garamond" w:eastAsia="Times New Roman" w:hAnsi="Garamond"/>
                <w:sz w:val="14"/>
                <w:szCs w:val="16"/>
                <w:lang w:eastAsia="en-US"/>
              </w:rPr>
            </w:pPr>
          </w:p>
          <w:p w14:paraId="2568CEE0" w14:textId="5B5EC2C4" w:rsidR="0011579E" w:rsidRPr="00024D5A" w:rsidRDefault="0011579E" w:rsidP="00657405">
            <w:pPr>
              <w:jc w:val="center"/>
              <w:rPr>
                <w:rFonts w:ascii="Garamond" w:eastAsia="Times New Roman" w:hAnsi="Garamond"/>
                <w:sz w:val="14"/>
                <w:szCs w:val="16"/>
                <w:lang w:eastAsia="en-US"/>
              </w:rPr>
            </w:pPr>
          </w:p>
          <w:p w14:paraId="40D537B3" w14:textId="5D62B151" w:rsidR="0011579E" w:rsidRPr="00024D5A" w:rsidRDefault="0011579E" w:rsidP="00657405">
            <w:pPr>
              <w:jc w:val="center"/>
              <w:rPr>
                <w:rFonts w:ascii="Garamond" w:eastAsia="Times New Roman" w:hAnsi="Garamond"/>
                <w:sz w:val="14"/>
                <w:szCs w:val="16"/>
                <w:lang w:eastAsia="en-US"/>
              </w:rPr>
            </w:pPr>
          </w:p>
          <w:p w14:paraId="4EC69D13" w14:textId="2E3961A5" w:rsidR="0011579E" w:rsidRPr="00024D5A" w:rsidRDefault="0011579E" w:rsidP="00657405">
            <w:pPr>
              <w:jc w:val="center"/>
              <w:rPr>
                <w:rFonts w:ascii="Garamond" w:eastAsia="Times New Roman" w:hAnsi="Garamond"/>
                <w:sz w:val="14"/>
                <w:szCs w:val="16"/>
                <w:lang w:eastAsia="en-US"/>
              </w:rPr>
            </w:pPr>
          </w:p>
          <w:p w14:paraId="3484D3F2" w14:textId="77777777" w:rsidR="0011579E" w:rsidRPr="00024D5A" w:rsidRDefault="0011579E" w:rsidP="00657405">
            <w:pPr>
              <w:jc w:val="center"/>
              <w:rPr>
                <w:rFonts w:ascii="Garamond" w:eastAsia="Times New Roman" w:hAnsi="Garamond"/>
                <w:b/>
                <w:bCs/>
                <w:sz w:val="14"/>
                <w:szCs w:val="16"/>
                <w:lang w:eastAsia="en-US"/>
              </w:rPr>
            </w:pPr>
            <w:r w:rsidRPr="00024D5A">
              <w:rPr>
                <w:rFonts w:ascii="Garamond" w:eastAsia="Times New Roman" w:hAnsi="Garamond"/>
                <w:b/>
                <w:bCs/>
                <w:sz w:val="14"/>
                <w:szCs w:val="16"/>
                <w:lang w:eastAsia="en-US"/>
              </w:rPr>
              <w:t>Objektivi specifik</w:t>
            </w:r>
          </w:p>
          <w:p w14:paraId="66C3AFEC" w14:textId="6A63BC06" w:rsidR="0011579E" w:rsidRPr="00024D5A" w:rsidRDefault="0011579E" w:rsidP="00657405">
            <w:pPr>
              <w:jc w:val="center"/>
              <w:rPr>
                <w:rFonts w:ascii="Garamond" w:eastAsia="Times New Roman" w:hAnsi="Garamond"/>
                <w:sz w:val="14"/>
                <w:szCs w:val="16"/>
                <w:lang w:eastAsia="en-US"/>
              </w:rPr>
            </w:pPr>
          </w:p>
          <w:p w14:paraId="7C40D5BC" w14:textId="0F311E28" w:rsidR="0011579E" w:rsidRPr="00024D5A" w:rsidRDefault="0011579E" w:rsidP="00657405">
            <w:pPr>
              <w:jc w:val="center"/>
              <w:rPr>
                <w:rFonts w:ascii="Garamond" w:eastAsia="Times New Roman" w:hAnsi="Garamond"/>
                <w:sz w:val="14"/>
                <w:szCs w:val="16"/>
                <w:lang w:eastAsia="en-US"/>
              </w:rPr>
            </w:pPr>
          </w:p>
          <w:p w14:paraId="4517C21C" w14:textId="6A5E8E30" w:rsidR="0011579E" w:rsidRPr="00024D5A" w:rsidRDefault="0011579E" w:rsidP="00657405">
            <w:pPr>
              <w:jc w:val="center"/>
              <w:rPr>
                <w:rFonts w:ascii="Garamond" w:eastAsia="Times New Roman" w:hAnsi="Garamond"/>
                <w:sz w:val="14"/>
                <w:szCs w:val="16"/>
                <w:lang w:eastAsia="en-US"/>
              </w:rPr>
            </w:pPr>
          </w:p>
        </w:tc>
        <w:tc>
          <w:tcPr>
            <w:tcW w:w="478" w:type="pct"/>
            <w:vMerge w:val="restart"/>
            <w:shd w:val="clear" w:color="auto" w:fill="CAEDFA"/>
          </w:tcPr>
          <w:p w14:paraId="3B7E9393" w14:textId="4C4AF8CE" w:rsidR="0011579E" w:rsidRPr="00024D5A" w:rsidRDefault="0011579E"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Objektivi specifik 1</w:t>
            </w:r>
            <w:r w:rsidR="00AC5DA9">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Të sigurohet që të gjithë personat me aftësi të kufizuara të kenë akses fizik, procedural, informativ dhe digjital në gjykata, prokurori, polici dhe shërbime ligjore, si pjesëmarrës të drejtpërdrejtë apo jo të drejtpërdrejtë në të gjitha nivelet që nga hetimi, gjykimi etj. Jetës.</w:t>
            </w:r>
          </w:p>
        </w:tc>
        <w:tc>
          <w:tcPr>
            <w:tcW w:w="553" w:type="pct"/>
            <w:shd w:val="clear" w:color="auto" w:fill="CAEDFA"/>
          </w:tcPr>
          <w:p w14:paraId="0DAD037F" w14:textId="77777777" w:rsidR="0011579E" w:rsidRPr="00024D5A" w:rsidRDefault="0011579E"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Institucionet kryesore të sistemit të drejtësisë (gjykata, prokurori, polici dhe shërbimi i ndihmës juridike falas), që zbatojnë masa për aksesueshmëri fizike, procedurale dhe informuese për personat me aftësi të kufizuara.</w:t>
            </w:r>
          </w:p>
          <w:p w14:paraId="01F049BE" w14:textId="416BD011" w:rsidR="0011579E" w:rsidRPr="00024D5A" w:rsidRDefault="0011579E" w:rsidP="00791B1A">
            <w:pPr>
              <w:tabs>
                <w:tab w:val="center" w:pos="1138"/>
              </w:tabs>
              <w:rPr>
                <w:rFonts w:ascii="Garamond" w:eastAsia="Times New Roman" w:hAnsi="Garamond"/>
                <w:sz w:val="14"/>
                <w:szCs w:val="16"/>
                <w:lang w:eastAsia="en-US"/>
              </w:rPr>
            </w:pPr>
            <w:r w:rsidRPr="00024D5A">
              <w:rPr>
                <w:rFonts w:ascii="Garamond" w:eastAsia="Times New Roman" w:hAnsi="Garamond"/>
                <w:sz w:val="14"/>
                <w:szCs w:val="16"/>
                <w:lang w:eastAsia="en-US"/>
              </w:rPr>
              <w:t xml:space="preserve"> </w:t>
            </w:r>
          </w:p>
        </w:tc>
        <w:tc>
          <w:tcPr>
            <w:tcW w:w="395" w:type="pct"/>
            <w:shd w:val="clear" w:color="auto" w:fill="CAEDFA"/>
          </w:tcPr>
          <w:p w14:paraId="0BCD430B" w14:textId="77777777" w:rsidR="0011579E" w:rsidRPr="00024D5A" w:rsidRDefault="0011579E"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N/A</w:t>
            </w:r>
          </w:p>
          <w:p w14:paraId="7A49C19B" w14:textId="5C91B378" w:rsidR="0011579E" w:rsidRPr="00024D5A" w:rsidRDefault="0011579E"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480" w:type="pct"/>
            <w:shd w:val="clear" w:color="auto" w:fill="CAEDFA"/>
          </w:tcPr>
          <w:p w14:paraId="3EB2945E" w14:textId="77777777" w:rsidR="0011579E" w:rsidRPr="00024D5A" w:rsidRDefault="0011579E"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20%</w:t>
            </w:r>
          </w:p>
          <w:p w14:paraId="7A95515E" w14:textId="63F2AAEB" w:rsidR="0011579E" w:rsidRPr="00024D5A" w:rsidRDefault="0011579E"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576" w:type="pct"/>
            <w:gridSpan w:val="2"/>
            <w:shd w:val="clear" w:color="auto" w:fill="CAEDFA"/>
          </w:tcPr>
          <w:p w14:paraId="31E11AC3" w14:textId="77777777" w:rsidR="0011579E" w:rsidRPr="00024D5A" w:rsidRDefault="0011579E"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50%</w:t>
            </w:r>
          </w:p>
          <w:p w14:paraId="4D5F6FDE" w14:textId="23CC83C8" w:rsidR="0011579E" w:rsidRPr="00024D5A" w:rsidRDefault="0011579E"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1607" w:type="pct"/>
            <w:gridSpan w:val="2"/>
            <w:shd w:val="clear" w:color="auto" w:fill="CAEDFA"/>
          </w:tcPr>
          <w:p w14:paraId="5826832F" w14:textId="1F10E98B" w:rsidR="0011579E" w:rsidRPr="00024D5A" w:rsidRDefault="0011579E"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KLGJ; </w:t>
            </w:r>
            <w:r w:rsidRPr="00024D5A">
              <w:rPr>
                <w:rFonts w:ascii="Garamond" w:eastAsia="Times New Roman" w:hAnsi="Garamond"/>
                <w:sz w:val="14"/>
                <w:szCs w:val="16"/>
                <w:lang w:eastAsia="en-US"/>
              </w:rPr>
              <w:br/>
              <w:t>Prokuroria e Përgjithshme, Policia e Shtetit.</w:t>
            </w:r>
          </w:p>
          <w:p w14:paraId="61538711" w14:textId="58839816" w:rsidR="0011579E" w:rsidRPr="00024D5A" w:rsidRDefault="0011579E"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481" w:type="pct"/>
            <w:vMerge w:val="restart"/>
            <w:shd w:val="clear" w:color="auto" w:fill="CAEDFA"/>
          </w:tcPr>
          <w:p w14:paraId="5C7174D6" w14:textId="19D05A29" w:rsidR="0011579E" w:rsidRPr="00024D5A" w:rsidRDefault="0011579E" w:rsidP="00791B1A">
            <w:pPr>
              <w:rPr>
                <w:rFonts w:ascii="Garamond" w:eastAsia="Times New Roman" w:hAnsi="Garamond"/>
                <w:sz w:val="14"/>
                <w:szCs w:val="16"/>
                <w:lang w:eastAsia="en-US"/>
              </w:rPr>
            </w:pPr>
            <w:r w:rsidRPr="00024D5A">
              <w:rPr>
                <w:rFonts w:ascii="Garamond" w:eastAsia="Times New Roman" w:hAnsi="Garamond"/>
                <w:sz w:val="14"/>
              </w:rPr>
              <w:t xml:space="preserve"> </w:t>
            </w:r>
            <w:r w:rsidRPr="00024D5A">
              <w:rPr>
                <w:rFonts w:ascii="Garamond" w:eastAsia="Times New Roman" w:hAnsi="Garamond"/>
                <w:sz w:val="14"/>
                <w:szCs w:val="16"/>
              </w:rPr>
              <w:t>KDPAK</w:t>
            </w:r>
            <w:r w:rsidRPr="00024D5A">
              <w:rPr>
                <w:rFonts w:ascii="Garamond" w:eastAsia="Times New Roman" w:hAnsi="Garamond"/>
                <w:sz w:val="14"/>
                <w:szCs w:val="16"/>
                <w:lang w:eastAsia="en-US"/>
              </w:rPr>
              <w:t xml:space="preserve"> nenet 12 dhe 13 OZHQ 16; OZHQ 10;</w:t>
            </w:r>
            <w:r w:rsidRPr="00024D5A">
              <w:rPr>
                <w:rFonts w:ascii="Garamond" w:hAnsi="Garamond"/>
                <w:sz w:val="14"/>
              </w:rPr>
              <w:br/>
            </w:r>
            <w:r w:rsidRPr="00024D5A">
              <w:rPr>
                <w:rFonts w:ascii="Garamond" w:eastAsia="Times New Roman" w:hAnsi="Garamond"/>
                <w:sz w:val="14"/>
                <w:szCs w:val="16"/>
                <w:lang w:eastAsia="en-US"/>
              </w:rPr>
              <w:t>Strategjinë e BE për të Drejtat e Personave me Aftësi të Kufizuara 2021–2030;</w:t>
            </w:r>
            <w:r w:rsidRPr="00024D5A">
              <w:rPr>
                <w:rFonts w:ascii="Garamond" w:hAnsi="Garamond"/>
                <w:sz w:val="14"/>
              </w:rPr>
              <w:br/>
            </w:r>
            <w:r w:rsidRPr="00024D5A">
              <w:rPr>
                <w:rFonts w:ascii="Garamond" w:eastAsia="Times New Roman" w:hAnsi="Garamond"/>
                <w:sz w:val="14"/>
                <w:szCs w:val="16"/>
                <w:lang w:eastAsia="en-US"/>
              </w:rPr>
              <w:t>Programi Kombëtar për Integrimin Evropian (PKIE);</w:t>
            </w:r>
            <w:r w:rsidRPr="00024D5A">
              <w:rPr>
                <w:rFonts w:ascii="Garamond" w:hAnsi="Garamond"/>
                <w:sz w:val="14"/>
              </w:rPr>
              <w:br/>
            </w:r>
            <w:r w:rsidRPr="00024D5A">
              <w:rPr>
                <w:rFonts w:ascii="Garamond" w:eastAsia="Times New Roman" w:hAnsi="Garamond"/>
                <w:sz w:val="14"/>
                <w:szCs w:val="16"/>
                <w:lang w:eastAsia="en-US"/>
              </w:rPr>
              <w:t>Shtyllën Evropiane të të Drejtave Sociale (Parimi 20 – përfshirja e personave me aftësi të kufizuara);</w:t>
            </w:r>
            <w:r w:rsidRPr="00024D5A">
              <w:rPr>
                <w:rFonts w:ascii="Garamond" w:hAnsi="Garamond"/>
                <w:sz w:val="14"/>
              </w:rPr>
              <w:br/>
            </w:r>
            <w:r w:rsidRPr="00024D5A">
              <w:rPr>
                <w:rFonts w:ascii="Garamond" w:eastAsia="Times New Roman" w:hAnsi="Garamond"/>
                <w:sz w:val="14"/>
                <w:szCs w:val="16"/>
                <w:lang w:eastAsia="en-US"/>
              </w:rPr>
              <w:t>Strategjinë Kombëtare për Zhvillim dhe Integrim Evropian (SKZHIE) – qeverisja e mirë dhe barazia para ligjit;</w:t>
            </w:r>
            <w:r w:rsidRPr="00024D5A">
              <w:rPr>
                <w:rFonts w:ascii="Garamond" w:hAnsi="Garamond"/>
                <w:sz w:val="14"/>
              </w:rPr>
              <w:br/>
            </w:r>
            <w:r w:rsidRPr="00024D5A">
              <w:rPr>
                <w:rFonts w:ascii="Garamond" w:eastAsia="Times New Roman" w:hAnsi="Garamond"/>
                <w:sz w:val="14"/>
                <w:szCs w:val="16"/>
                <w:lang w:eastAsia="en-US"/>
              </w:rPr>
              <w:t xml:space="preserve">Raportet e Progresit të Komisionit Evropian për Shqipërinë, kapitulli 23 i negociatave të anëtarësimit në BE; </w:t>
            </w:r>
            <w:r w:rsidRPr="00024D5A">
              <w:rPr>
                <w:rFonts w:ascii="Garamond" w:hAnsi="Garamond"/>
                <w:sz w:val="14"/>
              </w:rPr>
              <w:br/>
            </w:r>
            <w:r w:rsidRPr="00024D5A">
              <w:rPr>
                <w:rFonts w:ascii="Garamond" w:eastAsia="Times New Roman" w:hAnsi="Garamond"/>
                <w:sz w:val="14"/>
                <w:szCs w:val="16"/>
                <w:lang w:eastAsia="en-US"/>
              </w:rPr>
              <w:t>Direktivën 2016/1919 të BE për ndihmën juridike falas;</w:t>
            </w:r>
            <w:r w:rsidRPr="00024D5A">
              <w:rPr>
                <w:rFonts w:ascii="Garamond" w:hAnsi="Garamond"/>
                <w:sz w:val="14"/>
              </w:rPr>
              <w:br/>
            </w:r>
            <w:r w:rsidRPr="00024D5A">
              <w:rPr>
                <w:rFonts w:ascii="Garamond" w:eastAsia="Times New Roman" w:hAnsi="Garamond"/>
                <w:sz w:val="14"/>
                <w:szCs w:val="16"/>
                <w:lang w:eastAsia="en-US"/>
              </w:rPr>
              <w:t>Direktivën 2012/29/BE për të drejtat e viktimave;</w:t>
            </w:r>
            <w:r w:rsidRPr="00024D5A">
              <w:rPr>
                <w:rFonts w:ascii="Garamond" w:hAnsi="Garamond"/>
                <w:sz w:val="14"/>
              </w:rPr>
              <w:br/>
            </w:r>
            <w:r w:rsidRPr="00024D5A">
              <w:rPr>
                <w:rFonts w:ascii="Garamond" w:eastAsia="Times New Roman" w:hAnsi="Garamond"/>
                <w:sz w:val="14"/>
                <w:szCs w:val="16"/>
                <w:lang w:eastAsia="en-US"/>
              </w:rPr>
              <w:t>Strategjinë Ndërsektoriale të Drejtësisë 2021–2025;</w:t>
            </w:r>
            <w:r w:rsidRPr="00024D5A">
              <w:rPr>
                <w:rFonts w:ascii="Garamond" w:hAnsi="Garamond"/>
                <w:sz w:val="14"/>
              </w:rPr>
              <w:br/>
            </w:r>
            <w:r w:rsidRPr="00024D5A">
              <w:rPr>
                <w:rFonts w:ascii="Garamond" w:eastAsia="Times New Roman" w:hAnsi="Garamond"/>
                <w:sz w:val="14"/>
                <w:szCs w:val="16"/>
                <w:lang w:eastAsia="en-US"/>
              </w:rPr>
              <w:t>Strategjinë për të Drejtat e Fëmijëve (akses në drejtësi për të miturit).</w:t>
            </w:r>
          </w:p>
        </w:tc>
      </w:tr>
      <w:tr w:rsidR="00657405" w:rsidRPr="00024D5A" w14:paraId="60854507" w14:textId="77777777" w:rsidTr="00F958F2">
        <w:trPr>
          <w:trHeight w:val="20"/>
        </w:trPr>
        <w:tc>
          <w:tcPr>
            <w:tcW w:w="430" w:type="pct"/>
            <w:vMerge/>
            <w:shd w:val="clear" w:color="auto" w:fill="CAEDFA"/>
          </w:tcPr>
          <w:p w14:paraId="51A3565C" w14:textId="088F49B1" w:rsidR="00657405" w:rsidRPr="00024D5A" w:rsidRDefault="00657405" w:rsidP="00791B1A">
            <w:pPr>
              <w:rPr>
                <w:rFonts w:ascii="Garamond" w:eastAsia="Times New Roman" w:hAnsi="Garamond"/>
                <w:sz w:val="14"/>
                <w:szCs w:val="16"/>
                <w:lang w:eastAsia="en-US"/>
              </w:rPr>
            </w:pPr>
          </w:p>
        </w:tc>
        <w:tc>
          <w:tcPr>
            <w:tcW w:w="478" w:type="pct"/>
            <w:vMerge/>
          </w:tcPr>
          <w:p w14:paraId="0234DB92" w14:textId="77777777" w:rsidR="00657405" w:rsidRPr="00024D5A" w:rsidRDefault="00657405" w:rsidP="00791B1A">
            <w:pPr>
              <w:rPr>
                <w:rFonts w:ascii="Garamond" w:eastAsia="Times New Roman" w:hAnsi="Garamond"/>
                <w:sz w:val="14"/>
                <w:szCs w:val="16"/>
                <w:lang w:eastAsia="en-US"/>
              </w:rPr>
            </w:pPr>
          </w:p>
        </w:tc>
        <w:tc>
          <w:tcPr>
            <w:tcW w:w="553" w:type="pct"/>
            <w:vMerge w:val="restart"/>
            <w:shd w:val="clear" w:color="auto" w:fill="CAEDFA"/>
          </w:tcPr>
          <w:p w14:paraId="40D822D7" w14:textId="5DFC88B0" w:rsidR="00657405" w:rsidRPr="00024D5A" w:rsidRDefault="00657405"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Persona me aftësi të kufizuara që përdorin shërbime të sistemit të drejtësisë (ndihmë juridike falas ose pjesëmarrje në procedura gjyqësore)</w:t>
            </w:r>
            <w:r w:rsidR="0011579E" w:rsidRPr="00024D5A">
              <w:rPr>
                <w:rFonts w:ascii="Garamond" w:eastAsia="Times New Roman" w:hAnsi="Garamond"/>
                <w:sz w:val="14"/>
                <w:szCs w:val="16"/>
                <w:lang w:eastAsia="en-US"/>
              </w:rPr>
              <w:t>.</w:t>
            </w:r>
          </w:p>
        </w:tc>
        <w:tc>
          <w:tcPr>
            <w:tcW w:w="395" w:type="pct"/>
            <w:shd w:val="clear" w:color="auto" w:fill="CAEDFA"/>
          </w:tcPr>
          <w:p w14:paraId="3EBD71CB" w14:textId="77777777" w:rsidR="00657405" w:rsidRPr="00024D5A" w:rsidRDefault="00657405"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5530</w:t>
            </w:r>
          </w:p>
        </w:tc>
        <w:tc>
          <w:tcPr>
            <w:tcW w:w="480" w:type="pct"/>
            <w:shd w:val="clear" w:color="auto" w:fill="CAEDFA"/>
          </w:tcPr>
          <w:p w14:paraId="04C34181" w14:textId="6A6C1899" w:rsidR="00657405" w:rsidRPr="00024D5A" w:rsidRDefault="00657405"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20</w:t>
            </w:r>
            <w:r w:rsidR="00F03D3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më shumë se </w:t>
            </w:r>
            <w:r w:rsidRPr="00024D5A">
              <w:rPr>
                <w:rFonts w:ascii="Garamond" w:eastAsia="Times New Roman" w:hAnsi="Garamond"/>
                <w:i/>
                <w:iCs/>
                <w:sz w:val="14"/>
                <w:szCs w:val="16"/>
                <w:lang w:eastAsia="en-US"/>
              </w:rPr>
              <w:t>baseline</w:t>
            </w:r>
          </w:p>
        </w:tc>
        <w:tc>
          <w:tcPr>
            <w:tcW w:w="576" w:type="pct"/>
            <w:gridSpan w:val="2"/>
            <w:shd w:val="clear" w:color="auto" w:fill="CAEDFA"/>
          </w:tcPr>
          <w:p w14:paraId="51B4B3A6" w14:textId="10F721F4" w:rsidR="00657405" w:rsidRPr="00024D5A" w:rsidRDefault="00657405"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45</w:t>
            </w:r>
            <w:r w:rsidR="00F03D3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më shumë se </w:t>
            </w:r>
            <w:r w:rsidRPr="00024D5A">
              <w:rPr>
                <w:rFonts w:ascii="Garamond" w:eastAsia="Times New Roman" w:hAnsi="Garamond"/>
                <w:i/>
                <w:iCs/>
                <w:sz w:val="14"/>
                <w:szCs w:val="16"/>
                <w:lang w:eastAsia="en-US"/>
              </w:rPr>
              <w:t>baseline</w:t>
            </w:r>
          </w:p>
        </w:tc>
        <w:tc>
          <w:tcPr>
            <w:tcW w:w="1607" w:type="pct"/>
            <w:gridSpan w:val="2"/>
            <w:shd w:val="clear" w:color="auto" w:fill="CAEDFA"/>
          </w:tcPr>
          <w:p w14:paraId="1C5CD394" w14:textId="3299EE2E" w:rsidR="00657405" w:rsidRPr="00024D5A" w:rsidRDefault="00657405"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Drejtoria e Ndihmës Juridike Falas</w:t>
            </w:r>
            <w:r w:rsidR="0011579E"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br/>
              <w:t>Ministria e Drejtësisë;</w:t>
            </w:r>
          </w:p>
        </w:tc>
        <w:tc>
          <w:tcPr>
            <w:tcW w:w="481" w:type="pct"/>
            <w:vMerge/>
          </w:tcPr>
          <w:p w14:paraId="302D9A4D" w14:textId="77777777" w:rsidR="00657405" w:rsidRPr="00024D5A" w:rsidRDefault="00657405" w:rsidP="00791B1A">
            <w:pPr>
              <w:rPr>
                <w:rFonts w:ascii="Garamond" w:eastAsia="Times New Roman" w:hAnsi="Garamond"/>
                <w:sz w:val="14"/>
                <w:szCs w:val="16"/>
                <w:lang w:eastAsia="en-US"/>
              </w:rPr>
            </w:pPr>
          </w:p>
        </w:tc>
      </w:tr>
      <w:tr w:rsidR="00657405" w:rsidRPr="00024D5A" w14:paraId="70DE90E6" w14:textId="77777777" w:rsidTr="00F958F2">
        <w:trPr>
          <w:trHeight w:val="20"/>
        </w:trPr>
        <w:tc>
          <w:tcPr>
            <w:tcW w:w="430" w:type="pct"/>
            <w:vMerge/>
            <w:shd w:val="clear" w:color="auto" w:fill="CAEDFA"/>
          </w:tcPr>
          <w:p w14:paraId="73B5FB33" w14:textId="17BB2B3B" w:rsidR="00657405" w:rsidRPr="00024D5A" w:rsidRDefault="00657405" w:rsidP="00791B1A">
            <w:pPr>
              <w:rPr>
                <w:rFonts w:ascii="Garamond" w:eastAsia="Times New Roman" w:hAnsi="Garamond"/>
                <w:sz w:val="14"/>
                <w:szCs w:val="16"/>
                <w:lang w:eastAsia="en-US"/>
              </w:rPr>
            </w:pPr>
          </w:p>
        </w:tc>
        <w:tc>
          <w:tcPr>
            <w:tcW w:w="478" w:type="pct"/>
            <w:vMerge/>
          </w:tcPr>
          <w:p w14:paraId="2772D5AE" w14:textId="77777777" w:rsidR="00657405" w:rsidRPr="00024D5A" w:rsidRDefault="00657405" w:rsidP="00791B1A">
            <w:pPr>
              <w:rPr>
                <w:rFonts w:ascii="Garamond" w:eastAsia="Times New Roman" w:hAnsi="Garamond"/>
                <w:sz w:val="14"/>
                <w:szCs w:val="16"/>
                <w:lang w:eastAsia="en-US"/>
              </w:rPr>
            </w:pPr>
          </w:p>
        </w:tc>
        <w:tc>
          <w:tcPr>
            <w:tcW w:w="553" w:type="pct"/>
            <w:vMerge/>
          </w:tcPr>
          <w:p w14:paraId="7B7C3B51" w14:textId="77777777" w:rsidR="00657405" w:rsidRPr="00024D5A" w:rsidRDefault="00657405" w:rsidP="00791B1A">
            <w:pPr>
              <w:rPr>
                <w:rFonts w:ascii="Garamond" w:eastAsia="Times New Roman" w:hAnsi="Garamond"/>
                <w:sz w:val="14"/>
                <w:szCs w:val="16"/>
                <w:lang w:eastAsia="en-US"/>
              </w:rPr>
            </w:pPr>
          </w:p>
        </w:tc>
        <w:tc>
          <w:tcPr>
            <w:tcW w:w="395" w:type="pct"/>
            <w:shd w:val="clear" w:color="auto" w:fill="CAEDFA"/>
          </w:tcPr>
          <w:p w14:paraId="67FC7AB9" w14:textId="77777777" w:rsidR="00657405" w:rsidRPr="00024D5A" w:rsidRDefault="00657405"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480" w:type="pct"/>
            <w:shd w:val="clear" w:color="auto" w:fill="CAEDFA"/>
          </w:tcPr>
          <w:p w14:paraId="5BFD056A" w14:textId="77777777" w:rsidR="00657405" w:rsidRPr="00024D5A" w:rsidRDefault="00657405"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576" w:type="pct"/>
            <w:gridSpan w:val="2"/>
            <w:shd w:val="clear" w:color="auto" w:fill="CAEDFA"/>
          </w:tcPr>
          <w:p w14:paraId="14C5972A" w14:textId="77777777" w:rsidR="00657405" w:rsidRPr="00024D5A" w:rsidRDefault="00657405"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1607" w:type="pct"/>
            <w:gridSpan w:val="2"/>
            <w:shd w:val="clear" w:color="auto" w:fill="CAEDFA"/>
          </w:tcPr>
          <w:p w14:paraId="7B44F00F" w14:textId="77777777" w:rsidR="00657405" w:rsidRPr="00024D5A" w:rsidRDefault="00657405"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481" w:type="pct"/>
            <w:vMerge/>
          </w:tcPr>
          <w:p w14:paraId="1EBA6C6F" w14:textId="77777777" w:rsidR="00657405" w:rsidRPr="00024D5A" w:rsidRDefault="00657405" w:rsidP="00791B1A">
            <w:pPr>
              <w:rPr>
                <w:rFonts w:ascii="Garamond" w:eastAsia="Times New Roman" w:hAnsi="Garamond"/>
                <w:sz w:val="14"/>
                <w:szCs w:val="16"/>
                <w:lang w:eastAsia="en-US"/>
              </w:rPr>
            </w:pPr>
          </w:p>
        </w:tc>
      </w:tr>
      <w:tr w:rsidR="00657405" w:rsidRPr="00024D5A" w14:paraId="1BC3C1A9" w14:textId="77777777" w:rsidTr="00F958F2">
        <w:trPr>
          <w:trHeight w:val="20"/>
        </w:trPr>
        <w:tc>
          <w:tcPr>
            <w:tcW w:w="430" w:type="pct"/>
            <w:vMerge/>
            <w:tcBorders>
              <w:bottom w:val="single" w:sz="4" w:space="0" w:color="auto"/>
            </w:tcBorders>
            <w:shd w:val="clear" w:color="auto" w:fill="CAEDFA"/>
          </w:tcPr>
          <w:p w14:paraId="2569B8B3" w14:textId="53FFDEE5" w:rsidR="00657405" w:rsidRPr="00024D5A" w:rsidRDefault="00657405" w:rsidP="00791B1A">
            <w:pPr>
              <w:rPr>
                <w:rFonts w:ascii="Garamond" w:eastAsia="Times New Roman" w:hAnsi="Garamond"/>
                <w:sz w:val="14"/>
                <w:szCs w:val="16"/>
                <w:lang w:eastAsia="en-US"/>
              </w:rPr>
            </w:pPr>
          </w:p>
        </w:tc>
        <w:tc>
          <w:tcPr>
            <w:tcW w:w="478" w:type="pct"/>
            <w:vMerge w:val="restart"/>
            <w:tcBorders>
              <w:bottom w:val="single" w:sz="4" w:space="0" w:color="auto"/>
            </w:tcBorders>
            <w:shd w:val="clear" w:color="auto" w:fill="CAEDFA"/>
          </w:tcPr>
          <w:p w14:paraId="63DF694A" w14:textId="3EA4DB07" w:rsidR="00657405" w:rsidRPr="00024D5A" w:rsidRDefault="00657405"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Objektivi </w:t>
            </w:r>
            <w:r w:rsidR="00AC5DA9" w:rsidRPr="00024D5A">
              <w:rPr>
                <w:rFonts w:ascii="Garamond" w:eastAsia="Times New Roman" w:hAnsi="Garamond"/>
                <w:sz w:val="14"/>
                <w:szCs w:val="16"/>
                <w:lang w:eastAsia="en-US"/>
              </w:rPr>
              <w:t xml:space="preserve">specifik </w:t>
            </w:r>
            <w:r w:rsidRPr="00024D5A">
              <w:rPr>
                <w:rFonts w:ascii="Garamond" w:eastAsia="Times New Roman" w:hAnsi="Garamond"/>
                <w:sz w:val="14"/>
                <w:szCs w:val="16"/>
                <w:lang w:eastAsia="en-US"/>
              </w:rPr>
              <w:t>2</w:t>
            </w:r>
            <w:r w:rsidR="00AC5DA9">
              <w:rPr>
                <w:rFonts w:ascii="Garamond" w:eastAsia="Times New Roman" w:hAnsi="Garamond"/>
                <w:sz w:val="14"/>
                <w:szCs w:val="16"/>
                <w:lang w:eastAsia="en-US"/>
              </w:rPr>
              <w:t xml:space="preserve">: </w:t>
            </w:r>
            <w:r w:rsidRPr="00024D5A">
              <w:rPr>
                <w:rFonts w:ascii="Garamond" w:eastAsia="Times New Roman" w:hAnsi="Garamond"/>
                <w:sz w:val="14"/>
                <w:szCs w:val="16"/>
                <w:lang w:eastAsia="en-US"/>
              </w:rPr>
              <w:t>Të garantohet njohja e barabartë para ligjit dhe ushtrimi i plotë i zotësisë për të vepruar për personat me aftësi të kufizuara, duke zëvendësuar kujdestarinë ligjore me mekanizma të vendimmarrjes së mbështetur.</w:t>
            </w:r>
          </w:p>
        </w:tc>
        <w:tc>
          <w:tcPr>
            <w:tcW w:w="553" w:type="pct"/>
            <w:vMerge w:val="restart"/>
            <w:tcBorders>
              <w:bottom w:val="single" w:sz="4" w:space="0" w:color="auto"/>
            </w:tcBorders>
            <w:shd w:val="clear" w:color="auto" w:fill="CAEDFA"/>
          </w:tcPr>
          <w:p w14:paraId="0CD739EA" w14:textId="77777777" w:rsidR="00657405" w:rsidRPr="00024D5A" w:rsidRDefault="00657405"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Kuadri ligjor dhe institucional për vendimmarrjen e mbështetur i miratuar dhe funksional, duke garantuar ushtrimin e plotë të zotësisë për të vepruar për personat me aftësi të kufizuara në përputhje me parimin e njohjes së barabartë para ligjit.</w:t>
            </w:r>
          </w:p>
        </w:tc>
        <w:tc>
          <w:tcPr>
            <w:tcW w:w="395" w:type="pct"/>
            <w:vMerge w:val="restart"/>
            <w:tcBorders>
              <w:bottom w:val="single" w:sz="4" w:space="0" w:color="auto"/>
            </w:tcBorders>
            <w:shd w:val="clear" w:color="auto" w:fill="CAEDFA"/>
          </w:tcPr>
          <w:p w14:paraId="37D58D6A" w14:textId="77777777" w:rsidR="00657405" w:rsidRPr="00024D5A" w:rsidRDefault="00657405"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N/A</w:t>
            </w:r>
          </w:p>
        </w:tc>
        <w:tc>
          <w:tcPr>
            <w:tcW w:w="480" w:type="pct"/>
            <w:vMerge w:val="restart"/>
            <w:tcBorders>
              <w:bottom w:val="single" w:sz="4" w:space="0" w:color="auto"/>
            </w:tcBorders>
            <w:shd w:val="clear" w:color="auto" w:fill="CAEDFA"/>
          </w:tcPr>
          <w:p w14:paraId="169EF952" w14:textId="77777777" w:rsidR="00657405" w:rsidRPr="00024D5A" w:rsidRDefault="00657405"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2 ligje të ndryshuara</w:t>
            </w:r>
          </w:p>
        </w:tc>
        <w:tc>
          <w:tcPr>
            <w:tcW w:w="576" w:type="pct"/>
            <w:gridSpan w:val="2"/>
            <w:vMerge w:val="restart"/>
            <w:tcBorders>
              <w:bottom w:val="single" w:sz="4" w:space="0" w:color="auto"/>
            </w:tcBorders>
            <w:shd w:val="clear" w:color="auto" w:fill="CAEDFA"/>
          </w:tcPr>
          <w:p w14:paraId="6BCF8226" w14:textId="77777777" w:rsidR="00657405" w:rsidRPr="00024D5A" w:rsidRDefault="00657405"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4 ligje të tjera të ndryshuara</w:t>
            </w:r>
          </w:p>
        </w:tc>
        <w:tc>
          <w:tcPr>
            <w:tcW w:w="1607" w:type="pct"/>
            <w:gridSpan w:val="2"/>
            <w:vMerge w:val="restart"/>
            <w:tcBorders>
              <w:bottom w:val="single" w:sz="4" w:space="0" w:color="auto"/>
            </w:tcBorders>
            <w:shd w:val="clear" w:color="auto" w:fill="CAEDFA"/>
          </w:tcPr>
          <w:p w14:paraId="12C0D0F6" w14:textId="77777777" w:rsidR="00657405" w:rsidRPr="00024D5A" w:rsidRDefault="00657405"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Fletorja Zyrtare;</w:t>
            </w:r>
            <w:r w:rsidRPr="00024D5A">
              <w:rPr>
                <w:rFonts w:ascii="Garamond" w:eastAsia="Times New Roman" w:hAnsi="Garamond"/>
                <w:sz w:val="14"/>
                <w:szCs w:val="16"/>
                <w:lang w:eastAsia="en-US"/>
              </w:rPr>
              <w:br/>
              <w:t>Aktet nënligjore; Udhëzimet zbatuese të Ministrisë së Drejtësisë dhe institucioneve përkatëse.</w:t>
            </w:r>
          </w:p>
        </w:tc>
        <w:tc>
          <w:tcPr>
            <w:tcW w:w="481" w:type="pct"/>
            <w:tcBorders>
              <w:bottom w:val="single" w:sz="4" w:space="0" w:color="auto"/>
            </w:tcBorders>
            <w:shd w:val="clear" w:color="auto" w:fill="CAEDFA"/>
          </w:tcPr>
          <w:p w14:paraId="0A1D293D" w14:textId="78B83D55" w:rsidR="00657405" w:rsidRPr="00024D5A" w:rsidRDefault="00657405" w:rsidP="00791B1A">
            <w:pPr>
              <w:rPr>
                <w:rFonts w:ascii="Garamond" w:eastAsia="Times New Roman" w:hAnsi="Garamond"/>
                <w:sz w:val="14"/>
                <w:szCs w:val="16"/>
                <w:lang w:eastAsia="en-US"/>
              </w:rPr>
            </w:pPr>
            <w:r w:rsidRPr="00024D5A">
              <w:rPr>
                <w:rFonts w:ascii="Garamond" w:eastAsia="Times New Roman" w:hAnsi="Garamond"/>
                <w:sz w:val="14"/>
              </w:rPr>
              <w:t xml:space="preserve"> </w:t>
            </w:r>
            <w:r w:rsidRPr="00024D5A">
              <w:rPr>
                <w:rFonts w:ascii="Garamond" w:eastAsia="Times New Roman" w:hAnsi="Garamond"/>
                <w:sz w:val="14"/>
                <w:szCs w:val="16"/>
              </w:rPr>
              <w:t>KDPAK</w:t>
            </w:r>
            <w:r w:rsidRPr="00024D5A">
              <w:rPr>
                <w:rFonts w:ascii="Garamond" w:eastAsia="Times New Roman" w:hAnsi="Garamond"/>
                <w:sz w:val="14"/>
                <w:szCs w:val="16"/>
                <w:lang w:eastAsia="en-US"/>
              </w:rPr>
              <w:t xml:space="preserve"> neni 12 “Njohja e barabartë para ligjit”;</w:t>
            </w:r>
            <w:r w:rsidRPr="00024D5A">
              <w:rPr>
                <w:rFonts w:ascii="Garamond" w:hAnsi="Garamond"/>
                <w:sz w:val="14"/>
              </w:rPr>
              <w:br/>
            </w:r>
            <w:r w:rsidRPr="00024D5A">
              <w:rPr>
                <w:rFonts w:ascii="Garamond" w:eastAsia="Times New Roman" w:hAnsi="Garamond"/>
                <w:sz w:val="14"/>
                <w:szCs w:val="16"/>
                <w:lang w:eastAsia="en-US"/>
              </w:rPr>
              <w:t xml:space="preserve">Strategjinë e BE për të Drejtat e Personave me Aftësi të Kufizuara </w:t>
            </w:r>
            <w:r w:rsidR="008639DB" w:rsidRPr="00024D5A">
              <w:rPr>
                <w:rFonts w:ascii="Garamond" w:eastAsia="Times New Roman" w:hAnsi="Garamond"/>
                <w:sz w:val="14"/>
                <w:szCs w:val="16"/>
                <w:lang w:eastAsia="en-US"/>
              </w:rPr>
              <w:t>2021–2030</w:t>
            </w:r>
            <w:r w:rsidRPr="00024D5A">
              <w:rPr>
                <w:rFonts w:ascii="Garamond" w:eastAsia="Times New Roman" w:hAnsi="Garamond"/>
                <w:sz w:val="14"/>
                <w:szCs w:val="16"/>
                <w:lang w:eastAsia="en-US"/>
              </w:rPr>
              <w:t xml:space="preserve">; </w:t>
            </w:r>
            <w:r w:rsidRPr="00024D5A">
              <w:rPr>
                <w:rFonts w:ascii="Garamond" w:hAnsi="Garamond"/>
                <w:sz w:val="14"/>
              </w:rPr>
              <w:br/>
            </w:r>
            <w:r w:rsidRPr="00024D5A">
              <w:rPr>
                <w:rFonts w:ascii="Garamond" w:eastAsia="Times New Roman" w:hAnsi="Garamond"/>
                <w:sz w:val="14"/>
                <w:szCs w:val="16"/>
                <w:lang w:eastAsia="en-US"/>
              </w:rPr>
              <w:t>European Accessibility Act (</w:t>
            </w:r>
            <w:r w:rsidR="0094477B" w:rsidRPr="00024D5A">
              <w:rPr>
                <w:rFonts w:ascii="Garamond" w:eastAsia="Times New Roman" w:hAnsi="Garamond"/>
                <w:sz w:val="14"/>
                <w:szCs w:val="16"/>
                <w:lang w:eastAsia="en-US"/>
              </w:rPr>
              <w:t xml:space="preserve">direktiva </w:t>
            </w:r>
            <w:r w:rsidRPr="00024D5A">
              <w:rPr>
                <w:rFonts w:ascii="Garamond" w:eastAsia="Times New Roman" w:hAnsi="Garamond"/>
                <w:sz w:val="14"/>
                <w:szCs w:val="16"/>
                <w:lang w:eastAsia="en-US"/>
              </w:rPr>
              <w:t>(BE) 2019/882);</w:t>
            </w:r>
            <w:r w:rsidRPr="00024D5A">
              <w:rPr>
                <w:rFonts w:ascii="Garamond" w:hAnsi="Garamond"/>
                <w:sz w:val="14"/>
              </w:rPr>
              <w:br/>
            </w:r>
            <w:r w:rsidRPr="00024D5A">
              <w:rPr>
                <w:rFonts w:ascii="Garamond" w:eastAsia="Times New Roman" w:hAnsi="Garamond"/>
                <w:sz w:val="14"/>
                <w:szCs w:val="16"/>
                <w:lang w:eastAsia="en-US"/>
              </w:rPr>
              <w:t>Komentin e Përgjithshëm nr. 1 të Komitetit të</w:t>
            </w:r>
            <w:r w:rsidRPr="00024D5A">
              <w:rPr>
                <w:rFonts w:ascii="Garamond" w:eastAsia="Times New Roman" w:hAnsi="Garamond"/>
                <w:sz w:val="14"/>
              </w:rPr>
              <w:t xml:space="preserve"> </w:t>
            </w:r>
            <w:r w:rsidRPr="00024D5A">
              <w:rPr>
                <w:rFonts w:ascii="Garamond" w:eastAsia="Times New Roman" w:hAnsi="Garamond"/>
                <w:sz w:val="14"/>
                <w:szCs w:val="16"/>
              </w:rPr>
              <w:t>KDPAK</w:t>
            </w:r>
            <w:r w:rsidRPr="00024D5A">
              <w:rPr>
                <w:rFonts w:ascii="Garamond" w:eastAsia="Times New Roman" w:hAnsi="Garamond"/>
                <w:sz w:val="14"/>
                <w:szCs w:val="16"/>
                <w:lang w:eastAsia="en-US"/>
              </w:rPr>
              <w:t xml:space="preserve"> për zotësinë për të vepruar;</w:t>
            </w:r>
            <w:r w:rsidRPr="00024D5A">
              <w:rPr>
                <w:rFonts w:ascii="Garamond" w:hAnsi="Garamond"/>
                <w:sz w:val="14"/>
              </w:rPr>
              <w:br/>
            </w:r>
            <w:r w:rsidRPr="00024D5A">
              <w:rPr>
                <w:rFonts w:ascii="Garamond" w:eastAsia="Times New Roman" w:hAnsi="Garamond"/>
                <w:sz w:val="14"/>
                <w:szCs w:val="16"/>
                <w:lang w:eastAsia="en-US"/>
              </w:rPr>
              <w:t>Plani Kombëtar i Shëndetit Mendor;</w:t>
            </w:r>
            <w:r w:rsidRPr="00024D5A">
              <w:rPr>
                <w:rFonts w:ascii="Garamond" w:hAnsi="Garamond"/>
                <w:sz w:val="14"/>
              </w:rPr>
              <w:br/>
            </w:r>
            <w:r w:rsidRPr="00024D5A">
              <w:rPr>
                <w:rFonts w:ascii="Garamond" w:eastAsia="Times New Roman" w:hAnsi="Garamond"/>
                <w:sz w:val="14"/>
                <w:szCs w:val="16"/>
                <w:lang w:eastAsia="en-US"/>
              </w:rPr>
              <w:t>Strategjinë për Përfshirjen Sociale;</w:t>
            </w:r>
            <w:r w:rsidRPr="00024D5A">
              <w:rPr>
                <w:rFonts w:ascii="Garamond" w:hAnsi="Garamond"/>
                <w:sz w:val="14"/>
              </w:rPr>
              <w:br/>
            </w:r>
            <w:r w:rsidRPr="00024D5A">
              <w:rPr>
                <w:rFonts w:ascii="Garamond" w:eastAsia="Times New Roman" w:hAnsi="Garamond"/>
                <w:sz w:val="14"/>
                <w:szCs w:val="16"/>
                <w:lang w:eastAsia="en-US"/>
              </w:rPr>
              <w:t xml:space="preserve">Raportet e Komisionit Evropian, </w:t>
            </w:r>
            <w:r w:rsidR="0094477B" w:rsidRPr="00024D5A">
              <w:rPr>
                <w:rFonts w:ascii="Garamond" w:eastAsia="Times New Roman" w:hAnsi="Garamond"/>
                <w:sz w:val="14"/>
                <w:szCs w:val="16"/>
                <w:lang w:eastAsia="en-US"/>
              </w:rPr>
              <w:t xml:space="preserve">kapitulli </w:t>
            </w:r>
            <w:r w:rsidRPr="00024D5A">
              <w:rPr>
                <w:rFonts w:ascii="Garamond" w:eastAsia="Times New Roman" w:hAnsi="Garamond"/>
                <w:sz w:val="14"/>
                <w:szCs w:val="16"/>
                <w:lang w:eastAsia="en-US"/>
              </w:rPr>
              <w:t>23</w:t>
            </w:r>
            <w:r w:rsidR="0094477B" w:rsidRPr="00024D5A">
              <w:rPr>
                <w:rFonts w:ascii="Garamond" w:eastAsia="Times New Roman" w:hAnsi="Garamond"/>
                <w:sz w:val="14"/>
                <w:szCs w:val="16"/>
                <w:lang w:eastAsia="en-US"/>
              </w:rPr>
              <w:t>.</w:t>
            </w:r>
          </w:p>
        </w:tc>
      </w:tr>
      <w:tr w:rsidR="00657405" w:rsidRPr="00024D5A" w14:paraId="53C01B44" w14:textId="77777777" w:rsidTr="00F958F2">
        <w:trPr>
          <w:trHeight w:val="20"/>
        </w:trPr>
        <w:tc>
          <w:tcPr>
            <w:tcW w:w="430" w:type="pct"/>
            <w:vMerge/>
            <w:shd w:val="clear" w:color="auto" w:fill="CAEDFA"/>
          </w:tcPr>
          <w:p w14:paraId="7D6D3076" w14:textId="3D5B233E" w:rsidR="00657405" w:rsidRPr="00024D5A" w:rsidRDefault="00657405" w:rsidP="00791B1A">
            <w:pPr>
              <w:rPr>
                <w:rFonts w:ascii="Garamond" w:eastAsia="Times New Roman" w:hAnsi="Garamond"/>
                <w:sz w:val="14"/>
                <w:szCs w:val="16"/>
                <w:lang w:eastAsia="en-US"/>
              </w:rPr>
            </w:pPr>
          </w:p>
        </w:tc>
        <w:tc>
          <w:tcPr>
            <w:tcW w:w="478" w:type="pct"/>
            <w:vMerge/>
          </w:tcPr>
          <w:p w14:paraId="60E91EFE" w14:textId="77777777" w:rsidR="00657405" w:rsidRPr="00024D5A" w:rsidRDefault="00657405" w:rsidP="00791B1A">
            <w:pPr>
              <w:rPr>
                <w:rFonts w:ascii="Garamond" w:eastAsia="Times New Roman" w:hAnsi="Garamond"/>
                <w:sz w:val="14"/>
                <w:szCs w:val="16"/>
                <w:lang w:eastAsia="en-US"/>
              </w:rPr>
            </w:pPr>
          </w:p>
        </w:tc>
        <w:tc>
          <w:tcPr>
            <w:tcW w:w="553" w:type="pct"/>
            <w:vMerge/>
          </w:tcPr>
          <w:p w14:paraId="6A56E77D" w14:textId="77777777" w:rsidR="00657405" w:rsidRPr="00024D5A" w:rsidRDefault="00657405" w:rsidP="00791B1A">
            <w:pPr>
              <w:rPr>
                <w:rFonts w:ascii="Garamond" w:eastAsia="Times New Roman" w:hAnsi="Garamond"/>
                <w:sz w:val="14"/>
                <w:szCs w:val="16"/>
                <w:lang w:eastAsia="en-US"/>
              </w:rPr>
            </w:pPr>
          </w:p>
        </w:tc>
        <w:tc>
          <w:tcPr>
            <w:tcW w:w="395" w:type="pct"/>
            <w:vMerge/>
          </w:tcPr>
          <w:p w14:paraId="22FB91DC" w14:textId="77777777" w:rsidR="00657405" w:rsidRPr="00024D5A" w:rsidRDefault="00657405" w:rsidP="00791B1A">
            <w:pPr>
              <w:rPr>
                <w:rFonts w:ascii="Garamond" w:eastAsia="Times New Roman" w:hAnsi="Garamond"/>
                <w:sz w:val="14"/>
                <w:szCs w:val="16"/>
                <w:lang w:eastAsia="en-US"/>
              </w:rPr>
            </w:pPr>
          </w:p>
        </w:tc>
        <w:tc>
          <w:tcPr>
            <w:tcW w:w="480" w:type="pct"/>
            <w:vMerge/>
          </w:tcPr>
          <w:p w14:paraId="28176A88" w14:textId="77777777" w:rsidR="00657405" w:rsidRPr="00024D5A" w:rsidRDefault="00657405" w:rsidP="00791B1A">
            <w:pPr>
              <w:rPr>
                <w:rFonts w:ascii="Garamond" w:eastAsia="Times New Roman" w:hAnsi="Garamond"/>
                <w:sz w:val="14"/>
                <w:szCs w:val="16"/>
                <w:lang w:eastAsia="en-US"/>
              </w:rPr>
            </w:pPr>
          </w:p>
        </w:tc>
        <w:tc>
          <w:tcPr>
            <w:tcW w:w="576" w:type="pct"/>
            <w:gridSpan w:val="2"/>
            <w:vMerge/>
          </w:tcPr>
          <w:p w14:paraId="255EB36E" w14:textId="77777777" w:rsidR="00657405" w:rsidRPr="00024D5A" w:rsidRDefault="00657405" w:rsidP="00791B1A">
            <w:pPr>
              <w:rPr>
                <w:rFonts w:ascii="Garamond" w:eastAsia="Times New Roman" w:hAnsi="Garamond"/>
                <w:sz w:val="14"/>
                <w:szCs w:val="16"/>
                <w:lang w:eastAsia="en-US"/>
              </w:rPr>
            </w:pPr>
          </w:p>
        </w:tc>
        <w:tc>
          <w:tcPr>
            <w:tcW w:w="1607" w:type="pct"/>
            <w:gridSpan w:val="2"/>
            <w:vMerge/>
          </w:tcPr>
          <w:p w14:paraId="3D165C80" w14:textId="77777777" w:rsidR="00657405" w:rsidRPr="00024D5A" w:rsidRDefault="00657405" w:rsidP="00791B1A">
            <w:pPr>
              <w:rPr>
                <w:rFonts w:ascii="Garamond" w:eastAsia="Times New Roman" w:hAnsi="Garamond"/>
                <w:sz w:val="14"/>
                <w:szCs w:val="16"/>
                <w:lang w:eastAsia="en-US"/>
              </w:rPr>
            </w:pPr>
          </w:p>
        </w:tc>
        <w:tc>
          <w:tcPr>
            <w:tcW w:w="481" w:type="pct"/>
            <w:shd w:val="clear" w:color="auto" w:fill="CAEDFA"/>
          </w:tcPr>
          <w:p w14:paraId="1DE776AA" w14:textId="77777777" w:rsidR="00657405" w:rsidRPr="00024D5A" w:rsidRDefault="00657405"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r>
      <w:tr w:rsidR="0094477B" w:rsidRPr="00024D5A" w14:paraId="57E61E87" w14:textId="77777777" w:rsidTr="00F958F2">
        <w:trPr>
          <w:trHeight w:val="2678"/>
        </w:trPr>
        <w:tc>
          <w:tcPr>
            <w:tcW w:w="430" w:type="pct"/>
            <w:vMerge/>
            <w:shd w:val="clear" w:color="auto" w:fill="CAEDFA"/>
          </w:tcPr>
          <w:p w14:paraId="0BE2F2CC" w14:textId="300393BF" w:rsidR="0094477B" w:rsidRPr="00024D5A" w:rsidRDefault="0094477B" w:rsidP="00791B1A">
            <w:pPr>
              <w:rPr>
                <w:rFonts w:ascii="Garamond" w:eastAsia="Times New Roman" w:hAnsi="Garamond"/>
                <w:sz w:val="14"/>
                <w:szCs w:val="16"/>
                <w:lang w:eastAsia="en-US"/>
              </w:rPr>
            </w:pPr>
          </w:p>
        </w:tc>
        <w:tc>
          <w:tcPr>
            <w:tcW w:w="478" w:type="pct"/>
            <w:shd w:val="clear" w:color="auto" w:fill="CAEDFA"/>
          </w:tcPr>
          <w:p w14:paraId="1C892F96" w14:textId="6E564E7C" w:rsidR="0094477B" w:rsidRPr="00024D5A" w:rsidRDefault="0094477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Objektivi </w:t>
            </w:r>
            <w:r w:rsidR="00AC5DA9" w:rsidRPr="00024D5A">
              <w:rPr>
                <w:rFonts w:ascii="Garamond" w:eastAsia="Times New Roman" w:hAnsi="Garamond"/>
                <w:sz w:val="14"/>
                <w:szCs w:val="16"/>
                <w:lang w:eastAsia="en-US"/>
              </w:rPr>
              <w:t xml:space="preserve">specifik </w:t>
            </w:r>
            <w:r w:rsidRPr="00024D5A">
              <w:rPr>
                <w:rFonts w:ascii="Garamond" w:eastAsia="Times New Roman" w:hAnsi="Garamond"/>
                <w:sz w:val="14"/>
                <w:szCs w:val="16"/>
                <w:lang w:eastAsia="en-US"/>
              </w:rPr>
              <w:t>3</w:t>
            </w:r>
            <w:r w:rsidR="00AC5DA9">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Të sigurohet që personat me aftësi të kufizuara në paraburgim dhe në institucionet e vuajtjes së dënimit të kenë ambiente të aksesueshme, shërbime shëndetësore e psikosociale dhe plane individuale mbështetjeje, për të garantuar trajtim dinjitoz dhe të barabartë.</w:t>
            </w:r>
          </w:p>
        </w:tc>
        <w:tc>
          <w:tcPr>
            <w:tcW w:w="553" w:type="pct"/>
            <w:shd w:val="clear" w:color="auto" w:fill="CAEDFA"/>
          </w:tcPr>
          <w:p w14:paraId="3825B3F0" w14:textId="77777777" w:rsidR="0094477B" w:rsidRPr="00024D5A" w:rsidRDefault="0094477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Institucionet e paraburgimit dhe të vuajtjes së dënimit zbatojnë standarde të aksesueshmërisë, identifikimit dhe mbështetjes për personat me aftësi të kufizuara, duke përfshirë procedurat e vlerësimit dhe planet individuale të mbështetjes.</w:t>
            </w:r>
          </w:p>
          <w:p w14:paraId="55F35F2A" w14:textId="1974E152" w:rsidR="0094477B" w:rsidRPr="00024D5A" w:rsidRDefault="0094477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395" w:type="pct"/>
            <w:shd w:val="clear" w:color="auto" w:fill="CAEDFA"/>
          </w:tcPr>
          <w:p w14:paraId="473AD7C2" w14:textId="77777777" w:rsidR="0094477B" w:rsidRPr="00024D5A" w:rsidRDefault="0094477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N/A</w:t>
            </w:r>
          </w:p>
          <w:p w14:paraId="7496A7A5" w14:textId="3774031F" w:rsidR="0094477B" w:rsidRPr="00024D5A" w:rsidRDefault="0094477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480" w:type="pct"/>
            <w:shd w:val="clear" w:color="auto" w:fill="CAEDFA"/>
            <w:noWrap/>
          </w:tcPr>
          <w:p w14:paraId="090D8BF7" w14:textId="77777777" w:rsidR="0094477B" w:rsidRPr="00024D5A" w:rsidRDefault="0094477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0,2</w:t>
            </w:r>
          </w:p>
          <w:p w14:paraId="52AA5987" w14:textId="67BF47BD" w:rsidR="0094477B" w:rsidRPr="00024D5A" w:rsidRDefault="0094477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576" w:type="pct"/>
            <w:gridSpan w:val="2"/>
            <w:shd w:val="clear" w:color="auto" w:fill="CAEDFA"/>
            <w:noWrap/>
          </w:tcPr>
          <w:p w14:paraId="0EABF0A8" w14:textId="77777777" w:rsidR="0094477B" w:rsidRPr="00024D5A" w:rsidRDefault="0094477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0,5</w:t>
            </w:r>
          </w:p>
          <w:p w14:paraId="6C398228" w14:textId="753C032B" w:rsidR="0094477B" w:rsidRPr="00024D5A" w:rsidRDefault="0094477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1607" w:type="pct"/>
            <w:gridSpan w:val="2"/>
            <w:shd w:val="clear" w:color="auto" w:fill="CAEDFA"/>
          </w:tcPr>
          <w:p w14:paraId="60C99E17" w14:textId="53F5B0C5" w:rsidR="0094477B" w:rsidRPr="00024D5A" w:rsidRDefault="0094477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Akte administrative të Drejtorisë së Përgjithshme të Burgjeve;</w:t>
            </w:r>
            <w:r w:rsidRPr="00024D5A">
              <w:rPr>
                <w:rFonts w:ascii="Garamond" w:eastAsia="Times New Roman" w:hAnsi="Garamond"/>
                <w:sz w:val="14"/>
                <w:szCs w:val="16"/>
                <w:lang w:eastAsia="en-US"/>
              </w:rPr>
              <w:br/>
              <w:t>Protokollet e miratuara;</w:t>
            </w:r>
            <w:r w:rsidRPr="00024D5A">
              <w:rPr>
                <w:rFonts w:ascii="Garamond" w:eastAsia="Times New Roman" w:hAnsi="Garamond"/>
                <w:sz w:val="14"/>
                <w:szCs w:val="16"/>
                <w:lang w:eastAsia="en-US"/>
              </w:rPr>
              <w:br/>
              <w:t>Raportet e inspektimit/monitorimit institucional.</w:t>
            </w:r>
          </w:p>
          <w:p w14:paraId="75432ADE" w14:textId="31C2C7B3" w:rsidR="0094477B" w:rsidRPr="00024D5A" w:rsidRDefault="0094477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481" w:type="pct"/>
            <w:shd w:val="clear" w:color="auto" w:fill="CAEDFA"/>
          </w:tcPr>
          <w:p w14:paraId="2CD08E0C" w14:textId="370D4389" w:rsidR="0094477B" w:rsidRPr="00024D5A" w:rsidRDefault="0094477B" w:rsidP="00791B1A">
            <w:pPr>
              <w:rPr>
                <w:rFonts w:ascii="Garamond" w:eastAsia="Times New Roman" w:hAnsi="Garamond"/>
                <w:sz w:val="14"/>
                <w:szCs w:val="16"/>
                <w:lang w:eastAsia="en-US"/>
              </w:rPr>
            </w:pPr>
            <w:r w:rsidRPr="00024D5A">
              <w:rPr>
                <w:rFonts w:ascii="Garamond" w:eastAsia="Times New Roman" w:hAnsi="Garamond"/>
                <w:sz w:val="14"/>
              </w:rPr>
              <w:t xml:space="preserve"> </w:t>
            </w:r>
            <w:r w:rsidRPr="00024D5A">
              <w:rPr>
                <w:rFonts w:ascii="Garamond" w:eastAsia="Times New Roman" w:hAnsi="Garamond"/>
                <w:sz w:val="14"/>
                <w:szCs w:val="16"/>
              </w:rPr>
              <w:t>KDPAK</w:t>
            </w:r>
            <w:r w:rsidRPr="00024D5A">
              <w:rPr>
                <w:rFonts w:ascii="Garamond" w:eastAsia="Times New Roman" w:hAnsi="Garamond"/>
                <w:sz w:val="14"/>
                <w:szCs w:val="16"/>
                <w:lang w:eastAsia="en-US"/>
              </w:rPr>
              <w:t xml:space="preserve"> neni 14 (liria dhe siguria e personit) dhe neni 15 (trajtim dinjitoz);</w:t>
            </w:r>
            <w:r w:rsidRPr="00024D5A">
              <w:rPr>
                <w:rFonts w:ascii="Garamond" w:hAnsi="Garamond"/>
                <w:sz w:val="14"/>
              </w:rPr>
              <w:br/>
            </w:r>
            <w:r w:rsidRPr="00024D5A">
              <w:rPr>
                <w:rFonts w:ascii="Garamond" w:eastAsia="Times New Roman" w:hAnsi="Garamond"/>
                <w:sz w:val="14"/>
                <w:szCs w:val="16"/>
                <w:lang w:eastAsia="en-US"/>
              </w:rPr>
              <w:t xml:space="preserve">Strategjinë e BE për të Drejtat e Personave me Aftësi të Kufizuara 2021–2030; </w:t>
            </w:r>
            <w:r w:rsidRPr="00024D5A">
              <w:rPr>
                <w:rFonts w:ascii="Garamond" w:hAnsi="Garamond"/>
                <w:sz w:val="14"/>
              </w:rPr>
              <w:br/>
            </w:r>
            <w:r w:rsidRPr="00024D5A">
              <w:rPr>
                <w:rFonts w:ascii="Garamond" w:eastAsia="Times New Roman" w:hAnsi="Garamond"/>
                <w:sz w:val="14"/>
                <w:szCs w:val="16"/>
                <w:lang w:eastAsia="en-US"/>
              </w:rPr>
              <w:t>European Accessibility Act (direktiva (BE) 2019/882);</w:t>
            </w:r>
            <w:r w:rsidRPr="00024D5A">
              <w:rPr>
                <w:rFonts w:ascii="Garamond" w:hAnsi="Garamond"/>
                <w:sz w:val="14"/>
              </w:rPr>
              <w:br/>
            </w:r>
            <w:r w:rsidRPr="00024D5A">
              <w:rPr>
                <w:rFonts w:ascii="Garamond" w:eastAsia="Times New Roman" w:hAnsi="Garamond"/>
                <w:sz w:val="14"/>
                <w:szCs w:val="16"/>
                <w:lang w:eastAsia="en-US"/>
              </w:rPr>
              <w:t>Strategjinë për të Drejtat e Fëmijëve (të miturit në konflikt me ligjin).</w:t>
            </w:r>
          </w:p>
        </w:tc>
      </w:tr>
      <w:tr w:rsidR="003E1630" w:rsidRPr="00024D5A" w14:paraId="5458538B" w14:textId="77777777" w:rsidTr="00F958F2">
        <w:trPr>
          <w:trHeight w:val="20"/>
        </w:trPr>
        <w:tc>
          <w:tcPr>
            <w:tcW w:w="430" w:type="pct"/>
          </w:tcPr>
          <w:p w14:paraId="0510B654"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478" w:type="pct"/>
          </w:tcPr>
          <w:p w14:paraId="6D2F5628" w14:textId="4F15E542"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1.1. Rishikimi i kuadrit ligjor për të mundësuar akses të barabartë në drejtësi për personat me aftësi të kufizuara.</w:t>
            </w:r>
          </w:p>
        </w:tc>
        <w:tc>
          <w:tcPr>
            <w:tcW w:w="553" w:type="pct"/>
          </w:tcPr>
          <w:p w14:paraId="4C092BB9"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Kuadri ligjor dhe nënligjor i sistemit të drejtësisë i rishikuar dhe në fuqi, duke përfshirë përshtatjet e arsyeshme procedurale dhe mekanizmat e aksesueshëm për personat me aftësi të kufizuara.</w:t>
            </w:r>
          </w:p>
        </w:tc>
        <w:tc>
          <w:tcPr>
            <w:tcW w:w="395" w:type="pct"/>
            <w:noWrap/>
          </w:tcPr>
          <w:p w14:paraId="16DF4754"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N/A</w:t>
            </w:r>
          </w:p>
        </w:tc>
        <w:tc>
          <w:tcPr>
            <w:tcW w:w="480" w:type="pct"/>
          </w:tcPr>
          <w:p w14:paraId="0EC0234E"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2 ligje të ndryshuara</w:t>
            </w:r>
          </w:p>
        </w:tc>
        <w:tc>
          <w:tcPr>
            <w:tcW w:w="576" w:type="pct"/>
            <w:gridSpan w:val="2"/>
          </w:tcPr>
          <w:p w14:paraId="7C172D3E"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4 ligje të tjera të ndryshuara</w:t>
            </w:r>
          </w:p>
        </w:tc>
        <w:tc>
          <w:tcPr>
            <w:tcW w:w="1607" w:type="pct"/>
            <w:gridSpan w:val="2"/>
          </w:tcPr>
          <w:p w14:paraId="202F8F6C" w14:textId="26BEF909"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Fletorja Zyrtare;</w:t>
            </w:r>
            <w:r w:rsidRPr="00024D5A">
              <w:rPr>
                <w:rFonts w:ascii="Garamond" w:eastAsia="Times New Roman" w:hAnsi="Garamond"/>
                <w:sz w:val="14"/>
                <w:szCs w:val="16"/>
                <w:lang w:eastAsia="en-US"/>
              </w:rPr>
              <w:br/>
              <w:t>Ministria e Drejtësisë</w:t>
            </w:r>
            <w:r w:rsidR="00FA6869">
              <w:rPr>
                <w:rFonts w:ascii="Garamond" w:eastAsia="Times New Roman" w:hAnsi="Garamond"/>
                <w:sz w:val="14"/>
                <w:szCs w:val="16"/>
                <w:lang w:eastAsia="en-US"/>
              </w:rPr>
              <w:t>.</w:t>
            </w:r>
          </w:p>
        </w:tc>
        <w:tc>
          <w:tcPr>
            <w:tcW w:w="481" w:type="pct"/>
            <w:vMerge w:val="restart"/>
          </w:tcPr>
          <w:p w14:paraId="5B9DEB4A"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r>
      <w:tr w:rsidR="003E1630" w:rsidRPr="00024D5A" w14:paraId="1880D2C4" w14:textId="77777777" w:rsidTr="00F958F2">
        <w:trPr>
          <w:trHeight w:val="20"/>
        </w:trPr>
        <w:tc>
          <w:tcPr>
            <w:tcW w:w="430" w:type="pct"/>
            <w:noWrap/>
          </w:tcPr>
          <w:p w14:paraId="5B89D748" w14:textId="77777777" w:rsidR="003E1630" w:rsidRPr="00024D5A" w:rsidRDefault="003E1630" w:rsidP="00791B1A">
            <w:pPr>
              <w:rPr>
                <w:rFonts w:ascii="Garamond" w:eastAsia="Times New Roman" w:hAnsi="Garamond"/>
                <w:sz w:val="14"/>
                <w:szCs w:val="16"/>
                <w:lang w:eastAsia="en-US"/>
              </w:rPr>
            </w:pPr>
          </w:p>
        </w:tc>
        <w:tc>
          <w:tcPr>
            <w:tcW w:w="478" w:type="pct"/>
          </w:tcPr>
          <w:p w14:paraId="5214D28D"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553" w:type="pct"/>
          </w:tcPr>
          <w:p w14:paraId="03DE4C8F" w14:textId="3F0E7FD5"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Procedura dhe mjete të aksesueshme të komunikimit dhe mbështetjes për personat me aftësi të kufizuara të vendosura dhe të përdorshme në institucionet e sistemit të drejtësisë (p.sh. formularë </w:t>
            </w:r>
            <w:r w:rsidR="0078161D" w:rsidRPr="00024D5A">
              <w:rPr>
                <w:rFonts w:ascii="Garamond" w:eastAsia="Times New Roman" w:hAnsi="Garamond"/>
                <w:i/>
                <w:iCs/>
                <w:sz w:val="14"/>
                <w:szCs w:val="16"/>
                <w:lang w:eastAsia="en-US"/>
              </w:rPr>
              <w:t>“</w:t>
            </w:r>
            <w:r w:rsidRPr="00024D5A">
              <w:rPr>
                <w:rFonts w:ascii="Garamond" w:eastAsia="Times New Roman" w:hAnsi="Garamond"/>
                <w:i/>
                <w:iCs/>
                <w:sz w:val="14"/>
                <w:szCs w:val="16"/>
                <w:lang w:eastAsia="en-US"/>
              </w:rPr>
              <w:t>easy-to-read</w:t>
            </w:r>
            <w:r w:rsidR="0078161D" w:rsidRPr="00024D5A">
              <w:rPr>
                <w:rFonts w:ascii="Garamond" w:eastAsia="Times New Roman" w:hAnsi="Garamond"/>
                <w:i/>
                <w:iCs/>
                <w:sz w:val="14"/>
                <w:szCs w:val="16"/>
                <w:lang w:eastAsia="en-US"/>
              </w:rPr>
              <w:t>”</w:t>
            </w:r>
            <w:r w:rsidRPr="00024D5A">
              <w:rPr>
                <w:rFonts w:ascii="Garamond" w:eastAsia="Times New Roman" w:hAnsi="Garamond"/>
                <w:i/>
                <w:iCs/>
                <w:sz w:val="14"/>
                <w:szCs w:val="16"/>
                <w:lang w:eastAsia="en-US"/>
              </w:rPr>
              <w:t>,</w:t>
            </w:r>
            <w:r w:rsidRPr="00024D5A">
              <w:rPr>
                <w:rFonts w:ascii="Garamond" w:eastAsia="Times New Roman" w:hAnsi="Garamond"/>
                <w:sz w:val="14"/>
                <w:szCs w:val="16"/>
                <w:lang w:eastAsia="en-US"/>
              </w:rPr>
              <w:t xml:space="preserve"> interpretim në gjuhën e shenjave, materiale audio/video, udhëzime procedurale të aksesueshme).</w:t>
            </w:r>
          </w:p>
        </w:tc>
        <w:tc>
          <w:tcPr>
            <w:tcW w:w="395" w:type="pct"/>
          </w:tcPr>
          <w:p w14:paraId="022BBB8E"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N/A</w:t>
            </w:r>
          </w:p>
        </w:tc>
        <w:tc>
          <w:tcPr>
            <w:tcW w:w="480" w:type="pct"/>
          </w:tcPr>
          <w:p w14:paraId="62C6F380" w14:textId="492C770B"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20% e institucioneve të drejtësisë</w:t>
            </w:r>
          </w:p>
        </w:tc>
        <w:tc>
          <w:tcPr>
            <w:tcW w:w="576" w:type="pct"/>
            <w:gridSpan w:val="2"/>
          </w:tcPr>
          <w:p w14:paraId="05786932" w14:textId="5F2E7FFA"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50</w:t>
            </w:r>
            <w:r w:rsidR="00F03D3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e institucioneve të drejtësisë</w:t>
            </w:r>
          </w:p>
        </w:tc>
        <w:tc>
          <w:tcPr>
            <w:tcW w:w="1607" w:type="pct"/>
            <w:gridSpan w:val="2"/>
          </w:tcPr>
          <w:p w14:paraId="776858A9" w14:textId="26F84458"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KLGJ;</w:t>
            </w:r>
            <w:r w:rsidRPr="00024D5A">
              <w:rPr>
                <w:rFonts w:ascii="Garamond" w:eastAsia="Times New Roman" w:hAnsi="Garamond"/>
                <w:sz w:val="14"/>
                <w:szCs w:val="16"/>
                <w:lang w:eastAsia="en-US"/>
              </w:rPr>
              <w:br/>
              <w:t>Prokuroria e Përgjithshme</w:t>
            </w:r>
            <w:r w:rsidR="0094477B" w:rsidRPr="00024D5A">
              <w:rPr>
                <w:rFonts w:ascii="Garamond" w:eastAsia="Times New Roman" w:hAnsi="Garamond"/>
                <w:sz w:val="14"/>
                <w:szCs w:val="16"/>
                <w:lang w:eastAsia="en-US"/>
              </w:rPr>
              <w:t>.</w:t>
            </w:r>
          </w:p>
        </w:tc>
        <w:tc>
          <w:tcPr>
            <w:tcW w:w="481" w:type="pct"/>
            <w:vMerge/>
          </w:tcPr>
          <w:p w14:paraId="791E3FC1" w14:textId="77777777" w:rsidR="003E1630" w:rsidRPr="00024D5A" w:rsidRDefault="003E1630" w:rsidP="00791B1A">
            <w:pPr>
              <w:rPr>
                <w:rFonts w:ascii="Garamond" w:eastAsia="Times New Roman" w:hAnsi="Garamond"/>
                <w:sz w:val="14"/>
                <w:szCs w:val="16"/>
                <w:lang w:eastAsia="en-US"/>
              </w:rPr>
            </w:pPr>
          </w:p>
        </w:tc>
      </w:tr>
      <w:tr w:rsidR="003E1630" w:rsidRPr="00024D5A" w14:paraId="18324AE5" w14:textId="77777777" w:rsidTr="00F958F2">
        <w:trPr>
          <w:trHeight w:val="20"/>
        </w:trPr>
        <w:tc>
          <w:tcPr>
            <w:tcW w:w="430" w:type="pct"/>
            <w:vMerge w:val="restart"/>
          </w:tcPr>
          <w:p w14:paraId="2122623A"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478" w:type="pct"/>
          </w:tcPr>
          <w:p w14:paraId="3F1F0750" w14:textId="45DCADE2"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1.2. Ofrimi i shërbimeve të aksesueshme të ndihmës juridike falas për personat me aftësi të kufizuara</w:t>
            </w:r>
            <w:r w:rsidR="0094477B"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w:t>
            </w:r>
          </w:p>
        </w:tc>
        <w:tc>
          <w:tcPr>
            <w:tcW w:w="553" w:type="pct"/>
          </w:tcPr>
          <w:p w14:paraId="24686367"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Numri i personave me aftësi të kufizuara që përfitojnë ndihmë juridike falas (parësore ose dytësore) gjatë vitit.</w:t>
            </w:r>
          </w:p>
        </w:tc>
        <w:tc>
          <w:tcPr>
            <w:tcW w:w="395" w:type="pct"/>
          </w:tcPr>
          <w:p w14:paraId="53BA2A01"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5530</w:t>
            </w:r>
          </w:p>
        </w:tc>
        <w:tc>
          <w:tcPr>
            <w:tcW w:w="480" w:type="pct"/>
          </w:tcPr>
          <w:p w14:paraId="27EA3C0F" w14:textId="49F8C6DD"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20 për</w:t>
            </w:r>
            <w:r w:rsidR="0094477B" w:rsidRPr="00024D5A">
              <w:rPr>
                <w:rFonts w:ascii="Garamond" w:eastAsia="Times New Roman" w:hAnsi="Garamond"/>
                <w:sz w:val="14"/>
                <w:szCs w:val="16"/>
                <w:lang w:eastAsia="en-US"/>
              </w:rPr>
              <w:t xml:space="preserve"> </w:t>
            </w:r>
            <w:r w:rsidRPr="00024D5A">
              <w:rPr>
                <w:rFonts w:ascii="Garamond" w:eastAsia="Times New Roman" w:hAnsi="Garamond"/>
                <w:sz w:val="14"/>
                <w:szCs w:val="16"/>
                <w:lang w:eastAsia="en-US"/>
              </w:rPr>
              <w:t xml:space="preserve">qind më shumë se </w:t>
            </w:r>
            <w:r w:rsidRPr="00024D5A">
              <w:rPr>
                <w:rFonts w:ascii="Garamond" w:eastAsia="Times New Roman" w:hAnsi="Garamond"/>
                <w:i/>
                <w:iCs/>
                <w:sz w:val="14"/>
                <w:szCs w:val="16"/>
                <w:lang w:eastAsia="en-US"/>
              </w:rPr>
              <w:t>baseline</w:t>
            </w:r>
          </w:p>
        </w:tc>
        <w:tc>
          <w:tcPr>
            <w:tcW w:w="576" w:type="pct"/>
            <w:gridSpan w:val="2"/>
          </w:tcPr>
          <w:p w14:paraId="600EE12A" w14:textId="67F1E4A0"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45 për</w:t>
            </w:r>
            <w:r w:rsidR="0094477B" w:rsidRPr="00024D5A">
              <w:rPr>
                <w:rFonts w:ascii="Garamond" w:eastAsia="Times New Roman" w:hAnsi="Garamond"/>
                <w:sz w:val="14"/>
                <w:szCs w:val="16"/>
                <w:lang w:eastAsia="en-US"/>
              </w:rPr>
              <w:t xml:space="preserve"> </w:t>
            </w:r>
            <w:r w:rsidRPr="00024D5A">
              <w:rPr>
                <w:rFonts w:ascii="Garamond" w:eastAsia="Times New Roman" w:hAnsi="Garamond"/>
                <w:sz w:val="14"/>
                <w:szCs w:val="16"/>
                <w:lang w:eastAsia="en-US"/>
              </w:rPr>
              <w:t xml:space="preserve">qind më shumë se </w:t>
            </w:r>
            <w:r w:rsidRPr="00024D5A">
              <w:rPr>
                <w:rFonts w:ascii="Garamond" w:eastAsia="Times New Roman" w:hAnsi="Garamond"/>
                <w:i/>
                <w:iCs/>
                <w:sz w:val="14"/>
                <w:szCs w:val="16"/>
                <w:lang w:eastAsia="en-US"/>
              </w:rPr>
              <w:t>baseline</w:t>
            </w:r>
          </w:p>
        </w:tc>
        <w:tc>
          <w:tcPr>
            <w:tcW w:w="1607" w:type="pct"/>
            <w:gridSpan w:val="2"/>
          </w:tcPr>
          <w:p w14:paraId="35E100AB" w14:textId="4419762B"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Drejtoria e Ndihmës Juridike Falas;</w:t>
            </w:r>
            <w:r w:rsidRPr="00024D5A">
              <w:rPr>
                <w:rFonts w:ascii="Garamond" w:eastAsia="Times New Roman" w:hAnsi="Garamond"/>
                <w:sz w:val="14"/>
                <w:szCs w:val="16"/>
                <w:lang w:eastAsia="en-US"/>
              </w:rPr>
              <w:br/>
              <w:t>Ministria e Drejtësisë</w:t>
            </w:r>
            <w:r w:rsidR="0094477B" w:rsidRPr="00024D5A">
              <w:rPr>
                <w:rFonts w:ascii="Garamond" w:eastAsia="Times New Roman" w:hAnsi="Garamond"/>
                <w:sz w:val="14"/>
                <w:szCs w:val="16"/>
                <w:lang w:eastAsia="en-US"/>
              </w:rPr>
              <w:t>.</w:t>
            </w:r>
          </w:p>
        </w:tc>
        <w:tc>
          <w:tcPr>
            <w:tcW w:w="481" w:type="pct"/>
            <w:vMerge w:val="restart"/>
          </w:tcPr>
          <w:p w14:paraId="13E375FE"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r>
      <w:tr w:rsidR="003E1630" w:rsidRPr="00024D5A" w14:paraId="1823656A" w14:textId="77777777" w:rsidTr="00F958F2">
        <w:trPr>
          <w:trHeight w:val="20"/>
        </w:trPr>
        <w:tc>
          <w:tcPr>
            <w:tcW w:w="430" w:type="pct"/>
            <w:vMerge/>
          </w:tcPr>
          <w:p w14:paraId="5C7000D1" w14:textId="77777777" w:rsidR="003E1630" w:rsidRPr="00024D5A" w:rsidRDefault="003E1630" w:rsidP="00791B1A">
            <w:pPr>
              <w:rPr>
                <w:rFonts w:ascii="Garamond" w:eastAsia="Times New Roman" w:hAnsi="Garamond"/>
                <w:sz w:val="14"/>
                <w:szCs w:val="16"/>
                <w:lang w:eastAsia="en-US"/>
              </w:rPr>
            </w:pPr>
          </w:p>
        </w:tc>
        <w:tc>
          <w:tcPr>
            <w:tcW w:w="478" w:type="pct"/>
          </w:tcPr>
          <w:p w14:paraId="4FDC32A8"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553" w:type="pct"/>
          </w:tcPr>
          <w:p w14:paraId="4D9043FA"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Informacioni mbi të drejtën për ndihmë juridike falas i ofruar në formate të aksesueshme për personat me aftësi të kufizuara</w:t>
            </w:r>
          </w:p>
        </w:tc>
        <w:tc>
          <w:tcPr>
            <w:tcW w:w="395" w:type="pct"/>
          </w:tcPr>
          <w:p w14:paraId="328CABB5"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19 takime informuese</w:t>
            </w:r>
          </w:p>
        </w:tc>
        <w:tc>
          <w:tcPr>
            <w:tcW w:w="480" w:type="pct"/>
          </w:tcPr>
          <w:p w14:paraId="59A40915"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15 takime më shumë se </w:t>
            </w:r>
            <w:r w:rsidRPr="00024D5A">
              <w:rPr>
                <w:rFonts w:ascii="Garamond" w:eastAsia="Times New Roman" w:hAnsi="Garamond"/>
                <w:i/>
                <w:iCs/>
                <w:sz w:val="14"/>
                <w:szCs w:val="16"/>
                <w:lang w:eastAsia="en-US"/>
              </w:rPr>
              <w:t>baseline</w:t>
            </w:r>
          </w:p>
        </w:tc>
        <w:tc>
          <w:tcPr>
            <w:tcW w:w="576" w:type="pct"/>
            <w:gridSpan w:val="2"/>
          </w:tcPr>
          <w:p w14:paraId="04FD4BAA"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35 takime më shume se </w:t>
            </w:r>
            <w:r w:rsidRPr="00024D5A">
              <w:rPr>
                <w:rFonts w:ascii="Garamond" w:eastAsia="Times New Roman" w:hAnsi="Garamond"/>
                <w:i/>
                <w:iCs/>
                <w:sz w:val="14"/>
                <w:szCs w:val="16"/>
                <w:lang w:eastAsia="en-US"/>
              </w:rPr>
              <w:t>baseline</w:t>
            </w:r>
          </w:p>
        </w:tc>
        <w:tc>
          <w:tcPr>
            <w:tcW w:w="1607" w:type="pct"/>
            <w:gridSpan w:val="2"/>
          </w:tcPr>
          <w:p w14:paraId="044C74DB"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481" w:type="pct"/>
            <w:vMerge/>
          </w:tcPr>
          <w:p w14:paraId="042B9C9A" w14:textId="77777777" w:rsidR="003E1630" w:rsidRPr="00024D5A" w:rsidRDefault="003E1630" w:rsidP="00791B1A">
            <w:pPr>
              <w:rPr>
                <w:rFonts w:ascii="Garamond" w:eastAsia="Times New Roman" w:hAnsi="Garamond"/>
                <w:sz w:val="14"/>
                <w:szCs w:val="16"/>
                <w:lang w:eastAsia="en-US"/>
              </w:rPr>
            </w:pPr>
          </w:p>
        </w:tc>
      </w:tr>
      <w:tr w:rsidR="003E1630" w:rsidRPr="00024D5A" w14:paraId="650E5374" w14:textId="77777777" w:rsidTr="00F958F2">
        <w:trPr>
          <w:trHeight w:val="20"/>
        </w:trPr>
        <w:tc>
          <w:tcPr>
            <w:tcW w:w="430" w:type="pct"/>
          </w:tcPr>
          <w:p w14:paraId="20F64018"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478" w:type="pct"/>
          </w:tcPr>
          <w:p w14:paraId="22058F1E"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1.3. Ndërgjegjësimi i profesionistëve të sistemit të drejtësisë mbi të drejtën për të pasur akses në drejtësi të personave me aftësi të kufizuara, bazuar në praktikat dhe standardet më të mira ndërkombëtare.</w:t>
            </w:r>
          </w:p>
        </w:tc>
        <w:tc>
          <w:tcPr>
            <w:tcW w:w="553" w:type="pct"/>
          </w:tcPr>
          <w:p w14:paraId="4A5046CB" w14:textId="0F4819D8"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Numri i profesionistëve të sistemit të drejtësisë (gjyqtarë, prokurorë, avokatë, noterë) të trajnuar mbi të drejtat e personave me aftësi të kufizuara dhe aksesin në drejtësi</w:t>
            </w:r>
            <w:r w:rsidR="0094477B" w:rsidRPr="00024D5A">
              <w:rPr>
                <w:rFonts w:ascii="Garamond" w:eastAsia="Times New Roman" w:hAnsi="Garamond"/>
                <w:sz w:val="14"/>
                <w:szCs w:val="16"/>
                <w:lang w:eastAsia="en-US"/>
              </w:rPr>
              <w:t>.</w:t>
            </w:r>
          </w:p>
        </w:tc>
        <w:tc>
          <w:tcPr>
            <w:tcW w:w="395" w:type="pct"/>
          </w:tcPr>
          <w:p w14:paraId="04B8ABDF"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N/A</w:t>
            </w:r>
          </w:p>
        </w:tc>
        <w:tc>
          <w:tcPr>
            <w:tcW w:w="480" w:type="pct"/>
            <w:noWrap/>
          </w:tcPr>
          <w:p w14:paraId="3BA6407C"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10 trajnime</w:t>
            </w:r>
          </w:p>
        </w:tc>
        <w:tc>
          <w:tcPr>
            <w:tcW w:w="576" w:type="pct"/>
            <w:gridSpan w:val="2"/>
            <w:noWrap/>
          </w:tcPr>
          <w:p w14:paraId="7404B0E8"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30 trajnime</w:t>
            </w:r>
          </w:p>
        </w:tc>
        <w:tc>
          <w:tcPr>
            <w:tcW w:w="1607" w:type="pct"/>
            <w:gridSpan w:val="2"/>
          </w:tcPr>
          <w:p w14:paraId="7303A8A4" w14:textId="1F104681"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Shkolla e Magjistraturës, Dhoma Kombëtare e Avokatisë;</w:t>
            </w:r>
            <w:r w:rsidRPr="00024D5A">
              <w:rPr>
                <w:rFonts w:ascii="Garamond" w:eastAsia="Times New Roman" w:hAnsi="Garamond"/>
                <w:sz w:val="14"/>
                <w:szCs w:val="16"/>
                <w:lang w:eastAsia="en-US"/>
              </w:rPr>
              <w:br/>
              <w:t>Ministria e Drejtësisë; Shkolla e Magjistraturës</w:t>
            </w:r>
            <w:r w:rsidR="0094477B" w:rsidRPr="00024D5A">
              <w:rPr>
                <w:rFonts w:ascii="Garamond" w:eastAsia="Times New Roman" w:hAnsi="Garamond"/>
                <w:sz w:val="14"/>
                <w:szCs w:val="16"/>
                <w:lang w:eastAsia="en-US"/>
              </w:rPr>
              <w:t>.</w:t>
            </w:r>
          </w:p>
        </w:tc>
        <w:tc>
          <w:tcPr>
            <w:tcW w:w="481" w:type="pct"/>
            <w:vMerge w:val="restart"/>
          </w:tcPr>
          <w:p w14:paraId="6E699F3A"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r>
      <w:tr w:rsidR="003E1630" w:rsidRPr="00024D5A" w14:paraId="05D05091" w14:textId="77777777" w:rsidTr="00F958F2">
        <w:trPr>
          <w:trHeight w:val="20"/>
        </w:trPr>
        <w:tc>
          <w:tcPr>
            <w:tcW w:w="430" w:type="pct"/>
          </w:tcPr>
          <w:p w14:paraId="71A46BD2"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478" w:type="pct"/>
          </w:tcPr>
          <w:p w14:paraId="4BC93998"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553" w:type="pct"/>
          </w:tcPr>
          <w:p w14:paraId="01B3620D"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Udhëzime ose programe trajnimi të miratuara dhe në zbatim për trajtimin e personave me aftësi të kufizuara në procedurat gjyqësore (përfshirë nevojën për interpretim në gjuhën e shenjave).</w:t>
            </w:r>
          </w:p>
        </w:tc>
        <w:tc>
          <w:tcPr>
            <w:tcW w:w="395" w:type="pct"/>
          </w:tcPr>
          <w:p w14:paraId="59C53A6D"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N/A</w:t>
            </w:r>
          </w:p>
        </w:tc>
        <w:tc>
          <w:tcPr>
            <w:tcW w:w="480" w:type="pct"/>
          </w:tcPr>
          <w:p w14:paraId="7E5F6028"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1 program trajnimi</w:t>
            </w:r>
          </w:p>
        </w:tc>
        <w:tc>
          <w:tcPr>
            <w:tcW w:w="576" w:type="pct"/>
            <w:gridSpan w:val="2"/>
          </w:tcPr>
          <w:p w14:paraId="2BF8D957"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2 programe trajnimi</w:t>
            </w:r>
          </w:p>
        </w:tc>
        <w:tc>
          <w:tcPr>
            <w:tcW w:w="1607" w:type="pct"/>
            <w:gridSpan w:val="2"/>
          </w:tcPr>
          <w:p w14:paraId="04B6AD5C"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481" w:type="pct"/>
            <w:vMerge/>
          </w:tcPr>
          <w:p w14:paraId="6F255239" w14:textId="77777777" w:rsidR="003E1630" w:rsidRPr="00024D5A" w:rsidRDefault="003E1630" w:rsidP="00791B1A">
            <w:pPr>
              <w:rPr>
                <w:rFonts w:ascii="Garamond" w:eastAsia="Times New Roman" w:hAnsi="Garamond"/>
                <w:sz w:val="14"/>
                <w:szCs w:val="16"/>
                <w:lang w:eastAsia="en-US"/>
              </w:rPr>
            </w:pPr>
          </w:p>
        </w:tc>
      </w:tr>
      <w:tr w:rsidR="003E1630" w:rsidRPr="00024D5A" w14:paraId="6595B4AB" w14:textId="77777777" w:rsidTr="00F958F2">
        <w:trPr>
          <w:trHeight w:val="20"/>
        </w:trPr>
        <w:tc>
          <w:tcPr>
            <w:tcW w:w="430" w:type="pct"/>
          </w:tcPr>
          <w:p w14:paraId="23AF87E5" w14:textId="77777777" w:rsidR="003E1630" w:rsidRPr="00024D5A" w:rsidRDefault="005743A8" w:rsidP="00791B1A">
            <w:pPr>
              <w:rPr>
                <w:rFonts w:ascii="Garamond" w:eastAsia="Times New Roman" w:hAnsi="Garamond"/>
                <w:b/>
                <w:bCs/>
                <w:sz w:val="14"/>
                <w:szCs w:val="16"/>
                <w:lang w:eastAsia="en-US"/>
              </w:rPr>
            </w:pPr>
            <w:r w:rsidRPr="00024D5A">
              <w:rPr>
                <w:rFonts w:ascii="Garamond" w:eastAsia="Times New Roman" w:hAnsi="Garamond"/>
                <w:b/>
                <w:bCs/>
                <w:sz w:val="14"/>
                <w:szCs w:val="16"/>
                <w:lang w:eastAsia="en-US"/>
              </w:rPr>
              <w:t>Masat prioritare</w:t>
            </w:r>
          </w:p>
        </w:tc>
        <w:tc>
          <w:tcPr>
            <w:tcW w:w="478" w:type="pct"/>
          </w:tcPr>
          <w:p w14:paraId="1FFD1F08"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1.4. Garantimi i aksesueshmërisë në mjedise, informacion e komunikim për personat me aftësi të kufizuara në institucione të sistemit të drejtësisë, apo të lidhura me të.</w:t>
            </w:r>
          </w:p>
        </w:tc>
        <w:tc>
          <w:tcPr>
            <w:tcW w:w="553" w:type="pct"/>
          </w:tcPr>
          <w:p w14:paraId="4C9C2A48" w14:textId="5C141BA1"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Institucionet e sistemit të drejtësisë</w:t>
            </w:r>
            <w:r w:rsidR="0094477B"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që kanë kryer vlerësimin e aksesueshmërisë dhe kanë miratuar masa për përmirësimin e aksesit fizik, të informacionit dhe komunikimit për personat me aftësi të kufizuara.</w:t>
            </w:r>
          </w:p>
        </w:tc>
        <w:tc>
          <w:tcPr>
            <w:tcW w:w="395" w:type="pct"/>
          </w:tcPr>
          <w:p w14:paraId="1E0EE4B9"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N/A</w:t>
            </w:r>
          </w:p>
        </w:tc>
        <w:tc>
          <w:tcPr>
            <w:tcW w:w="480" w:type="pct"/>
            <w:noWrap/>
          </w:tcPr>
          <w:p w14:paraId="3C695B82"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10 institucione</w:t>
            </w:r>
          </w:p>
        </w:tc>
        <w:tc>
          <w:tcPr>
            <w:tcW w:w="576" w:type="pct"/>
            <w:gridSpan w:val="2"/>
            <w:noWrap/>
          </w:tcPr>
          <w:p w14:paraId="30E85CF3"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25 institucione</w:t>
            </w:r>
          </w:p>
        </w:tc>
        <w:tc>
          <w:tcPr>
            <w:tcW w:w="1607" w:type="pct"/>
            <w:gridSpan w:val="2"/>
          </w:tcPr>
          <w:p w14:paraId="5D429E22" w14:textId="145D0DDF"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KLGJ;</w:t>
            </w:r>
            <w:r w:rsidRPr="00024D5A">
              <w:rPr>
                <w:rFonts w:ascii="Garamond" w:eastAsia="Times New Roman" w:hAnsi="Garamond"/>
                <w:sz w:val="14"/>
                <w:szCs w:val="16"/>
                <w:lang w:eastAsia="en-US"/>
              </w:rPr>
              <w:br/>
              <w:t xml:space="preserve">Prokuroria e Përgjithshme; Policia e Shtetit; </w:t>
            </w:r>
            <w:r w:rsidRPr="00024D5A">
              <w:rPr>
                <w:rFonts w:ascii="Garamond" w:eastAsia="Times New Roman" w:hAnsi="Garamond"/>
                <w:sz w:val="14"/>
                <w:szCs w:val="16"/>
                <w:lang w:eastAsia="en-US"/>
              </w:rPr>
              <w:br/>
            </w:r>
            <w:r w:rsidR="0094477B" w:rsidRPr="00024D5A">
              <w:rPr>
                <w:rFonts w:ascii="Garamond" w:eastAsia="Times New Roman" w:hAnsi="Garamond"/>
                <w:sz w:val="14"/>
                <w:szCs w:val="16"/>
                <w:lang w:eastAsia="en-US"/>
              </w:rPr>
              <w:t xml:space="preserve">institucionet </w:t>
            </w:r>
            <w:r w:rsidRPr="00024D5A">
              <w:rPr>
                <w:rFonts w:ascii="Garamond" w:eastAsia="Times New Roman" w:hAnsi="Garamond"/>
                <w:sz w:val="14"/>
                <w:szCs w:val="16"/>
                <w:lang w:eastAsia="en-US"/>
              </w:rPr>
              <w:t>e sistemit të drejtësisë</w:t>
            </w:r>
            <w:r w:rsidR="0094477B" w:rsidRPr="00024D5A">
              <w:rPr>
                <w:rFonts w:ascii="Garamond" w:eastAsia="Times New Roman" w:hAnsi="Garamond"/>
                <w:sz w:val="14"/>
                <w:szCs w:val="16"/>
                <w:lang w:eastAsia="en-US"/>
              </w:rPr>
              <w:t>.</w:t>
            </w:r>
          </w:p>
        </w:tc>
        <w:tc>
          <w:tcPr>
            <w:tcW w:w="481" w:type="pct"/>
            <w:vMerge w:val="restart"/>
          </w:tcPr>
          <w:p w14:paraId="5FB95F9B"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r>
      <w:tr w:rsidR="003E1630" w:rsidRPr="00024D5A" w14:paraId="1B52658B" w14:textId="77777777" w:rsidTr="00F958F2">
        <w:trPr>
          <w:trHeight w:val="20"/>
        </w:trPr>
        <w:tc>
          <w:tcPr>
            <w:tcW w:w="430" w:type="pct"/>
          </w:tcPr>
          <w:p w14:paraId="3B40EB86"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478" w:type="pct"/>
          </w:tcPr>
          <w:p w14:paraId="449840A2"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553" w:type="pct"/>
          </w:tcPr>
          <w:p w14:paraId="1FF44F3C"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Protokolle dhe procedura të aksesueshme të miratuara dhe në përdorim për komunikimin dhe akomodimin e arsyeshëm të personave me aftësi të kufizuara gjatë proceseve gjyqësore.</w:t>
            </w:r>
          </w:p>
        </w:tc>
        <w:tc>
          <w:tcPr>
            <w:tcW w:w="395" w:type="pct"/>
          </w:tcPr>
          <w:p w14:paraId="7A90761A"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N/A</w:t>
            </w:r>
          </w:p>
        </w:tc>
        <w:tc>
          <w:tcPr>
            <w:tcW w:w="480" w:type="pct"/>
            <w:noWrap/>
          </w:tcPr>
          <w:p w14:paraId="130FC453"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576" w:type="pct"/>
            <w:gridSpan w:val="2"/>
          </w:tcPr>
          <w:p w14:paraId="5EEB67D0"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Protokolle e proceduara</w:t>
            </w:r>
          </w:p>
        </w:tc>
        <w:tc>
          <w:tcPr>
            <w:tcW w:w="1607" w:type="pct"/>
            <w:gridSpan w:val="2"/>
          </w:tcPr>
          <w:p w14:paraId="07FA713B"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481" w:type="pct"/>
            <w:vMerge/>
          </w:tcPr>
          <w:p w14:paraId="2DD68FAB" w14:textId="77777777" w:rsidR="003E1630" w:rsidRPr="00024D5A" w:rsidRDefault="003E1630" w:rsidP="00791B1A">
            <w:pPr>
              <w:rPr>
                <w:rFonts w:ascii="Garamond" w:eastAsia="Times New Roman" w:hAnsi="Garamond"/>
                <w:sz w:val="14"/>
                <w:szCs w:val="16"/>
                <w:lang w:eastAsia="en-US"/>
              </w:rPr>
            </w:pPr>
          </w:p>
        </w:tc>
      </w:tr>
      <w:tr w:rsidR="0094477B" w:rsidRPr="00024D5A" w14:paraId="32141221" w14:textId="77777777" w:rsidTr="00F958F2">
        <w:trPr>
          <w:trHeight w:val="20"/>
        </w:trPr>
        <w:tc>
          <w:tcPr>
            <w:tcW w:w="430" w:type="pct"/>
          </w:tcPr>
          <w:p w14:paraId="430E57D8" w14:textId="77777777" w:rsidR="0094477B" w:rsidRPr="00024D5A" w:rsidRDefault="0094477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478" w:type="pct"/>
          </w:tcPr>
          <w:p w14:paraId="184CC4D9" w14:textId="38556D0E" w:rsidR="0094477B" w:rsidRPr="00024D5A" w:rsidRDefault="0094477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1.5. Forcimi i mekanizmave ndërkombëtarë të mbrojtjes së të drejtave të personave me aftësi të kufizuara përmes aderimit në Protokollin Opsional të Konventës për të Drejtat e Personave me Aftësi të Kufizuara.</w:t>
            </w:r>
          </w:p>
        </w:tc>
        <w:tc>
          <w:tcPr>
            <w:tcW w:w="553" w:type="pct"/>
          </w:tcPr>
          <w:p w14:paraId="54288854" w14:textId="77777777" w:rsidR="0094477B" w:rsidRPr="00024D5A" w:rsidRDefault="0094477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Protokolli Opsional i Konventës për të Drejtat e Personave me Aftësi të Kufizuara i nënshkruar dhe ratifikuar nga Republika e Shqipërisë.</w:t>
            </w:r>
          </w:p>
        </w:tc>
        <w:tc>
          <w:tcPr>
            <w:tcW w:w="395" w:type="pct"/>
          </w:tcPr>
          <w:p w14:paraId="3202F401" w14:textId="77777777" w:rsidR="0094477B" w:rsidRPr="00024D5A" w:rsidRDefault="0094477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N/A</w:t>
            </w:r>
          </w:p>
        </w:tc>
        <w:tc>
          <w:tcPr>
            <w:tcW w:w="480" w:type="pct"/>
            <w:noWrap/>
          </w:tcPr>
          <w:p w14:paraId="36579D03" w14:textId="77777777" w:rsidR="0094477B" w:rsidRPr="00024D5A" w:rsidRDefault="0094477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576" w:type="pct"/>
            <w:gridSpan w:val="2"/>
          </w:tcPr>
          <w:p w14:paraId="5A2F3CFA" w14:textId="14605ADF" w:rsidR="0094477B" w:rsidRPr="00024D5A" w:rsidRDefault="0094477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Protokolli Opsional i nënshkruar e ratifikuar.</w:t>
            </w:r>
          </w:p>
        </w:tc>
        <w:tc>
          <w:tcPr>
            <w:tcW w:w="1607" w:type="pct"/>
            <w:gridSpan w:val="2"/>
            <w:noWrap/>
          </w:tcPr>
          <w:p w14:paraId="6869FD26" w14:textId="00B1D17B" w:rsidR="0094477B" w:rsidRPr="00024D5A" w:rsidRDefault="0094477B" w:rsidP="0094477B">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Fletorja Zyrtare, Ministria për Evropën dhe Punët e Jashtme; </w:t>
            </w:r>
            <w:r w:rsidRPr="00024D5A">
              <w:rPr>
                <w:rFonts w:ascii="Garamond" w:eastAsia="Times New Roman" w:hAnsi="Garamond"/>
                <w:sz w:val="14"/>
                <w:szCs w:val="16"/>
                <w:lang w:eastAsia="en-US"/>
              </w:rPr>
              <w:br/>
              <w:t>Kuvendi i Shqipërisë; Fletorja Zyrtare, Ministria e Drejtësisë.</w:t>
            </w:r>
          </w:p>
        </w:tc>
        <w:tc>
          <w:tcPr>
            <w:tcW w:w="481" w:type="pct"/>
          </w:tcPr>
          <w:p w14:paraId="452185BA" w14:textId="77777777" w:rsidR="0094477B" w:rsidRPr="00024D5A" w:rsidRDefault="0094477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r>
      <w:tr w:rsidR="003E1630" w:rsidRPr="00024D5A" w14:paraId="17CAE6C9" w14:textId="77777777" w:rsidTr="00F958F2">
        <w:trPr>
          <w:trHeight w:val="20"/>
        </w:trPr>
        <w:tc>
          <w:tcPr>
            <w:tcW w:w="430" w:type="pct"/>
          </w:tcPr>
          <w:p w14:paraId="4708427F"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478" w:type="pct"/>
          </w:tcPr>
          <w:p w14:paraId="22EBD90E" w14:textId="55EE0E5A"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2.1. Përgatitja e kuadrit ligjor dhe fuqizimi i kapaciteteve për të mundësuar vendim</w:t>
            </w:r>
            <w:r w:rsidR="0094477B"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marrjen e mbështetur</w:t>
            </w:r>
            <w:r w:rsidR="0094477B" w:rsidRPr="00024D5A">
              <w:rPr>
                <w:rFonts w:ascii="Garamond" w:eastAsia="Times New Roman" w:hAnsi="Garamond"/>
                <w:sz w:val="14"/>
                <w:szCs w:val="16"/>
                <w:lang w:eastAsia="en-US"/>
              </w:rPr>
              <w:t>.</w:t>
            </w:r>
          </w:p>
        </w:tc>
        <w:tc>
          <w:tcPr>
            <w:tcW w:w="553" w:type="pct"/>
          </w:tcPr>
          <w:p w14:paraId="4CF2BC89"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Kuadri ligjor dhe nënligjor për vendimmarrjen e mbështetur i miratuar dhe në fuqi, duke garantuar ushtrimin e zotësisë për të vepruar për personat me aftësi të kufizuara.</w:t>
            </w:r>
          </w:p>
        </w:tc>
        <w:tc>
          <w:tcPr>
            <w:tcW w:w="395" w:type="pct"/>
          </w:tcPr>
          <w:p w14:paraId="1737B46E"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N/A</w:t>
            </w:r>
          </w:p>
        </w:tc>
        <w:tc>
          <w:tcPr>
            <w:tcW w:w="480" w:type="pct"/>
          </w:tcPr>
          <w:p w14:paraId="4F119F93" w14:textId="77F9B359"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2 ligje të ndryshuara</w:t>
            </w:r>
            <w:r w:rsidR="0094477B" w:rsidRPr="00024D5A">
              <w:rPr>
                <w:rFonts w:ascii="Garamond" w:eastAsia="Times New Roman" w:hAnsi="Garamond"/>
                <w:sz w:val="14"/>
                <w:szCs w:val="16"/>
                <w:lang w:eastAsia="en-US"/>
              </w:rPr>
              <w:t>.</w:t>
            </w:r>
          </w:p>
        </w:tc>
        <w:tc>
          <w:tcPr>
            <w:tcW w:w="576" w:type="pct"/>
            <w:gridSpan w:val="2"/>
          </w:tcPr>
          <w:p w14:paraId="7223AC68" w14:textId="076CE77F"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4 ligje të tjera të ndryshuara</w:t>
            </w:r>
            <w:r w:rsidR="0094477B" w:rsidRPr="00024D5A">
              <w:rPr>
                <w:rFonts w:ascii="Garamond" w:eastAsia="Times New Roman" w:hAnsi="Garamond"/>
                <w:sz w:val="14"/>
                <w:szCs w:val="16"/>
                <w:lang w:eastAsia="en-US"/>
              </w:rPr>
              <w:t>.</w:t>
            </w:r>
          </w:p>
        </w:tc>
        <w:tc>
          <w:tcPr>
            <w:tcW w:w="1607" w:type="pct"/>
            <w:gridSpan w:val="2"/>
          </w:tcPr>
          <w:p w14:paraId="5D9A0219" w14:textId="461D84C1"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Ministria e Drejtësisë; Shkolla e Magjistraturës; Institucionet përkatëse</w:t>
            </w:r>
            <w:r w:rsidR="0094477B" w:rsidRPr="00024D5A">
              <w:rPr>
                <w:rFonts w:ascii="Garamond" w:eastAsia="Times New Roman" w:hAnsi="Garamond"/>
                <w:sz w:val="14"/>
                <w:szCs w:val="16"/>
                <w:lang w:eastAsia="en-US"/>
              </w:rPr>
              <w:t>.</w:t>
            </w:r>
          </w:p>
        </w:tc>
        <w:tc>
          <w:tcPr>
            <w:tcW w:w="481" w:type="pct"/>
            <w:vMerge w:val="restart"/>
          </w:tcPr>
          <w:p w14:paraId="784F5DB5"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r>
      <w:tr w:rsidR="003E1630" w:rsidRPr="00024D5A" w14:paraId="77047104" w14:textId="77777777" w:rsidTr="00F958F2">
        <w:trPr>
          <w:trHeight w:val="158"/>
        </w:trPr>
        <w:tc>
          <w:tcPr>
            <w:tcW w:w="430" w:type="pct"/>
            <w:vMerge w:val="restart"/>
          </w:tcPr>
          <w:p w14:paraId="5E047493" w14:textId="77777777" w:rsidR="003E1630" w:rsidRPr="00024D5A" w:rsidRDefault="003E1630" w:rsidP="00791B1A">
            <w:pPr>
              <w:rPr>
                <w:rFonts w:ascii="Garamond" w:eastAsia="Times New Roman" w:hAnsi="Garamond"/>
                <w:sz w:val="14"/>
                <w:szCs w:val="16"/>
                <w:lang w:eastAsia="en-US"/>
              </w:rPr>
            </w:pPr>
          </w:p>
        </w:tc>
        <w:tc>
          <w:tcPr>
            <w:tcW w:w="478" w:type="pct"/>
            <w:vMerge w:val="restart"/>
          </w:tcPr>
          <w:p w14:paraId="6BF91726" w14:textId="77777777" w:rsidR="003E1630" w:rsidRPr="00024D5A" w:rsidRDefault="003E1630" w:rsidP="00791B1A">
            <w:pPr>
              <w:rPr>
                <w:rFonts w:ascii="Garamond" w:eastAsia="Times New Roman" w:hAnsi="Garamond"/>
                <w:sz w:val="14"/>
                <w:szCs w:val="16"/>
                <w:lang w:eastAsia="en-US"/>
              </w:rPr>
            </w:pPr>
          </w:p>
        </w:tc>
        <w:tc>
          <w:tcPr>
            <w:tcW w:w="553" w:type="pct"/>
            <w:vMerge w:val="restart"/>
          </w:tcPr>
          <w:p w14:paraId="4DF9EE49"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Udhëzime dhe programe trajnimi për zbatimin e vendimmarrjes së mbështetur të miratuara dhe të përdorura nga profesionistët e sektorëve përkatës (gjyqësor, shëndetësi, polici, shërbime sociale).</w:t>
            </w:r>
          </w:p>
        </w:tc>
        <w:tc>
          <w:tcPr>
            <w:tcW w:w="395" w:type="pct"/>
            <w:vMerge w:val="restart"/>
          </w:tcPr>
          <w:p w14:paraId="08374C80"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86</w:t>
            </w:r>
          </w:p>
        </w:tc>
        <w:tc>
          <w:tcPr>
            <w:tcW w:w="480" w:type="pct"/>
            <w:vMerge w:val="restart"/>
          </w:tcPr>
          <w:p w14:paraId="4C7E8624" w14:textId="73BF988E"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50 më shumë se </w:t>
            </w:r>
            <w:r w:rsidRPr="00024D5A">
              <w:rPr>
                <w:rFonts w:ascii="Garamond" w:eastAsia="Times New Roman" w:hAnsi="Garamond"/>
                <w:i/>
                <w:iCs/>
                <w:sz w:val="14"/>
                <w:szCs w:val="16"/>
                <w:lang w:eastAsia="en-US"/>
              </w:rPr>
              <w:t>baseline</w:t>
            </w:r>
            <w:r w:rsidR="0094477B" w:rsidRPr="00024D5A">
              <w:rPr>
                <w:rFonts w:ascii="Garamond" w:eastAsia="Times New Roman" w:hAnsi="Garamond"/>
                <w:i/>
                <w:iCs/>
                <w:sz w:val="14"/>
                <w:szCs w:val="16"/>
                <w:lang w:eastAsia="en-US"/>
              </w:rPr>
              <w:t>.</w:t>
            </w:r>
          </w:p>
        </w:tc>
        <w:tc>
          <w:tcPr>
            <w:tcW w:w="576" w:type="pct"/>
            <w:gridSpan w:val="2"/>
            <w:vMerge w:val="restart"/>
          </w:tcPr>
          <w:p w14:paraId="2CED0366" w14:textId="416250B9"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100 më shumë se </w:t>
            </w:r>
            <w:r w:rsidRPr="00024D5A">
              <w:rPr>
                <w:rFonts w:ascii="Garamond" w:eastAsia="Times New Roman" w:hAnsi="Garamond"/>
                <w:i/>
                <w:iCs/>
                <w:sz w:val="14"/>
                <w:szCs w:val="16"/>
                <w:lang w:eastAsia="en-US"/>
              </w:rPr>
              <w:t>baseline</w:t>
            </w:r>
            <w:r w:rsidR="0094477B" w:rsidRPr="00024D5A">
              <w:rPr>
                <w:rFonts w:ascii="Garamond" w:eastAsia="Times New Roman" w:hAnsi="Garamond"/>
                <w:i/>
                <w:iCs/>
                <w:sz w:val="14"/>
                <w:szCs w:val="16"/>
                <w:lang w:eastAsia="en-US"/>
              </w:rPr>
              <w:t>.</w:t>
            </w:r>
          </w:p>
        </w:tc>
        <w:tc>
          <w:tcPr>
            <w:tcW w:w="1607" w:type="pct"/>
            <w:gridSpan w:val="2"/>
            <w:vMerge w:val="restart"/>
          </w:tcPr>
          <w:p w14:paraId="1BA81E3F"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481" w:type="pct"/>
            <w:vMerge/>
          </w:tcPr>
          <w:p w14:paraId="1B9D2796" w14:textId="77777777" w:rsidR="003E1630" w:rsidRPr="00024D5A" w:rsidRDefault="003E1630" w:rsidP="00791B1A">
            <w:pPr>
              <w:rPr>
                <w:rFonts w:ascii="Garamond" w:eastAsia="Times New Roman" w:hAnsi="Garamond"/>
                <w:sz w:val="14"/>
                <w:szCs w:val="16"/>
                <w:lang w:eastAsia="en-US"/>
              </w:rPr>
            </w:pPr>
          </w:p>
        </w:tc>
      </w:tr>
      <w:tr w:rsidR="003E1630" w:rsidRPr="00024D5A" w14:paraId="622EC0C8" w14:textId="77777777" w:rsidTr="00F958F2">
        <w:trPr>
          <w:trHeight w:val="158"/>
        </w:trPr>
        <w:tc>
          <w:tcPr>
            <w:tcW w:w="430" w:type="pct"/>
            <w:vMerge/>
          </w:tcPr>
          <w:p w14:paraId="0070AA42" w14:textId="77777777" w:rsidR="003E1630" w:rsidRPr="00024D5A" w:rsidRDefault="003E1630" w:rsidP="00791B1A">
            <w:pPr>
              <w:rPr>
                <w:rFonts w:ascii="Garamond" w:eastAsia="Times New Roman" w:hAnsi="Garamond"/>
                <w:sz w:val="14"/>
                <w:szCs w:val="16"/>
                <w:lang w:eastAsia="en-US"/>
              </w:rPr>
            </w:pPr>
          </w:p>
        </w:tc>
        <w:tc>
          <w:tcPr>
            <w:tcW w:w="478" w:type="pct"/>
            <w:vMerge/>
          </w:tcPr>
          <w:p w14:paraId="7D404691" w14:textId="77777777" w:rsidR="003E1630" w:rsidRPr="00024D5A" w:rsidRDefault="003E1630" w:rsidP="00791B1A">
            <w:pPr>
              <w:rPr>
                <w:rFonts w:ascii="Garamond" w:eastAsia="Times New Roman" w:hAnsi="Garamond"/>
                <w:sz w:val="14"/>
                <w:szCs w:val="16"/>
                <w:lang w:eastAsia="en-US"/>
              </w:rPr>
            </w:pPr>
          </w:p>
        </w:tc>
        <w:tc>
          <w:tcPr>
            <w:tcW w:w="553" w:type="pct"/>
            <w:vMerge/>
          </w:tcPr>
          <w:p w14:paraId="25E02968" w14:textId="77777777" w:rsidR="003E1630" w:rsidRPr="00024D5A" w:rsidRDefault="003E1630" w:rsidP="00791B1A">
            <w:pPr>
              <w:rPr>
                <w:rFonts w:ascii="Garamond" w:eastAsia="Times New Roman" w:hAnsi="Garamond"/>
                <w:sz w:val="14"/>
                <w:szCs w:val="16"/>
                <w:lang w:eastAsia="en-US"/>
              </w:rPr>
            </w:pPr>
          </w:p>
        </w:tc>
        <w:tc>
          <w:tcPr>
            <w:tcW w:w="395" w:type="pct"/>
            <w:vMerge/>
          </w:tcPr>
          <w:p w14:paraId="23A13C0C" w14:textId="77777777" w:rsidR="003E1630" w:rsidRPr="00024D5A" w:rsidRDefault="003E1630" w:rsidP="00791B1A">
            <w:pPr>
              <w:rPr>
                <w:rFonts w:ascii="Garamond" w:eastAsia="Times New Roman" w:hAnsi="Garamond"/>
                <w:sz w:val="14"/>
                <w:szCs w:val="16"/>
                <w:lang w:eastAsia="en-US"/>
              </w:rPr>
            </w:pPr>
          </w:p>
        </w:tc>
        <w:tc>
          <w:tcPr>
            <w:tcW w:w="480" w:type="pct"/>
            <w:vMerge/>
          </w:tcPr>
          <w:p w14:paraId="7B8953D9" w14:textId="77777777" w:rsidR="003E1630" w:rsidRPr="00024D5A" w:rsidRDefault="003E1630" w:rsidP="00791B1A">
            <w:pPr>
              <w:rPr>
                <w:rFonts w:ascii="Garamond" w:eastAsia="Times New Roman" w:hAnsi="Garamond"/>
                <w:sz w:val="14"/>
                <w:szCs w:val="16"/>
                <w:lang w:eastAsia="en-US"/>
              </w:rPr>
            </w:pPr>
          </w:p>
        </w:tc>
        <w:tc>
          <w:tcPr>
            <w:tcW w:w="576" w:type="pct"/>
            <w:gridSpan w:val="2"/>
            <w:vMerge/>
          </w:tcPr>
          <w:p w14:paraId="5E62B493" w14:textId="77777777" w:rsidR="003E1630" w:rsidRPr="00024D5A" w:rsidRDefault="003E1630" w:rsidP="00791B1A">
            <w:pPr>
              <w:rPr>
                <w:rFonts w:ascii="Garamond" w:eastAsia="Times New Roman" w:hAnsi="Garamond"/>
                <w:sz w:val="14"/>
                <w:szCs w:val="16"/>
                <w:lang w:eastAsia="en-US"/>
              </w:rPr>
            </w:pPr>
          </w:p>
        </w:tc>
        <w:tc>
          <w:tcPr>
            <w:tcW w:w="1607" w:type="pct"/>
            <w:gridSpan w:val="2"/>
            <w:vMerge/>
          </w:tcPr>
          <w:p w14:paraId="0BB65847" w14:textId="77777777" w:rsidR="003E1630" w:rsidRPr="00024D5A" w:rsidRDefault="003E1630" w:rsidP="00791B1A">
            <w:pPr>
              <w:rPr>
                <w:rFonts w:ascii="Garamond" w:eastAsia="Times New Roman" w:hAnsi="Garamond"/>
                <w:sz w:val="14"/>
                <w:szCs w:val="16"/>
                <w:lang w:eastAsia="en-US"/>
              </w:rPr>
            </w:pPr>
          </w:p>
        </w:tc>
        <w:tc>
          <w:tcPr>
            <w:tcW w:w="481" w:type="pct"/>
            <w:vMerge/>
          </w:tcPr>
          <w:p w14:paraId="6D654C58" w14:textId="77777777" w:rsidR="003E1630" w:rsidRPr="00024D5A" w:rsidRDefault="003E1630" w:rsidP="00791B1A">
            <w:pPr>
              <w:rPr>
                <w:rFonts w:ascii="Garamond" w:eastAsia="Times New Roman" w:hAnsi="Garamond"/>
                <w:sz w:val="14"/>
                <w:szCs w:val="16"/>
                <w:lang w:eastAsia="en-US"/>
              </w:rPr>
            </w:pPr>
          </w:p>
        </w:tc>
      </w:tr>
      <w:tr w:rsidR="003E1630" w:rsidRPr="00024D5A" w14:paraId="6C3DF3E5" w14:textId="77777777" w:rsidTr="00F958F2">
        <w:trPr>
          <w:trHeight w:val="158"/>
        </w:trPr>
        <w:tc>
          <w:tcPr>
            <w:tcW w:w="430" w:type="pct"/>
            <w:vMerge/>
          </w:tcPr>
          <w:p w14:paraId="36A69964" w14:textId="77777777" w:rsidR="003E1630" w:rsidRPr="00024D5A" w:rsidRDefault="003E1630" w:rsidP="00791B1A">
            <w:pPr>
              <w:rPr>
                <w:rFonts w:ascii="Garamond" w:eastAsia="Times New Roman" w:hAnsi="Garamond"/>
                <w:sz w:val="14"/>
                <w:szCs w:val="16"/>
                <w:lang w:eastAsia="en-US"/>
              </w:rPr>
            </w:pPr>
          </w:p>
        </w:tc>
        <w:tc>
          <w:tcPr>
            <w:tcW w:w="478" w:type="pct"/>
            <w:vMerge/>
          </w:tcPr>
          <w:p w14:paraId="305757E9" w14:textId="77777777" w:rsidR="003E1630" w:rsidRPr="00024D5A" w:rsidRDefault="003E1630" w:rsidP="00791B1A">
            <w:pPr>
              <w:rPr>
                <w:rFonts w:ascii="Garamond" w:eastAsia="Times New Roman" w:hAnsi="Garamond"/>
                <w:sz w:val="14"/>
                <w:szCs w:val="16"/>
                <w:lang w:eastAsia="en-US"/>
              </w:rPr>
            </w:pPr>
          </w:p>
        </w:tc>
        <w:tc>
          <w:tcPr>
            <w:tcW w:w="553" w:type="pct"/>
            <w:vMerge/>
          </w:tcPr>
          <w:p w14:paraId="21D46388" w14:textId="77777777" w:rsidR="003E1630" w:rsidRPr="00024D5A" w:rsidRDefault="003E1630" w:rsidP="00791B1A">
            <w:pPr>
              <w:rPr>
                <w:rFonts w:ascii="Garamond" w:eastAsia="Times New Roman" w:hAnsi="Garamond"/>
                <w:sz w:val="14"/>
                <w:szCs w:val="16"/>
                <w:lang w:eastAsia="en-US"/>
              </w:rPr>
            </w:pPr>
          </w:p>
        </w:tc>
        <w:tc>
          <w:tcPr>
            <w:tcW w:w="395" w:type="pct"/>
            <w:vMerge/>
          </w:tcPr>
          <w:p w14:paraId="6BFB22BC" w14:textId="77777777" w:rsidR="003E1630" w:rsidRPr="00024D5A" w:rsidRDefault="003E1630" w:rsidP="00791B1A">
            <w:pPr>
              <w:rPr>
                <w:rFonts w:ascii="Garamond" w:eastAsia="Times New Roman" w:hAnsi="Garamond"/>
                <w:sz w:val="14"/>
                <w:szCs w:val="16"/>
                <w:lang w:eastAsia="en-US"/>
              </w:rPr>
            </w:pPr>
          </w:p>
        </w:tc>
        <w:tc>
          <w:tcPr>
            <w:tcW w:w="480" w:type="pct"/>
            <w:vMerge/>
          </w:tcPr>
          <w:p w14:paraId="1C706755" w14:textId="77777777" w:rsidR="003E1630" w:rsidRPr="00024D5A" w:rsidRDefault="003E1630" w:rsidP="00791B1A">
            <w:pPr>
              <w:rPr>
                <w:rFonts w:ascii="Garamond" w:eastAsia="Times New Roman" w:hAnsi="Garamond"/>
                <w:sz w:val="14"/>
                <w:szCs w:val="16"/>
                <w:lang w:eastAsia="en-US"/>
              </w:rPr>
            </w:pPr>
          </w:p>
        </w:tc>
        <w:tc>
          <w:tcPr>
            <w:tcW w:w="576" w:type="pct"/>
            <w:gridSpan w:val="2"/>
            <w:vMerge/>
          </w:tcPr>
          <w:p w14:paraId="1F38E40C" w14:textId="77777777" w:rsidR="003E1630" w:rsidRPr="00024D5A" w:rsidRDefault="003E1630" w:rsidP="00791B1A">
            <w:pPr>
              <w:rPr>
                <w:rFonts w:ascii="Garamond" w:eastAsia="Times New Roman" w:hAnsi="Garamond"/>
                <w:sz w:val="14"/>
                <w:szCs w:val="16"/>
                <w:lang w:eastAsia="en-US"/>
              </w:rPr>
            </w:pPr>
          </w:p>
        </w:tc>
        <w:tc>
          <w:tcPr>
            <w:tcW w:w="1607" w:type="pct"/>
            <w:gridSpan w:val="2"/>
            <w:vMerge/>
          </w:tcPr>
          <w:p w14:paraId="649174BA" w14:textId="77777777" w:rsidR="003E1630" w:rsidRPr="00024D5A" w:rsidRDefault="003E1630" w:rsidP="00791B1A">
            <w:pPr>
              <w:rPr>
                <w:rFonts w:ascii="Garamond" w:eastAsia="Times New Roman" w:hAnsi="Garamond"/>
                <w:sz w:val="14"/>
                <w:szCs w:val="16"/>
                <w:lang w:eastAsia="en-US"/>
              </w:rPr>
            </w:pPr>
          </w:p>
        </w:tc>
        <w:tc>
          <w:tcPr>
            <w:tcW w:w="481" w:type="pct"/>
            <w:vMerge/>
          </w:tcPr>
          <w:p w14:paraId="3B37F1A4" w14:textId="77777777" w:rsidR="003E1630" w:rsidRPr="00024D5A" w:rsidRDefault="003E1630" w:rsidP="00791B1A">
            <w:pPr>
              <w:rPr>
                <w:rFonts w:ascii="Garamond" w:eastAsia="Times New Roman" w:hAnsi="Garamond"/>
                <w:sz w:val="14"/>
                <w:szCs w:val="16"/>
                <w:lang w:eastAsia="en-US"/>
              </w:rPr>
            </w:pPr>
          </w:p>
        </w:tc>
      </w:tr>
      <w:tr w:rsidR="003E1630" w:rsidRPr="00024D5A" w14:paraId="5647528F" w14:textId="77777777" w:rsidTr="00F958F2">
        <w:trPr>
          <w:trHeight w:val="158"/>
        </w:trPr>
        <w:tc>
          <w:tcPr>
            <w:tcW w:w="430" w:type="pct"/>
            <w:vMerge/>
          </w:tcPr>
          <w:p w14:paraId="1FC297CC" w14:textId="77777777" w:rsidR="003E1630" w:rsidRPr="00024D5A" w:rsidRDefault="003E1630" w:rsidP="00791B1A">
            <w:pPr>
              <w:rPr>
                <w:rFonts w:ascii="Garamond" w:eastAsia="Times New Roman" w:hAnsi="Garamond"/>
                <w:sz w:val="14"/>
                <w:szCs w:val="16"/>
                <w:lang w:eastAsia="en-US"/>
              </w:rPr>
            </w:pPr>
          </w:p>
        </w:tc>
        <w:tc>
          <w:tcPr>
            <w:tcW w:w="478" w:type="pct"/>
            <w:vMerge/>
          </w:tcPr>
          <w:p w14:paraId="07462D7A" w14:textId="77777777" w:rsidR="003E1630" w:rsidRPr="00024D5A" w:rsidRDefault="003E1630" w:rsidP="00791B1A">
            <w:pPr>
              <w:rPr>
                <w:rFonts w:ascii="Garamond" w:eastAsia="Times New Roman" w:hAnsi="Garamond"/>
                <w:sz w:val="14"/>
                <w:szCs w:val="16"/>
                <w:lang w:eastAsia="en-US"/>
              </w:rPr>
            </w:pPr>
          </w:p>
        </w:tc>
        <w:tc>
          <w:tcPr>
            <w:tcW w:w="553" w:type="pct"/>
            <w:vMerge/>
          </w:tcPr>
          <w:p w14:paraId="2A4B55EC" w14:textId="77777777" w:rsidR="003E1630" w:rsidRPr="00024D5A" w:rsidRDefault="003E1630" w:rsidP="00791B1A">
            <w:pPr>
              <w:rPr>
                <w:rFonts w:ascii="Garamond" w:eastAsia="Times New Roman" w:hAnsi="Garamond"/>
                <w:sz w:val="14"/>
                <w:szCs w:val="16"/>
                <w:lang w:eastAsia="en-US"/>
              </w:rPr>
            </w:pPr>
          </w:p>
        </w:tc>
        <w:tc>
          <w:tcPr>
            <w:tcW w:w="395" w:type="pct"/>
            <w:vMerge/>
          </w:tcPr>
          <w:p w14:paraId="272C05D8" w14:textId="77777777" w:rsidR="003E1630" w:rsidRPr="00024D5A" w:rsidRDefault="003E1630" w:rsidP="00791B1A">
            <w:pPr>
              <w:rPr>
                <w:rFonts w:ascii="Garamond" w:eastAsia="Times New Roman" w:hAnsi="Garamond"/>
                <w:sz w:val="14"/>
                <w:szCs w:val="16"/>
                <w:lang w:eastAsia="en-US"/>
              </w:rPr>
            </w:pPr>
          </w:p>
        </w:tc>
        <w:tc>
          <w:tcPr>
            <w:tcW w:w="480" w:type="pct"/>
            <w:vMerge/>
          </w:tcPr>
          <w:p w14:paraId="5EE8F167" w14:textId="77777777" w:rsidR="003E1630" w:rsidRPr="00024D5A" w:rsidRDefault="003E1630" w:rsidP="00791B1A">
            <w:pPr>
              <w:rPr>
                <w:rFonts w:ascii="Garamond" w:eastAsia="Times New Roman" w:hAnsi="Garamond"/>
                <w:sz w:val="14"/>
                <w:szCs w:val="16"/>
                <w:lang w:eastAsia="en-US"/>
              </w:rPr>
            </w:pPr>
          </w:p>
        </w:tc>
        <w:tc>
          <w:tcPr>
            <w:tcW w:w="576" w:type="pct"/>
            <w:gridSpan w:val="2"/>
            <w:vMerge/>
          </w:tcPr>
          <w:p w14:paraId="2981F6A1" w14:textId="77777777" w:rsidR="003E1630" w:rsidRPr="00024D5A" w:rsidRDefault="003E1630" w:rsidP="00791B1A">
            <w:pPr>
              <w:rPr>
                <w:rFonts w:ascii="Garamond" w:eastAsia="Times New Roman" w:hAnsi="Garamond"/>
                <w:sz w:val="14"/>
                <w:szCs w:val="16"/>
                <w:lang w:eastAsia="en-US"/>
              </w:rPr>
            </w:pPr>
          </w:p>
        </w:tc>
        <w:tc>
          <w:tcPr>
            <w:tcW w:w="1607" w:type="pct"/>
            <w:gridSpan w:val="2"/>
            <w:vMerge/>
          </w:tcPr>
          <w:p w14:paraId="79DF3BC7" w14:textId="77777777" w:rsidR="003E1630" w:rsidRPr="00024D5A" w:rsidRDefault="003E1630" w:rsidP="00791B1A">
            <w:pPr>
              <w:rPr>
                <w:rFonts w:ascii="Garamond" w:eastAsia="Times New Roman" w:hAnsi="Garamond"/>
                <w:sz w:val="14"/>
                <w:szCs w:val="16"/>
                <w:lang w:eastAsia="en-US"/>
              </w:rPr>
            </w:pPr>
          </w:p>
        </w:tc>
        <w:tc>
          <w:tcPr>
            <w:tcW w:w="481" w:type="pct"/>
            <w:vMerge/>
          </w:tcPr>
          <w:p w14:paraId="04053177" w14:textId="77777777" w:rsidR="003E1630" w:rsidRPr="00024D5A" w:rsidRDefault="003E1630" w:rsidP="00791B1A">
            <w:pPr>
              <w:rPr>
                <w:rFonts w:ascii="Garamond" w:eastAsia="Times New Roman" w:hAnsi="Garamond"/>
                <w:sz w:val="14"/>
                <w:szCs w:val="16"/>
                <w:lang w:eastAsia="en-US"/>
              </w:rPr>
            </w:pPr>
          </w:p>
        </w:tc>
      </w:tr>
      <w:tr w:rsidR="003E1630" w:rsidRPr="00024D5A" w14:paraId="79948420" w14:textId="77777777" w:rsidTr="00F958F2">
        <w:trPr>
          <w:trHeight w:val="158"/>
        </w:trPr>
        <w:tc>
          <w:tcPr>
            <w:tcW w:w="430" w:type="pct"/>
            <w:vMerge/>
          </w:tcPr>
          <w:p w14:paraId="093717DC" w14:textId="77777777" w:rsidR="003E1630" w:rsidRPr="00024D5A" w:rsidRDefault="003E1630" w:rsidP="00791B1A">
            <w:pPr>
              <w:rPr>
                <w:rFonts w:ascii="Garamond" w:eastAsia="Times New Roman" w:hAnsi="Garamond"/>
                <w:sz w:val="14"/>
                <w:szCs w:val="16"/>
                <w:lang w:eastAsia="en-US"/>
              </w:rPr>
            </w:pPr>
          </w:p>
        </w:tc>
        <w:tc>
          <w:tcPr>
            <w:tcW w:w="478" w:type="pct"/>
            <w:vMerge/>
          </w:tcPr>
          <w:p w14:paraId="219B1995" w14:textId="77777777" w:rsidR="003E1630" w:rsidRPr="00024D5A" w:rsidRDefault="003E1630" w:rsidP="00791B1A">
            <w:pPr>
              <w:rPr>
                <w:rFonts w:ascii="Garamond" w:eastAsia="Times New Roman" w:hAnsi="Garamond"/>
                <w:sz w:val="14"/>
                <w:szCs w:val="16"/>
                <w:lang w:eastAsia="en-US"/>
              </w:rPr>
            </w:pPr>
          </w:p>
        </w:tc>
        <w:tc>
          <w:tcPr>
            <w:tcW w:w="553" w:type="pct"/>
            <w:vMerge/>
          </w:tcPr>
          <w:p w14:paraId="5631279E" w14:textId="77777777" w:rsidR="003E1630" w:rsidRPr="00024D5A" w:rsidRDefault="003E1630" w:rsidP="00791B1A">
            <w:pPr>
              <w:rPr>
                <w:rFonts w:ascii="Garamond" w:eastAsia="Times New Roman" w:hAnsi="Garamond"/>
                <w:sz w:val="14"/>
                <w:szCs w:val="16"/>
                <w:lang w:eastAsia="en-US"/>
              </w:rPr>
            </w:pPr>
          </w:p>
        </w:tc>
        <w:tc>
          <w:tcPr>
            <w:tcW w:w="395" w:type="pct"/>
            <w:vMerge/>
          </w:tcPr>
          <w:p w14:paraId="36C9C4F8" w14:textId="77777777" w:rsidR="003E1630" w:rsidRPr="00024D5A" w:rsidRDefault="003E1630" w:rsidP="00791B1A">
            <w:pPr>
              <w:rPr>
                <w:rFonts w:ascii="Garamond" w:eastAsia="Times New Roman" w:hAnsi="Garamond"/>
                <w:sz w:val="14"/>
                <w:szCs w:val="16"/>
                <w:lang w:eastAsia="en-US"/>
              </w:rPr>
            </w:pPr>
          </w:p>
        </w:tc>
        <w:tc>
          <w:tcPr>
            <w:tcW w:w="480" w:type="pct"/>
            <w:vMerge/>
          </w:tcPr>
          <w:p w14:paraId="75963F7F" w14:textId="77777777" w:rsidR="003E1630" w:rsidRPr="00024D5A" w:rsidRDefault="003E1630" w:rsidP="00791B1A">
            <w:pPr>
              <w:rPr>
                <w:rFonts w:ascii="Garamond" w:eastAsia="Times New Roman" w:hAnsi="Garamond"/>
                <w:sz w:val="14"/>
                <w:szCs w:val="16"/>
                <w:lang w:eastAsia="en-US"/>
              </w:rPr>
            </w:pPr>
          </w:p>
        </w:tc>
        <w:tc>
          <w:tcPr>
            <w:tcW w:w="576" w:type="pct"/>
            <w:gridSpan w:val="2"/>
            <w:vMerge/>
          </w:tcPr>
          <w:p w14:paraId="200EF070" w14:textId="77777777" w:rsidR="003E1630" w:rsidRPr="00024D5A" w:rsidRDefault="003E1630" w:rsidP="00791B1A">
            <w:pPr>
              <w:rPr>
                <w:rFonts w:ascii="Garamond" w:eastAsia="Times New Roman" w:hAnsi="Garamond"/>
                <w:sz w:val="14"/>
                <w:szCs w:val="16"/>
                <w:lang w:eastAsia="en-US"/>
              </w:rPr>
            </w:pPr>
          </w:p>
        </w:tc>
        <w:tc>
          <w:tcPr>
            <w:tcW w:w="1607" w:type="pct"/>
            <w:gridSpan w:val="2"/>
            <w:vMerge/>
          </w:tcPr>
          <w:p w14:paraId="782AB18E" w14:textId="77777777" w:rsidR="003E1630" w:rsidRPr="00024D5A" w:rsidRDefault="003E1630" w:rsidP="00791B1A">
            <w:pPr>
              <w:rPr>
                <w:rFonts w:ascii="Garamond" w:eastAsia="Times New Roman" w:hAnsi="Garamond"/>
                <w:sz w:val="14"/>
                <w:szCs w:val="16"/>
                <w:lang w:eastAsia="en-US"/>
              </w:rPr>
            </w:pPr>
          </w:p>
        </w:tc>
        <w:tc>
          <w:tcPr>
            <w:tcW w:w="481" w:type="pct"/>
            <w:vMerge/>
          </w:tcPr>
          <w:p w14:paraId="18EA8F9F" w14:textId="77777777" w:rsidR="003E1630" w:rsidRPr="00024D5A" w:rsidRDefault="003E1630" w:rsidP="00791B1A">
            <w:pPr>
              <w:rPr>
                <w:rFonts w:ascii="Garamond" w:eastAsia="Times New Roman" w:hAnsi="Garamond"/>
                <w:sz w:val="14"/>
                <w:szCs w:val="16"/>
                <w:lang w:eastAsia="en-US"/>
              </w:rPr>
            </w:pPr>
          </w:p>
        </w:tc>
      </w:tr>
      <w:tr w:rsidR="003E1630" w:rsidRPr="00024D5A" w14:paraId="4B060510" w14:textId="77777777" w:rsidTr="00F958F2">
        <w:trPr>
          <w:trHeight w:val="158"/>
        </w:trPr>
        <w:tc>
          <w:tcPr>
            <w:tcW w:w="430" w:type="pct"/>
            <w:vMerge/>
          </w:tcPr>
          <w:p w14:paraId="519DB6C3" w14:textId="77777777" w:rsidR="003E1630" w:rsidRPr="00024D5A" w:rsidRDefault="003E1630" w:rsidP="00791B1A">
            <w:pPr>
              <w:rPr>
                <w:rFonts w:ascii="Garamond" w:eastAsia="Times New Roman" w:hAnsi="Garamond"/>
                <w:sz w:val="14"/>
                <w:szCs w:val="16"/>
                <w:lang w:eastAsia="en-US"/>
              </w:rPr>
            </w:pPr>
          </w:p>
        </w:tc>
        <w:tc>
          <w:tcPr>
            <w:tcW w:w="478" w:type="pct"/>
            <w:vMerge/>
          </w:tcPr>
          <w:p w14:paraId="2A79297D" w14:textId="77777777" w:rsidR="003E1630" w:rsidRPr="00024D5A" w:rsidRDefault="003E1630" w:rsidP="00791B1A">
            <w:pPr>
              <w:rPr>
                <w:rFonts w:ascii="Garamond" w:eastAsia="Times New Roman" w:hAnsi="Garamond"/>
                <w:sz w:val="14"/>
                <w:szCs w:val="16"/>
                <w:lang w:eastAsia="en-US"/>
              </w:rPr>
            </w:pPr>
          </w:p>
        </w:tc>
        <w:tc>
          <w:tcPr>
            <w:tcW w:w="553" w:type="pct"/>
            <w:vMerge/>
          </w:tcPr>
          <w:p w14:paraId="0539614D" w14:textId="77777777" w:rsidR="003E1630" w:rsidRPr="00024D5A" w:rsidRDefault="003E1630" w:rsidP="00791B1A">
            <w:pPr>
              <w:rPr>
                <w:rFonts w:ascii="Garamond" w:eastAsia="Times New Roman" w:hAnsi="Garamond"/>
                <w:sz w:val="14"/>
                <w:szCs w:val="16"/>
                <w:lang w:eastAsia="en-US"/>
              </w:rPr>
            </w:pPr>
          </w:p>
        </w:tc>
        <w:tc>
          <w:tcPr>
            <w:tcW w:w="395" w:type="pct"/>
            <w:vMerge/>
          </w:tcPr>
          <w:p w14:paraId="055685FE" w14:textId="77777777" w:rsidR="003E1630" w:rsidRPr="00024D5A" w:rsidRDefault="003E1630" w:rsidP="00791B1A">
            <w:pPr>
              <w:rPr>
                <w:rFonts w:ascii="Garamond" w:eastAsia="Times New Roman" w:hAnsi="Garamond"/>
                <w:sz w:val="14"/>
                <w:szCs w:val="16"/>
                <w:lang w:eastAsia="en-US"/>
              </w:rPr>
            </w:pPr>
          </w:p>
        </w:tc>
        <w:tc>
          <w:tcPr>
            <w:tcW w:w="480" w:type="pct"/>
            <w:vMerge/>
          </w:tcPr>
          <w:p w14:paraId="635F0B88" w14:textId="77777777" w:rsidR="003E1630" w:rsidRPr="00024D5A" w:rsidRDefault="003E1630" w:rsidP="00791B1A">
            <w:pPr>
              <w:rPr>
                <w:rFonts w:ascii="Garamond" w:eastAsia="Times New Roman" w:hAnsi="Garamond"/>
                <w:sz w:val="14"/>
                <w:szCs w:val="16"/>
                <w:lang w:eastAsia="en-US"/>
              </w:rPr>
            </w:pPr>
          </w:p>
        </w:tc>
        <w:tc>
          <w:tcPr>
            <w:tcW w:w="576" w:type="pct"/>
            <w:gridSpan w:val="2"/>
            <w:vMerge/>
          </w:tcPr>
          <w:p w14:paraId="504A4B54" w14:textId="77777777" w:rsidR="003E1630" w:rsidRPr="00024D5A" w:rsidRDefault="003E1630" w:rsidP="00791B1A">
            <w:pPr>
              <w:rPr>
                <w:rFonts w:ascii="Garamond" w:eastAsia="Times New Roman" w:hAnsi="Garamond"/>
                <w:sz w:val="14"/>
                <w:szCs w:val="16"/>
                <w:lang w:eastAsia="en-US"/>
              </w:rPr>
            </w:pPr>
          </w:p>
        </w:tc>
        <w:tc>
          <w:tcPr>
            <w:tcW w:w="1607" w:type="pct"/>
            <w:gridSpan w:val="2"/>
            <w:vMerge/>
          </w:tcPr>
          <w:p w14:paraId="4D38B712" w14:textId="77777777" w:rsidR="003E1630" w:rsidRPr="00024D5A" w:rsidRDefault="003E1630" w:rsidP="00791B1A">
            <w:pPr>
              <w:rPr>
                <w:rFonts w:ascii="Garamond" w:eastAsia="Times New Roman" w:hAnsi="Garamond"/>
                <w:sz w:val="14"/>
                <w:szCs w:val="16"/>
                <w:lang w:eastAsia="en-US"/>
              </w:rPr>
            </w:pPr>
          </w:p>
        </w:tc>
        <w:tc>
          <w:tcPr>
            <w:tcW w:w="481" w:type="pct"/>
            <w:vMerge/>
          </w:tcPr>
          <w:p w14:paraId="13D41A6A" w14:textId="77777777" w:rsidR="003E1630" w:rsidRPr="00024D5A" w:rsidRDefault="003E1630" w:rsidP="00791B1A">
            <w:pPr>
              <w:rPr>
                <w:rFonts w:ascii="Garamond" w:eastAsia="Times New Roman" w:hAnsi="Garamond"/>
                <w:sz w:val="14"/>
                <w:szCs w:val="16"/>
                <w:lang w:eastAsia="en-US"/>
              </w:rPr>
            </w:pPr>
          </w:p>
        </w:tc>
      </w:tr>
      <w:tr w:rsidR="003E1630" w:rsidRPr="00024D5A" w14:paraId="5F25B42E" w14:textId="77777777" w:rsidTr="00F958F2">
        <w:trPr>
          <w:trHeight w:val="158"/>
        </w:trPr>
        <w:tc>
          <w:tcPr>
            <w:tcW w:w="430" w:type="pct"/>
            <w:vMerge/>
          </w:tcPr>
          <w:p w14:paraId="40FD0543" w14:textId="77777777" w:rsidR="003E1630" w:rsidRPr="00024D5A" w:rsidRDefault="003E1630" w:rsidP="00791B1A">
            <w:pPr>
              <w:rPr>
                <w:rFonts w:ascii="Garamond" w:eastAsia="Times New Roman" w:hAnsi="Garamond"/>
                <w:sz w:val="14"/>
                <w:szCs w:val="16"/>
                <w:lang w:eastAsia="en-US"/>
              </w:rPr>
            </w:pPr>
          </w:p>
        </w:tc>
        <w:tc>
          <w:tcPr>
            <w:tcW w:w="478" w:type="pct"/>
            <w:vMerge/>
          </w:tcPr>
          <w:p w14:paraId="45BFBBFF" w14:textId="77777777" w:rsidR="003E1630" w:rsidRPr="00024D5A" w:rsidRDefault="003E1630" w:rsidP="00791B1A">
            <w:pPr>
              <w:rPr>
                <w:rFonts w:ascii="Garamond" w:eastAsia="Times New Roman" w:hAnsi="Garamond"/>
                <w:sz w:val="14"/>
                <w:szCs w:val="16"/>
                <w:lang w:eastAsia="en-US"/>
              </w:rPr>
            </w:pPr>
          </w:p>
        </w:tc>
        <w:tc>
          <w:tcPr>
            <w:tcW w:w="553" w:type="pct"/>
            <w:vMerge/>
          </w:tcPr>
          <w:p w14:paraId="679C0B9D" w14:textId="77777777" w:rsidR="003E1630" w:rsidRPr="00024D5A" w:rsidRDefault="003E1630" w:rsidP="00791B1A">
            <w:pPr>
              <w:rPr>
                <w:rFonts w:ascii="Garamond" w:eastAsia="Times New Roman" w:hAnsi="Garamond"/>
                <w:sz w:val="14"/>
                <w:szCs w:val="16"/>
                <w:lang w:eastAsia="en-US"/>
              </w:rPr>
            </w:pPr>
          </w:p>
        </w:tc>
        <w:tc>
          <w:tcPr>
            <w:tcW w:w="395" w:type="pct"/>
            <w:vMerge/>
          </w:tcPr>
          <w:p w14:paraId="6876680A" w14:textId="77777777" w:rsidR="003E1630" w:rsidRPr="00024D5A" w:rsidRDefault="003E1630" w:rsidP="00791B1A">
            <w:pPr>
              <w:rPr>
                <w:rFonts w:ascii="Garamond" w:eastAsia="Times New Roman" w:hAnsi="Garamond"/>
                <w:sz w:val="14"/>
                <w:szCs w:val="16"/>
                <w:lang w:eastAsia="en-US"/>
              </w:rPr>
            </w:pPr>
          </w:p>
        </w:tc>
        <w:tc>
          <w:tcPr>
            <w:tcW w:w="480" w:type="pct"/>
            <w:vMerge/>
          </w:tcPr>
          <w:p w14:paraId="218237F4" w14:textId="77777777" w:rsidR="003E1630" w:rsidRPr="00024D5A" w:rsidRDefault="003E1630" w:rsidP="00791B1A">
            <w:pPr>
              <w:rPr>
                <w:rFonts w:ascii="Garamond" w:eastAsia="Times New Roman" w:hAnsi="Garamond"/>
                <w:sz w:val="14"/>
                <w:szCs w:val="16"/>
                <w:lang w:eastAsia="en-US"/>
              </w:rPr>
            </w:pPr>
          </w:p>
        </w:tc>
        <w:tc>
          <w:tcPr>
            <w:tcW w:w="576" w:type="pct"/>
            <w:gridSpan w:val="2"/>
            <w:vMerge/>
          </w:tcPr>
          <w:p w14:paraId="1BA949D5" w14:textId="77777777" w:rsidR="003E1630" w:rsidRPr="00024D5A" w:rsidRDefault="003E1630" w:rsidP="00791B1A">
            <w:pPr>
              <w:rPr>
                <w:rFonts w:ascii="Garamond" w:eastAsia="Times New Roman" w:hAnsi="Garamond"/>
                <w:sz w:val="14"/>
                <w:szCs w:val="16"/>
                <w:lang w:eastAsia="en-US"/>
              </w:rPr>
            </w:pPr>
          </w:p>
        </w:tc>
        <w:tc>
          <w:tcPr>
            <w:tcW w:w="1607" w:type="pct"/>
            <w:gridSpan w:val="2"/>
            <w:vMerge/>
          </w:tcPr>
          <w:p w14:paraId="48824114" w14:textId="77777777" w:rsidR="003E1630" w:rsidRPr="00024D5A" w:rsidRDefault="003E1630" w:rsidP="00791B1A">
            <w:pPr>
              <w:rPr>
                <w:rFonts w:ascii="Garamond" w:eastAsia="Times New Roman" w:hAnsi="Garamond"/>
                <w:sz w:val="14"/>
                <w:szCs w:val="16"/>
                <w:lang w:eastAsia="en-US"/>
              </w:rPr>
            </w:pPr>
          </w:p>
        </w:tc>
        <w:tc>
          <w:tcPr>
            <w:tcW w:w="481" w:type="pct"/>
            <w:vMerge/>
          </w:tcPr>
          <w:p w14:paraId="480767CB" w14:textId="77777777" w:rsidR="003E1630" w:rsidRPr="00024D5A" w:rsidRDefault="003E1630" w:rsidP="00791B1A">
            <w:pPr>
              <w:rPr>
                <w:rFonts w:ascii="Garamond" w:eastAsia="Times New Roman" w:hAnsi="Garamond"/>
                <w:sz w:val="14"/>
                <w:szCs w:val="16"/>
                <w:lang w:eastAsia="en-US"/>
              </w:rPr>
            </w:pPr>
          </w:p>
        </w:tc>
      </w:tr>
      <w:tr w:rsidR="003E1630" w:rsidRPr="00024D5A" w14:paraId="2A86F4BD" w14:textId="77777777" w:rsidTr="00F958F2">
        <w:trPr>
          <w:trHeight w:val="158"/>
        </w:trPr>
        <w:tc>
          <w:tcPr>
            <w:tcW w:w="430" w:type="pct"/>
            <w:vMerge/>
          </w:tcPr>
          <w:p w14:paraId="447E35F5" w14:textId="77777777" w:rsidR="003E1630" w:rsidRPr="00024D5A" w:rsidRDefault="003E1630" w:rsidP="00791B1A">
            <w:pPr>
              <w:rPr>
                <w:rFonts w:ascii="Garamond" w:eastAsia="Times New Roman" w:hAnsi="Garamond"/>
                <w:sz w:val="14"/>
                <w:szCs w:val="16"/>
                <w:lang w:eastAsia="en-US"/>
              </w:rPr>
            </w:pPr>
          </w:p>
        </w:tc>
        <w:tc>
          <w:tcPr>
            <w:tcW w:w="478" w:type="pct"/>
            <w:vMerge/>
          </w:tcPr>
          <w:p w14:paraId="38E8CB66" w14:textId="77777777" w:rsidR="003E1630" w:rsidRPr="00024D5A" w:rsidRDefault="003E1630" w:rsidP="00791B1A">
            <w:pPr>
              <w:rPr>
                <w:rFonts w:ascii="Garamond" w:eastAsia="Times New Roman" w:hAnsi="Garamond"/>
                <w:sz w:val="14"/>
                <w:szCs w:val="16"/>
                <w:lang w:eastAsia="en-US"/>
              </w:rPr>
            </w:pPr>
          </w:p>
        </w:tc>
        <w:tc>
          <w:tcPr>
            <w:tcW w:w="553" w:type="pct"/>
            <w:vMerge/>
          </w:tcPr>
          <w:p w14:paraId="55CFE843" w14:textId="77777777" w:rsidR="003E1630" w:rsidRPr="00024D5A" w:rsidRDefault="003E1630" w:rsidP="00791B1A">
            <w:pPr>
              <w:rPr>
                <w:rFonts w:ascii="Garamond" w:eastAsia="Times New Roman" w:hAnsi="Garamond"/>
                <w:sz w:val="14"/>
                <w:szCs w:val="16"/>
                <w:lang w:eastAsia="en-US"/>
              </w:rPr>
            </w:pPr>
          </w:p>
        </w:tc>
        <w:tc>
          <w:tcPr>
            <w:tcW w:w="395" w:type="pct"/>
            <w:vMerge/>
          </w:tcPr>
          <w:p w14:paraId="240E34DF" w14:textId="77777777" w:rsidR="003E1630" w:rsidRPr="00024D5A" w:rsidRDefault="003E1630" w:rsidP="00791B1A">
            <w:pPr>
              <w:rPr>
                <w:rFonts w:ascii="Garamond" w:eastAsia="Times New Roman" w:hAnsi="Garamond"/>
                <w:sz w:val="14"/>
                <w:szCs w:val="16"/>
                <w:lang w:eastAsia="en-US"/>
              </w:rPr>
            </w:pPr>
          </w:p>
        </w:tc>
        <w:tc>
          <w:tcPr>
            <w:tcW w:w="480" w:type="pct"/>
            <w:vMerge/>
          </w:tcPr>
          <w:p w14:paraId="500F2361" w14:textId="77777777" w:rsidR="003E1630" w:rsidRPr="00024D5A" w:rsidRDefault="003E1630" w:rsidP="00791B1A">
            <w:pPr>
              <w:rPr>
                <w:rFonts w:ascii="Garamond" w:eastAsia="Times New Roman" w:hAnsi="Garamond"/>
                <w:sz w:val="14"/>
                <w:szCs w:val="16"/>
                <w:lang w:eastAsia="en-US"/>
              </w:rPr>
            </w:pPr>
          </w:p>
        </w:tc>
        <w:tc>
          <w:tcPr>
            <w:tcW w:w="576" w:type="pct"/>
            <w:gridSpan w:val="2"/>
            <w:vMerge/>
          </w:tcPr>
          <w:p w14:paraId="6FCD2E4E" w14:textId="77777777" w:rsidR="003E1630" w:rsidRPr="00024D5A" w:rsidRDefault="003E1630" w:rsidP="00791B1A">
            <w:pPr>
              <w:rPr>
                <w:rFonts w:ascii="Garamond" w:eastAsia="Times New Roman" w:hAnsi="Garamond"/>
                <w:sz w:val="14"/>
                <w:szCs w:val="16"/>
                <w:lang w:eastAsia="en-US"/>
              </w:rPr>
            </w:pPr>
          </w:p>
        </w:tc>
        <w:tc>
          <w:tcPr>
            <w:tcW w:w="1607" w:type="pct"/>
            <w:gridSpan w:val="2"/>
            <w:vMerge/>
          </w:tcPr>
          <w:p w14:paraId="2D766005" w14:textId="77777777" w:rsidR="003E1630" w:rsidRPr="00024D5A" w:rsidRDefault="003E1630" w:rsidP="00791B1A">
            <w:pPr>
              <w:rPr>
                <w:rFonts w:ascii="Garamond" w:eastAsia="Times New Roman" w:hAnsi="Garamond"/>
                <w:sz w:val="14"/>
                <w:szCs w:val="16"/>
                <w:lang w:eastAsia="en-US"/>
              </w:rPr>
            </w:pPr>
          </w:p>
        </w:tc>
        <w:tc>
          <w:tcPr>
            <w:tcW w:w="481" w:type="pct"/>
            <w:vMerge/>
          </w:tcPr>
          <w:p w14:paraId="314E790F" w14:textId="77777777" w:rsidR="003E1630" w:rsidRPr="00024D5A" w:rsidRDefault="003E1630" w:rsidP="00791B1A">
            <w:pPr>
              <w:rPr>
                <w:rFonts w:ascii="Garamond" w:eastAsia="Times New Roman" w:hAnsi="Garamond"/>
                <w:sz w:val="14"/>
                <w:szCs w:val="16"/>
                <w:lang w:eastAsia="en-US"/>
              </w:rPr>
            </w:pPr>
          </w:p>
        </w:tc>
      </w:tr>
      <w:tr w:rsidR="003E1630" w:rsidRPr="00024D5A" w14:paraId="2D72EC32" w14:textId="77777777" w:rsidTr="00F958F2">
        <w:trPr>
          <w:trHeight w:val="158"/>
        </w:trPr>
        <w:tc>
          <w:tcPr>
            <w:tcW w:w="430" w:type="pct"/>
            <w:vMerge/>
          </w:tcPr>
          <w:p w14:paraId="1667CAA8" w14:textId="77777777" w:rsidR="003E1630" w:rsidRPr="00024D5A" w:rsidRDefault="003E1630" w:rsidP="00791B1A">
            <w:pPr>
              <w:rPr>
                <w:rFonts w:ascii="Garamond" w:eastAsia="Times New Roman" w:hAnsi="Garamond"/>
                <w:sz w:val="14"/>
                <w:szCs w:val="16"/>
                <w:lang w:eastAsia="en-US"/>
              </w:rPr>
            </w:pPr>
          </w:p>
        </w:tc>
        <w:tc>
          <w:tcPr>
            <w:tcW w:w="478" w:type="pct"/>
            <w:vMerge/>
          </w:tcPr>
          <w:p w14:paraId="26D65A43" w14:textId="77777777" w:rsidR="003E1630" w:rsidRPr="00024D5A" w:rsidRDefault="003E1630" w:rsidP="00791B1A">
            <w:pPr>
              <w:rPr>
                <w:rFonts w:ascii="Garamond" w:eastAsia="Times New Roman" w:hAnsi="Garamond"/>
                <w:sz w:val="14"/>
                <w:szCs w:val="16"/>
                <w:lang w:eastAsia="en-US"/>
              </w:rPr>
            </w:pPr>
          </w:p>
        </w:tc>
        <w:tc>
          <w:tcPr>
            <w:tcW w:w="553" w:type="pct"/>
            <w:vMerge/>
          </w:tcPr>
          <w:p w14:paraId="08517DE8" w14:textId="77777777" w:rsidR="003E1630" w:rsidRPr="00024D5A" w:rsidRDefault="003E1630" w:rsidP="00791B1A">
            <w:pPr>
              <w:rPr>
                <w:rFonts w:ascii="Garamond" w:eastAsia="Times New Roman" w:hAnsi="Garamond"/>
                <w:sz w:val="14"/>
                <w:szCs w:val="16"/>
                <w:lang w:eastAsia="en-US"/>
              </w:rPr>
            </w:pPr>
          </w:p>
        </w:tc>
        <w:tc>
          <w:tcPr>
            <w:tcW w:w="395" w:type="pct"/>
            <w:vMerge/>
          </w:tcPr>
          <w:p w14:paraId="3957DE49" w14:textId="77777777" w:rsidR="003E1630" w:rsidRPr="00024D5A" w:rsidRDefault="003E1630" w:rsidP="00791B1A">
            <w:pPr>
              <w:rPr>
                <w:rFonts w:ascii="Garamond" w:eastAsia="Times New Roman" w:hAnsi="Garamond"/>
                <w:sz w:val="14"/>
                <w:szCs w:val="16"/>
                <w:lang w:eastAsia="en-US"/>
              </w:rPr>
            </w:pPr>
          </w:p>
        </w:tc>
        <w:tc>
          <w:tcPr>
            <w:tcW w:w="480" w:type="pct"/>
            <w:vMerge/>
          </w:tcPr>
          <w:p w14:paraId="7AF7686A" w14:textId="77777777" w:rsidR="003E1630" w:rsidRPr="00024D5A" w:rsidRDefault="003E1630" w:rsidP="00791B1A">
            <w:pPr>
              <w:rPr>
                <w:rFonts w:ascii="Garamond" w:eastAsia="Times New Roman" w:hAnsi="Garamond"/>
                <w:sz w:val="14"/>
                <w:szCs w:val="16"/>
                <w:lang w:eastAsia="en-US"/>
              </w:rPr>
            </w:pPr>
          </w:p>
        </w:tc>
        <w:tc>
          <w:tcPr>
            <w:tcW w:w="576" w:type="pct"/>
            <w:gridSpan w:val="2"/>
            <w:vMerge/>
          </w:tcPr>
          <w:p w14:paraId="006D98CE" w14:textId="77777777" w:rsidR="003E1630" w:rsidRPr="00024D5A" w:rsidRDefault="003E1630" w:rsidP="00791B1A">
            <w:pPr>
              <w:rPr>
                <w:rFonts w:ascii="Garamond" w:eastAsia="Times New Roman" w:hAnsi="Garamond"/>
                <w:sz w:val="14"/>
                <w:szCs w:val="16"/>
                <w:lang w:eastAsia="en-US"/>
              </w:rPr>
            </w:pPr>
          </w:p>
        </w:tc>
        <w:tc>
          <w:tcPr>
            <w:tcW w:w="1607" w:type="pct"/>
            <w:gridSpan w:val="2"/>
            <w:vMerge/>
          </w:tcPr>
          <w:p w14:paraId="078BD8B4" w14:textId="77777777" w:rsidR="003E1630" w:rsidRPr="00024D5A" w:rsidRDefault="003E1630" w:rsidP="00791B1A">
            <w:pPr>
              <w:rPr>
                <w:rFonts w:ascii="Garamond" w:eastAsia="Times New Roman" w:hAnsi="Garamond"/>
                <w:sz w:val="14"/>
                <w:szCs w:val="16"/>
                <w:lang w:eastAsia="en-US"/>
              </w:rPr>
            </w:pPr>
          </w:p>
        </w:tc>
        <w:tc>
          <w:tcPr>
            <w:tcW w:w="481" w:type="pct"/>
            <w:vMerge/>
          </w:tcPr>
          <w:p w14:paraId="1B0517E8" w14:textId="77777777" w:rsidR="003E1630" w:rsidRPr="00024D5A" w:rsidRDefault="003E1630" w:rsidP="00791B1A">
            <w:pPr>
              <w:rPr>
                <w:rFonts w:ascii="Garamond" w:eastAsia="Times New Roman" w:hAnsi="Garamond"/>
                <w:sz w:val="14"/>
                <w:szCs w:val="16"/>
                <w:lang w:eastAsia="en-US"/>
              </w:rPr>
            </w:pPr>
          </w:p>
        </w:tc>
      </w:tr>
      <w:tr w:rsidR="003E1630" w:rsidRPr="00024D5A" w14:paraId="70C86D50" w14:textId="77777777" w:rsidTr="00F958F2">
        <w:trPr>
          <w:trHeight w:val="20"/>
        </w:trPr>
        <w:tc>
          <w:tcPr>
            <w:tcW w:w="430" w:type="pct"/>
          </w:tcPr>
          <w:p w14:paraId="2CDC123E"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478" w:type="pct"/>
          </w:tcPr>
          <w:p w14:paraId="11B4AF14" w14:textId="7E794B9D"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3.1. Realizimi i aksesuesh</w:t>
            </w:r>
            <w:r w:rsidR="0094477B"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mërisë fizike dhe aksesuesh</w:t>
            </w:r>
            <w:r w:rsidR="0094477B"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mërisë në informacion e komunikim për të gjitha kategoritë e personave me aftësi të kufizuara në të gjitha institucionet e vuajtjes së dënimeve. </w:t>
            </w:r>
          </w:p>
        </w:tc>
        <w:tc>
          <w:tcPr>
            <w:tcW w:w="553" w:type="pct"/>
          </w:tcPr>
          <w:p w14:paraId="5BAD463A"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Institucionet e vuajtjes së dënimit që kanë kryer vlerësimin e aksesueshmërisë dhe kanë përfshirë masat për përmirësimin e aksesit fizik, të informacionit dhe komunikimit në planifikimin dhe buxhetet institucionale.</w:t>
            </w:r>
          </w:p>
        </w:tc>
        <w:tc>
          <w:tcPr>
            <w:tcW w:w="395" w:type="pct"/>
          </w:tcPr>
          <w:p w14:paraId="216C0ADB"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N/A</w:t>
            </w:r>
          </w:p>
        </w:tc>
        <w:tc>
          <w:tcPr>
            <w:tcW w:w="480" w:type="pct"/>
          </w:tcPr>
          <w:p w14:paraId="48E94561" w14:textId="27244604"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20</w:t>
            </w:r>
            <w:r w:rsidR="00F03D3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e institucioneve të vuajtjes së dënimit</w:t>
            </w:r>
          </w:p>
        </w:tc>
        <w:tc>
          <w:tcPr>
            <w:tcW w:w="461" w:type="pct"/>
          </w:tcPr>
          <w:p w14:paraId="38178191" w14:textId="2A781475"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45</w:t>
            </w:r>
            <w:r w:rsidR="00F03D3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e institucioneve të vuajtjes së dënimit</w:t>
            </w:r>
          </w:p>
        </w:tc>
        <w:tc>
          <w:tcPr>
            <w:tcW w:w="231" w:type="pct"/>
            <w:gridSpan w:val="2"/>
          </w:tcPr>
          <w:p w14:paraId="78D25DA8"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1491" w:type="pct"/>
          </w:tcPr>
          <w:p w14:paraId="395FE8E6" w14:textId="312B2D7A"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Drejtoria e Përgjithshme e Burgjeve</w:t>
            </w:r>
            <w:r w:rsidR="0094477B"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br/>
            </w:r>
          </w:p>
        </w:tc>
        <w:tc>
          <w:tcPr>
            <w:tcW w:w="481" w:type="pct"/>
          </w:tcPr>
          <w:p w14:paraId="2F768491"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r>
      <w:tr w:rsidR="003E1630" w:rsidRPr="00024D5A" w14:paraId="5E48D0EF" w14:textId="77777777" w:rsidTr="00F958F2">
        <w:trPr>
          <w:trHeight w:val="20"/>
        </w:trPr>
        <w:tc>
          <w:tcPr>
            <w:tcW w:w="430" w:type="pct"/>
            <w:vMerge w:val="restart"/>
          </w:tcPr>
          <w:p w14:paraId="54169092"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478" w:type="pct"/>
            <w:vMerge w:val="restart"/>
          </w:tcPr>
          <w:p w14:paraId="00B50A48"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3.2. Fuqizimi i kapaciteteve në institucionet e paraburgimit dhe ato të vuajtjes së dënimit, duke mundësuar mbështetjen bazuar në nevojat e personave me aftësi të kufizuara. </w:t>
            </w:r>
          </w:p>
        </w:tc>
        <w:tc>
          <w:tcPr>
            <w:tcW w:w="553" w:type="pct"/>
          </w:tcPr>
          <w:p w14:paraId="3C582C72"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Procedura dhe protokolle për identifikimin, vlerësimin dhe planin individual të mbështetjes për personat me aftësi të kufizuara të miratuara dhe të zbatuara në institucionet e paraburgimit dhe vuajtjes së dënimit.</w:t>
            </w:r>
          </w:p>
        </w:tc>
        <w:tc>
          <w:tcPr>
            <w:tcW w:w="395" w:type="pct"/>
          </w:tcPr>
          <w:p w14:paraId="1DADE56A"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N/A</w:t>
            </w:r>
          </w:p>
        </w:tc>
        <w:tc>
          <w:tcPr>
            <w:tcW w:w="480" w:type="pct"/>
          </w:tcPr>
          <w:p w14:paraId="3346C3D6" w14:textId="5D6E8CAE"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30</w:t>
            </w:r>
            <w:r w:rsidR="00F03D3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e institucioneve </w:t>
            </w:r>
          </w:p>
        </w:tc>
        <w:tc>
          <w:tcPr>
            <w:tcW w:w="576" w:type="pct"/>
            <w:gridSpan w:val="2"/>
          </w:tcPr>
          <w:p w14:paraId="3CD3C8A7"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60% e institucioneve</w:t>
            </w:r>
          </w:p>
        </w:tc>
        <w:tc>
          <w:tcPr>
            <w:tcW w:w="1607" w:type="pct"/>
            <w:gridSpan w:val="2"/>
          </w:tcPr>
          <w:p w14:paraId="23C57554"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Drejtoria e Përgjithshme e Burgjeve; </w:t>
            </w:r>
            <w:r w:rsidRPr="00024D5A">
              <w:rPr>
                <w:rFonts w:ascii="Garamond" w:eastAsia="Times New Roman" w:hAnsi="Garamond"/>
                <w:sz w:val="14"/>
                <w:szCs w:val="16"/>
                <w:lang w:eastAsia="en-US"/>
              </w:rPr>
              <w:br/>
              <w:t>Ministria e Drejtësisë;</w:t>
            </w:r>
          </w:p>
        </w:tc>
        <w:tc>
          <w:tcPr>
            <w:tcW w:w="481" w:type="pct"/>
            <w:vMerge w:val="restart"/>
          </w:tcPr>
          <w:p w14:paraId="6932D601" w14:textId="77777777" w:rsidR="003E1630" w:rsidRPr="00024D5A" w:rsidRDefault="003E1630" w:rsidP="00791B1A">
            <w:pPr>
              <w:rPr>
                <w:rFonts w:ascii="Garamond" w:eastAsia="Times New Roman" w:hAnsi="Garamond"/>
                <w:sz w:val="14"/>
                <w:szCs w:val="16"/>
                <w:lang w:eastAsia="en-US"/>
              </w:rPr>
            </w:pPr>
          </w:p>
        </w:tc>
      </w:tr>
      <w:tr w:rsidR="003E1630" w:rsidRPr="00024D5A" w14:paraId="5B177A28" w14:textId="77777777" w:rsidTr="00F958F2">
        <w:trPr>
          <w:trHeight w:val="20"/>
        </w:trPr>
        <w:tc>
          <w:tcPr>
            <w:tcW w:w="430" w:type="pct"/>
            <w:vMerge/>
          </w:tcPr>
          <w:p w14:paraId="2A84423C" w14:textId="77777777" w:rsidR="003E1630" w:rsidRPr="00024D5A" w:rsidRDefault="003E1630" w:rsidP="00791B1A">
            <w:pPr>
              <w:rPr>
                <w:rFonts w:ascii="Garamond" w:eastAsia="Times New Roman" w:hAnsi="Garamond"/>
                <w:sz w:val="14"/>
                <w:szCs w:val="16"/>
                <w:lang w:eastAsia="en-US"/>
              </w:rPr>
            </w:pPr>
          </w:p>
        </w:tc>
        <w:tc>
          <w:tcPr>
            <w:tcW w:w="478" w:type="pct"/>
            <w:vMerge/>
          </w:tcPr>
          <w:p w14:paraId="2EEDB05E" w14:textId="77777777" w:rsidR="003E1630" w:rsidRPr="00024D5A" w:rsidRDefault="003E1630" w:rsidP="00791B1A">
            <w:pPr>
              <w:rPr>
                <w:rFonts w:ascii="Garamond" w:eastAsia="Times New Roman" w:hAnsi="Garamond"/>
                <w:sz w:val="14"/>
                <w:szCs w:val="16"/>
                <w:lang w:eastAsia="en-US"/>
              </w:rPr>
            </w:pPr>
          </w:p>
        </w:tc>
        <w:tc>
          <w:tcPr>
            <w:tcW w:w="553" w:type="pct"/>
          </w:tcPr>
          <w:p w14:paraId="6F93E54E"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Punonjës të institucioneve të paraburgimit dhe vuajtjes së dënimit të trajnuar për trajtimin dhe mbështetjen e personave me aftësi të kufizuara.</w:t>
            </w:r>
          </w:p>
        </w:tc>
        <w:tc>
          <w:tcPr>
            <w:tcW w:w="395" w:type="pct"/>
          </w:tcPr>
          <w:p w14:paraId="17D0D567"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N/A</w:t>
            </w:r>
          </w:p>
        </w:tc>
        <w:tc>
          <w:tcPr>
            <w:tcW w:w="480" w:type="pct"/>
          </w:tcPr>
          <w:p w14:paraId="419791D5" w14:textId="607C7FBA"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40% e stafit të trajnuar</w:t>
            </w:r>
            <w:r w:rsidR="0094477B" w:rsidRPr="00024D5A">
              <w:rPr>
                <w:rFonts w:ascii="Garamond" w:eastAsia="Times New Roman" w:hAnsi="Garamond"/>
                <w:sz w:val="14"/>
                <w:szCs w:val="16"/>
                <w:lang w:eastAsia="en-US"/>
              </w:rPr>
              <w:t>.</w:t>
            </w:r>
          </w:p>
        </w:tc>
        <w:tc>
          <w:tcPr>
            <w:tcW w:w="576" w:type="pct"/>
            <w:gridSpan w:val="2"/>
          </w:tcPr>
          <w:p w14:paraId="6EC261CE" w14:textId="233CFDAE"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55% e stafit të trajnuar</w:t>
            </w:r>
            <w:r w:rsidR="0094477B" w:rsidRPr="00024D5A">
              <w:rPr>
                <w:rFonts w:ascii="Garamond" w:eastAsia="Times New Roman" w:hAnsi="Garamond"/>
                <w:sz w:val="14"/>
                <w:szCs w:val="16"/>
                <w:lang w:eastAsia="en-US"/>
              </w:rPr>
              <w:t>.</w:t>
            </w:r>
          </w:p>
        </w:tc>
        <w:tc>
          <w:tcPr>
            <w:tcW w:w="1607" w:type="pct"/>
            <w:gridSpan w:val="2"/>
          </w:tcPr>
          <w:p w14:paraId="322F1C57" w14:textId="30CDC7C5"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Drejtoria e Përgjithshme e Burgjeve</w:t>
            </w:r>
            <w:r w:rsidR="0094477B" w:rsidRPr="00024D5A">
              <w:rPr>
                <w:rFonts w:ascii="Garamond" w:eastAsia="Times New Roman" w:hAnsi="Garamond"/>
                <w:sz w:val="14"/>
                <w:szCs w:val="16"/>
                <w:lang w:eastAsia="en-US"/>
              </w:rPr>
              <w:t>.</w:t>
            </w:r>
          </w:p>
        </w:tc>
        <w:tc>
          <w:tcPr>
            <w:tcW w:w="481" w:type="pct"/>
            <w:vMerge/>
          </w:tcPr>
          <w:p w14:paraId="545EFCDD" w14:textId="77777777" w:rsidR="003E1630" w:rsidRPr="00024D5A" w:rsidRDefault="003E1630" w:rsidP="00791B1A">
            <w:pPr>
              <w:rPr>
                <w:rFonts w:ascii="Garamond" w:eastAsia="Times New Roman" w:hAnsi="Garamond"/>
                <w:sz w:val="14"/>
                <w:szCs w:val="16"/>
                <w:lang w:eastAsia="en-US"/>
              </w:rPr>
            </w:pPr>
          </w:p>
        </w:tc>
      </w:tr>
    </w:tbl>
    <w:p w14:paraId="64D0A1AE" w14:textId="77777777" w:rsidR="003E1630" w:rsidRPr="00024D5A" w:rsidRDefault="003E1630" w:rsidP="00791B1A">
      <w:pPr>
        <w:rPr>
          <w:rFonts w:ascii="Garamond" w:eastAsia="MS Mincho" w:hAnsi="Garamond"/>
          <w:lang w:eastAsia="en-US"/>
        </w:rPr>
      </w:pPr>
    </w:p>
    <w:p w14:paraId="32D78447" w14:textId="5FBFF596" w:rsidR="003E1630" w:rsidRPr="00024D5A" w:rsidRDefault="0058487E" w:rsidP="0094477B">
      <w:pPr>
        <w:pStyle w:val="Heading2"/>
        <w:keepNext w:val="0"/>
        <w:widowControl w:val="0"/>
        <w:spacing w:before="0"/>
        <w:ind w:firstLine="288"/>
        <w:rPr>
          <w:rFonts w:ascii="Garamond" w:hAnsi="Garamond"/>
          <w:color w:val="auto"/>
          <w:lang w:eastAsia="en-US"/>
        </w:rPr>
      </w:pPr>
      <w:bookmarkStart w:id="61" w:name="_Toc231489659"/>
      <w:r w:rsidRPr="00024D5A">
        <w:rPr>
          <w:rFonts w:ascii="Garamond" w:hAnsi="Garamond"/>
          <w:color w:val="auto"/>
          <w:lang w:eastAsia="en-US"/>
        </w:rPr>
        <w:t>5</w:t>
      </w:r>
      <w:r w:rsidR="005743A8" w:rsidRPr="00024D5A">
        <w:rPr>
          <w:rFonts w:ascii="Garamond" w:hAnsi="Garamond"/>
          <w:color w:val="auto"/>
          <w:lang w:eastAsia="en-US"/>
        </w:rPr>
        <w:t>.3</w:t>
      </w:r>
      <w:r w:rsidR="008F29FA" w:rsidRPr="00024D5A">
        <w:rPr>
          <w:rFonts w:ascii="Garamond" w:hAnsi="Garamond"/>
          <w:color w:val="auto"/>
          <w:lang w:eastAsia="en-US"/>
        </w:rPr>
        <w:t xml:space="preserve"> </w:t>
      </w:r>
      <w:r w:rsidR="005743A8" w:rsidRPr="00024D5A">
        <w:rPr>
          <w:rFonts w:ascii="Garamond" w:hAnsi="Garamond"/>
          <w:color w:val="auto"/>
          <w:lang w:eastAsia="en-US"/>
        </w:rPr>
        <w:t xml:space="preserve">Punësimi dhe </w:t>
      </w:r>
      <w:r w:rsidR="0006183E" w:rsidRPr="00024D5A">
        <w:rPr>
          <w:rFonts w:ascii="Garamond" w:hAnsi="Garamond"/>
          <w:color w:val="auto"/>
          <w:lang w:eastAsia="en-US"/>
        </w:rPr>
        <w:t>aftësimi</w:t>
      </w:r>
      <w:bookmarkEnd w:id="61"/>
    </w:p>
    <w:p w14:paraId="10FA6499" w14:textId="77777777" w:rsidR="003E1630" w:rsidRPr="00024D5A" w:rsidRDefault="003E1630" w:rsidP="00791B1A">
      <w:pPr>
        <w:rPr>
          <w:rFonts w:ascii="Garamond" w:eastAsia="MS Mincho" w:hAnsi="Garamond"/>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5"/>
        <w:gridCol w:w="1980"/>
        <w:gridCol w:w="1980"/>
        <w:gridCol w:w="720"/>
        <w:gridCol w:w="720"/>
        <w:gridCol w:w="720"/>
        <w:gridCol w:w="1260"/>
        <w:gridCol w:w="1075"/>
      </w:tblGrid>
      <w:tr w:rsidR="003E1630" w:rsidRPr="00024D5A" w14:paraId="78521669" w14:textId="77777777" w:rsidTr="00070BC1">
        <w:trPr>
          <w:trHeight w:val="20"/>
        </w:trPr>
        <w:tc>
          <w:tcPr>
            <w:tcW w:w="895" w:type="dxa"/>
            <w:shd w:val="clear" w:color="auto" w:fill="C0E5F3"/>
            <w:vAlign w:val="center"/>
          </w:tcPr>
          <w:p w14:paraId="70F1FC06" w14:textId="521547F3" w:rsidR="003E1630" w:rsidRPr="00024D5A" w:rsidRDefault="003E1630" w:rsidP="00657405">
            <w:pPr>
              <w:jc w:val="center"/>
              <w:rPr>
                <w:rFonts w:ascii="Garamond" w:eastAsia="Times New Roman" w:hAnsi="Garamond"/>
                <w:sz w:val="12"/>
                <w:szCs w:val="16"/>
                <w:lang w:eastAsia="en-US"/>
              </w:rPr>
            </w:pPr>
          </w:p>
        </w:tc>
        <w:tc>
          <w:tcPr>
            <w:tcW w:w="1980" w:type="dxa"/>
            <w:shd w:val="clear" w:color="auto" w:fill="C0E5F3"/>
            <w:vAlign w:val="center"/>
          </w:tcPr>
          <w:p w14:paraId="0E5E6619" w14:textId="77777777" w:rsidR="003E1630" w:rsidRPr="00024D5A" w:rsidRDefault="005743A8" w:rsidP="00657405">
            <w:pPr>
              <w:jc w:val="center"/>
              <w:rPr>
                <w:rFonts w:ascii="Garamond" w:eastAsia="Times New Roman" w:hAnsi="Garamond"/>
                <w:b/>
                <w:bCs/>
                <w:sz w:val="12"/>
                <w:szCs w:val="16"/>
                <w:lang w:eastAsia="en-US"/>
              </w:rPr>
            </w:pPr>
            <w:r w:rsidRPr="00024D5A">
              <w:rPr>
                <w:rFonts w:ascii="Garamond" w:eastAsia="Times New Roman" w:hAnsi="Garamond"/>
                <w:b/>
                <w:bCs/>
                <w:sz w:val="12"/>
                <w:szCs w:val="16"/>
                <w:lang w:eastAsia="en-US"/>
              </w:rPr>
              <w:t>Objektivat</w:t>
            </w:r>
          </w:p>
        </w:tc>
        <w:tc>
          <w:tcPr>
            <w:tcW w:w="1980" w:type="dxa"/>
            <w:shd w:val="clear" w:color="auto" w:fill="C0E5F3"/>
            <w:vAlign w:val="center"/>
          </w:tcPr>
          <w:p w14:paraId="567F808F" w14:textId="77777777" w:rsidR="003E1630" w:rsidRPr="00024D5A" w:rsidRDefault="005743A8" w:rsidP="00657405">
            <w:pPr>
              <w:jc w:val="center"/>
              <w:rPr>
                <w:rFonts w:ascii="Garamond" w:eastAsia="Times New Roman" w:hAnsi="Garamond"/>
                <w:b/>
                <w:bCs/>
                <w:sz w:val="12"/>
                <w:szCs w:val="16"/>
                <w:lang w:eastAsia="en-US"/>
              </w:rPr>
            </w:pPr>
            <w:r w:rsidRPr="00024D5A">
              <w:rPr>
                <w:rFonts w:ascii="Garamond" w:eastAsia="Times New Roman" w:hAnsi="Garamond"/>
                <w:b/>
                <w:bCs/>
                <w:sz w:val="12"/>
                <w:szCs w:val="16"/>
                <w:lang w:eastAsia="en-US"/>
              </w:rPr>
              <w:t>Treguesi</w:t>
            </w:r>
          </w:p>
        </w:tc>
        <w:tc>
          <w:tcPr>
            <w:tcW w:w="720" w:type="dxa"/>
            <w:shd w:val="clear" w:color="auto" w:fill="C0E5F3"/>
            <w:vAlign w:val="center"/>
          </w:tcPr>
          <w:p w14:paraId="7473BF9E" w14:textId="77777777" w:rsidR="003E1630" w:rsidRPr="00024D5A" w:rsidRDefault="005743A8" w:rsidP="00657405">
            <w:pPr>
              <w:jc w:val="center"/>
              <w:rPr>
                <w:rFonts w:ascii="Garamond" w:eastAsia="Times New Roman" w:hAnsi="Garamond"/>
                <w:b/>
                <w:bCs/>
                <w:sz w:val="12"/>
                <w:szCs w:val="16"/>
                <w:lang w:eastAsia="en-US"/>
              </w:rPr>
            </w:pPr>
            <w:r w:rsidRPr="00024D5A">
              <w:rPr>
                <w:rFonts w:ascii="Garamond" w:eastAsia="Times New Roman" w:hAnsi="Garamond"/>
                <w:b/>
                <w:bCs/>
                <w:sz w:val="12"/>
                <w:szCs w:val="16"/>
                <w:lang w:eastAsia="en-US"/>
              </w:rPr>
              <w:t>Vlera bazë</w:t>
            </w:r>
          </w:p>
        </w:tc>
        <w:tc>
          <w:tcPr>
            <w:tcW w:w="720" w:type="dxa"/>
            <w:shd w:val="clear" w:color="auto" w:fill="C0E5F3"/>
            <w:vAlign w:val="center"/>
          </w:tcPr>
          <w:p w14:paraId="178B1027" w14:textId="77777777" w:rsidR="003E1630" w:rsidRPr="00024D5A" w:rsidRDefault="005743A8" w:rsidP="00657405">
            <w:pPr>
              <w:jc w:val="center"/>
              <w:rPr>
                <w:rFonts w:ascii="Garamond" w:eastAsia="Times New Roman" w:hAnsi="Garamond"/>
                <w:b/>
                <w:bCs/>
                <w:sz w:val="12"/>
                <w:szCs w:val="16"/>
                <w:lang w:eastAsia="en-US"/>
              </w:rPr>
            </w:pPr>
            <w:r w:rsidRPr="00024D5A">
              <w:rPr>
                <w:rFonts w:ascii="Garamond" w:eastAsia="Times New Roman" w:hAnsi="Garamond"/>
                <w:b/>
                <w:bCs/>
                <w:sz w:val="12"/>
                <w:szCs w:val="16"/>
                <w:lang w:eastAsia="en-US"/>
              </w:rPr>
              <w:t>Synimi 2028</w:t>
            </w:r>
          </w:p>
        </w:tc>
        <w:tc>
          <w:tcPr>
            <w:tcW w:w="720" w:type="dxa"/>
            <w:shd w:val="clear" w:color="auto" w:fill="C0E5F3"/>
            <w:vAlign w:val="center"/>
          </w:tcPr>
          <w:p w14:paraId="4CF77678" w14:textId="15761783" w:rsidR="003E1630" w:rsidRPr="00024D5A" w:rsidRDefault="005743A8" w:rsidP="00657405">
            <w:pPr>
              <w:jc w:val="center"/>
              <w:rPr>
                <w:rFonts w:ascii="Garamond" w:eastAsia="Times New Roman" w:hAnsi="Garamond"/>
                <w:b/>
                <w:bCs/>
                <w:sz w:val="12"/>
                <w:szCs w:val="16"/>
                <w:lang w:eastAsia="en-US"/>
              </w:rPr>
            </w:pPr>
            <w:r w:rsidRPr="00024D5A">
              <w:rPr>
                <w:rFonts w:ascii="Garamond" w:eastAsia="Times New Roman" w:hAnsi="Garamond"/>
                <w:b/>
                <w:bCs/>
                <w:sz w:val="12"/>
                <w:szCs w:val="16"/>
                <w:lang w:eastAsia="en-US"/>
              </w:rPr>
              <w:t>Synimi 2030</w:t>
            </w:r>
          </w:p>
        </w:tc>
        <w:tc>
          <w:tcPr>
            <w:tcW w:w="1260" w:type="dxa"/>
            <w:shd w:val="clear" w:color="auto" w:fill="C0E5F3"/>
            <w:vAlign w:val="center"/>
          </w:tcPr>
          <w:p w14:paraId="4C88AC50" w14:textId="77777777" w:rsidR="003E1630" w:rsidRPr="00024D5A" w:rsidRDefault="003E1630" w:rsidP="00657405">
            <w:pPr>
              <w:jc w:val="center"/>
              <w:rPr>
                <w:rFonts w:ascii="Garamond" w:eastAsia="Times New Roman" w:hAnsi="Garamond"/>
                <w:b/>
                <w:bCs/>
                <w:sz w:val="12"/>
                <w:szCs w:val="16"/>
                <w:lang w:eastAsia="en-US"/>
              </w:rPr>
            </w:pPr>
          </w:p>
        </w:tc>
        <w:tc>
          <w:tcPr>
            <w:tcW w:w="1075" w:type="dxa"/>
            <w:shd w:val="clear" w:color="auto" w:fill="C0E5F3"/>
            <w:vAlign w:val="center"/>
          </w:tcPr>
          <w:p w14:paraId="32476748" w14:textId="77777777" w:rsidR="003E1630" w:rsidRPr="00024D5A" w:rsidRDefault="005743A8" w:rsidP="00657405">
            <w:pPr>
              <w:jc w:val="center"/>
              <w:rPr>
                <w:rFonts w:ascii="Garamond" w:eastAsia="Times New Roman" w:hAnsi="Garamond"/>
                <w:b/>
                <w:bCs/>
                <w:sz w:val="12"/>
                <w:szCs w:val="16"/>
                <w:lang w:eastAsia="en-US"/>
              </w:rPr>
            </w:pPr>
            <w:r w:rsidRPr="00024D5A">
              <w:rPr>
                <w:rFonts w:ascii="Garamond" w:eastAsia="Times New Roman" w:hAnsi="Garamond"/>
                <w:b/>
                <w:bCs/>
                <w:sz w:val="12"/>
                <w:szCs w:val="16"/>
                <w:lang w:eastAsia="en-US"/>
              </w:rPr>
              <w:t>Referenca në dok. të tjera</w:t>
            </w:r>
          </w:p>
        </w:tc>
      </w:tr>
      <w:tr w:rsidR="003E1630" w:rsidRPr="00024D5A" w14:paraId="4D4AA795" w14:textId="77777777" w:rsidTr="00070BC1">
        <w:trPr>
          <w:trHeight w:val="135"/>
        </w:trPr>
        <w:tc>
          <w:tcPr>
            <w:tcW w:w="895" w:type="dxa"/>
            <w:vMerge w:val="restart"/>
            <w:shd w:val="clear" w:color="auto" w:fill="D8F1D0"/>
            <w:vAlign w:val="center"/>
          </w:tcPr>
          <w:p w14:paraId="0032B182" w14:textId="51E83FEC" w:rsidR="003E1630" w:rsidRPr="00024D5A" w:rsidRDefault="005743A8" w:rsidP="00791B1A">
            <w:pPr>
              <w:jc w:val="center"/>
              <w:rPr>
                <w:rFonts w:ascii="Garamond" w:eastAsia="Times New Roman" w:hAnsi="Garamond"/>
                <w:b/>
                <w:bCs/>
                <w:sz w:val="12"/>
                <w:szCs w:val="16"/>
                <w:lang w:eastAsia="en-US"/>
              </w:rPr>
            </w:pPr>
            <w:r w:rsidRPr="00024D5A">
              <w:rPr>
                <w:rFonts w:ascii="Garamond" w:eastAsia="Times New Roman" w:hAnsi="Garamond"/>
                <w:b/>
                <w:bCs/>
                <w:sz w:val="12"/>
                <w:szCs w:val="16"/>
                <w:lang w:eastAsia="en-US"/>
              </w:rPr>
              <w:t>Qëllimi i politikës (</w:t>
            </w:r>
            <w:r w:rsidR="0094477B" w:rsidRPr="00024D5A">
              <w:rPr>
                <w:rFonts w:ascii="Garamond" w:eastAsia="Times New Roman" w:hAnsi="Garamond"/>
                <w:b/>
                <w:bCs/>
                <w:sz w:val="12"/>
                <w:szCs w:val="16"/>
                <w:lang w:eastAsia="en-US"/>
              </w:rPr>
              <w:t>ndikimi</w:t>
            </w:r>
            <w:r w:rsidRPr="00024D5A">
              <w:rPr>
                <w:rFonts w:ascii="Garamond" w:eastAsia="Times New Roman" w:hAnsi="Garamond"/>
                <w:b/>
                <w:bCs/>
                <w:sz w:val="12"/>
                <w:szCs w:val="16"/>
                <w:lang w:eastAsia="en-US"/>
              </w:rPr>
              <w:t>)</w:t>
            </w:r>
          </w:p>
        </w:tc>
        <w:tc>
          <w:tcPr>
            <w:tcW w:w="1980" w:type="dxa"/>
            <w:vMerge w:val="restart"/>
            <w:shd w:val="clear" w:color="auto" w:fill="D8F1D0"/>
          </w:tcPr>
          <w:p w14:paraId="33D08957" w14:textId="77777777" w:rsidR="003E1630" w:rsidRPr="00024D5A" w:rsidRDefault="005743A8"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 xml:space="preserve">Qëllimi i politikës: Përfshirja e personave me aftësi të kufizuara në baza të barabarta me të tjerët, në një treg dhe mjedis pune të hapur, gjithëpërfshirës dhe të aksesueshëm. </w:t>
            </w:r>
          </w:p>
        </w:tc>
        <w:tc>
          <w:tcPr>
            <w:tcW w:w="1980" w:type="dxa"/>
            <w:vMerge w:val="restart"/>
            <w:shd w:val="clear" w:color="auto" w:fill="D8F1D0"/>
          </w:tcPr>
          <w:p w14:paraId="6231A286" w14:textId="77777777" w:rsidR="003E1630" w:rsidRPr="00024D5A" w:rsidRDefault="005743A8"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Shkalla e punësimit të personave me aftësi të kufizuara (%) sipas gjinisë krahasuar me shkallën kombëtare të punësimit.</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Ulja e hendekut të punësimit (%) midis personave me aftësi të kufizuara dhe popullsisë së përgjithshme.</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 xml:space="preserve">Shkalla e papunësisë te personat me aftësi të kufizuara sipas gjinisë dhe llojit të aftësisë së kufizuar. </w:t>
            </w:r>
            <w:r w:rsidRPr="00024D5A">
              <w:rPr>
                <w:rFonts w:ascii="Garamond" w:eastAsia="Times New Roman" w:hAnsi="Garamond"/>
                <w:sz w:val="12"/>
                <w:szCs w:val="16"/>
                <w:lang w:eastAsia="en-US"/>
              </w:rPr>
              <w:br/>
              <w:t xml:space="preserve"> </w:t>
            </w:r>
            <w:r w:rsidRPr="00024D5A">
              <w:rPr>
                <w:rFonts w:ascii="Garamond" w:eastAsia="Times New Roman" w:hAnsi="Garamond"/>
                <w:sz w:val="12"/>
                <w:szCs w:val="16"/>
                <w:lang w:eastAsia="en-US"/>
              </w:rPr>
              <w:br/>
              <w:t xml:space="preserve">Niveli i përmbushjes së kuotave. </w:t>
            </w:r>
            <w:r w:rsidRPr="00024D5A">
              <w:rPr>
                <w:rFonts w:ascii="Garamond" w:eastAsia="Times New Roman" w:hAnsi="Garamond"/>
                <w:sz w:val="12"/>
                <w:szCs w:val="16"/>
                <w:lang w:eastAsia="en-US"/>
              </w:rPr>
              <w:br/>
              <w:t xml:space="preserve"> </w:t>
            </w:r>
            <w:r w:rsidRPr="00024D5A">
              <w:rPr>
                <w:rFonts w:ascii="Garamond" w:eastAsia="Times New Roman" w:hAnsi="Garamond"/>
                <w:sz w:val="12"/>
                <w:szCs w:val="16"/>
                <w:lang w:eastAsia="en-US"/>
              </w:rPr>
              <w:br/>
              <w:t xml:space="preserve">Përqindja e personave me aftësi të kufizuara që mbeten të punësuar për më shumë se 12 muaj. </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 xml:space="preserve">Qasja në avancim në karrierë dhe trajnime/arsim profesional </w:t>
            </w:r>
          </w:p>
        </w:tc>
        <w:tc>
          <w:tcPr>
            <w:tcW w:w="720" w:type="dxa"/>
            <w:vMerge w:val="restart"/>
            <w:shd w:val="clear" w:color="auto" w:fill="D8F1D0"/>
          </w:tcPr>
          <w:p w14:paraId="2534E7B1" w14:textId="451E68AF" w:rsidR="003E1630" w:rsidRPr="00024D5A" w:rsidRDefault="005743A8"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 xml:space="preserve">N/A </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10-13 pp (pikë përqin</w:t>
            </w:r>
            <w:r w:rsidR="00997362"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dje</w:t>
            </w:r>
            <w:r w:rsidR="0094477B" w:rsidRPr="00024D5A">
              <w:rPr>
                <w:rFonts w:ascii="Garamond" w:eastAsia="Times New Roman" w:hAnsi="Garamond"/>
                <w:sz w:val="12"/>
                <w:szCs w:val="16"/>
                <w:lang w:eastAsia="en-US"/>
              </w:rPr>
              <w:t>je</w:t>
            </w:r>
            <w:r w:rsidRPr="00024D5A">
              <w:rPr>
                <w:rFonts w:ascii="Garamond" w:eastAsia="Times New Roman" w:hAnsi="Garamond"/>
                <w:sz w:val="12"/>
                <w:szCs w:val="16"/>
                <w:lang w:eastAsia="en-US"/>
              </w:rPr>
              <w:t xml:space="preserve">) </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 xml:space="preserve">N/A </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 xml:space="preserve">N/A </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N/A</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 xml:space="preserve"> 1%</w:t>
            </w:r>
          </w:p>
        </w:tc>
        <w:tc>
          <w:tcPr>
            <w:tcW w:w="720" w:type="dxa"/>
            <w:vMerge w:val="restart"/>
            <w:shd w:val="clear" w:color="auto" w:fill="D8F1D0"/>
          </w:tcPr>
          <w:p w14:paraId="79A9322F" w14:textId="77777777" w:rsidR="003E1630" w:rsidRPr="00024D5A" w:rsidRDefault="005743A8"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 xml:space="preserve">2% - 4% </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 xml:space="preserve"> 7-10 pp</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 xml:space="preserve"> ~18% në ~15%.</w:t>
            </w:r>
            <w:r w:rsidRPr="00024D5A">
              <w:rPr>
                <w:rFonts w:ascii="Garamond" w:eastAsia="Times New Roman" w:hAnsi="Garamond"/>
                <w:sz w:val="12"/>
                <w:szCs w:val="16"/>
                <w:lang w:eastAsia="en-US"/>
              </w:rPr>
              <w:br/>
              <w:t xml:space="preserve"> femrat 19% në ~</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 xml:space="preserve">16% </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 xml:space="preserve">40% - 50% </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40%</w:t>
            </w:r>
            <w:r w:rsidRPr="00024D5A">
              <w:rPr>
                <w:rFonts w:ascii="Garamond" w:eastAsia="Times New Roman" w:hAnsi="Garamond"/>
                <w:sz w:val="12"/>
                <w:szCs w:val="16"/>
                <w:lang w:eastAsia="en-US"/>
              </w:rPr>
              <w:br/>
            </w:r>
          </w:p>
        </w:tc>
        <w:tc>
          <w:tcPr>
            <w:tcW w:w="720" w:type="dxa"/>
            <w:vMerge w:val="restart"/>
            <w:shd w:val="clear" w:color="auto" w:fill="D8F1D0"/>
          </w:tcPr>
          <w:p w14:paraId="6AF740D0" w14:textId="4A9ED3D3" w:rsidR="003E1630" w:rsidRPr="00024D5A" w:rsidRDefault="005743A8"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 xml:space="preserve">~3% - 6% </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 xml:space="preserve"> 4-7 pp</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~15% në ~13%</w:t>
            </w:r>
            <w:r w:rsidR="00FA534D" w:rsidRPr="00024D5A">
              <w:rPr>
                <w:rFonts w:ascii="Garamond" w:eastAsia="Times New Roman" w:hAnsi="Garamond"/>
                <w:sz w:val="12"/>
                <w:szCs w:val="16"/>
                <w:lang w:eastAsia="en-US"/>
              </w:rPr>
              <w:t xml:space="preserve"> </w:t>
            </w:r>
            <w:r w:rsidRPr="00024D5A">
              <w:rPr>
                <w:rFonts w:ascii="Garamond" w:eastAsia="Times New Roman" w:hAnsi="Garamond"/>
                <w:sz w:val="12"/>
                <w:szCs w:val="16"/>
                <w:lang w:eastAsia="en-US"/>
              </w:rPr>
              <w:t xml:space="preserve">femrat 16% në ~14% </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45%</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45%</w:t>
            </w:r>
            <w:r w:rsidRPr="00024D5A">
              <w:rPr>
                <w:rFonts w:ascii="Garamond" w:eastAsia="Times New Roman" w:hAnsi="Garamond"/>
                <w:sz w:val="12"/>
                <w:szCs w:val="16"/>
                <w:lang w:eastAsia="en-US"/>
              </w:rPr>
              <w:br/>
              <w:t xml:space="preserve"> </w:t>
            </w:r>
          </w:p>
        </w:tc>
        <w:tc>
          <w:tcPr>
            <w:tcW w:w="1260" w:type="dxa"/>
            <w:vMerge w:val="restart"/>
            <w:shd w:val="clear" w:color="auto" w:fill="D8F1D0"/>
          </w:tcPr>
          <w:p w14:paraId="2A10439C" w14:textId="5E66D122" w:rsidR="00F13680" w:rsidRPr="00024D5A" w:rsidRDefault="00F13680" w:rsidP="00791B1A">
            <w:pPr>
              <w:rPr>
                <w:rFonts w:ascii="Garamond" w:eastAsia="Times New Roman" w:hAnsi="Garamond"/>
                <w:sz w:val="12"/>
                <w:szCs w:val="16"/>
                <w:lang w:eastAsia="en-US"/>
              </w:rPr>
            </w:pPr>
          </w:p>
          <w:p w14:paraId="52A2310A" w14:textId="2971E869" w:rsidR="004C2E82" w:rsidRPr="00024D5A" w:rsidRDefault="005743A8"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br/>
              <w:t>Baza e të dhënave e Agjencia Kombëtare e Punësimit dhe Aftësive (AKPA);</w:t>
            </w:r>
            <w:r w:rsidRPr="00024D5A">
              <w:rPr>
                <w:rFonts w:ascii="Garamond" w:eastAsia="Times New Roman" w:hAnsi="Garamond"/>
                <w:sz w:val="12"/>
                <w:szCs w:val="16"/>
                <w:lang w:eastAsia="en-US"/>
              </w:rPr>
              <w:br/>
            </w:r>
          </w:p>
          <w:p w14:paraId="2A7E62A0" w14:textId="58728360" w:rsidR="003E1630" w:rsidRPr="00024D5A" w:rsidRDefault="005743A8"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Anketime kombëtare të bizneseve, Inspektorati i Punës, AKPA;</w:t>
            </w:r>
            <w:r w:rsidRPr="00024D5A">
              <w:rPr>
                <w:rFonts w:ascii="Garamond" w:eastAsia="Times New Roman" w:hAnsi="Garamond"/>
                <w:sz w:val="12"/>
                <w:szCs w:val="16"/>
                <w:lang w:eastAsia="en-US"/>
              </w:rPr>
              <w:br/>
              <w:t>Anketime periodike kombëtare, sondazhe të AKPA;</w:t>
            </w:r>
            <w:r w:rsidRPr="00024D5A">
              <w:rPr>
                <w:rFonts w:ascii="Garamond" w:eastAsia="Times New Roman" w:hAnsi="Garamond"/>
                <w:sz w:val="12"/>
                <w:szCs w:val="16"/>
                <w:lang w:eastAsia="en-US"/>
              </w:rPr>
              <w:br/>
              <w:t>Sistemi i monitorimit të AKPA, të dhëna tatimore</w:t>
            </w:r>
            <w:r w:rsidR="00FA534D" w:rsidRPr="00024D5A">
              <w:rPr>
                <w:rFonts w:ascii="Garamond" w:eastAsia="Times New Roman" w:hAnsi="Garamond"/>
                <w:sz w:val="12"/>
                <w:szCs w:val="16"/>
                <w:lang w:eastAsia="en-US"/>
              </w:rPr>
              <w:t>.</w:t>
            </w:r>
          </w:p>
        </w:tc>
        <w:tc>
          <w:tcPr>
            <w:tcW w:w="1075" w:type="dxa"/>
            <w:vMerge w:val="restart"/>
            <w:shd w:val="clear" w:color="auto" w:fill="D8F1D0"/>
          </w:tcPr>
          <w:p w14:paraId="4D9A5FBA" w14:textId="5ACA7191" w:rsidR="003E1630" w:rsidRPr="00024D5A" w:rsidRDefault="005743A8"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 xml:space="preserve">Strategjia e BE-së për të Drejtat e Personave me Aftësi të Kufizuara </w:t>
            </w:r>
            <w:r w:rsidR="008639DB" w:rsidRPr="00024D5A">
              <w:rPr>
                <w:rFonts w:ascii="Garamond" w:eastAsia="Times New Roman" w:hAnsi="Garamond"/>
                <w:sz w:val="12"/>
                <w:szCs w:val="16"/>
                <w:lang w:eastAsia="en-US"/>
              </w:rPr>
              <w:t>2021–2030</w:t>
            </w:r>
            <w:r w:rsidRPr="00024D5A">
              <w:rPr>
                <w:rFonts w:ascii="Garamond" w:eastAsia="Times New Roman" w:hAnsi="Garamond"/>
                <w:sz w:val="12"/>
                <w:szCs w:val="16"/>
                <w:lang w:eastAsia="en-US"/>
              </w:rPr>
              <w:t>;</w:t>
            </w:r>
          </w:p>
          <w:p w14:paraId="365746FA" w14:textId="29A55139" w:rsidR="003E1630" w:rsidRPr="00024D5A" w:rsidRDefault="005743A8"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 xml:space="preserve"> Strategjia Kombëtare e Punësimit dhe Aftësive 2023-2030;</w:t>
            </w:r>
            <w:r w:rsidRPr="00024D5A">
              <w:rPr>
                <w:rFonts w:ascii="Garamond" w:eastAsia="Times New Roman" w:hAnsi="Garamond"/>
                <w:sz w:val="12"/>
                <w:szCs w:val="16"/>
                <w:lang w:eastAsia="en-US"/>
              </w:rPr>
              <w:br/>
              <w:t>Plani Kombëtar i Garancisë Rinore 2023</w:t>
            </w:r>
            <w:r w:rsidR="00FA534D"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2025 dhe 2026</w:t>
            </w:r>
            <w:r w:rsidR="00FA534D"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2029;</w:t>
            </w:r>
            <w:r w:rsidRPr="00024D5A">
              <w:rPr>
                <w:rFonts w:ascii="Garamond" w:eastAsia="Times New Roman" w:hAnsi="Garamond"/>
                <w:sz w:val="12"/>
                <w:szCs w:val="16"/>
                <w:lang w:eastAsia="en-US"/>
              </w:rPr>
              <w:br/>
              <w:t>Strategjia Kombëtare për Zhvillim dhe Integrim 2022</w:t>
            </w:r>
            <w:r w:rsidR="00FA534D"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2030;</w:t>
            </w:r>
            <w:r w:rsidRPr="00024D5A">
              <w:rPr>
                <w:rFonts w:ascii="Garamond" w:eastAsia="Times New Roman" w:hAnsi="Garamond"/>
                <w:sz w:val="12"/>
                <w:szCs w:val="16"/>
                <w:lang w:eastAsia="en-US"/>
              </w:rPr>
              <w:br/>
              <w:t xml:space="preserve">Kapitali njerëzor dhe mirëqenia sociale </w:t>
            </w:r>
            <w:r w:rsidR="00FA534D"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w:t>
            </w:r>
            <w:r w:rsidR="00FA534D" w:rsidRPr="00024D5A">
              <w:rPr>
                <w:rFonts w:ascii="Garamond" w:eastAsia="Times New Roman" w:hAnsi="Garamond"/>
                <w:sz w:val="12"/>
                <w:szCs w:val="16"/>
                <w:lang w:eastAsia="en-US"/>
              </w:rPr>
              <w:t>arsimi</w:t>
            </w:r>
            <w:r w:rsidRPr="00024D5A">
              <w:rPr>
                <w:rFonts w:ascii="Garamond" w:eastAsia="Times New Roman" w:hAnsi="Garamond"/>
                <w:sz w:val="12"/>
                <w:szCs w:val="16"/>
                <w:lang w:eastAsia="en-US"/>
              </w:rPr>
              <w:t>, shëndetësia, mbrojtja sociale dhe fuqia punëtore</w:t>
            </w:r>
            <w:r w:rsidR="00FA534D"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Strategjia Kombëtare për Mbrojtjen Sociale 2024</w:t>
            </w:r>
            <w:r w:rsidR="00FA534D"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2030; </w:t>
            </w:r>
            <w:r w:rsidRPr="00024D5A">
              <w:rPr>
                <w:rFonts w:ascii="Garamond" w:eastAsia="Times New Roman" w:hAnsi="Garamond"/>
                <w:sz w:val="12"/>
                <w:szCs w:val="16"/>
                <w:lang w:eastAsia="en-US"/>
              </w:rPr>
              <w:br/>
              <w:t xml:space="preserve">Strategjia Ndërsektoriale </w:t>
            </w:r>
            <w:r w:rsidR="0078161D"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Agjenda Digjitale e Shqipërisë 2022</w:t>
            </w:r>
            <w:r w:rsidR="00BB175C"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2026</w:t>
            </w:r>
            <w:r w:rsidR="0078161D"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br/>
              <w:t>Strategjia Kombëtare e Zhvillimit të Sipërmarrjes Inovative, Shtylla III</w:t>
            </w:r>
            <w:r w:rsidR="007675EC"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Zhvillimi Gjithëpërfshirëse; </w:t>
            </w:r>
            <w:r w:rsidRPr="00024D5A">
              <w:rPr>
                <w:rFonts w:ascii="Garamond" w:eastAsia="Times New Roman" w:hAnsi="Garamond"/>
                <w:sz w:val="12"/>
                <w:szCs w:val="16"/>
                <w:lang w:eastAsia="en-US"/>
              </w:rPr>
              <w:br/>
              <w:t>Disability Employment Package (2022), paketë udhëzuese për politika punësimi/për</w:t>
            </w:r>
            <w:r w:rsidR="005A797A"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fshirje në tregun e punës. </w:t>
            </w:r>
            <w:r w:rsidRPr="00024D5A">
              <w:rPr>
                <w:rFonts w:ascii="Garamond" w:eastAsia="Times New Roman" w:hAnsi="Garamond"/>
                <w:sz w:val="12"/>
                <w:szCs w:val="16"/>
                <w:lang w:eastAsia="en-US"/>
              </w:rPr>
              <w:br/>
              <w:t xml:space="preserve">Shtylla Evropiane për të Drejtat Sociale, </w:t>
            </w:r>
            <w:r w:rsidR="005A797A" w:rsidRPr="00024D5A">
              <w:rPr>
                <w:rFonts w:ascii="Garamond" w:eastAsia="Times New Roman" w:hAnsi="Garamond"/>
                <w:sz w:val="12"/>
                <w:szCs w:val="16"/>
                <w:lang w:eastAsia="en-US"/>
              </w:rPr>
              <w:t xml:space="preserve">parimi </w:t>
            </w:r>
            <w:r w:rsidRPr="00024D5A">
              <w:rPr>
                <w:rFonts w:ascii="Garamond" w:eastAsia="Times New Roman" w:hAnsi="Garamond"/>
                <w:sz w:val="12"/>
                <w:szCs w:val="16"/>
                <w:lang w:eastAsia="en-US"/>
              </w:rPr>
              <w:t xml:space="preserve">17, OZHQ 8 </w:t>
            </w:r>
            <w:r w:rsidR="0078161D"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Promovimi i rritjes ekonomike të qëndrueshme, gjithëpërfshirëse e të qëndrueshme, punësim i plotë e produktiv dhe punë e denjë për të gjithë</w:t>
            </w:r>
            <w:r w:rsidR="0078161D"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8.5 (punësimi i denjë), 8.3 (produktiviteti), 8.2 (inovacioni), 8.6 (punësimi i të rinjve) dhe 8.8 (të drejtat në punë). </w:t>
            </w:r>
          </w:p>
        </w:tc>
      </w:tr>
      <w:tr w:rsidR="003E1630" w:rsidRPr="00024D5A" w14:paraId="7962C2C4" w14:textId="77777777" w:rsidTr="00070BC1">
        <w:trPr>
          <w:trHeight w:val="135"/>
        </w:trPr>
        <w:tc>
          <w:tcPr>
            <w:tcW w:w="895" w:type="dxa"/>
            <w:vMerge/>
            <w:vAlign w:val="center"/>
          </w:tcPr>
          <w:p w14:paraId="440BD2E6" w14:textId="77777777" w:rsidR="003E1630" w:rsidRPr="00024D5A" w:rsidRDefault="003E1630" w:rsidP="00791B1A">
            <w:pPr>
              <w:rPr>
                <w:rFonts w:ascii="Garamond" w:eastAsia="Times New Roman" w:hAnsi="Garamond"/>
                <w:b/>
                <w:bCs/>
                <w:sz w:val="12"/>
                <w:szCs w:val="16"/>
                <w:lang w:eastAsia="en-US"/>
              </w:rPr>
            </w:pPr>
          </w:p>
        </w:tc>
        <w:tc>
          <w:tcPr>
            <w:tcW w:w="1980" w:type="dxa"/>
            <w:vMerge/>
            <w:vAlign w:val="center"/>
          </w:tcPr>
          <w:p w14:paraId="14A69E3E" w14:textId="77777777" w:rsidR="003E1630" w:rsidRPr="00024D5A" w:rsidRDefault="003E1630" w:rsidP="00791B1A">
            <w:pPr>
              <w:rPr>
                <w:rFonts w:ascii="Garamond" w:eastAsia="Times New Roman" w:hAnsi="Garamond"/>
                <w:sz w:val="12"/>
                <w:szCs w:val="16"/>
                <w:lang w:eastAsia="en-US"/>
              </w:rPr>
            </w:pPr>
          </w:p>
        </w:tc>
        <w:tc>
          <w:tcPr>
            <w:tcW w:w="1980" w:type="dxa"/>
            <w:vMerge/>
            <w:vAlign w:val="center"/>
          </w:tcPr>
          <w:p w14:paraId="57117E73" w14:textId="77777777" w:rsidR="003E1630" w:rsidRPr="00024D5A" w:rsidRDefault="003E1630" w:rsidP="00791B1A">
            <w:pPr>
              <w:rPr>
                <w:rFonts w:ascii="Garamond" w:eastAsia="Times New Roman" w:hAnsi="Garamond"/>
                <w:sz w:val="12"/>
                <w:szCs w:val="16"/>
                <w:lang w:eastAsia="en-US"/>
              </w:rPr>
            </w:pPr>
          </w:p>
        </w:tc>
        <w:tc>
          <w:tcPr>
            <w:tcW w:w="720" w:type="dxa"/>
            <w:vMerge/>
            <w:vAlign w:val="center"/>
          </w:tcPr>
          <w:p w14:paraId="552CD805" w14:textId="77777777" w:rsidR="003E1630" w:rsidRPr="00024D5A" w:rsidRDefault="003E1630" w:rsidP="00791B1A">
            <w:pPr>
              <w:rPr>
                <w:rFonts w:ascii="Garamond" w:eastAsia="Times New Roman" w:hAnsi="Garamond"/>
                <w:sz w:val="12"/>
                <w:szCs w:val="16"/>
                <w:lang w:eastAsia="en-US"/>
              </w:rPr>
            </w:pPr>
          </w:p>
        </w:tc>
        <w:tc>
          <w:tcPr>
            <w:tcW w:w="720" w:type="dxa"/>
            <w:vMerge/>
            <w:vAlign w:val="center"/>
          </w:tcPr>
          <w:p w14:paraId="34681447" w14:textId="77777777" w:rsidR="003E1630" w:rsidRPr="00024D5A" w:rsidRDefault="003E1630" w:rsidP="00791B1A">
            <w:pPr>
              <w:rPr>
                <w:rFonts w:ascii="Garamond" w:eastAsia="Times New Roman" w:hAnsi="Garamond"/>
                <w:sz w:val="12"/>
                <w:szCs w:val="16"/>
                <w:lang w:eastAsia="en-US"/>
              </w:rPr>
            </w:pPr>
          </w:p>
        </w:tc>
        <w:tc>
          <w:tcPr>
            <w:tcW w:w="720" w:type="dxa"/>
            <w:vMerge/>
            <w:vAlign w:val="center"/>
          </w:tcPr>
          <w:p w14:paraId="17DEC72E" w14:textId="77777777" w:rsidR="003E1630" w:rsidRPr="00024D5A" w:rsidRDefault="003E1630" w:rsidP="00791B1A">
            <w:pPr>
              <w:rPr>
                <w:rFonts w:ascii="Garamond" w:eastAsia="Times New Roman" w:hAnsi="Garamond"/>
                <w:sz w:val="12"/>
                <w:szCs w:val="16"/>
                <w:lang w:eastAsia="en-US"/>
              </w:rPr>
            </w:pPr>
          </w:p>
        </w:tc>
        <w:tc>
          <w:tcPr>
            <w:tcW w:w="1260" w:type="dxa"/>
            <w:vMerge/>
            <w:vAlign w:val="center"/>
          </w:tcPr>
          <w:p w14:paraId="588BEBF4" w14:textId="77777777" w:rsidR="003E1630" w:rsidRPr="00024D5A" w:rsidRDefault="003E1630" w:rsidP="00791B1A">
            <w:pPr>
              <w:rPr>
                <w:rFonts w:ascii="Garamond" w:eastAsia="Times New Roman" w:hAnsi="Garamond"/>
                <w:sz w:val="12"/>
                <w:szCs w:val="16"/>
                <w:lang w:eastAsia="en-US"/>
              </w:rPr>
            </w:pPr>
          </w:p>
        </w:tc>
        <w:tc>
          <w:tcPr>
            <w:tcW w:w="1075" w:type="dxa"/>
            <w:vMerge/>
            <w:vAlign w:val="center"/>
          </w:tcPr>
          <w:p w14:paraId="0AE7CAFB" w14:textId="77777777" w:rsidR="003E1630" w:rsidRPr="00024D5A" w:rsidRDefault="003E1630" w:rsidP="00791B1A">
            <w:pPr>
              <w:rPr>
                <w:rFonts w:ascii="Garamond" w:eastAsia="Times New Roman" w:hAnsi="Garamond"/>
                <w:sz w:val="12"/>
                <w:szCs w:val="16"/>
                <w:lang w:eastAsia="en-US"/>
              </w:rPr>
            </w:pPr>
          </w:p>
        </w:tc>
      </w:tr>
      <w:tr w:rsidR="00070BC1" w:rsidRPr="00024D5A" w14:paraId="49A7F0D0" w14:textId="77777777" w:rsidTr="00F903C6">
        <w:trPr>
          <w:trHeight w:val="4995"/>
        </w:trPr>
        <w:tc>
          <w:tcPr>
            <w:tcW w:w="895" w:type="dxa"/>
            <w:shd w:val="clear" w:color="auto" w:fill="CAEDFA"/>
            <w:vAlign w:val="center"/>
          </w:tcPr>
          <w:p w14:paraId="7651B66F" w14:textId="77777777" w:rsidR="00070BC1" w:rsidRPr="00024D5A" w:rsidRDefault="00070BC1"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 </w:t>
            </w:r>
          </w:p>
          <w:p w14:paraId="5CD6D343" w14:textId="37D0AA59" w:rsidR="00070BC1" w:rsidRPr="00024D5A" w:rsidRDefault="00070BC1"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 </w:t>
            </w:r>
          </w:p>
        </w:tc>
        <w:tc>
          <w:tcPr>
            <w:tcW w:w="1980" w:type="dxa"/>
            <w:shd w:val="clear" w:color="auto" w:fill="CAEDFA"/>
          </w:tcPr>
          <w:p w14:paraId="38738722" w14:textId="2E9FA3AD" w:rsidR="00070BC1" w:rsidRPr="00024D5A" w:rsidRDefault="00070BC1"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Objektivi specifik 1</w:t>
            </w:r>
            <w:r w:rsidR="00AC5DA9">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Nxitja e pjesëmarrjes, zgjerimi i aksesit dhe përfitimit të nxënësve dhe kursantëve me aftësi të kufizuara nga programet e arsimit dhe formimit profesional, në përputhje me nevojat e tregut të punës dhe parimet e arsimit gjithëpërfshirës.</w:t>
            </w:r>
          </w:p>
        </w:tc>
        <w:tc>
          <w:tcPr>
            <w:tcW w:w="1980" w:type="dxa"/>
            <w:shd w:val="clear" w:color="auto" w:fill="CAEDFA"/>
          </w:tcPr>
          <w:p w14:paraId="4313FC5E" w14:textId="77777777" w:rsidR="00070BC1" w:rsidRPr="00024D5A" w:rsidRDefault="00070BC1"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Numri dhe përqindja e nxënësve/kursantëve me aftësi të kufizuara të regjistruar në programe AFP.</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Përqindja e institucioneve AFP që ofrojnë infrastrukturë dhe materiale mësimore të aksesueshme.</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Numri i programeve të AFP të përshtatura për personat me aftësi të kufizuara sipas nevojave të tregut të punës.</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Përqindja e të diplomuarve me aftësi të kufizuara që punësohen brenda 6-12 muajve pas përfundimit të programit.</w:t>
            </w:r>
          </w:p>
        </w:tc>
        <w:tc>
          <w:tcPr>
            <w:tcW w:w="720" w:type="dxa"/>
            <w:shd w:val="clear" w:color="auto" w:fill="CAEDFA"/>
          </w:tcPr>
          <w:p w14:paraId="1459B837" w14:textId="4629C675" w:rsidR="00070BC1" w:rsidRPr="00024D5A" w:rsidRDefault="00070BC1"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2% të total nxënës</w:t>
            </w:r>
            <w:r w:rsidR="007675EC"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kursantë </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0,4%</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p>
          <w:p w14:paraId="0F084550" w14:textId="77777777" w:rsidR="00070BC1" w:rsidRPr="00024D5A" w:rsidRDefault="00070BC1" w:rsidP="00791B1A">
            <w:pPr>
              <w:rPr>
                <w:rFonts w:ascii="Garamond" w:eastAsia="Times New Roman" w:hAnsi="Garamond"/>
                <w:sz w:val="12"/>
                <w:szCs w:val="16"/>
                <w:lang w:eastAsia="en-US"/>
              </w:rPr>
            </w:pPr>
          </w:p>
          <w:p w14:paraId="1F4DE015" w14:textId="50FCD871" w:rsidR="00070BC1" w:rsidRPr="00024D5A" w:rsidRDefault="00070BC1"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 xml:space="preserve">1 program </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p>
          <w:p w14:paraId="667F3014" w14:textId="77777777" w:rsidR="005A797A" w:rsidRPr="00024D5A" w:rsidRDefault="00070BC1"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36.4% nivel </w:t>
            </w:r>
          </w:p>
          <w:p w14:paraId="70C573E4" w14:textId="11629A71" w:rsidR="00070BC1" w:rsidRPr="00024D5A" w:rsidRDefault="00070BC1"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punësue</w:t>
            </w:r>
            <w:r w:rsidR="005A797A"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shmërie </w:t>
            </w:r>
          </w:p>
        </w:tc>
        <w:tc>
          <w:tcPr>
            <w:tcW w:w="720" w:type="dxa"/>
            <w:shd w:val="clear" w:color="auto" w:fill="CAEDFA"/>
          </w:tcPr>
          <w:p w14:paraId="038E3B71" w14:textId="34B9F8C8" w:rsidR="00070BC1" w:rsidRPr="00024D5A" w:rsidRDefault="00070BC1" w:rsidP="00791B1A">
            <w:pPr>
              <w:rPr>
                <w:rFonts w:ascii="Garamond" w:eastAsia="Times New Roman" w:hAnsi="Garamond"/>
                <w:sz w:val="12"/>
                <w:szCs w:val="16"/>
                <w:lang w:eastAsia="en-US"/>
              </w:rPr>
            </w:pPr>
            <w:r w:rsidRPr="00024D5A">
              <w:rPr>
                <w:rFonts w:ascii="Garamond" w:hAnsi="Garamond"/>
                <w:sz w:val="12"/>
                <w:shd w:val="clear" w:color="auto" w:fill="FFFFFF"/>
              </w:rPr>
              <w:t xml:space="preserve"> </w:t>
            </w:r>
            <w:r w:rsidRPr="00024D5A">
              <w:rPr>
                <w:rFonts w:ascii="Garamond" w:eastAsia="Times New Roman" w:hAnsi="Garamond"/>
                <w:sz w:val="12"/>
                <w:szCs w:val="16"/>
                <w:lang w:eastAsia="en-US"/>
              </w:rPr>
              <w:t>0.5%, 1% dhe 1.5% të total nxënës</w:t>
            </w:r>
            <w:r w:rsidR="007675EC"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kursantë</w:t>
            </w:r>
            <w:r w:rsidRPr="00024D5A">
              <w:rPr>
                <w:rFonts w:ascii="Garamond" w:eastAsia="Times New Roman" w:hAnsi="Garamond"/>
                <w:b/>
                <w:bCs/>
                <w:sz w:val="12"/>
                <w:szCs w:val="16"/>
                <w:lang w:eastAsia="en-US"/>
              </w:rPr>
              <w:t xml:space="preserve"> </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14% - 27%</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p>
          <w:p w14:paraId="2DBEA79C" w14:textId="77777777" w:rsidR="00070BC1" w:rsidRPr="00024D5A" w:rsidRDefault="00070BC1"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3 programe</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p>
          <w:p w14:paraId="328F5668" w14:textId="77777777" w:rsidR="005A797A" w:rsidRPr="00024D5A" w:rsidRDefault="00070BC1"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39.4% nivel </w:t>
            </w:r>
          </w:p>
          <w:p w14:paraId="0C1C5636" w14:textId="3FF2A2AE" w:rsidR="00070BC1" w:rsidRPr="00024D5A" w:rsidRDefault="00070BC1"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punësue</w:t>
            </w:r>
            <w:r w:rsidR="005A797A"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shmërie </w:t>
            </w:r>
          </w:p>
          <w:p w14:paraId="61FBF88C" w14:textId="14A987FA" w:rsidR="00070BC1" w:rsidRPr="00024D5A" w:rsidRDefault="00070BC1" w:rsidP="00791B1A">
            <w:pPr>
              <w:rPr>
                <w:rFonts w:ascii="Garamond" w:eastAsia="Times New Roman" w:hAnsi="Garamond"/>
                <w:sz w:val="12"/>
                <w:szCs w:val="16"/>
                <w:lang w:eastAsia="en-US"/>
              </w:rPr>
            </w:pPr>
          </w:p>
        </w:tc>
        <w:tc>
          <w:tcPr>
            <w:tcW w:w="720" w:type="dxa"/>
            <w:shd w:val="clear" w:color="auto" w:fill="CAEDFA"/>
          </w:tcPr>
          <w:p w14:paraId="7A2427DC" w14:textId="0BCB4048" w:rsidR="00070BC1" w:rsidRPr="00024D5A" w:rsidRDefault="00070BC1"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 2% dhe 2.5% të total nxënës</w:t>
            </w:r>
            <w:r w:rsidR="007675EC"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kursantë </w:t>
            </w:r>
          </w:p>
          <w:p w14:paraId="1C96FEA1" w14:textId="77777777" w:rsidR="00070BC1" w:rsidRPr="00024D5A" w:rsidRDefault="00070BC1"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 xml:space="preserve">20% - 33% </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 xml:space="preserve"> </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p>
          <w:p w14:paraId="6019E652" w14:textId="77777777" w:rsidR="00070BC1" w:rsidRPr="00024D5A" w:rsidRDefault="00070BC1" w:rsidP="00791B1A">
            <w:pPr>
              <w:rPr>
                <w:rFonts w:ascii="Garamond" w:eastAsia="Times New Roman" w:hAnsi="Garamond"/>
                <w:sz w:val="12"/>
                <w:szCs w:val="16"/>
                <w:lang w:eastAsia="en-US"/>
              </w:rPr>
            </w:pPr>
          </w:p>
          <w:p w14:paraId="5BB61DFF" w14:textId="77777777" w:rsidR="00070BC1" w:rsidRPr="00024D5A" w:rsidRDefault="00070BC1" w:rsidP="00791B1A">
            <w:pPr>
              <w:rPr>
                <w:rFonts w:ascii="Garamond" w:eastAsia="Times New Roman" w:hAnsi="Garamond"/>
                <w:sz w:val="12"/>
                <w:szCs w:val="16"/>
                <w:lang w:eastAsia="en-US"/>
              </w:rPr>
            </w:pPr>
          </w:p>
          <w:p w14:paraId="7AA3AB6D" w14:textId="5A57D150" w:rsidR="00070BC1" w:rsidRPr="00024D5A" w:rsidRDefault="00070BC1"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41.4% nivel punësue</w:t>
            </w:r>
            <w:r w:rsidR="005A797A"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shmërie</w:t>
            </w:r>
          </w:p>
          <w:p w14:paraId="1A7B037B" w14:textId="40270858" w:rsidR="00070BC1" w:rsidRPr="00024D5A" w:rsidRDefault="00070BC1" w:rsidP="00791B1A">
            <w:pPr>
              <w:rPr>
                <w:rFonts w:ascii="Garamond" w:eastAsia="Times New Roman" w:hAnsi="Garamond"/>
                <w:sz w:val="12"/>
                <w:szCs w:val="16"/>
                <w:lang w:eastAsia="en-US"/>
              </w:rPr>
            </w:pPr>
          </w:p>
        </w:tc>
        <w:tc>
          <w:tcPr>
            <w:tcW w:w="1260" w:type="dxa"/>
            <w:shd w:val="clear" w:color="auto" w:fill="CAEDFA"/>
          </w:tcPr>
          <w:p w14:paraId="7C413961" w14:textId="77777777" w:rsidR="00070BC1" w:rsidRPr="00024D5A" w:rsidRDefault="00070BC1"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Sistemi SMIP;</w:t>
            </w:r>
            <w:r w:rsidRPr="00024D5A">
              <w:rPr>
                <w:rFonts w:ascii="Garamond" w:hAnsi="Garamond"/>
                <w:sz w:val="12"/>
              </w:rPr>
              <w:br/>
            </w:r>
            <w:r w:rsidRPr="00024D5A">
              <w:rPr>
                <w:rFonts w:ascii="Garamond" w:eastAsia="Times New Roman" w:hAnsi="Garamond"/>
                <w:sz w:val="12"/>
                <w:szCs w:val="16"/>
                <w:lang w:eastAsia="en-US"/>
              </w:rPr>
              <w:t>Regjistrat e institucioneve AFP; INSTAT</w:t>
            </w:r>
            <w:r w:rsidRPr="00024D5A">
              <w:rPr>
                <w:rFonts w:ascii="Garamond" w:hAnsi="Garamond"/>
                <w:sz w:val="12"/>
              </w:rPr>
              <w:br/>
            </w:r>
            <w:r w:rsidRPr="00024D5A">
              <w:rPr>
                <w:rFonts w:ascii="Garamond" w:eastAsia="Times New Roman" w:hAnsi="Garamond"/>
                <w:sz w:val="12"/>
                <w:szCs w:val="16"/>
                <w:lang w:eastAsia="en-US"/>
              </w:rPr>
              <w:t>Raporte vjetore të Ministrisë së Arsimit;</w:t>
            </w:r>
            <w:r w:rsidRPr="00024D5A">
              <w:rPr>
                <w:rFonts w:ascii="Garamond" w:hAnsi="Garamond"/>
                <w:sz w:val="12"/>
              </w:rPr>
              <w:br/>
            </w:r>
            <w:r w:rsidRPr="00024D5A">
              <w:rPr>
                <w:rFonts w:ascii="Garamond" w:eastAsia="Times New Roman" w:hAnsi="Garamond"/>
                <w:sz w:val="12"/>
                <w:szCs w:val="16"/>
                <w:lang w:eastAsia="en-US"/>
              </w:rPr>
              <w:t>Auditime infrastrukturore; Raporte inspektimi;</w:t>
            </w:r>
            <w:r w:rsidRPr="00024D5A">
              <w:rPr>
                <w:rFonts w:ascii="Garamond" w:hAnsi="Garamond"/>
                <w:sz w:val="12"/>
              </w:rPr>
              <w:br/>
            </w:r>
            <w:r w:rsidRPr="00024D5A">
              <w:rPr>
                <w:rFonts w:ascii="Garamond" w:eastAsia="Times New Roman" w:hAnsi="Garamond"/>
                <w:sz w:val="12"/>
                <w:szCs w:val="16"/>
                <w:lang w:eastAsia="en-US"/>
              </w:rPr>
              <w:t>Vendime të Agjencisë së AFP; Korniza Kombëtare e Kualifikimeve</w:t>
            </w:r>
            <w:r w:rsidRPr="00024D5A">
              <w:rPr>
                <w:rFonts w:ascii="Garamond" w:hAnsi="Garamond"/>
                <w:sz w:val="12"/>
              </w:rPr>
              <w:br/>
            </w:r>
            <w:r w:rsidRPr="00024D5A">
              <w:rPr>
                <w:rFonts w:ascii="Garamond" w:eastAsia="Times New Roman" w:hAnsi="Garamond"/>
                <w:sz w:val="12"/>
                <w:szCs w:val="16"/>
                <w:lang w:eastAsia="en-US"/>
              </w:rPr>
              <w:t>SMIP;</w:t>
            </w:r>
            <w:r w:rsidRPr="00024D5A">
              <w:rPr>
                <w:rFonts w:ascii="Garamond" w:hAnsi="Garamond"/>
                <w:sz w:val="12"/>
              </w:rPr>
              <w:br/>
            </w:r>
            <w:r w:rsidRPr="00024D5A">
              <w:rPr>
                <w:rFonts w:ascii="Garamond" w:eastAsia="Times New Roman" w:hAnsi="Garamond"/>
                <w:sz w:val="12"/>
                <w:szCs w:val="16"/>
                <w:lang w:eastAsia="en-US"/>
              </w:rPr>
              <w:t>Regjistra diplomimi;</w:t>
            </w:r>
            <w:r w:rsidRPr="00024D5A">
              <w:rPr>
                <w:rFonts w:ascii="Garamond" w:hAnsi="Garamond"/>
                <w:sz w:val="12"/>
              </w:rPr>
              <w:br/>
            </w:r>
            <w:r w:rsidRPr="00024D5A">
              <w:rPr>
                <w:rFonts w:ascii="Garamond" w:eastAsia="Times New Roman" w:hAnsi="Garamond"/>
                <w:sz w:val="12"/>
                <w:szCs w:val="16"/>
                <w:lang w:eastAsia="en-US"/>
              </w:rPr>
              <w:t xml:space="preserve">Baza e të dhënave e AKPA; </w:t>
            </w:r>
            <w:r w:rsidRPr="00024D5A">
              <w:rPr>
                <w:rFonts w:ascii="Garamond" w:hAnsi="Garamond"/>
                <w:sz w:val="12"/>
              </w:rPr>
              <w:br/>
            </w:r>
            <w:r w:rsidRPr="00024D5A">
              <w:rPr>
                <w:rFonts w:ascii="Garamond" w:eastAsia="Times New Roman" w:hAnsi="Garamond"/>
                <w:sz w:val="12"/>
                <w:szCs w:val="16"/>
                <w:lang w:eastAsia="en-US"/>
              </w:rPr>
              <w:t xml:space="preserve">Ndjekje gjurmimi </w:t>
            </w:r>
            <w:r w:rsidRPr="00024D5A">
              <w:rPr>
                <w:rFonts w:ascii="Garamond" w:eastAsia="Times New Roman" w:hAnsi="Garamond"/>
                <w:i/>
                <w:iCs/>
                <w:sz w:val="12"/>
                <w:szCs w:val="16"/>
                <w:lang w:eastAsia="en-US"/>
              </w:rPr>
              <w:t>(tracer studies)</w:t>
            </w:r>
          </w:p>
        </w:tc>
        <w:tc>
          <w:tcPr>
            <w:tcW w:w="1075" w:type="dxa"/>
            <w:shd w:val="clear" w:color="auto" w:fill="B7DEE8"/>
          </w:tcPr>
          <w:p w14:paraId="34276DC1" w14:textId="277F48A8" w:rsidR="005A797A" w:rsidRPr="00024D5A" w:rsidRDefault="00070BC1"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Ligji nr. 15/2019</w:t>
            </w:r>
            <w:r w:rsidR="005A797A"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“Për nxitjen e punësimit”</w:t>
            </w:r>
            <w:r w:rsidR="005A797A" w:rsidRPr="00024D5A">
              <w:rPr>
                <w:rFonts w:ascii="Garamond" w:eastAsia="Times New Roman" w:hAnsi="Garamond"/>
                <w:sz w:val="12"/>
                <w:szCs w:val="16"/>
                <w:lang w:eastAsia="en-US"/>
              </w:rPr>
              <w:t xml:space="preserve"> </w:t>
            </w:r>
            <w:r w:rsidRPr="00024D5A">
              <w:rPr>
                <w:rFonts w:ascii="Garamond" w:eastAsia="Times New Roman" w:hAnsi="Garamond"/>
                <w:sz w:val="12"/>
                <w:szCs w:val="16"/>
                <w:lang w:eastAsia="en-US"/>
              </w:rPr>
              <w:t xml:space="preserve">- </w:t>
            </w:r>
            <w:r w:rsidR="005A797A" w:rsidRPr="00024D5A">
              <w:rPr>
                <w:rFonts w:ascii="Garamond" w:eastAsia="Times New Roman" w:hAnsi="Garamond"/>
                <w:sz w:val="12"/>
                <w:szCs w:val="16"/>
                <w:lang w:eastAsia="en-US"/>
              </w:rPr>
              <w:t xml:space="preserve">ligji </w:t>
            </w:r>
            <w:r w:rsidRPr="00024D5A">
              <w:rPr>
                <w:rFonts w:ascii="Garamond" w:eastAsia="Times New Roman" w:hAnsi="Garamond"/>
                <w:sz w:val="12"/>
                <w:szCs w:val="16"/>
                <w:lang w:eastAsia="en-US"/>
              </w:rPr>
              <w:t>nr. 93/2014</w:t>
            </w:r>
            <w:r w:rsidR="005A797A"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“Për përfshirjen dhe aksesueshmërinë e personave me aftësi të kufizuara”; </w:t>
            </w:r>
            <w:r w:rsidRPr="00024D5A">
              <w:rPr>
                <w:rFonts w:ascii="Garamond" w:hAnsi="Garamond"/>
                <w:sz w:val="12"/>
              </w:rPr>
              <w:br/>
            </w:r>
            <w:r w:rsidR="005A797A" w:rsidRPr="00024D5A">
              <w:rPr>
                <w:rFonts w:ascii="Garamond" w:eastAsia="Times New Roman" w:hAnsi="Garamond"/>
                <w:sz w:val="12"/>
                <w:szCs w:val="16"/>
                <w:lang w:eastAsia="en-US"/>
              </w:rPr>
              <w:t xml:space="preserve">ligji </w:t>
            </w:r>
            <w:r w:rsidRPr="00024D5A">
              <w:rPr>
                <w:rFonts w:ascii="Garamond" w:eastAsia="Times New Roman" w:hAnsi="Garamond"/>
                <w:sz w:val="12"/>
                <w:szCs w:val="16"/>
                <w:lang w:eastAsia="en-US"/>
              </w:rPr>
              <w:t>për arsimin parauniversitar</w:t>
            </w:r>
            <w:r w:rsidR="005A797A" w:rsidRPr="00024D5A">
              <w:rPr>
                <w:rFonts w:ascii="Garamond" w:eastAsia="Times New Roman" w:hAnsi="Garamond"/>
                <w:sz w:val="12"/>
                <w:szCs w:val="16"/>
                <w:lang w:eastAsia="en-US"/>
              </w:rPr>
              <w:t xml:space="preserve">; ligji </w:t>
            </w:r>
            <w:r w:rsidRPr="00024D5A">
              <w:rPr>
                <w:rFonts w:ascii="Garamond" w:eastAsia="Times New Roman" w:hAnsi="Garamond"/>
                <w:sz w:val="12"/>
                <w:szCs w:val="16"/>
                <w:lang w:eastAsia="en-US"/>
              </w:rPr>
              <w:t>për arsimin dhe Formimin Profesional;</w:t>
            </w:r>
            <w:r w:rsidRPr="00024D5A">
              <w:rPr>
                <w:rFonts w:ascii="Garamond" w:hAnsi="Garamond"/>
                <w:sz w:val="12"/>
              </w:rPr>
              <w:br/>
            </w:r>
            <w:r w:rsidRPr="00024D5A">
              <w:rPr>
                <w:rFonts w:ascii="Garamond" w:eastAsia="Times New Roman" w:hAnsi="Garamond"/>
                <w:sz w:val="12"/>
                <w:szCs w:val="16"/>
                <w:lang w:eastAsia="en-US"/>
              </w:rPr>
              <w:t xml:space="preserve">Strategjia e BE-së për të Drejtat e Personave me Aftësi të Kufizuara </w:t>
            </w:r>
            <w:r w:rsidR="008639DB" w:rsidRPr="00024D5A">
              <w:rPr>
                <w:rFonts w:ascii="Garamond" w:eastAsia="Times New Roman" w:hAnsi="Garamond"/>
                <w:sz w:val="12"/>
                <w:szCs w:val="16"/>
                <w:lang w:eastAsia="en-US"/>
              </w:rPr>
              <w:t>2021–2030</w:t>
            </w:r>
            <w:r w:rsidRPr="00024D5A">
              <w:rPr>
                <w:rFonts w:ascii="Garamond" w:eastAsia="Times New Roman" w:hAnsi="Garamond"/>
                <w:sz w:val="12"/>
                <w:szCs w:val="16"/>
                <w:lang w:eastAsia="en-US"/>
              </w:rPr>
              <w:t xml:space="preserve">; </w:t>
            </w:r>
            <w:r w:rsidRPr="00024D5A">
              <w:rPr>
                <w:rFonts w:ascii="Garamond" w:hAnsi="Garamond"/>
                <w:sz w:val="12"/>
              </w:rPr>
              <w:br/>
            </w:r>
            <w:r w:rsidRPr="00024D5A">
              <w:rPr>
                <w:rFonts w:ascii="Garamond" w:eastAsia="Times New Roman" w:hAnsi="Garamond"/>
                <w:sz w:val="12"/>
              </w:rPr>
              <w:t xml:space="preserve"> </w:t>
            </w:r>
            <w:r w:rsidRPr="00024D5A">
              <w:rPr>
                <w:rFonts w:ascii="Garamond" w:eastAsia="Times New Roman" w:hAnsi="Garamond"/>
                <w:sz w:val="12"/>
                <w:szCs w:val="16"/>
              </w:rPr>
              <w:t>KDPAK</w:t>
            </w:r>
            <w:r w:rsidRPr="00024D5A">
              <w:rPr>
                <w:rFonts w:ascii="Garamond" w:eastAsia="Times New Roman" w:hAnsi="Garamond"/>
                <w:sz w:val="12"/>
                <w:szCs w:val="16"/>
                <w:lang w:eastAsia="en-US"/>
              </w:rPr>
              <w:t xml:space="preserve"> (</w:t>
            </w:r>
            <w:r w:rsidR="005A797A" w:rsidRPr="00024D5A">
              <w:rPr>
                <w:rFonts w:ascii="Garamond" w:eastAsia="Times New Roman" w:hAnsi="Garamond"/>
                <w:sz w:val="12"/>
                <w:szCs w:val="16"/>
                <w:lang w:eastAsia="en-US"/>
              </w:rPr>
              <w:t xml:space="preserve">neni </w:t>
            </w:r>
            <w:r w:rsidRPr="00024D5A">
              <w:rPr>
                <w:rFonts w:ascii="Garamond" w:eastAsia="Times New Roman" w:hAnsi="Garamond"/>
                <w:sz w:val="12"/>
                <w:szCs w:val="16"/>
                <w:lang w:eastAsia="en-US"/>
              </w:rPr>
              <w:t>9 - Aksesueshmëria);</w:t>
            </w:r>
            <w:r w:rsidRPr="00024D5A">
              <w:rPr>
                <w:rFonts w:ascii="Garamond" w:hAnsi="Garamond"/>
                <w:sz w:val="12"/>
              </w:rPr>
              <w:br/>
            </w:r>
            <w:r w:rsidRPr="00024D5A">
              <w:rPr>
                <w:rFonts w:ascii="Garamond" w:eastAsia="Times New Roman" w:hAnsi="Garamond"/>
                <w:sz w:val="12"/>
                <w:szCs w:val="16"/>
                <w:lang w:eastAsia="en-US"/>
              </w:rPr>
              <w:t xml:space="preserve">Udhëzimet e UNESCO-s për </w:t>
            </w:r>
            <w:r w:rsidR="005A797A" w:rsidRPr="00024D5A">
              <w:rPr>
                <w:rFonts w:ascii="Garamond" w:eastAsia="Times New Roman" w:hAnsi="Garamond"/>
                <w:sz w:val="12"/>
                <w:szCs w:val="16"/>
                <w:lang w:eastAsia="en-US"/>
              </w:rPr>
              <w:t>arsimin gjithëpërfshirës</w:t>
            </w:r>
            <w:r w:rsidRPr="00024D5A">
              <w:rPr>
                <w:rFonts w:ascii="Garamond" w:eastAsia="Times New Roman" w:hAnsi="Garamond"/>
                <w:sz w:val="12"/>
                <w:szCs w:val="16"/>
                <w:lang w:eastAsia="en-US"/>
              </w:rPr>
              <w:t>;</w:t>
            </w:r>
            <w:r w:rsidRPr="00024D5A">
              <w:rPr>
                <w:rFonts w:ascii="Garamond" w:hAnsi="Garamond"/>
                <w:sz w:val="12"/>
              </w:rPr>
              <w:br/>
            </w:r>
            <w:r w:rsidRPr="00024D5A">
              <w:rPr>
                <w:rFonts w:ascii="Garamond" w:eastAsia="Times New Roman" w:hAnsi="Garamond"/>
                <w:sz w:val="12"/>
              </w:rPr>
              <w:t xml:space="preserve"> </w:t>
            </w:r>
            <w:r w:rsidRPr="00024D5A">
              <w:rPr>
                <w:rFonts w:ascii="Garamond" w:eastAsia="Times New Roman" w:hAnsi="Garamond"/>
                <w:sz w:val="12"/>
                <w:szCs w:val="16"/>
              </w:rPr>
              <w:t>KDPAK</w:t>
            </w:r>
            <w:r w:rsidRPr="00024D5A">
              <w:rPr>
                <w:rFonts w:ascii="Garamond" w:eastAsia="Times New Roman" w:hAnsi="Garamond"/>
                <w:sz w:val="12"/>
                <w:szCs w:val="16"/>
                <w:lang w:eastAsia="en-US"/>
              </w:rPr>
              <w:t xml:space="preserve"> (</w:t>
            </w:r>
            <w:r w:rsidR="005A797A" w:rsidRPr="00024D5A">
              <w:rPr>
                <w:rFonts w:ascii="Garamond" w:eastAsia="Times New Roman" w:hAnsi="Garamond"/>
                <w:sz w:val="12"/>
                <w:szCs w:val="16"/>
                <w:lang w:eastAsia="en-US"/>
              </w:rPr>
              <w:t xml:space="preserve">neni </w:t>
            </w:r>
            <w:r w:rsidRPr="00024D5A">
              <w:rPr>
                <w:rFonts w:ascii="Garamond" w:eastAsia="Times New Roman" w:hAnsi="Garamond"/>
                <w:sz w:val="12"/>
                <w:szCs w:val="16"/>
                <w:lang w:eastAsia="en-US"/>
              </w:rPr>
              <w:t xml:space="preserve">24 </w:t>
            </w:r>
            <w:r w:rsidR="005A797A"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w:t>
            </w:r>
            <w:r w:rsidR="005A797A" w:rsidRPr="00024D5A">
              <w:rPr>
                <w:rFonts w:ascii="Garamond" w:eastAsia="Times New Roman" w:hAnsi="Garamond"/>
                <w:sz w:val="12"/>
                <w:szCs w:val="16"/>
                <w:lang w:eastAsia="en-US"/>
              </w:rPr>
              <w:t>arsimi</w:t>
            </w:r>
            <w:r w:rsidRPr="00024D5A">
              <w:rPr>
                <w:rFonts w:ascii="Garamond" w:eastAsia="Times New Roman" w:hAnsi="Garamond"/>
                <w:sz w:val="12"/>
                <w:szCs w:val="16"/>
                <w:lang w:eastAsia="en-US"/>
              </w:rPr>
              <w:t>);</w:t>
            </w:r>
            <w:r w:rsidRPr="00024D5A">
              <w:rPr>
                <w:rFonts w:ascii="Garamond" w:hAnsi="Garamond"/>
                <w:sz w:val="12"/>
              </w:rPr>
              <w:br/>
            </w:r>
            <w:r w:rsidRPr="00024D5A">
              <w:rPr>
                <w:rFonts w:ascii="Garamond" w:eastAsia="Times New Roman" w:hAnsi="Garamond"/>
                <w:sz w:val="12"/>
                <w:szCs w:val="16"/>
              </w:rPr>
              <w:t xml:space="preserve"> KDPAK</w:t>
            </w:r>
            <w:r w:rsidRPr="00024D5A">
              <w:rPr>
                <w:rFonts w:ascii="Garamond" w:eastAsia="Times New Roman" w:hAnsi="Garamond"/>
                <w:sz w:val="12"/>
                <w:szCs w:val="16"/>
                <w:lang w:eastAsia="en-US"/>
              </w:rPr>
              <w:t xml:space="preserve"> (</w:t>
            </w:r>
            <w:r w:rsidR="005A797A" w:rsidRPr="00024D5A">
              <w:rPr>
                <w:rFonts w:ascii="Garamond" w:eastAsia="Times New Roman" w:hAnsi="Garamond"/>
                <w:sz w:val="12"/>
                <w:szCs w:val="16"/>
                <w:lang w:eastAsia="en-US"/>
              </w:rPr>
              <w:t xml:space="preserve">neni </w:t>
            </w:r>
            <w:r w:rsidRPr="00024D5A">
              <w:rPr>
                <w:rFonts w:ascii="Garamond" w:eastAsia="Times New Roman" w:hAnsi="Garamond"/>
                <w:sz w:val="12"/>
                <w:szCs w:val="16"/>
                <w:lang w:eastAsia="en-US"/>
              </w:rPr>
              <w:t xml:space="preserve">31 </w:t>
            </w:r>
            <w:r w:rsidR="005A797A"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w:t>
            </w:r>
            <w:r w:rsidR="005A797A" w:rsidRPr="00024D5A">
              <w:rPr>
                <w:rFonts w:ascii="Garamond" w:eastAsia="Times New Roman" w:hAnsi="Garamond"/>
                <w:sz w:val="12"/>
                <w:szCs w:val="16"/>
                <w:lang w:eastAsia="en-US"/>
              </w:rPr>
              <w:t xml:space="preserve">statistikat </w:t>
            </w:r>
            <w:r w:rsidRPr="00024D5A">
              <w:rPr>
                <w:rFonts w:ascii="Garamond" w:eastAsia="Times New Roman" w:hAnsi="Garamond"/>
                <w:sz w:val="12"/>
                <w:szCs w:val="16"/>
                <w:lang w:eastAsia="en-US"/>
              </w:rPr>
              <w:t>dhe mbledhja e të dhënave)</w:t>
            </w:r>
            <w:r w:rsidR="005A797A"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w:t>
            </w:r>
          </w:p>
          <w:p w14:paraId="6D434B2D" w14:textId="4EC94064" w:rsidR="00070BC1" w:rsidRPr="00024D5A" w:rsidRDefault="005A797A"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S</w:t>
            </w:r>
            <w:r w:rsidR="00070BC1" w:rsidRPr="00024D5A">
              <w:rPr>
                <w:rFonts w:ascii="Garamond" w:eastAsia="Times New Roman" w:hAnsi="Garamond"/>
                <w:sz w:val="12"/>
                <w:szCs w:val="16"/>
                <w:lang w:eastAsia="en-US"/>
              </w:rPr>
              <w:t>htylla Evropiane e të Drejtave Sociale, parimi 17</w:t>
            </w:r>
            <w:r w:rsidRPr="00024D5A">
              <w:rPr>
                <w:rFonts w:ascii="Garamond" w:eastAsia="Times New Roman" w:hAnsi="Garamond"/>
                <w:sz w:val="12"/>
                <w:szCs w:val="16"/>
                <w:lang w:eastAsia="en-US"/>
              </w:rPr>
              <w:t>.</w:t>
            </w:r>
            <w:r w:rsidR="00070BC1" w:rsidRPr="00024D5A">
              <w:rPr>
                <w:rFonts w:ascii="Garamond" w:hAnsi="Garamond"/>
                <w:sz w:val="12"/>
              </w:rPr>
              <w:br/>
            </w:r>
          </w:p>
        </w:tc>
      </w:tr>
      <w:tr w:rsidR="00070BC1" w:rsidRPr="00024D5A" w14:paraId="027AC044" w14:textId="77777777" w:rsidTr="00F903C6">
        <w:trPr>
          <w:trHeight w:val="4185"/>
        </w:trPr>
        <w:tc>
          <w:tcPr>
            <w:tcW w:w="895" w:type="dxa"/>
            <w:shd w:val="clear" w:color="auto" w:fill="CAEDFA"/>
          </w:tcPr>
          <w:p w14:paraId="2B303D7C" w14:textId="77777777" w:rsidR="00070BC1" w:rsidRPr="00024D5A" w:rsidRDefault="00070BC1"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 </w:t>
            </w:r>
          </w:p>
          <w:p w14:paraId="74B38FCA" w14:textId="77777777" w:rsidR="00070BC1" w:rsidRPr="00024D5A" w:rsidRDefault="00070BC1"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 </w:t>
            </w:r>
          </w:p>
          <w:p w14:paraId="3F53EF27" w14:textId="27A03F1B" w:rsidR="00070BC1" w:rsidRPr="00024D5A" w:rsidRDefault="00070BC1"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 </w:t>
            </w:r>
          </w:p>
        </w:tc>
        <w:tc>
          <w:tcPr>
            <w:tcW w:w="1980" w:type="dxa"/>
            <w:shd w:val="clear" w:color="auto" w:fill="CAEDFA"/>
          </w:tcPr>
          <w:p w14:paraId="120A883B" w14:textId="48783FFC" w:rsidR="00070BC1" w:rsidRPr="00024D5A" w:rsidRDefault="00070BC1"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Objektivi specifik 2</w:t>
            </w:r>
            <w:r w:rsidR="00AC5DA9">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Zgjerimi dhe konsolidimi i shërbimeve të punësimit që synojnë fuqizimin ekonomik dhe përfshirjen në tregun e punës të personave me aftësi të kufizuara, përmes konsolidimit të shërbimeve dhe programeve të aftësimit dhe punësimit dhe ngritjes dhe konsolidimit të Fondit Social të Punësimit. </w:t>
            </w:r>
          </w:p>
        </w:tc>
        <w:tc>
          <w:tcPr>
            <w:tcW w:w="1980" w:type="dxa"/>
            <w:shd w:val="clear" w:color="auto" w:fill="CAEDFA"/>
          </w:tcPr>
          <w:p w14:paraId="391909D7" w14:textId="77777777" w:rsidR="00070BC1" w:rsidRPr="00024D5A" w:rsidRDefault="00070BC1"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Numri i personave me aftësi të kufizuara të regjistruar në shërbimet publike të punësimit.</w:t>
            </w:r>
            <w:r w:rsidRPr="00024D5A">
              <w:rPr>
                <w:rFonts w:ascii="Garamond" w:eastAsia="Times New Roman" w:hAnsi="Garamond"/>
                <w:sz w:val="12"/>
                <w:szCs w:val="16"/>
                <w:lang w:eastAsia="en-US"/>
              </w:rPr>
              <w:br/>
              <w:t>Numri i përfituesve nga programet aktive të tregut të punës (subvencione, trajnime, ndërmjetësim).</w:t>
            </w:r>
            <w:r w:rsidRPr="00024D5A">
              <w:rPr>
                <w:rFonts w:ascii="Garamond" w:eastAsia="Times New Roman" w:hAnsi="Garamond"/>
                <w:sz w:val="12"/>
                <w:szCs w:val="16"/>
                <w:lang w:eastAsia="en-US"/>
              </w:rPr>
              <w:br/>
              <w:t>Përqindja e përfituesve që punësohen pas përfundimit të programit.</w:t>
            </w:r>
            <w:r w:rsidRPr="00024D5A">
              <w:rPr>
                <w:rFonts w:ascii="Garamond" w:eastAsia="Times New Roman" w:hAnsi="Garamond"/>
                <w:sz w:val="12"/>
                <w:szCs w:val="16"/>
                <w:lang w:eastAsia="en-US"/>
              </w:rPr>
              <w:br/>
              <w:t>Shuma vjetore e alokuar në Fondin Social të Punësimit.</w:t>
            </w:r>
            <w:r w:rsidRPr="00024D5A">
              <w:rPr>
                <w:rFonts w:ascii="Garamond" w:eastAsia="Times New Roman" w:hAnsi="Garamond"/>
                <w:sz w:val="12"/>
                <w:szCs w:val="16"/>
                <w:lang w:eastAsia="en-US"/>
              </w:rPr>
              <w:br/>
              <w:t>Numri i bizneseve që përfitojnë nga skemat mbështetëse për punësimin e personave me aftësi të kufizuara.</w:t>
            </w:r>
            <w:r w:rsidRPr="00024D5A">
              <w:rPr>
                <w:rFonts w:ascii="Garamond" w:eastAsia="Times New Roman" w:hAnsi="Garamond"/>
                <w:sz w:val="12"/>
                <w:szCs w:val="16"/>
                <w:lang w:eastAsia="en-US"/>
              </w:rPr>
              <w:br/>
            </w:r>
          </w:p>
        </w:tc>
        <w:tc>
          <w:tcPr>
            <w:tcW w:w="720" w:type="dxa"/>
            <w:shd w:val="clear" w:color="auto" w:fill="CAEDFA"/>
          </w:tcPr>
          <w:p w14:paraId="62F1F4E8" w14:textId="68DE45C9" w:rsidR="00070BC1" w:rsidRPr="00024D5A" w:rsidRDefault="00070BC1"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5% e të regjistruar</w:t>
            </w:r>
            <w:r w:rsidR="00544401"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ve në SSHP janë PAK</w:t>
            </w:r>
          </w:p>
          <w:p w14:paraId="00FEEA34" w14:textId="77156EC6" w:rsidR="00070BC1" w:rsidRPr="00024D5A" w:rsidRDefault="00070BC1"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168 përfitues PAK në programet e reja</w:t>
            </w:r>
          </w:p>
          <w:p w14:paraId="485F2876" w14:textId="77777777" w:rsidR="005A797A" w:rsidRPr="00024D5A" w:rsidRDefault="00070BC1"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33.3% nivel </w:t>
            </w:r>
          </w:p>
          <w:p w14:paraId="1567E0B6" w14:textId="05A01EA6" w:rsidR="00070BC1" w:rsidRPr="00024D5A" w:rsidRDefault="00070BC1"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punësue</w:t>
            </w:r>
            <w:r w:rsidR="005A797A"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shmërie </w:t>
            </w:r>
          </w:p>
          <w:p w14:paraId="109B3EBF" w14:textId="041A48AC" w:rsidR="00070BC1" w:rsidRPr="00024D5A" w:rsidRDefault="00070BC1"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50 subjekte</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 xml:space="preserve"> N/A </w:t>
            </w:r>
          </w:p>
        </w:tc>
        <w:tc>
          <w:tcPr>
            <w:tcW w:w="720" w:type="dxa"/>
            <w:shd w:val="clear" w:color="auto" w:fill="CAEDFA"/>
          </w:tcPr>
          <w:p w14:paraId="6327575F" w14:textId="32281ED7" w:rsidR="00070BC1" w:rsidRPr="00024D5A" w:rsidRDefault="00070BC1"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6.5% e të regjistruar</w:t>
            </w:r>
            <w:r w:rsidR="00544401"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ve në SSHP janë PAK </w:t>
            </w:r>
          </w:p>
          <w:p w14:paraId="29914D92" w14:textId="77777777" w:rsidR="00070BC1" w:rsidRPr="00024D5A" w:rsidRDefault="00070BC1" w:rsidP="00791B1A">
            <w:pPr>
              <w:rPr>
                <w:rFonts w:ascii="Garamond" w:hAnsi="Garamond"/>
                <w:sz w:val="12"/>
              </w:rPr>
            </w:pP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hAnsi="Garamond"/>
                <w:sz w:val="12"/>
              </w:rPr>
              <w:t xml:space="preserve"> </w:t>
            </w:r>
          </w:p>
          <w:p w14:paraId="5633A6BD" w14:textId="74A99A4C" w:rsidR="00070BC1" w:rsidRPr="00024D5A" w:rsidRDefault="00070BC1"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5%, 10% dhe 15% mbi vlerën bazë</w:t>
            </w:r>
          </w:p>
          <w:p w14:paraId="55B1D333" w14:textId="77777777" w:rsidR="00070BC1" w:rsidRPr="00024D5A" w:rsidRDefault="00070BC1"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p>
          <w:p w14:paraId="0C0B3BA7" w14:textId="77777777" w:rsidR="005A797A" w:rsidRPr="00024D5A" w:rsidRDefault="00070BC1"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36.3% nivel </w:t>
            </w:r>
          </w:p>
          <w:p w14:paraId="043641DD" w14:textId="77695F0E" w:rsidR="00070BC1" w:rsidRPr="00024D5A" w:rsidRDefault="00070BC1"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punësue</w:t>
            </w:r>
            <w:r w:rsidR="005A797A"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shmërie</w:t>
            </w:r>
          </w:p>
          <w:p w14:paraId="48143B1A" w14:textId="77777777" w:rsidR="00070BC1" w:rsidRPr="00024D5A" w:rsidRDefault="00070BC1"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p>
          <w:p w14:paraId="2EC2DD5C" w14:textId="505404D4" w:rsidR="00070BC1" w:rsidRPr="00024D5A" w:rsidRDefault="00070BC1"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br/>
              <w:t>200 milion</w:t>
            </w:r>
            <w:r w:rsidR="00544401" w:rsidRPr="00024D5A">
              <w:rPr>
                <w:rFonts w:ascii="Garamond" w:eastAsia="Times New Roman" w:hAnsi="Garamond"/>
                <w:sz w:val="12"/>
                <w:szCs w:val="16"/>
                <w:lang w:eastAsia="en-US"/>
              </w:rPr>
              <w:t>ë</w:t>
            </w:r>
            <w:r w:rsidRPr="00024D5A">
              <w:rPr>
                <w:rFonts w:ascii="Garamond" w:eastAsia="Times New Roman" w:hAnsi="Garamond"/>
                <w:sz w:val="12"/>
                <w:szCs w:val="16"/>
                <w:lang w:eastAsia="en-US"/>
              </w:rPr>
              <w:t xml:space="preserve"> lekë</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60</w:t>
            </w:r>
          </w:p>
        </w:tc>
        <w:tc>
          <w:tcPr>
            <w:tcW w:w="720" w:type="dxa"/>
            <w:shd w:val="clear" w:color="auto" w:fill="CAEDFA"/>
          </w:tcPr>
          <w:p w14:paraId="7EA1E8E3" w14:textId="4A5F8AF1" w:rsidR="00070BC1" w:rsidRPr="00024D5A" w:rsidRDefault="00070BC1" w:rsidP="00791B1A">
            <w:pPr>
              <w:rPr>
                <w:rFonts w:ascii="Garamond" w:eastAsia="Times New Roman" w:hAnsi="Garamond"/>
                <w:sz w:val="12"/>
                <w:szCs w:val="16"/>
                <w:lang w:eastAsia="en-US"/>
              </w:rPr>
            </w:pPr>
          </w:p>
          <w:p w14:paraId="793CDD15" w14:textId="4833EA62" w:rsidR="00070BC1" w:rsidRPr="00024D5A" w:rsidRDefault="00070BC1"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7.5% e të regjistruar</w:t>
            </w:r>
            <w:r w:rsidR="00544401"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ve në SSHP janë PAK</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p>
          <w:p w14:paraId="00CE15FB" w14:textId="4659AC89" w:rsidR="00070BC1" w:rsidRPr="00024D5A" w:rsidRDefault="00070BC1"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20 dhe 25% mbi vlerën bazë </w:t>
            </w:r>
          </w:p>
          <w:p w14:paraId="11FC2A4A" w14:textId="77777777" w:rsidR="00070BC1" w:rsidRPr="00024D5A" w:rsidRDefault="00070BC1"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p>
          <w:p w14:paraId="58BA1FF8" w14:textId="77777777" w:rsidR="005A797A" w:rsidRPr="00024D5A" w:rsidRDefault="00070BC1"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br/>
              <w:t>38.3% nivel </w:t>
            </w:r>
          </w:p>
          <w:p w14:paraId="77BA7E23" w14:textId="2070A6DB" w:rsidR="00070BC1" w:rsidRPr="00024D5A" w:rsidRDefault="00070BC1"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punësue</w:t>
            </w:r>
            <w:r w:rsidR="005A797A"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shmërie</w:t>
            </w:r>
          </w:p>
          <w:p w14:paraId="7B8ABA93" w14:textId="77777777" w:rsidR="00070BC1" w:rsidRPr="00024D5A" w:rsidRDefault="00070BC1"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p>
          <w:p w14:paraId="57A1E99C" w14:textId="77777777" w:rsidR="00070BC1" w:rsidRPr="00024D5A" w:rsidRDefault="00070BC1" w:rsidP="00791B1A">
            <w:pPr>
              <w:rPr>
                <w:rFonts w:ascii="Garamond" w:eastAsia="Times New Roman" w:hAnsi="Garamond"/>
                <w:sz w:val="12"/>
                <w:szCs w:val="16"/>
                <w:lang w:eastAsia="en-US"/>
              </w:rPr>
            </w:pPr>
          </w:p>
          <w:p w14:paraId="04B2E034" w14:textId="17732931" w:rsidR="00070BC1" w:rsidRPr="00024D5A" w:rsidRDefault="00070BC1"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200 milion</w:t>
            </w:r>
            <w:r w:rsidR="00544401" w:rsidRPr="00024D5A">
              <w:rPr>
                <w:rFonts w:ascii="Garamond" w:eastAsia="Times New Roman" w:hAnsi="Garamond"/>
                <w:sz w:val="12"/>
                <w:szCs w:val="16"/>
                <w:lang w:eastAsia="en-US"/>
              </w:rPr>
              <w:t>ë</w:t>
            </w:r>
            <w:r w:rsidRPr="00024D5A">
              <w:rPr>
                <w:rFonts w:ascii="Garamond" w:eastAsia="Times New Roman" w:hAnsi="Garamond"/>
                <w:sz w:val="12"/>
                <w:szCs w:val="16"/>
                <w:lang w:eastAsia="en-US"/>
              </w:rPr>
              <w:t xml:space="preserve"> lekë </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90</w:t>
            </w:r>
          </w:p>
        </w:tc>
        <w:tc>
          <w:tcPr>
            <w:tcW w:w="1260" w:type="dxa"/>
            <w:shd w:val="clear" w:color="auto" w:fill="CAEDFA"/>
          </w:tcPr>
          <w:p w14:paraId="5D4FCCD5" w14:textId="12B146DB" w:rsidR="00070BC1" w:rsidRPr="00024D5A" w:rsidRDefault="00070BC1"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 xml:space="preserve">Baza e të dhënave e AKPA; </w:t>
            </w:r>
            <w:r w:rsidRPr="00024D5A">
              <w:rPr>
                <w:rFonts w:ascii="Garamond" w:eastAsia="Times New Roman" w:hAnsi="Garamond"/>
                <w:sz w:val="12"/>
                <w:szCs w:val="16"/>
                <w:lang w:eastAsia="en-US"/>
              </w:rPr>
              <w:br/>
              <w:t>Raporte mujore/vjetore;</w:t>
            </w:r>
            <w:r w:rsidRPr="00024D5A">
              <w:rPr>
                <w:rFonts w:ascii="Garamond" w:eastAsia="Times New Roman" w:hAnsi="Garamond"/>
                <w:sz w:val="12"/>
                <w:szCs w:val="16"/>
                <w:lang w:eastAsia="en-US"/>
              </w:rPr>
              <w:br/>
              <w:t>Raporte programesh;</w:t>
            </w:r>
            <w:r w:rsidRPr="00024D5A">
              <w:rPr>
                <w:rFonts w:ascii="Garamond" w:eastAsia="Times New Roman" w:hAnsi="Garamond"/>
                <w:sz w:val="12"/>
                <w:szCs w:val="16"/>
                <w:lang w:eastAsia="en-US"/>
              </w:rPr>
              <w:br/>
              <w:t>Kontrata subvencioni</w:t>
            </w:r>
            <w:r w:rsidRPr="00024D5A">
              <w:rPr>
                <w:rFonts w:ascii="Garamond" w:eastAsia="Times New Roman" w:hAnsi="Garamond"/>
                <w:sz w:val="12"/>
                <w:szCs w:val="16"/>
                <w:lang w:eastAsia="en-US"/>
              </w:rPr>
              <w:br/>
              <w:t xml:space="preserve">Monitorim AKPA; </w:t>
            </w:r>
            <w:r w:rsidRPr="00024D5A">
              <w:rPr>
                <w:rFonts w:ascii="Garamond" w:eastAsia="Times New Roman" w:hAnsi="Garamond"/>
                <w:sz w:val="12"/>
                <w:szCs w:val="16"/>
                <w:lang w:eastAsia="en-US"/>
              </w:rPr>
              <w:br/>
              <w:t>Sistem tatimor</w:t>
            </w:r>
            <w:r w:rsidR="00544401"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w:t>
            </w:r>
            <w:r w:rsidR="00544401" w:rsidRPr="00024D5A">
              <w:rPr>
                <w:rFonts w:ascii="Garamond" w:eastAsia="Times New Roman" w:hAnsi="Garamond"/>
                <w:sz w:val="12"/>
                <w:szCs w:val="16"/>
                <w:lang w:eastAsia="en-US"/>
              </w:rPr>
              <w:t xml:space="preserve">ligji </w:t>
            </w:r>
            <w:r w:rsidRPr="00024D5A">
              <w:rPr>
                <w:rFonts w:ascii="Garamond" w:eastAsia="Times New Roman" w:hAnsi="Garamond"/>
                <w:sz w:val="12"/>
                <w:szCs w:val="16"/>
                <w:lang w:eastAsia="en-US"/>
              </w:rPr>
              <w:t xml:space="preserve">i </w:t>
            </w:r>
            <w:r w:rsidR="00544401" w:rsidRPr="00024D5A">
              <w:rPr>
                <w:rFonts w:ascii="Garamond" w:eastAsia="Times New Roman" w:hAnsi="Garamond"/>
                <w:sz w:val="12"/>
                <w:szCs w:val="16"/>
                <w:lang w:eastAsia="en-US"/>
              </w:rPr>
              <w:t xml:space="preserve">buxhetit; raportet </w:t>
            </w:r>
            <w:r w:rsidRPr="00024D5A">
              <w:rPr>
                <w:rFonts w:ascii="Garamond" w:eastAsia="Times New Roman" w:hAnsi="Garamond"/>
                <w:sz w:val="12"/>
                <w:szCs w:val="16"/>
                <w:lang w:eastAsia="en-US"/>
              </w:rPr>
              <w:t>e Ministrisë së Financave</w:t>
            </w:r>
            <w:r w:rsidR="00544401"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br/>
              <w:t>Regjistri i subvencioneve; AKPA</w:t>
            </w:r>
            <w:r w:rsidR="00544401"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br/>
              <w:t xml:space="preserve">Regjistri i ndërmarrjeve sociale apo vetëpunësimeve; </w:t>
            </w:r>
            <w:r w:rsidRPr="00024D5A">
              <w:rPr>
                <w:rFonts w:ascii="Garamond" w:eastAsia="Times New Roman" w:hAnsi="Garamond"/>
                <w:sz w:val="12"/>
                <w:szCs w:val="16"/>
                <w:lang w:eastAsia="en-US"/>
              </w:rPr>
              <w:br/>
              <w:t>Raporte grantesh</w:t>
            </w:r>
            <w:r w:rsidRPr="00024D5A">
              <w:rPr>
                <w:rFonts w:ascii="Garamond" w:eastAsia="Times New Roman" w:hAnsi="Garamond"/>
                <w:sz w:val="12"/>
                <w:szCs w:val="16"/>
                <w:lang w:eastAsia="en-US"/>
              </w:rPr>
              <w:br/>
              <w:t xml:space="preserve">Monitorim administrativ AKPA; </w:t>
            </w:r>
            <w:r w:rsidRPr="00024D5A">
              <w:rPr>
                <w:rFonts w:ascii="Garamond" w:eastAsia="Times New Roman" w:hAnsi="Garamond"/>
                <w:sz w:val="12"/>
                <w:szCs w:val="16"/>
                <w:lang w:eastAsia="en-US"/>
              </w:rPr>
              <w:br/>
              <w:t>Të dhëna kontributesh</w:t>
            </w:r>
            <w:r w:rsidR="00544401" w:rsidRPr="00024D5A">
              <w:rPr>
                <w:rFonts w:ascii="Garamond" w:eastAsia="Times New Roman" w:hAnsi="Garamond"/>
                <w:sz w:val="12"/>
                <w:szCs w:val="16"/>
                <w:lang w:eastAsia="en-US"/>
              </w:rPr>
              <w:t>.</w:t>
            </w:r>
          </w:p>
        </w:tc>
        <w:tc>
          <w:tcPr>
            <w:tcW w:w="1075" w:type="dxa"/>
            <w:shd w:val="clear" w:color="auto" w:fill="CAEDFA"/>
          </w:tcPr>
          <w:p w14:paraId="5971EC15" w14:textId="77777777" w:rsidR="00070BC1" w:rsidRPr="00024D5A" w:rsidRDefault="00070BC1"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 </w:t>
            </w:r>
          </w:p>
        </w:tc>
      </w:tr>
      <w:tr w:rsidR="003E1630" w:rsidRPr="00024D5A" w14:paraId="5C137EBD" w14:textId="77777777" w:rsidTr="00070BC1">
        <w:trPr>
          <w:trHeight w:val="20"/>
        </w:trPr>
        <w:tc>
          <w:tcPr>
            <w:tcW w:w="895" w:type="dxa"/>
            <w:vMerge w:val="restart"/>
            <w:vAlign w:val="center"/>
          </w:tcPr>
          <w:p w14:paraId="4D9AFE2E" w14:textId="77777777" w:rsidR="003E1630" w:rsidRPr="00024D5A" w:rsidRDefault="005743A8" w:rsidP="00791B1A">
            <w:pPr>
              <w:jc w:val="center"/>
              <w:rPr>
                <w:rFonts w:ascii="Garamond" w:eastAsia="Times New Roman" w:hAnsi="Garamond"/>
                <w:b/>
                <w:bCs/>
                <w:sz w:val="12"/>
                <w:szCs w:val="16"/>
                <w:lang w:eastAsia="en-US"/>
              </w:rPr>
            </w:pPr>
            <w:r w:rsidRPr="00024D5A">
              <w:rPr>
                <w:rFonts w:ascii="Garamond" w:eastAsia="Times New Roman" w:hAnsi="Garamond"/>
                <w:b/>
                <w:bCs/>
                <w:sz w:val="12"/>
                <w:szCs w:val="16"/>
                <w:lang w:eastAsia="en-US"/>
              </w:rPr>
              <w:t>Masat prioritare</w:t>
            </w:r>
          </w:p>
        </w:tc>
        <w:tc>
          <w:tcPr>
            <w:tcW w:w="1980" w:type="dxa"/>
          </w:tcPr>
          <w:p w14:paraId="4E15FA0F" w14:textId="46F6AC93" w:rsidR="003E1630" w:rsidRPr="00024D5A" w:rsidRDefault="005743A8"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Masa prioritare 1.1</w:t>
            </w:r>
            <w:r w:rsidR="00110C9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Përmirësimi i kornizës politike, ligjore dhe institucionale për arsim e formim profesional gjithëpërfshirës për nxënësit e kursantët me aftësi të kufizuara</w:t>
            </w:r>
            <w:r w:rsidR="00544401" w:rsidRPr="00024D5A">
              <w:rPr>
                <w:rFonts w:ascii="Garamond" w:eastAsia="Times New Roman" w:hAnsi="Garamond"/>
                <w:sz w:val="12"/>
                <w:szCs w:val="16"/>
                <w:lang w:eastAsia="en-US"/>
              </w:rPr>
              <w:t>.</w:t>
            </w:r>
          </w:p>
        </w:tc>
        <w:tc>
          <w:tcPr>
            <w:tcW w:w="1980" w:type="dxa"/>
          </w:tcPr>
          <w:p w14:paraId="3C26F900" w14:textId="14A77834" w:rsidR="003E1630" w:rsidRPr="00024D5A" w:rsidRDefault="005743A8"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Nr. i akteve ligjore/nënligjore të rishikuara</w:t>
            </w:r>
            <w:r w:rsidR="00544401"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br/>
              <w:t>Miratimi i Urdhrave, Udhëzimeve, Manualeve, Standardeve dhe kritereve kombëtare për AFP gjithëpërfshirës</w:t>
            </w:r>
            <w:r w:rsidR="00544401"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br/>
            </w:r>
          </w:p>
        </w:tc>
        <w:tc>
          <w:tcPr>
            <w:tcW w:w="720" w:type="dxa"/>
            <w:noWrap/>
          </w:tcPr>
          <w:p w14:paraId="3E2B4FE3" w14:textId="77777777"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3</w:t>
            </w:r>
          </w:p>
        </w:tc>
        <w:tc>
          <w:tcPr>
            <w:tcW w:w="720" w:type="dxa"/>
            <w:noWrap/>
          </w:tcPr>
          <w:p w14:paraId="1EA49DF8" w14:textId="77777777"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3 Rishikime ligjore, 3 udhëzime</w:t>
            </w:r>
          </w:p>
        </w:tc>
        <w:tc>
          <w:tcPr>
            <w:tcW w:w="720" w:type="dxa"/>
            <w:noWrap/>
          </w:tcPr>
          <w:p w14:paraId="2C4CF927" w14:textId="77777777"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2 udhëzime</w:t>
            </w:r>
          </w:p>
        </w:tc>
        <w:tc>
          <w:tcPr>
            <w:tcW w:w="1260" w:type="dxa"/>
          </w:tcPr>
          <w:p w14:paraId="1FFF20A4" w14:textId="77777777" w:rsidR="003E1630" w:rsidRPr="00024D5A" w:rsidRDefault="005743A8"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 xml:space="preserve">Fletorja Zyrtare; </w:t>
            </w:r>
            <w:r w:rsidRPr="00024D5A">
              <w:rPr>
                <w:rFonts w:ascii="Garamond" w:eastAsia="Times New Roman" w:hAnsi="Garamond"/>
                <w:sz w:val="12"/>
                <w:szCs w:val="16"/>
                <w:lang w:eastAsia="en-US"/>
              </w:rPr>
              <w:br/>
              <w:t xml:space="preserve">Vendime të Këshillit të Ministrave; </w:t>
            </w:r>
            <w:r w:rsidRPr="00024D5A">
              <w:rPr>
                <w:rFonts w:ascii="Garamond" w:eastAsia="Times New Roman" w:hAnsi="Garamond"/>
                <w:sz w:val="12"/>
                <w:szCs w:val="16"/>
                <w:lang w:eastAsia="en-US"/>
              </w:rPr>
              <w:br/>
              <w:t xml:space="preserve">Raporte të MEI dhe AKPA për AFP; </w:t>
            </w:r>
          </w:p>
        </w:tc>
        <w:tc>
          <w:tcPr>
            <w:tcW w:w="1075" w:type="dxa"/>
            <w:noWrap/>
          </w:tcPr>
          <w:p w14:paraId="1993F465" w14:textId="77777777"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 </w:t>
            </w:r>
          </w:p>
        </w:tc>
      </w:tr>
      <w:tr w:rsidR="003E1630" w:rsidRPr="00024D5A" w14:paraId="28CCBCFC" w14:textId="77777777" w:rsidTr="00070BC1">
        <w:trPr>
          <w:trHeight w:val="20"/>
        </w:trPr>
        <w:tc>
          <w:tcPr>
            <w:tcW w:w="895" w:type="dxa"/>
            <w:vMerge/>
            <w:vAlign w:val="center"/>
          </w:tcPr>
          <w:p w14:paraId="72F1ED67" w14:textId="77777777" w:rsidR="003E1630" w:rsidRPr="00024D5A" w:rsidRDefault="003E1630" w:rsidP="00791B1A">
            <w:pPr>
              <w:rPr>
                <w:rFonts w:ascii="Garamond" w:eastAsia="Times New Roman" w:hAnsi="Garamond"/>
                <w:b/>
                <w:bCs/>
                <w:sz w:val="12"/>
                <w:szCs w:val="16"/>
                <w:lang w:eastAsia="en-US"/>
              </w:rPr>
            </w:pPr>
          </w:p>
        </w:tc>
        <w:tc>
          <w:tcPr>
            <w:tcW w:w="1980" w:type="dxa"/>
            <w:noWrap/>
          </w:tcPr>
          <w:p w14:paraId="462D72F7" w14:textId="4BA312C6"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Masa prioritare 1.2</w:t>
            </w:r>
            <w:r w:rsidR="00110C9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Përmirësimi i infrastrukturës dhe teknologjisë ndihmëse: Krijimi i mjediseve mësimore të aksesueshme dhe të pajisura me teknologji mbështetëse.</w:t>
            </w:r>
          </w:p>
        </w:tc>
        <w:tc>
          <w:tcPr>
            <w:tcW w:w="1980" w:type="dxa"/>
            <w:noWrap/>
          </w:tcPr>
          <w:p w14:paraId="58A052F5" w14:textId="5F33675F"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 e institucioneve AFP të aksesueshme</w:t>
            </w:r>
            <w:r w:rsidR="00544401"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br/>
              <w:t>Nr. i institucioneve të pajisura me teknologji ndihmëse</w:t>
            </w:r>
            <w:r w:rsidR="00544401" w:rsidRPr="00024D5A">
              <w:rPr>
                <w:rFonts w:ascii="Garamond" w:eastAsia="Times New Roman" w:hAnsi="Garamond"/>
                <w:sz w:val="12"/>
                <w:szCs w:val="16"/>
                <w:lang w:eastAsia="en-US"/>
              </w:rPr>
              <w:t>.</w:t>
            </w:r>
          </w:p>
        </w:tc>
        <w:tc>
          <w:tcPr>
            <w:tcW w:w="720" w:type="dxa"/>
            <w:noWrap/>
          </w:tcPr>
          <w:p w14:paraId="199B6A0E" w14:textId="77777777"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0,4%</w:t>
            </w:r>
          </w:p>
        </w:tc>
        <w:tc>
          <w:tcPr>
            <w:tcW w:w="720" w:type="dxa"/>
            <w:noWrap/>
          </w:tcPr>
          <w:p w14:paraId="7A4067E2" w14:textId="77777777"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14% - 27%</w:t>
            </w:r>
          </w:p>
        </w:tc>
        <w:tc>
          <w:tcPr>
            <w:tcW w:w="720" w:type="dxa"/>
            <w:noWrap/>
          </w:tcPr>
          <w:p w14:paraId="13DE5046" w14:textId="77777777"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 xml:space="preserve">20% - 33% </w:t>
            </w:r>
          </w:p>
        </w:tc>
        <w:tc>
          <w:tcPr>
            <w:tcW w:w="1260" w:type="dxa"/>
            <w:noWrap/>
          </w:tcPr>
          <w:p w14:paraId="52BA5AFB" w14:textId="7DF8CA44"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Inventarë fizikë të institucioneve- Raporte buxhetore-</w:t>
            </w:r>
            <w:r w:rsidR="00C54ABE" w:rsidRPr="00024D5A">
              <w:rPr>
                <w:rFonts w:ascii="Garamond" w:eastAsia="Times New Roman" w:hAnsi="Garamond"/>
                <w:sz w:val="12"/>
                <w:szCs w:val="16"/>
                <w:lang w:eastAsia="en-US"/>
              </w:rPr>
              <w:t>Kontrolle</w:t>
            </w:r>
            <w:r w:rsidR="008F29FA" w:rsidRPr="00024D5A">
              <w:rPr>
                <w:rFonts w:ascii="Garamond" w:eastAsia="Times New Roman" w:hAnsi="Garamond"/>
                <w:sz w:val="12"/>
                <w:szCs w:val="16"/>
                <w:lang w:eastAsia="en-US"/>
              </w:rPr>
              <w:t xml:space="preserve"> </w:t>
            </w:r>
            <w:r w:rsidRPr="00024D5A">
              <w:rPr>
                <w:rFonts w:ascii="Garamond" w:eastAsia="Times New Roman" w:hAnsi="Garamond"/>
                <w:sz w:val="12"/>
                <w:szCs w:val="16"/>
                <w:lang w:eastAsia="en-US"/>
              </w:rPr>
              <w:t>të aksesueshmërisë</w:t>
            </w:r>
          </w:p>
        </w:tc>
        <w:tc>
          <w:tcPr>
            <w:tcW w:w="1075" w:type="dxa"/>
            <w:noWrap/>
          </w:tcPr>
          <w:p w14:paraId="524128F2" w14:textId="77777777"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 </w:t>
            </w:r>
          </w:p>
        </w:tc>
      </w:tr>
      <w:tr w:rsidR="003E1630" w:rsidRPr="00024D5A" w14:paraId="090F9D83" w14:textId="77777777" w:rsidTr="00070BC1">
        <w:trPr>
          <w:trHeight w:val="20"/>
        </w:trPr>
        <w:tc>
          <w:tcPr>
            <w:tcW w:w="895" w:type="dxa"/>
            <w:vMerge/>
            <w:vAlign w:val="center"/>
          </w:tcPr>
          <w:p w14:paraId="517AC6B2" w14:textId="77777777" w:rsidR="003E1630" w:rsidRPr="00024D5A" w:rsidRDefault="003E1630" w:rsidP="00791B1A">
            <w:pPr>
              <w:rPr>
                <w:rFonts w:ascii="Garamond" w:eastAsia="Times New Roman" w:hAnsi="Garamond"/>
                <w:b/>
                <w:bCs/>
                <w:sz w:val="12"/>
                <w:szCs w:val="16"/>
                <w:lang w:eastAsia="en-US"/>
              </w:rPr>
            </w:pPr>
          </w:p>
        </w:tc>
        <w:tc>
          <w:tcPr>
            <w:tcW w:w="1980" w:type="dxa"/>
            <w:noWrap/>
          </w:tcPr>
          <w:p w14:paraId="6E256883" w14:textId="0037A6E9"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Masa prioritare 1.3</w:t>
            </w:r>
            <w:r w:rsidR="00110C9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Përshtatja e kurrikulave dhe programeve mësimore; Sigurimi që programet përfshirë programet digjitale dhe të gjelbra në AFP janë të aksesueshme dhe gjithëpërfshirëse.</w:t>
            </w:r>
          </w:p>
        </w:tc>
        <w:tc>
          <w:tcPr>
            <w:tcW w:w="1980" w:type="dxa"/>
          </w:tcPr>
          <w:p w14:paraId="2C275F3B" w14:textId="7DD41ECA" w:rsidR="003E1630" w:rsidRPr="00024D5A" w:rsidRDefault="005743A8"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Nr. programeve të rishikuara;</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00F03D39"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e moduleve digjitale të aksesueshme;</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 xml:space="preserve"> Nr. </w:t>
            </w:r>
            <w:r w:rsidR="00544401" w:rsidRPr="00024D5A">
              <w:rPr>
                <w:rFonts w:ascii="Garamond" w:eastAsia="Times New Roman" w:hAnsi="Garamond"/>
                <w:sz w:val="12"/>
                <w:szCs w:val="16"/>
                <w:lang w:eastAsia="en-US"/>
              </w:rPr>
              <w:t xml:space="preserve">i </w:t>
            </w:r>
            <w:r w:rsidRPr="00024D5A">
              <w:rPr>
                <w:rFonts w:ascii="Garamond" w:eastAsia="Times New Roman" w:hAnsi="Garamond"/>
                <w:sz w:val="12"/>
                <w:szCs w:val="16"/>
                <w:lang w:eastAsia="en-US"/>
              </w:rPr>
              <w:t>mësimdhënësve të trajnuar</w:t>
            </w:r>
            <w:r w:rsidR="00544401" w:rsidRPr="00024D5A">
              <w:rPr>
                <w:rFonts w:ascii="Garamond" w:eastAsia="Times New Roman" w:hAnsi="Garamond"/>
                <w:sz w:val="12"/>
                <w:szCs w:val="16"/>
                <w:lang w:eastAsia="en-US"/>
              </w:rPr>
              <w:t>.</w:t>
            </w:r>
          </w:p>
        </w:tc>
        <w:tc>
          <w:tcPr>
            <w:tcW w:w="720" w:type="dxa"/>
          </w:tcPr>
          <w:p w14:paraId="7D7D14CD" w14:textId="77777777"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1</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0;</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N/A</w:t>
            </w:r>
          </w:p>
        </w:tc>
        <w:tc>
          <w:tcPr>
            <w:tcW w:w="720" w:type="dxa"/>
          </w:tcPr>
          <w:p w14:paraId="4293E96B" w14:textId="77777777"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4</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10%</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180</w:t>
            </w:r>
          </w:p>
        </w:tc>
        <w:tc>
          <w:tcPr>
            <w:tcW w:w="720" w:type="dxa"/>
          </w:tcPr>
          <w:p w14:paraId="3F6E8BE8" w14:textId="77777777"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4</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20</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120</w:t>
            </w:r>
          </w:p>
        </w:tc>
        <w:tc>
          <w:tcPr>
            <w:tcW w:w="1260" w:type="dxa"/>
            <w:noWrap/>
          </w:tcPr>
          <w:p w14:paraId="0EFA1B8D" w14:textId="77777777"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Korniza Kombëtare e Kualifikimeve Vendime të Agjencisë së AFP Certifikata trajnimi</w:t>
            </w:r>
          </w:p>
        </w:tc>
        <w:tc>
          <w:tcPr>
            <w:tcW w:w="1075" w:type="dxa"/>
            <w:noWrap/>
          </w:tcPr>
          <w:p w14:paraId="2BFFA2A7" w14:textId="77777777"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 </w:t>
            </w:r>
          </w:p>
        </w:tc>
      </w:tr>
      <w:tr w:rsidR="003E1630" w:rsidRPr="00024D5A" w14:paraId="1561A05C" w14:textId="77777777" w:rsidTr="00070BC1">
        <w:trPr>
          <w:trHeight w:val="135"/>
        </w:trPr>
        <w:tc>
          <w:tcPr>
            <w:tcW w:w="895" w:type="dxa"/>
            <w:vMerge/>
            <w:vAlign w:val="center"/>
          </w:tcPr>
          <w:p w14:paraId="371A70F3" w14:textId="77777777" w:rsidR="003E1630" w:rsidRPr="00024D5A" w:rsidRDefault="003E1630" w:rsidP="00791B1A">
            <w:pPr>
              <w:rPr>
                <w:rFonts w:ascii="Garamond" w:eastAsia="Times New Roman" w:hAnsi="Garamond"/>
                <w:b/>
                <w:bCs/>
                <w:sz w:val="12"/>
                <w:szCs w:val="16"/>
                <w:lang w:eastAsia="en-US"/>
              </w:rPr>
            </w:pPr>
          </w:p>
        </w:tc>
        <w:tc>
          <w:tcPr>
            <w:tcW w:w="1980" w:type="dxa"/>
            <w:vMerge w:val="restart"/>
            <w:noWrap/>
          </w:tcPr>
          <w:p w14:paraId="0C6BE343" w14:textId="28E8C93D"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Masa prioritare 1.4</w:t>
            </w:r>
            <w:r w:rsidR="00110C9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Mbështetja e nxënësve dhe kursantëve me aftësi të kufizuara </w:t>
            </w:r>
            <w:r w:rsidR="00544401"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w:t>
            </w:r>
            <w:r w:rsidR="00544401" w:rsidRPr="00024D5A">
              <w:rPr>
                <w:rFonts w:ascii="Garamond" w:eastAsia="Times New Roman" w:hAnsi="Garamond"/>
                <w:sz w:val="12"/>
                <w:szCs w:val="16"/>
                <w:lang w:eastAsia="en-US"/>
              </w:rPr>
              <w:t xml:space="preserve">sigurimi </w:t>
            </w:r>
            <w:r w:rsidRPr="00024D5A">
              <w:rPr>
                <w:rFonts w:ascii="Garamond" w:eastAsia="Times New Roman" w:hAnsi="Garamond"/>
                <w:sz w:val="12"/>
                <w:szCs w:val="16"/>
                <w:lang w:eastAsia="en-US"/>
              </w:rPr>
              <w:t>i pjesëmarrjes së barabartë dhe përfundimit me sukses të programeve mësimore në institucionet ofruese të AFP-së</w:t>
            </w:r>
            <w:r w:rsidR="00544401"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w:t>
            </w:r>
          </w:p>
        </w:tc>
        <w:tc>
          <w:tcPr>
            <w:tcW w:w="1980" w:type="dxa"/>
            <w:vMerge w:val="restart"/>
          </w:tcPr>
          <w:p w14:paraId="21FA31AC" w14:textId="53EBD7A2" w:rsidR="003E1630" w:rsidRPr="00024D5A" w:rsidRDefault="005743A8"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 përfituesve nga mbështetja individuale;</w:t>
            </w:r>
            <w:r w:rsidRPr="00024D5A">
              <w:rPr>
                <w:rFonts w:ascii="Garamond" w:eastAsia="Times New Roman" w:hAnsi="Garamond"/>
                <w:sz w:val="12"/>
                <w:szCs w:val="16"/>
                <w:lang w:eastAsia="en-US"/>
              </w:rPr>
              <w:br/>
              <w:t xml:space="preserve">Nr. </w:t>
            </w:r>
            <w:r w:rsidR="00544401" w:rsidRPr="00024D5A">
              <w:rPr>
                <w:rFonts w:ascii="Garamond" w:eastAsia="Times New Roman" w:hAnsi="Garamond"/>
                <w:sz w:val="12"/>
                <w:szCs w:val="16"/>
                <w:lang w:eastAsia="en-US"/>
              </w:rPr>
              <w:t>i bursave,</w:t>
            </w:r>
            <w:r w:rsidRPr="00024D5A">
              <w:rPr>
                <w:rFonts w:ascii="Garamond" w:eastAsia="Times New Roman" w:hAnsi="Garamond"/>
                <w:sz w:val="12"/>
                <w:szCs w:val="16"/>
                <w:lang w:eastAsia="en-US"/>
              </w:rPr>
              <w:br/>
            </w:r>
            <w:r w:rsidR="00F03D39"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e përfundimit me sukses</w:t>
            </w:r>
            <w:r w:rsidR="00544401"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w:t>
            </w:r>
          </w:p>
          <w:p w14:paraId="16504D08" w14:textId="77777777" w:rsidR="003E1630" w:rsidRPr="00024D5A" w:rsidRDefault="003E1630" w:rsidP="00791B1A">
            <w:pPr>
              <w:rPr>
                <w:rFonts w:ascii="Garamond" w:eastAsia="Times New Roman" w:hAnsi="Garamond"/>
                <w:sz w:val="12"/>
                <w:szCs w:val="16"/>
                <w:lang w:eastAsia="en-US"/>
              </w:rPr>
            </w:pPr>
          </w:p>
          <w:p w14:paraId="21A7F291" w14:textId="77777777" w:rsidR="003E1630" w:rsidRPr="00024D5A" w:rsidRDefault="003E1630" w:rsidP="00791B1A">
            <w:pPr>
              <w:rPr>
                <w:rFonts w:ascii="Garamond" w:eastAsia="Times New Roman" w:hAnsi="Garamond"/>
                <w:sz w:val="12"/>
                <w:szCs w:val="16"/>
                <w:lang w:eastAsia="en-US"/>
              </w:rPr>
            </w:pPr>
          </w:p>
        </w:tc>
        <w:tc>
          <w:tcPr>
            <w:tcW w:w="720" w:type="dxa"/>
            <w:vMerge w:val="restart"/>
          </w:tcPr>
          <w:p w14:paraId="4311632B" w14:textId="77777777" w:rsidR="003E1630" w:rsidRPr="00024D5A" w:rsidRDefault="005743A8"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400</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N/A</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 xml:space="preserve">N/A </w:t>
            </w:r>
          </w:p>
        </w:tc>
        <w:tc>
          <w:tcPr>
            <w:tcW w:w="720" w:type="dxa"/>
            <w:vMerge w:val="restart"/>
          </w:tcPr>
          <w:p w14:paraId="0D162ED5" w14:textId="77777777" w:rsidR="003E1630" w:rsidRPr="00024D5A" w:rsidRDefault="005743A8"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5,5% (50% femra)</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70%</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 xml:space="preserve">100% </w:t>
            </w:r>
          </w:p>
        </w:tc>
        <w:tc>
          <w:tcPr>
            <w:tcW w:w="720" w:type="dxa"/>
            <w:vMerge w:val="restart"/>
          </w:tcPr>
          <w:p w14:paraId="270F5C6D" w14:textId="77777777" w:rsidR="003E1630" w:rsidRPr="00024D5A" w:rsidRDefault="005743A8"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7,5% (50% femra)</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80%</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100%</w:t>
            </w:r>
          </w:p>
        </w:tc>
        <w:tc>
          <w:tcPr>
            <w:tcW w:w="1260" w:type="dxa"/>
            <w:vMerge w:val="restart"/>
          </w:tcPr>
          <w:p w14:paraId="13597A2C" w14:textId="0B3A4226" w:rsidR="003E1630" w:rsidRPr="00024D5A" w:rsidRDefault="005743A8"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 xml:space="preserve">Regjstra nga institucione; Raporte </w:t>
            </w:r>
            <w:r w:rsidR="00070BC1" w:rsidRPr="00024D5A">
              <w:rPr>
                <w:rFonts w:ascii="Garamond" w:eastAsia="Times New Roman" w:hAnsi="Garamond"/>
                <w:sz w:val="12"/>
                <w:szCs w:val="16"/>
                <w:lang w:eastAsia="en-US"/>
              </w:rPr>
              <w:t>të</w:t>
            </w:r>
            <w:r w:rsidRPr="00024D5A">
              <w:rPr>
                <w:rFonts w:ascii="Garamond" w:eastAsia="Times New Roman" w:hAnsi="Garamond"/>
                <w:sz w:val="12"/>
                <w:szCs w:val="16"/>
                <w:lang w:eastAsia="en-US"/>
              </w:rPr>
              <w:t xml:space="preserve"> IOAFP;</w:t>
            </w:r>
            <w:r w:rsidRPr="00024D5A">
              <w:rPr>
                <w:rFonts w:ascii="Garamond" w:hAnsi="Garamond"/>
                <w:sz w:val="12"/>
              </w:rPr>
              <w:br/>
            </w:r>
            <w:r w:rsidRPr="00024D5A">
              <w:rPr>
                <w:rFonts w:ascii="Garamond" w:eastAsia="Times New Roman" w:hAnsi="Garamond"/>
                <w:sz w:val="12"/>
                <w:szCs w:val="16"/>
                <w:lang w:eastAsia="en-US"/>
              </w:rPr>
              <w:t>Raporte të AKPA</w:t>
            </w:r>
            <w:r w:rsidRPr="00024D5A">
              <w:rPr>
                <w:rFonts w:ascii="Garamond" w:hAnsi="Garamond"/>
                <w:sz w:val="12"/>
              </w:rPr>
              <w:br/>
            </w:r>
            <w:r w:rsidRPr="00024D5A">
              <w:rPr>
                <w:rFonts w:ascii="Garamond" w:eastAsia="Times New Roman" w:hAnsi="Garamond"/>
                <w:sz w:val="12"/>
                <w:szCs w:val="16"/>
                <w:lang w:eastAsia="en-US"/>
              </w:rPr>
              <w:t xml:space="preserve">Regjistra të institucioneve AFP; Sistemi SMIP; </w:t>
            </w:r>
            <w:r w:rsidRPr="00024D5A">
              <w:rPr>
                <w:rFonts w:ascii="Garamond" w:hAnsi="Garamond"/>
                <w:sz w:val="12"/>
              </w:rPr>
              <w:br/>
            </w:r>
            <w:r w:rsidRPr="00024D5A">
              <w:rPr>
                <w:rFonts w:ascii="Garamond" w:eastAsia="Times New Roman" w:hAnsi="Garamond"/>
                <w:sz w:val="12"/>
                <w:szCs w:val="16"/>
                <w:lang w:eastAsia="en-US"/>
              </w:rPr>
              <w:t>Raporte vjetore të institucioneve</w:t>
            </w:r>
          </w:p>
        </w:tc>
        <w:tc>
          <w:tcPr>
            <w:tcW w:w="1075" w:type="dxa"/>
            <w:vMerge w:val="restart"/>
            <w:noWrap/>
          </w:tcPr>
          <w:p w14:paraId="6AB0A2C7" w14:textId="77777777"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 </w:t>
            </w:r>
          </w:p>
        </w:tc>
      </w:tr>
      <w:tr w:rsidR="003E1630" w:rsidRPr="00024D5A" w14:paraId="7BD891AB" w14:textId="77777777" w:rsidTr="00070BC1">
        <w:trPr>
          <w:trHeight w:val="135"/>
        </w:trPr>
        <w:tc>
          <w:tcPr>
            <w:tcW w:w="895" w:type="dxa"/>
            <w:vMerge/>
            <w:vAlign w:val="center"/>
          </w:tcPr>
          <w:p w14:paraId="5D51AAC2" w14:textId="77777777" w:rsidR="003E1630" w:rsidRPr="00024D5A" w:rsidRDefault="003E1630" w:rsidP="00791B1A">
            <w:pPr>
              <w:rPr>
                <w:rFonts w:ascii="Garamond" w:eastAsia="Times New Roman" w:hAnsi="Garamond"/>
                <w:b/>
                <w:bCs/>
                <w:sz w:val="12"/>
                <w:szCs w:val="16"/>
                <w:lang w:eastAsia="en-US"/>
              </w:rPr>
            </w:pPr>
          </w:p>
        </w:tc>
        <w:tc>
          <w:tcPr>
            <w:tcW w:w="1980" w:type="dxa"/>
            <w:vMerge/>
            <w:vAlign w:val="center"/>
          </w:tcPr>
          <w:p w14:paraId="2110BD4E" w14:textId="77777777" w:rsidR="003E1630" w:rsidRPr="00024D5A" w:rsidRDefault="003E1630" w:rsidP="00791B1A">
            <w:pPr>
              <w:rPr>
                <w:rFonts w:ascii="Garamond" w:eastAsia="Times New Roman" w:hAnsi="Garamond"/>
                <w:sz w:val="12"/>
                <w:szCs w:val="16"/>
                <w:lang w:eastAsia="en-US"/>
              </w:rPr>
            </w:pPr>
          </w:p>
        </w:tc>
        <w:tc>
          <w:tcPr>
            <w:tcW w:w="1980" w:type="dxa"/>
            <w:vMerge/>
            <w:vAlign w:val="center"/>
          </w:tcPr>
          <w:p w14:paraId="1A3B113C" w14:textId="77777777" w:rsidR="003E1630" w:rsidRPr="00024D5A" w:rsidRDefault="003E1630" w:rsidP="00791B1A">
            <w:pPr>
              <w:rPr>
                <w:rFonts w:ascii="Garamond" w:eastAsia="Times New Roman" w:hAnsi="Garamond"/>
                <w:sz w:val="12"/>
                <w:szCs w:val="16"/>
                <w:lang w:eastAsia="en-US"/>
              </w:rPr>
            </w:pPr>
          </w:p>
        </w:tc>
        <w:tc>
          <w:tcPr>
            <w:tcW w:w="720" w:type="dxa"/>
            <w:vMerge/>
            <w:vAlign w:val="center"/>
          </w:tcPr>
          <w:p w14:paraId="6710F19A" w14:textId="77777777" w:rsidR="003E1630" w:rsidRPr="00024D5A" w:rsidRDefault="003E1630" w:rsidP="00791B1A">
            <w:pPr>
              <w:rPr>
                <w:rFonts w:ascii="Garamond" w:eastAsia="Times New Roman" w:hAnsi="Garamond"/>
                <w:sz w:val="12"/>
                <w:szCs w:val="16"/>
                <w:lang w:eastAsia="en-US"/>
              </w:rPr>
            </w:pPr>
          </w:p>
        </w:tc>
        <w:tc>
          <w:tcPr>
            <w:tcW w:w="720" w:type="dxa"/>
            <w:vMerge/>
            <w:vAlign w:val="center"/>
          </w:tcPr>
          <w:p w14:paraId="101193BD" w14:textId="77777777" w:rsidR="003E1630" w:rsidRPr="00024D5A" w:rsidRDefault="003E1630" w:rsidP="00791B1A">
            <w:pPr>
              <w:rPr>
                <w:rFonts w:ascii="Garamond" w:eastAsia="Times New Roman" w:hAnsi="Garamond"/>
                <w:sz w:val="12"/>
                <w:szCs w:val="16"/>
                <w:lang w:eastAsia="en-US"/>
              </w:rPr>
            </w:pPr>
          </w:p>
        </w:tc>
        <w:tc>
          <w:tcPr>
            <w:tcW w:w="720" w:type="dxa"/>
            <w:vMerge/>
            <w:vAlign w:val="center"/>
          </w:tcPr>
          <w:p w14:paraId="0D5D77A1" w14:textId="77777777" w:rsidR="003E1630" w:rsidRPr="00024D5A" w:rsidRDefault="003E1630" w:rsidP="00791B1A">
            <w:pPr>
              <w:rPr>
                <w:rFonts w:ascii="Garamond" w:eastAsia="Times New Roman" w:hAnsi="Garamond"/>
                <w:sz w:val="12"/>
                <w:szCs w:val="16"/>
                <w:lang w:eastAsia="en-US"/>
              </w:rPr>
            </w:pPr>
          </w:p>
        </w:tc>
        <w:tc>
          <w:tcPr>
            <w:tcW w:w="1260" w:type="dxa"/>
            <w:vMerge/>
            <w:vAlign w:val="center"/>
          </w:tcPr>
          <w:p w14:paraId="55C31748" w14:textId="77777777" w:rsidR="003E1630" w:rsidRPr="00024D5A" w:rsidRDefault="003E1630" w:rsidP="00791B1A">
            <w:pPr>
              <w:rPr>
                <w:rFonts w:ascii="Garamond" w:eastAsia="Times New Roman" w:hAnsi="Garamond"/>
                <w:sz w:val="12"/>
                <w:szCs w:val="16"/>
                <w:lang w:eastAsia="en-US"/>
              </w:rPr>
            </w:pPr>
          </w:p>
        </w:tc>
        <w:tc>
          <w:tcPr>
            <w:tcW w:w="1075" w:type="dxa"/>
            <w:vMerge/>
            <w:vAlign w:val="center"/>
          </w:tcPr>
          <w:p w14:paraId="3860FD0C" w14:textId="77777777" w:rsidR="003E1630" w:rsidRPr="00024D5A" w:rsidRDefault="003E1630" w:rsidP="00791B1A">
            <w:pPr>
              <w:rPr>
                <w:rFonts w:ascii="Garamond" w:eastAsia="Times New Roman" w:hAnsi="Garamond"/>
                <w:sz w:val="12"/>
                <w:szCs w:val="16"/>
                <w:lang w:eastAsia="en-US"/>
              </w:rPr>
            </w:pPr>
          </w:p>
        </w:tc>
      </w:tr>
      <w:tr w:rsidR="003E1630" w:rsidRPr="00024D5A" w14:paraId="04E727AE" w14:textId="77777777" w:rsidTr="00070BC1">
        <w:trPr>
          <w:trHeight w:val="135"/>
        </w:trPr>
        <w:tc>
          <w:tcPr>
            <w:tcW w:w="895" w:type="dxa"/>
            <w:vMerge/>
            <w:vAlign w:val="center"/>
          </w:tcPr>
          <w:p w14:paraId="3E5944EF" w14:textId="77777777" w:rsidR="003E1630" w:rsidRPr="00024D5A" w:rsidRDefault="003E1630" w:rsidP="00791B1A">
            <w:pPr>
              <w:rPr>
                <w:rFonts w:ascii="Garamond" w:eastAsia="Times New Roman" w:hAnsi="Garamond"/>
                <w:b/>
                <w:bCs/>
                <w:sz w:val="12"/>
                <w:szCs w:val="16"/>
                <w:lang w:eastAsia="en-US"/>
              </w:rPr>
            </w:pPr>
          </w:p>
        </w:tc>
        <w:tc>
          <w:tcPr>
            <w:tcW w:w="1980" w:type="dxa"/>
            <w:vMerge/>
            <w:vAlign w:val="center"/>
          </w:tcPr>
          <w:p w14:paraId="01B64963" w14:textId="77777777" w:rsidR="003E1630" w:rsidRPr="00024D5A" w:rsidRDefault="003E1630" w:rsidP="00791B1A">
            <w:pPr>
              <w:rPr>
                <w:rFonts w:ascii="Garamond" w:eastAsia="Times New Roman" w:hAnsi="Garamond"/>
                <w:sz w:val="12"/>
                <w:szCs w:val="16"/>
                <w:lang w:eastAsia="en-US"/>
              </w:rPr>
            </w:pPr>
          </w:p>
        </w:tc>
        <w:tc>
          <w:tcPr>
            <w:tcW w:w="1980" w:type="dxa"/>
            <w:vMerge/>
            <w:vAlign w:val="center"/>
          </w:tcPr>
          <w:p w14:paraId="492A1628" w14:textId="77777777" w:rsidR="003E1630" w:rsidRPr="00024D5A" w:rsidRDefault="003E1630" w:rsidP="00791B1A">
            <w:pPr>
              <w:rPr>
                <w:rFonts w:ascii="Garamond" w:eastAsia="Times New Roman" w:hAnsi="Garamond"/>
                <w:sz w:val="12"/>
                <w:szCs w:val="16"/>
                <w:lang w:eastAsia="en-US"/>
              </w:rPr>
            </w:pPr>
          </w:p>
        </w:tc>
        <w:tc>
          <w:tcPr>
            <w:tcW w:w="720" w:type="dxa"/>
            <w:vMerge/>
            <w:vAlign w:val="center"/>
          </w:tcPr>
          <w:p w14:paraId="6EA0E967" w14:textId="77777777" w:rsidR="003E1630" w:rsidRPr="00024D5A" w:rsidRDefault="003E1630" w:rsidP="00791B1A">
            <w:pPr>
              <w:rPr>
                <w:rFonts w:ascii="Garamond" w:eastAsia="Times New Roman" w:hAnsi="Garamond"/>
                <w:sz w:val="12"/>
                <w:szCs w:val="16"/>
                <w:lang w:eastAsia="en-US"/>
              </w:rPr>
            </w:pPr>
          </w:p>
        </w:tc>
        <w:tc>
          <w:tcPr>
            <w:tcW w:w="720" w:type="dxa"/>
            <w:vMerge/>
            <w:vAlign w:val="center"/>
          </w:tcPr>
          <w:p w14:paraId="2E270257" w14:textId="77777777" w:rsidR="003E1630" w:rsidRPr="00024D5A" w:rsidRDefault="003E1630" w:rsidP="00791B1A">
            <w:pPr>
              <w:rPr>
                <w:rFonts w:ascii="Garamond" w:eastAsia="Times New Roman" w:hAnsi="Garamond"/>
                <w:sz w:val="12"/>
                <w:szCs w:val="16"/>
                <w:lang w:eastAsia="en-US"/>
              </w:rPr>
            </w:pPr>
          </w:p>
        </w:tc>
        <w:tc>
          <w:tcPr>
            <w:tcW w:w="720" w:type="dxa"/>
            <w:vMerge/>
            <w:vAlign w:val="center"/>
          </w:tcPr>
          <w:p w14:paraId="29918911" w14:textId="77777777" w:rsidR="003E1630" w:rsidRPr="00024D5A" w:rsidRDefault="003E1630" w:rsidP="00791B1A">
            <w:pPr>
              <w:rPr>
                <w:rFonts w:ascii="Garamond" w:eastAsia="Times New Roman" w:hAnsi="Garamond"/>
                <w:sz w:val="12"/>
                <w:szCs w:val="16"/>
                <w:lang w:eastAsia="en-US"/>
              </w:rPr>
            </w:pPr>
          </w:p>
        </w:tc>
        <w:tc>
          <w:tcPr>
            <w:tcW w:w="1260" w:type="dxa"/>
            <w:vMerge/>
            <w:vAlign w:val="center"/>
          </w:tcPr>
          <w:p w14:paraId="4F441343" w14:textId="77777777" w:rsidR="003E1630" w:rsidRPr="00024D5A" w:rsidRDefault="003E1630" w:rsidP="00791B1A">
            <w:pPr>
              <w:rPr>
                <w:rFonts w:ascii="Garamond" w:eastAsia="Times New Roman" w:hAnsi="Garamond"/>
                <w:sz w:val="12"/>
                <w:szCs w:val="16"/>
                <w:lang w:eastAsia="en-US"/>
              </w:rPr>
            </w:pPr>
          </w:p>
        </w:tc>
        <w:tc>
          <w:tcPr>
            <w:tcW w:w="1075" w:type="dxa"/>
            <w:vMerge/>
            <w:vAlign w:val="center"/>
          </w:tcPr>
          <w:p w14:paraId="01A3D320" w14:textId="77777777" w:rsidR="003E1630" w:rsidRPr="00024D5A" w:rsidRDefault="003E1630" w:rsidP="00791B1A">
            <w:pPr>
              <w:rPr>
                <w:rFonts w:ascii="Garamond" w:eastAsia="Times New Roman" w:hAnsi="Garamond"/>
                <w:sz w:val="12"/>
                <w:szCs w:val="16"/>
                <w:lang w:eastAsia="en-US"/>
              </w:rPr>
            </w:pPr>
          </w:p>
        </w:tc>
      </w:tr>
      <w:tr w:rsidR="003E1630" w:rsidRPr="00024D5A" w14:paraId="759597AA" w14:textId="77777777" w:rsidTr="00070BC1">
        <w:trPr>
          <w:trHeight w:val="20"/>
        </w:trPr>
        <w:tc>
          <w:tcPr>
            <w:tcW w:w="895" w:type="dxa"/>
            <w:vMerge/>
            <w:vAlign w:val="center"/>
          </w:tcPr>
          <w:p w14:paraId="32E9E267" w14:textId="77777777" w:rsidR="003E1630" w:rsidRPr="00024D5A" w:rsidRDefault="003E1630" w:rsidP="00791B1A">
            <w:pPr>
              <w:rPr>
                <w:rFonts w:ascii="Garamond" w:eastAsia="Times New Roman" w:hAnsi="Garamond"/>
                <w:b/>
                <w:bCs/>
                <w:sz w:val="12"/>
                <w:szCs w:val="16"/>
                <w:lang w:eastAsia="en-US"/>
              </w:rPr>
            </w:pPr>
          </w:p>
        </w:tc>
        <w:tc>
          <w:tcPr>
            <w:tcW w:w="1980" w:type="dxa"/>
            <w:noWrap/>
          </w:tcPr>
          <w:p w14:paraId="519F647D" w14:textId="23EF5675"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Masa prioritare 1.5</w:t>
            </w:r>
            <w:r w:rsidR="00110C9A">
              <w:rPr>
                <w:rFonts w:ascii="Garamond" w:eastAsia="Times New Roman" w:hAnsi="Garamond"/>
                <w:sz w:val="12"/>
                <w:szCs w:val="16"/>
                <w:lang w:eastAsia="en-US"/>
              </w:rPr>
              <w:t>:</w:t>
            </w:r>
            <w:r w:rsidR="00F958F2">
              <w:rPr>
                <w:rFonts w:ascii="Garamond" w:eastAsia="Times New Roman" w:hAnsi="Garamond"/>
                <w:sz w:val="12"/>
                <w:szCs w:val="16"/>
                <w:lang w:eastAsia="en-US"/>
              </w:rPr>
              <w:t xml:space="preserve"> </w:t>
            </w:r>
            <w:r w:rsidRPr="00024D5A">
              <w:rPr>
                <w:rFonts w:ascii="Garamond" w:eastAsia="Times New Roman" w:hAnsi="Garamond"/>
                <w:sz w:val="12"/>
                <w:szCs w:val="16"/>
                <w:lang w:eastAsia="en-US"/>
              </w:rPr>
              <w:t xml:space="preserve">Bashkëpunimi me sektorin privat dhe tregun e punës </w:t>
            </w:r>
            <w:r w:rsidR="00544401"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w:t>
            </w:r>
            <w:r w:rsidR="00544401" w:rsidRPr="00024D5A">
              <w:rPr>
                <w:rFonts w:ascii="Garamond" w:eastAsia="Times New Roman" w:hAnsi="Garamond"/>
                <w:sz w:val="12"/>
                <w:szCs w:val="16"/>
                <w:lang w:eastAsia="en-US"/>
              </w:rPr>
              <w:t xml:space="preserve">lidhja </w:t>
            </w:r>
            <w:r w:rsidRPr="00024D5A">
              <w:rPr>
                <w:rFonts w:ascii="Garamond" w:eastAsia="Times New Roman" w:hAnsi="Garamond"/>
                <w:sz w:val="12"/>
                <w:szCs w:val="16"/>
                <w:lang w:eastAsia="en-US"/>
              </w:rPr>
              <w:t>e aftësive të fituara me punësimin real.</w:t>
            </w:r>
          </w:p>
        </w:tc>
        <w:tc>
          <w:tcPr>
            <w:tcW w:w="1980" w:type="dxa"/>
          </w:tcPr>
          <w:p w14:paraId="6ADEEC82" w14:textId="4D4526EB" w:rsidR="003E1630" w:rsidRPr="00024D5A" w:rsidRDefault="005743A8"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Nr. marrëveshjeve me biznese;</w:t>
            </w:r>
            <w:r w:rsidRPr="00024D5A">
              <w:rPr>
                <w:rFonts w:ascii="Garamond" w:eastAsia="Times New Roman" w:hAnsi="Garamond"/>
                <w:sz w:val="12"/>
                <w:szCs w:val="16"/>
                <w:lang w:eastAsia="en-US"/>
              </w:rPr>
              <w:br/>
              <w:t>Nr. praktikave profesionale;</w:t>
            </w:r>
            <w:r w:rsidRPr="00024D5A">
              <w:rPr>
                <w:rFonts w:ascii="Garamond" w:eastAsia="Times New Roman" w:hAnsi="Garamond"/>
                <w:sz w:val="12"/>
                <w:szCs w:val="16"/>
                <w:lang w:eastAsia="en-US"/>
              </w:rPr>
              <w:br/>
            </w:r>
            <w:r w:rsidR="00F03D39"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e punësimit pas diplomimit</w:t>
            </w:r>
          </w:p>
        </w:tc>
        <w:tc>
          <w:tcPr>
            <w:tcW w:w="720" w:type="dxa"/>
          </w:tcPr>
          <w:p w14:paraId="05241856" w14:textId="77777777"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N/A</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N/A</w:t>
            </w:r>
          </w:p>
        </w:tc>
        <w:tc>
          <w:tcPr>
            <w:tcW w:w="720" w:type="dxa"/>
          </w:tcPr>
          <w:p w14:paraId="54C65E4D" w14:textId="77777777"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45</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200</w:t>
            </w:r>
          </w:p>
        </w:tc>
        <w:tc>
          <w:tcPr>
            <w:tcW w:w="720" w:type="dxa"/>
          </w:tcPr>
          <w:p w14:paraId="591C9F9D" w14:textId="77777777"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60</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200</w:t>
            </w:r>
          </w:p>
        </w:tc>
        <w:tc>
          <w:tcPr>
            <w:tcW w:w="1260" w:type="dxa"/>
          </w:tcPr>
          <w:p w14:paraId="3A243C9A" w14:textId="77777777" w:rsidR="003E1630" w:rsidRPr="00024D5A" w:rsidRDefault="005743A8"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 xml:space="preserve">Memorandume bashkëpunimi; Regjistri i praktikave; </w:t>
            </w:r>
            <w:r w:rsidRPr="00024D5A">
              <w:rPr>
                <w:rFonts w:ascii="Garamond" w:eastAsia="Times New Roman" w:hAnsi="Garamond"/>
                <w:sz w:val="12"/>
                <w:szCs w:val="16"/>
                <w:lang w:eastAsia="en-US"/>
              </w:rPr>
              <w:br/>
              <w:t>Të dhëna nga AKPA</w:t>
            </w:r>
          </w:p>
        </w:tc>
        <w:tc>
          <w:tcPr>
            <w:tcW w:w="1075" w:type="dxa"/>
            <w:noWrap/>
          </w:tcPr>
          <w:p w14:paraId="1B35AF5F" w14:textId="77777777"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 </w:t>
            </w:r>
          </w:p>
        </w:tc>
      </w:tr>
      <w:tr w:rsidR="003E1630" w:rsidRPr="00024D5A" w14:paraId="509C4F45" w14:textId="77777777" w:rsidTr="00070BC1">
        <w:trPr>
          <w:trHeight w:val="20"/>
        </w:trPr>
        <w:tc>
          <w:tcPr>
            <w:tcW w:w="895" w:type="dxa"/>
            <w:vMerge/>
            <w:vAlign w:val="center"/>
          </w:tcPr>
          <w:p w14:paraId="06E851E4" w14:textId="77777777" w:rsidR="003E1630" w:rsidRPr="00024D5A" w:rsidRDefault="003E1630" w:rsidP="00791B1A">
            <w:pPr>
              <w:rPr>
                <w:rFonts w:ascii="Garamond" w:eastAsia="Times New Roman" w:hAnsi="Garamond"/>
                <w:b/>
                <w:bCs/>
                <w:sz w:val="12"/>
                <w:szCs w:val="16"/>
                <w:lang w:eastAsia="en-US"/>
              </w:rPr>
            </w:pPr>
          </w:p>
        </w:tc>
        <w:tc>
          <w:tcPr>
            <w:tcW w:w="1980" w:type="dxa"/>
            <w:noWrap/>
          </w:tcPr>
          <w:p w14:paraId="088C6315" w14:textId="2FD47A95" w:rsidR="00815775"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Masa prioritare 1.6</w:t>
            </w:r>
            <w:r w:rsidR="00110C9A">
              <w:rPr>
                <w:rFonts w:ascii="Garamond" w:eastAsia="Times New Roman" w:hAnsi="Garamond"/>
                <w:sz w:val="12"/>
                <w:szCs w:val="16"/>
                <w:lang w:eastAsia="en-US"/>
              </w:rPr>
              <w:t>:</w:t>
            </w:r>
            <w:r w:rsidR="00F958F2">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w:t>
            </w:r>
          </w:p>
          <w:p w14:paraId="0447D73E" w14:textId="77777777" w:rsidR="00815775" w:rsidRPr="00024D5A" w:rsidRDefault="00815775" w:rsidP="00791B1A">
            <w:pPr>
              <w:jc w:val="both"/>
              <w:rPr>
                <w:rFonts w:ascii="Garamond" w:eastAsia="Times New Roman" w:hAnsi="Garamond"/>
                <w:sz w:val="12"/>
                <w:szCs w:val="16"/>
                <w:lang w:eastAsia="en-US"/>
              </w:rPr>
            </w:pPr>
          </w:p>
          <w:p w14:paraId="199A587E" w14:textId="36887A18" w:rsidR="003E1630" w:rsidRPr="00024D5A" w:rsidRDefault="005743A8" w:rsidP="00544401">
            <w:pPr>
              <w:rPr>
                <w:rFonts w:ascii="Garamond" w:eastAsia="Times New Roman" w:hAnsi="Garamond"/>
                <w:sz w:val="12"/>
                <w:szCs w:val="16"/>
                <w:lang w:eastAsia="en-US"/>
              </w:rPr>
            </w:pPr>
            <w:r w:rsidRPr="00024D5A">
              <w:rPr>
                <w:rFonts w:ascii="Garamond" w:eastAsia="Times New Roman" w:hAnsi="Garamond"/>
                <w:sz w:val="12"/>
                <w:szCs w:val="16"/>
                <w:lang w:eastAsia="en-US"/>
              </w:rPr>
              <w:t>Monitorimi, vlerësimi dhe administrimi i të dhënave</w:t>
            </w:r>
            <w:r w:rsidR="00544401" w:rsidRPr="00024D5A">
              <w:rPr>
                <w:rFonts w:ascii="Garamond" w:eastAsia="Times New Roman" w:hAnsi="Garamond"/>
                <w:sz w:val="12"/>
                <w:szCs w:val="16"/>
                <w:lang w:eastAsia="en-US"/>
              </w:rPr>
              <w:t xml:space="preserve"> –</w:t>
            </w:r>
            <w:r w:rsidRPr="00024D5A">
              <w:rPr>
                <w:rFonts w:ascii="Garamond" w:eastAsia="Times New Roman" w:hAnsi="Garamond"/>
                <w:sz w:val="12"/>
                <w:szCs w:val="16"/>
                <w:lang w:eastAsia="en-US"/>
              </w:rPr>
              <w:t xml:space="preserve"> </w:t>
            </w:r>
            <w:r w:rsidR="00544401" w:rsidRPr="00024D5A">
              <w:rPr>
                <w:rFonts w:ascii="Garamond" w:eastAsia="Times New Roman" w:hAnsi="Garamond"/>
                <w:sz w:val="12"/>
                <w:szCs w:val="16"/>
                <w:lang w:eastAsia="en-US"/>
              </w:rPr>
              <w:t xml:space="preserve">matja </w:t>
            </w:r>
            <w:r w:rsidRPr="00024D5A">
              <w:rPr>
                <w:rFonts w:ascii="Garamond" w:eastAsia="Times New Roman" w:hAnsi="Garamond"/>
                <w:sz w:val="12"/>
                <w:szCs w:val="16"/>
                <w:lang w:eastAsia="en-US"/>
              </w:rPr>
              <w:t>e progresit dhe përmirësimi i vazhdueshëm i masave të parashikuara në këtë sektor/objektiv të planit të veprimit</w:t>
            </w:r>
            <w:r w:rsidR="00544401" w:rsidRPr="00024D5A">
              <w:rPr>
                <w:rFonts w:ascii="Garamond" w:eastAsia="Times New Roman" w:hAnsi="Garamond"/>
                <w:sz w:val="12"/>
                <w:szCs w:val="16"/>
                <w:lang w:eastAsia="en-US"/>
              </w:rPr>
              <w:t>.</w:t>
            </w:r>
          </w:p>
        </w:tc>
        <w:tc>
          <w:tcPr>
            <w:tcW w:w="1980" w:type="dxa"/>
          </w:tcPr>
          <w:p w14:paraId="03BF157B" w14:textId="77777777" w:rsidR="00815775" w:rsidRPr="00024D5A" w:rsidRDefault="005743A8"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 xml:space="preserve">Sistemi i integruar i të dhënave funksional </w:t>
            </w:r>
          </w:p>
          <w:p w14:paraId="441640A2" w14:textId="77777777" w:rsidR="00815775" w:rsidRPr="00024D5A" w:rsidRDefault="00815775" w:rsidP="00791B1A">
            <w:pPr>
              <w:rPr>
                <w:rFonts w:ascii="Garamond" w:eastAsia="Times New Roman" w:hAnsi="Garamond"/>
                <w:sz w:val="12"/>
                <w:szCs w:val="16"/>
                <w:lang w:eastAsia="en-US"/>
              </w:rPr>
            </w:pPr>
          </w:p>
          <w:p w14:paraId="5141AA3F" w14:textId="331BCD40" w:rsidR="003E1630" w:rsidRPr="00024D5A" w:rsidRDefault="005743A8"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Nr. raporteve vjetore;</w:t>
            </w:r>
            <w:r w:rsidRPr="00024D5A">
              <w:rPr>
                <w:rFonts w:ascii="Garamond" w:eastAsia="Times New Roman" w:hAnsi="Garamond"/>
                <w:sz w:val="12"/>
                <w:szCs w:val="16"/>
                <w:lang w:eastAsia="en-US"/>
              </w:rPr>
              <w:br/>
            </w:r>
            <w:r w:rsidR="00F03D39"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e institucioneve që raportojnë rregullisht</w:t>
            </w:r>
          </w:p>
        </w:tc>
        <w:tc>
          <w:tcPr>
            <w:tcW w:w="720" w:type="dxa"/>
          </w:tcPr>
          <w:p w14:paraId="02124702" w14:textId="77777777" w:rsidR="00815775"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0</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p>
          <w:p w14:paraId="07893BB2" w14:textId="77777777" w:rsidR="00815775" w:rsidRPr="00024D5A" w:rsidRDefault="00815775" w:rsidP="00791B1A">
            <w:pPr>
              <w:jc w:val="both"/>
              <w:rPr>
                <w:rFonts w:ascii="Garamond" w:eastAsia="Times New Roman" w:hAnsi="Garamond"/>
                <w:sz w:val="12"/>
                <w:szCs w:val="16"/>
                <w:lang w:eastAsia="en-US"/>
              </w:rPr>
            </w:pPr>
          </w:p>
          <w:p w14:paraId="5F2D0FDF" w14:textId="37CE7C74"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0</w:t>
            </w:r>
          </w:p>
        </w:tc>
        <w:tc>
          <w:tcPr>
            <w:tcW w:w="720" w:type="dxa"/>
          </w:tcPr>
          <w:p w14:paraId="10EB89E2" w14:textId="77777777" w:rsidR="00815775"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1;</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p>
          <w:p w14:paraId="4934171A" w14:textId="77777777" w:rsidR="00815775" w:rsidRPr="00024D5A" w:rsidRDefault="00815775" w:rsidP="00791B1A">
            <w:pPr>
              <w:jc w:val="both"/>
              <w:rPr>
                <w:rFonts w:ascii="Garamond" w:eastAsia="Times New Roman" w:hAnsi="Garamond"/>
                <w:sz w:val="12"/>
                <w:szCs w:val="16"/>
                <w:lang w:eastAsia="en-US"/>
              </w:rPr>
            </w:pPr>
          </w:p>
          <w:p w14:paraId="5EC6C7CF" w14:textId="37155A40"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3</w:t>
            </w:r>
          </w:p>
        </w:tc>
        <w:tc>
          <w:tcPr>
            <w:tcW w:w="720" w:type="dxa"/>
          </w:tcPr>
          <w:p w14:paraId="2AA01A91" w14:textId="77777777" w:rsidR="00815775"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1</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p>
          <w:p w14:paraId="286994D1" w14:textId="77777777" w:rsidR="00815775" w:rsidRPr="00024D5A" w:rsidRDefault="00815775" w:rsidP="00791B1A">
            <w:pPr>
              <w:jc w:val="both"/>
              <w:rPr>
                <w:rFonts w:ascii="Garamond" w:eastAsia="Times New Roman" w:hAnsi="Garamond"/>
                <w:sz w:val="12"/>
                <w:szCs w:val="16"/>
                <w:lang w:eastAsia="en-US"/>
              </w:rPr>
            </w:pPr>
          </w:p>
          <w:p w14:paraId="0AEC3C53" w14:textId="5B27FEDF"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2</w:t>
            </w:r>
          </w:p>
        </w:tc>
        <w:tc>
          <w:tcPr>
            <w:tcW w:w="1260" w:type="dxa"/>
          </w:tcPr>
          <w:p w14:paraId="4B5CA273" w14:textId="77777777" w:rsidR="006E615A" w:rsidRPr="00024D5A" w:rsidRDefault="00815775"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S</w:t>
            </w:r>
            <w:r w:rsidR="00A32C29" w:rsidRPr="00024D5A">
              <w:rPr>
                <w:rFonts w:ascii="Garamond" w:eastAsia="Times New Roman" w:hAnsi="Garamond"/>
                <w:sz w:val="12"/>
                <w:szCs w:val="16"/>
                <w:lang w:eastAsia="en-US"/>
              </w:rPr>
              <w:t>istem administrativ për aftësinë e kufizuar, në përputhje me burimet ekzistuese të të dhënave dhe strukturën institucionale të raportimit</w:t>
            </w:r>
            <w:r w:rsidR="006E615A" w:rsidRPr="00024D5A">
              <w:rPr>
                <w:rFonts w:ascii="Garamond" w:eastAsia="Times New Roman" w:hAnsi="Garamond"/>
                <w:sz w:val="12"/>
                <w:szCs w:val="16"/>
                <w:lang w:eastAsia="en-US"/>
              </w:rPr>
              <w:t>.</w:t>
            </w:r>
          </w:p>
          <w:p w14:paraId="23D2F3C0" w14:textId="58070345" w:rsidR="003E1630" w:rsidRPr="00024D5A" w:rsidRDefault="005743A8"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 xml:space="preserve">Raporte të monitorimit sektorial; </w:t>
            </w:r>
            <w:r w:rsidRPr="00024D5A">
              <w:rPr>
                <w:rFonts w:ascii="Garamond" w:eastAsia="Times New Roman" w:hAnsi="Garamond"/>
                <w:sz w:val="12"/>
                <w:szCs w:val="16"/>
                <w:lang w:eastAsia="en-US"/>
              </w:rPr>
              <w:br/>
            </w:r>
          </w:p>
        </w:tc>
        <w:tc>
          <w:tcPr>
            <w:tcW w:w="1075" w:type="dxa"/>
            <w:noWrap/>
          </w:tcPr>
          <w:p w14:paraId="6EDDDE0B" w14:textId="77777777"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 </w:t>
            </w:r>
          </w:p>
        </w:tc>
      </w:tr>
      <w:tr w:rsidR="003E1630" w:rsidRPr="00024D5A" w14:paraId="5D557104" w14:textId="77777777" w:rsidTr="00070BC1">
        <w:trPr>
          <w:trHeight w:val="20"/>
        </w:trPr>
        <w:tc>
          <w:tcPr>
            <w:tcW w:w="895" w:type="dxa"/>
            <w:vMerge/>
            <w:vAlign w:val="center"/>
          </w:tcPr>
          <w:p w14:paraId="1799ECE6" w14:textId="77777777" w:rsidR="003E1630" w:rsidRPr="00024D5A" w:rsidRDefault="003E1630" w:rsidP="00791B1A">
            <w:pPr>
              <w:rPr>
                <w:rFonts w:ascii="Garamond" w:eastAsia="Times New Roman" w:hAnsi="Garamond"/>
                <w:b/>
                <w:bCs/>
                <w:sz w:val="12"/>
                <w:szCs w:val="16"/>
                <w:lang w:eastAsia="en-US"/>
              </w:rPr>
            </w:pPr>
          </w:p>
        </w:tc>
        <w:tc>
          <w:tcPr>
            <w:tcW w:w="1980" w:type="dxa"/>
            <w:shd w:val="clear" w:color="auto" w:fill="DBE5F1" w:themeFill="accent1" w:themeFillTint="33"/>
            <w:noWrap/>
          </w:tcPr>
          <w:p w14:paraId="0721FD70" w14:textId="1D2EF113"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Masa prioritare 2.1</w:t>
            </w:r>
            <w:r w:rsidR="00110C9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Plotësimi i kuadrit ligjor dhe institucional për të nxitur punësimin e punëkërkuesve me aftësi të kufizuara</w:t>
            </w:r>
            <w:r w:rsidR="00544401" w:rsidRPr="00024D5A">
              <w:rPr>
                <w:rFonts w:ascii="Garamond" w:eastAsia="Times New Roman" w:hAnsi="Garamond"/>
                <w:sz w:val="12"/>
                <w:szCs w:val="16"/>
                <w:lang w:eastAsia="en-US"/>
              </w:rPr>
              <w:t>.</w:t>
            </w:r>
          </w:p>
        </w:tc>
        <w:tc>
          <w:tcPr>
            <w:tcW w:w="1980" w:type="dxa"/>
            <w:shd w:val="clear" w:color="auto" w:fill="DBE5F1" w:themeFill="accent1" w:themeFillTint="33"/>
          </w:tcPr>
          <w:p w14:paraId="3E0468E9" w14:textId="77777777" w:rsidR="003E1630" w:rsidRPr="00024D5A" w:rsidRDefault="005743A8"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Nr. ndryshimeve ligjore të miratuara;</w:t>
            </w:r>
            <w:r w:rsidRPr="00024D5A">
              <w:rPr>
                <w:rFonts w:ascii="Garamond" w:eastAsia="Times New Roman" w:hAnsi="Garamond"/>
                <w:sz w:val="12"/>
                <w:szCs w:val="16"/>
                <w:lang w:eastAsia="en-US"/>
              </w:rPr>
              <w:br/>
              <w:t>Nr. skemave fiskale/subvencioneve;</w:t>
            </w:r>
          </w:p>
        </w:tc>
        <w:tc>
          <w:tcPr>
            <w:tcW w:w="720" w:type="dxa"/>
            <w:shd w:val="clear" w:color="auto" w:fill="DBE5F1" w:themeFill="accent1" w:themeFillTint="33"/>
            <w:noWrap/>
          </w:tcPr>
          <w:p w14:paraId="4A398777" w14:textId="77777777"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 </w:t>
            </w:r>
          </w:p>
        </w:tc>
        <w:tc>
          <w:tcPr>
            <w:tcW w:w="720" w:type="dxa"/>
            <w:shd w:val="clear" w:color="auto" w:fill="DBE5F1" w:themeFill="accent1" w:themeFillTint="33"/>
            <w:noWrap/>
          </w:tcPr>
          <w:p w14:paraId="6DEED8A4" w14:textId="77777777" w:rsidR="00544401" w:rsidRPr="00024D5A" w:rsidRDefault="005743A8"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3 ligje; 3</w:t>
            </w:r>
            <w:r w:rsidR="00544401" w:rsidRPr="00024D5A">
              <w:rPr>
                <w:rFonts w:ascii="Garamond" w:eastAsia="Times New Roman" w:hAnsi="Garamond"/>
                <w:sz w:val="12"/>
                <w:szCs w:val="16"/>
                <w:lang w:eastAsia="en-US"/>
              </w:rPr>
              <w:t xml:space="preserve"> </w:t>
            </w:r>
            <w:r w:rsidRPr="00024D5A">
              <w:rPr>
                <w:rFonts w:ascii="Garamond" w:eastAsia="Times New Roman" w:hAnsi="Garamond"/>
                <w:sz w:val="12"/>
                <w:szCs w:val="16"/>
                <w:lang w:eastAsia="en-US"/>
              </w:rPr>
              <w:t xml:space="preserve">VKM; </w:t>
            </w:r>
          </w:p>
          <w:p w14:paraId="1C0EAB63" w14:textId="259FCAD0" w:rsidR="003E1630" w:rsidRPr="00024D5A" w:rsidRDefault="005743A8"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 xml:space="preserve">2 </w:t>
            </w:r>
            <w:r w:rsidR="00544401" w:rsidRPr="00024D5A">
              <w:rPr>
                <w:rFonts w:ascii="Garamond" w:eastAsia="Times New Roman" w:hAnsi="Garamond"/>
                <w:sz w:val="12"/>
                <w:szCs w:val="16"/>
                <w:lang w:eastAsia="en-US"/>
              </w:rPr>
              <w:t>udhëzime</w:t>
            </w:r>
          </w:p>
        </w:tc>
        <w:tc>
          <w:tcPr>
            <w:tcW w:w="720" w:type="dxa"/>
            <w:shd w:val="clear" w:color="auto" w:fill="DBE5F1" w:themeFill="accent1" w:themeFillTint="33"/>
            <w:noWrap/>
          </w:tcPr>
          <w:p w14:paraId="79D1AF8E" w14:textId="77777777" w:rsidR="003E1630" w:rsidRPr="00024D5A" w:rsidRDefault="005743A8"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2 udhëzime</w:t>
            </w:r>
          </w:p>
        </w:tc>
        <w:tc>
          <w:tcPr>
            <w:tcW w:w="1260" w:type="dxa"/>
            <w:shd w:val="clear" w:color="auto" w:fill="DBE5F1" w:themeFill="accent1" w:themeFillTint="33"/>
          </w:tcPr>
          <w:p w14:paraId="7C48DC6F" w14:textId="441B539B"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 xml:space="preserve">Fletorja Zyrtare; </w:t>
            </w:r>
            <w:r w:rsidRPr="00024D5A">
              <w:rPr>
                <w:rFonts w:ascii="Garamond" w:eastAsia="Times New Roman" w:hAnsi="Garamond"/>
                <w:sz w:val="12"/>
                <w:szCs w:val="16"/>
                <w:lang w:eastAsia="en-US"/>
              </w:rPr>
              <w:br/>
            </w:r>
            <w:r w:rsidR="00544401" w:rsidRPr="00024D5A">
              <w:rPr>
                <w:rFonts w:ascii="Garamond" w:eastAsia="Times New Roman" w:hAnsi="Garamond"/>
                <w:sz w:val="12"/>
                <w:szCs w:val="16"/>
                <w:lang w:eastAsia="en-US"/>
              </w:rPr>
              <w:t xml:space="preserve">vendime </w:t>
            </w:r>
            <w:r w:rsidRPr="00024D5A">
              <w:rPr>
                <w:rFonts w:ascii="Garamond" w:eastAsia="Times New Roman" w:hAnsi="Garamond"/>
                <w:sz w:val="12"/>
                <w:szCs w:val="16"/>
                <w:lang w:eastAsia="en-US"/>
              </w:rPr>
              <w:t xml:space="preserve">qeverie; </w:t>
            </w:r>
            <w:r w:rsidRPr="00024D5A">
              <w:rPr>
                <w:rFonts w:ascii="Garamond" w:eastAsia="Times New Roman" w:hAnsi="Garamond"/>
                <w:sz w:val="12"/>
                <w:szCs w:val="16"/>
                <w:lang w:eastAsia="en-US"/>
              </w:rPr>
              <w:br/>
              <w:t>Raporte të MEI</w:t>
            </w:r>
            <w:r w:rsidR="00544401" w:rsidRPr="00024D5A">
              <w:rPr>
                <w:rFonts w:ascii="Garamond" w:eastAsia="Times New Roman" w:hAnsi="Garamond"/>
                <w:sz w:val="12"/>
                <w:szCs w:val="16"/>
                <w:lang w:eastAsia="en-US"/>
              </w:rPr>
              <w:t>-t</w:t>
            </w:r>
            <w:r w:rsidRPr="00024D5A">
              <w:rPr>
                <w:rFonts w:ascii="Garamond" w:eastAsia="Times New Roman" w:hAnsi="Garamond"/>
                <w:sz w:val="12"/>
                <w:szCs w:val="16"/>
                <w:lang w:eastAsia="en-US"/>
              </w:rPr>
              <w:t>: raporte të MF</w:t>
            </w:r>
            <w:r w:rsidR="00544401" w:rsidRPr="00024D5A">
              <w:rPr>
                <w:rFonts w:ascii="Garamond" w:eastAsia="Times New Roman" w:hAnsi="Garamond"/>
                <w:sz w:val="12"/>
                <w:szCs w:val="16"/>
                <w:lang w:eastAsia="en-US"/>
              </w:rPr>
              <w:t>-së</w:t>
            </w:r>
            <w:r w:rsidR="00412713" w:rsidRPr="00024D5A">
              <w:rPr>
                <w:rFonts w:ascii="Garamond" w:eastAsia="Times New Roman" w:hAnsi="Garamond"/>
                <w:sz w:val="12"/>
                <w:szCs w:val="16"/>
                <w:lang w:eastAsia="en-US"/>
              </w:rPr>
              <w:t>.</w:t>
            </w:r>
          </w:p>
        </w:tc>
        <w:tc>
          <w:tcPr>
            <w:tcW w:w="1075" w:type="dxa"/>
            <w:shd w:val="clear" w:color="auto" w:fill="DBE5F1" w:themeFill="accent1" w:themeFillTint="33"/>
            <w:noWrap/>
          </w:tcPr>
          <w:p w14:paraId="123D864A" w14:textId="77777777"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 </w:t>
            </w:r>
          </w:p>
        </w:tc>
      </w:tr>
      <w:tr w:rsidR="003E1630" w:rsidRPr="00024D5A" w14:paraId="2169BCC5" w14:textId="77777777" w:rsidTr="00070BC1">
        <w:trPr>
          <w:trHeight w:val="20"/>
        </w:trPr>
        <w:tc>
          <w:tcPr>
            <w:tcW w:w="895" w:type="dxa"/>
            <w:vMerge/>
            <w:vAlign w:val="center"/>
          </w:tcPr>
          <w:p w14:paraId="31DD7FC5" w14:textId="77777777" w:rsidR="003E1630" w:rsidRPr="00024D5A" w:rsidRDefault="003E1630" w:rsidP="00791B1A">
            <w:pPr>
              <w:rPr>
                <w:rFonts w:ascii="Garamond" w:eastAsia="Times New Roman" w:hAnsi="Garamond"/>
                <w:b/>
                <w:bCs/>
                <w:sz w:val="12"/>
                <w:szCs w:val="16"/>
                <w:lang w:eastAsia="en-US"/>
              </w:rPr>
            </w:pPr>
          </w:p>
        </w:tc>
        <w:tc>
          <w:tcPr>
            <w:tcW w:w="1980" w:type="dxa"/>
            <w:noWrap/>
          </w:tcPr>
          <w:p w14:paraId="197B6FD3" w14:textId="23C69C92"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Masa prioritare 2.2</w:t>
            </w:r>
            <w:r w:rsidR="00110C9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Përmirësimi i aksesueshmërisë dhe kapaciteteve institucionale të AKPA-s</w:t>
            </w:r>
            <w:r w:rsidR="00544401" w:rsidRPr="00024D5A">
              <w:rPr>
                <w:rFonts w:ascii="Garamond" w:eastAsia="Times New Roman" w:hAnsi="Garamond"/>
                <w:sz w:val="12"/>
                <w:szCs w:val="16"/>
                <w:lang w:eastAsia="en-US"/>
              </w:rPr>
              <w:t>ë</w:t>
            </w:r>
            <w:r w:rsidRPr="00024D5A">
              <w:rPr>
                <w:rFonts w:ascii="Garamond" w:eastAsia="Times New Roman" w:hAnsi="Garamond"/>
                <w:sz w:val="12"/>
                <w:szCs w:val="16"/>
                <w:lang w:eastAsia="en-US"/>
              </w:rPr>
              <w:t xml:space="preserve"> dhe zyrave të punësimit për të garantuar akses dhe shërbime gjithëpërfshirëse punësimi për punëkërkuesit me aftësi të kufizuara</w:t>
            </w:r>
            <w:r w:rsidR="00544401" w:rsidRPr="00024D5A">
              <w:rPr>
                <w:rFonts w:ascii="Garamond" w:eastAsia="Times New Roman" w:hAnsi="Garamond"/>
                <w:sz w:val="12"/>
                <w:szCs w:val="16"/>
                <w:lang w:eastAsia="en-US"/>
              </w:rPr>
              <w:t>.</w:t>
            </w:r>
          </w:p>
        </w:tc>
        <w:tc>
          <w:tcPr>
            <w:tcW w:w="1980" w:type="dxa"/>
          </w:tcPr>
          <w:p w14:paraId="21708780" w14:textId="77777777" w:rsidR="00815775"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 xml:space="preserve">% e zyrave të aksesueshme; </w:t>
            </w:r>
            <w:r w:rsidRPr="00024D5A">
              <w:rPr>
                <w:rFonts w:ascii="Garamond" w:eastAsia="Times New Roman" w:hAnsi="Garamond"/>
                <w:sz w:val="12"/>
                <w:szCs w:val="16"/>
                <w:lang w:eastAsia="en-US"/>
              </w:rPr>
              <w:br/>
            </w:r>
          </w:p>
          <w:p w14:paraId="2F7DC187" w14:textId="53528636"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 xml:space="preserve">Nr. </w:t>
            </w:r>
            <w:r w:rsidR="00544401" w:rsidRPr="00024D5A">
              <w:rPr>
                <w:rFonts w:ascii="Garamond" w:eastAsia="Times New Roman" w:hAnsi="Garamond"/>
                <w:sz w:val="12"/>
                <w:szCs w:val="16"/>
                <w:lang w:eastAsia="en-US"/>
              </w:rPr>
              <w:t xml:space="preserve">i </w:t>
            </w:r>
            <w:r w:rsidRPr="00024D5A">
              <w:rPr>
                <w:rFonts w:ascii="Garamond" w:eastAsia="Times New Roman" w:hAnsi="Garamond"/>
                <w:sz w:val="12"/>
                <w:szCs w:val="16"/>
                <w:lang w:eastAsia="en-US"/>
              </w:rPr>
              <w:t>stafit të trajnuar;</w:t>
            </w:r>
            <w:r w:rsidRPr="00024D5A">
              <w:rPr>
                <w:rFonts w:ascii="Garamond" w:eastAsia="Times New Roman" w:hAnsi="Garamond"/>
                <w:sz w:val="12"/>
                <w:szCs w:val="16"/>
                <w:lang w:eastAsia="en-US"/>
              </w:rPr>
              <w:br/>
              <w:t>% e planeve individuale të punësimit</w:t>
            </w:r>
            <w:r w:rsidR="00544401" w:rsidRPr="00024D5A">
              <w:rPr>
                <w:rFonts w:ascii="Garamond" w:eastAsia="Times New Roman" w:hAnsi="Garamond"/>
                <w:sz w:val="12"/>
                <w:szCs w:val="16"/>
                <w:lang w:eastAsia="en-US"/>
              </w:rPr>
              <w:t>.</w:t>
            </w:r>
          </w:p>
        </w:tc>
        <w:tc>
          <w:tcPr>
            <w:tcW w:w="720" w:type="dxa"/>
          </w:tcPr>
          <w:p w14:paraId="067623A6" w14:textId="77777777"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1</w:t>
            </w:r>
            <w:r w:rsidRPr="00024D5A">
              <w:rPr>
                <w:rFonts w:ascii="Garamond" w:eastAsia="Times New Roman" w:hAnsi="Garamond"/>
                <w:sz w:val="12"/>
                <w:szCs w:val="16"/>
                <w:lang w:eastAsia="en-US"/>
              </w:rPr>
              <w:br/>
              <w:t>42</w:t>
            </w:r>
            <w:r w:rsidRPr="00024D5A">
              <w:rPr>
                <w:rFonts w:ascii="Garamond" w:eastAsia="Times New Roman" w:hAnsi="Garamond"/>
                <w:sz w:val="12"/>
                <w:szCs w:val="16"/>
                <w:lang w:eastAsia="en-US"/>
              </w:rPr>
              <w:br/>
              <w:t>N/A</w:t>
            </w:r>
          </w:p>
        </w:tc>
        <w:tc>
          <w:tcPr>
            <w:tcW w:w="720" w:type="dxa"/>
          </w:tcPr>
          <w:p w14:paraId="7D425558" w14:textId="77777777"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10</w:t>
            </w:r>
            <w:r w:rsidRPr="00024D5A">
              <w:rPr>
                <w:rFonts w:ascii="Garamond" w:eastAsia="Times New Roman" w:hAnsi="Garamond"/>
                <w:sz w:val="12"/>
                <w:szCs w:val="16"/>
                <w:lang w:eastAsia="en-US"/>
              </w:rPr>
              <w:br/>
              <w:t>stafi i 27 ZP</w:t>
            </w:r>
            <w:r w:rsidRPr="00024D5A">
              <w:rPr>
                <w:rFonts w:ascii="Garamond" w:eastAsia="Times New Roman" w:hAnsi="Garamond"/>
                <w:sz w:val="12"/>
                <w:szCs w:val="16"/>
                <w:lang w:eastAsia="en-US"/>
              </w:rPr>
              <w:br/>
              <w:t>980</w:t>
            </w:r>
          </w:p>
        </w:tc>
        <w:tc>
          <w:tcPr>
            <w:tcW w:w="720" w:type="dxa"/>
          </w:tcPr>
          <w:p w14:paraId="74D0FA17" w14:textId="77777777"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2</w:t>
            </w:r>
            <w:r w:rsidRPr="00024D5A">
              <w:rPr>
                <w:rFonts w:ascii="Garamond" w:eastAsia="Times New Roman" w:hAnsi="Garamond"/>
                <w:sz w:val="12"/>
                <w:szCs w:val="16"/>
                <w:lang w:eastAsia="en-US"/>
              </w:rPr>
              <w:br/>
              <w:t>stafi i 18 ZP</w:t>
            </w:r>
            <w:r w:rsidRPr="00024D5A">
              <w:rPr>
                <w:rFonts w:ascii="Garamond" w:eastAsia="Times New Roman" w:hAnsi="Garamond"/>
                <w:sz w:val="12"/>
                <w:szCs w:val="16"/>
                <w:lang w:eastAsia="en-US"/>
              </w:rPr>
              <w:br/>
              <w:t>500</w:t>
            </w:r>
          </w:p>
        </w:tc>
        <w:tc>
          <w:tcPr>
            <w:tcW w:w="1260" w:type="dxa"/>
            <w:noWrap/>
          </w:tcPr>
          <w:p w14:paraId="10173E91" w14:textId="24A8EEF0"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Raporte të Agjenci</w:t>
            </w:r>
            <w:r w:rsidR="00C54ABE" w:rsidRPr="00024D5A">
              <w:rPr>
                <w:rFonts w:ascii="Garamond" w:eastAsia="Times New Roman" w:hAnsi="Garamond"/>
                <w:sz w:val="12"/>
                <w:szCs w:val="16"/>
                <w:lang w:eastAsia="en-US"/>
              </w:rPr>
              <w:t>së</w:t>
            </w:r>
            <w:r w:rsidRPr="00024D5A">
              <w:rPr>
                <w:rFonts w:ascii="Garamond" w:eastAsia="Times New Roman" w:hAnsi="Garamond"/>
                <w:sz w:val="12"/>
                <w:szCs w:val="16"/>
                <w:lang w:eastAsia="en-US"/>
              </w:rPr>
              <w:t xml:space="preserve"> Kombëtare e Punësimit dhe Aftësive (AKPA) - </w:t>
            </w:r>
            <w:r w:rsidR="00412713" w:rsidRPr="00024D5A">
              <w:rPr>
                <w:rFonts w:ascii="Garamond" w:eastAsia="Times New Roman" w:hAnsi="Garamond"/>
                <w:sz w:val="12"/>
                <w:szCs w:val="16"/>
                <w:lang w:eastAsia="en-US"/>
              </w:rPr>
              <w:t xml:space="preserve">regjistri </w:t>
            </w:r>
            <w:r w:rsidRPr="00024D5A">
              <w:rPr>
                <w:rFonts w:ascii="Garamond" w:eastAsia="Times New Roman" w:hAnsi="Garamond"/>
                <w:sz w:val="12"/>
                <w:szCs w:val="16"/>
                <w:lang w:eastAsia="en-US"/>
              </w:rPr>
              <w:t>i trajnimeve</w:t>
            </w:r>
            <w:r w:rsidR="00412713" w:rsidRPr="00024D5A">
              <w:rPr>
                <w:rFonts w:ascii="Garamond" w:eastAsia="Times New Roman" w:hAnsi="Garamond"/>
                <w:sz w:val="12"/>
                <w:szCs w:val="16"/>
                <w:lang w:eastAsia="en-US"/>
              </w:rPr>
              <w:t>.</w:t>
            </w:r>
          </w:p>
        </w:tc>
        <w:tc>
          <w:tcPr>
            <w:tcW w:w="1075" w:type="dxa"/>
            <w:noWrap/>
          </w:tcPr>
          <w:p w14:paraId="66C7FE0A" w14:textId="77777777" w:rsidR="003E1630" w:rsidRPr="00024D5A" w:rsidRDefault="003E1630" w:rsidP="00791B1A">
            <w:pPr>
              <w:jc w:val="both"/>
              <w:rPr>
                <w:rFonts w:ascii="Garamond" w:eastAsia="Times New Roman" w:hAnsi="Garamond"/>
                <w:sz w:val="12"/>
                <w:szCs w:val="16"/>
                <w:lang w:eastAsia="en-US"/>
              </w:rPr>
            </w:pPr>
          </w:p>
        </w:tc>
      </w:tr>
      <w:tr w:rsidR="003E1630" w:rsidRPr="00024D5A" w14:paraId="60096FB8" w14:textId="77777777" w:rsidTr="00070BC1">
        <w:trPr>
          <w:trHeight w:val="20"/>
        </w:trPr>
        <w:tc>
          <w:tcPr>
            <w:tcW w:w="895" w:type="dxa"/>
            <w:vMerge/>
            <w:vAlign w:val="center"/>
          </w:tcPr>
          <w:p w14:paraId="707BA40F" w14:textId="77777777" w:rsidR="003E1630" w:rsidRPr="00024D5A" w:rsidRDefault="003E1630" w:rsidP="00791B1A">
            <w:pPr>
              <w:rPr>
                <w:rFonts w:ascii="Garamond" w:eastAsia="Times New Roman" w:hAnsi="Garamond"/>
                <w:b/>
                <w:bCs/>
                <w:sz w:val="12"/>
                <w:szCs w:val="16"/>
                <w:lang w:eastAsia="en-US"/>
              </w:rPr>
            </w:pPr>
          </w:p>
        </w:tc>
        <w:tc>
          <w:tcPr>
            <w:tcW w:w="1980" w:type="dxa"/>
            <w:noWrap/>
          </w:tcPr>
          <w:p w14:paraId="5251D320" w14:textId="36BBE2FE"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Masa prioritare 2.3</w:t>
            </w:r>
            <w:r w:rsidR="00110C9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Përmirësimi i sistemit të vlerësimit dhe regjistrimit të punëkërkuesve me aftësi të kufizuara, me fokus të veçante të rinjtë dhe gratë me aftësi të kufizuara</w:t>
            </w:r>
            <w:r w:rsidR="00544401"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w:t>
            </w:r>
          </w:p>
        </w:tc>
        <w:tc>
          <w:tcPr>
            <w:tcW w:w="1980" w:type="dxa"/>
          </w:tcPr>
          <w:p w14:paraId="281D603F" w14:textId="5F6A267C" w:rsidR="003E1630" w:rsidRPr="00024D5A" w:rsidRDefault="005743A8"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Sistemi i vlerësimit dhe profilizimit funksional;</w:t>
            </w:r>
            <w:r w:rsidRPr="00024D5A">
              <w:rPr>
                <w:rFonts w:ascii="Garamond" w:eastAsia="Times New Roman" w:hAnsi="Garamond"/>
                <w:sz w:val="12"/>
                <w:szCs w:val="16"/>
                <w:lang w:eastAsia="en-US"/>
              </w:rPr>
              <w:br/>
              <w:t>% e PAK të regjistruar, vlerësuar dhe profilizuar</w:t>
            </w:r>
            <w:r w:rsidR="00544401" w:rsidRPr="00024D5A">
              <w:rPr>
                <w:rFonts w:ascii="Garamond" w:eastAsia="Times New Roman" w:hAnsi="Garamond"/>
                <w:sz w:val="12"/>
                <w:szCs w:val="16"/>
                <w:lang w:eastAsia="en-US"/>
              </w:rPr>
              <w:t>.</w:t>
            </w:r>
          </w:p>
        </w:tc>
        <w:tc>
          <w:tcPr>
            <w:tcW w:w="720" w:type="dxa"/>
          </w:tcPr>
          <w:p w14:paraId="0A0220C4" w14:textId="77777777"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N/A</w:t>
            </w:r>
          </w:p>
        </w:tc>
        <w:tc>
          <w:tcPr>
            <w:tcW w:w="720" w:type="dxa"/>
          </w:tcPr>
          <w:p w14:paraId="0EAFA472" w14:textId="08CB083F"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980</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50% gra dhe 50% t</w:t>
            </w:r>
            <w:r w:rsidR="00070BC1" w:rsidRPr="00024D5A">
              <w:rPr>
                <w:rFonts w:ascii="Garamond" w:eastAsia="Times New Roman" w:hAnsi="Garamond"/>
                <w:sz w:val="12"/>
                <w:szCs w:val="16"/>
                <w:lang w:eastAsia="en-US"/>
              </w:rPr>
              <w:t>ë</w:t>
            </w:r>
            <w:r w:rsidRPr="00024D5A">
              <w:rPr>
                <w:rFonts w:ascii="Garamond" w:eastAsia="Times New Roman" w:hAnsi="Garamond"/>
                <w:sz w:val="12"/>
                <w:szCs w:val="16"/>
                <w:lang w:eastAsia="en-US"/>
              </w:rPr>
              <w:t xml:space="preserve"> rinj</w:t>
            </w:r>
          </w:p>
        </w:tc>
        <w:tc>
          <w:tcPr>
            <w:tcW w:w="720" w:type="dxa"/>
          </w:tcPr>
          <w:p w14:paraId="03446775" w14:textId="204BBAD9"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500</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50% gra; 60% t</w:t>
            </w:r>
            <w:r w:rsidR="00070BC1" w:rsidRPr="00024D5A">
              <w:rPr>
                <w:rFonts w:ascii="Garamond" w:eastAsia="Times New Roman" w:hAnsi="Garamond"/>
                <w:sz w:val="12"/>
                <w:szCs w:val="16"/>
                <w:lang w:eastAsia="en-US"/>
              </w:rPr>
              <w:t>ë</w:t>
            </w:r>
            <w:r w:rsidRPr="00024D5A">
              <w:rPr>
                <w:rFonts w:ascii="Garamond" w:eastAsia="Times New Roman" w:hAnsi="Garamond"/>
                <w:sz w:val="12"/>
                <w:szCs w:val="16"/>
                <w:lang w:eastAsia="en-US"/>
              </w:rPr>
              <w:t xml:space="preserve"> rinj</w:t>
            </w:r>
          </w:p>
        </w:tc>
        <w:tc>
          <w:tcPr>
            <w:tcW w:w="1260" w:type="dxa"/>
          </w:tcPr>
          <w:p w14:paraId="7241B643" w14:textId="4DF938F4"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Baza e të dhënave e AKPA</w:t>
            </w:r>
            <w:r w:rsidR="00412713" w:rsidRPr="00024D5A">
              <w:rPr>
                <w:rFonts w:ascii="Garamond" w:eastAsia="Times New Roman" w:hAnsi="Garamond"/>
                <w:sz w:val="12"/>
                <w:szCs w:val="16"/>
                <w:lang w:eastAsia="en-US"/>
              </w:rPr>
              <w:t>-së</w:t>
            </w:r>
            <w:r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br/>
              <w:t>Raporte statistikore të ndara sipas gjinisë/moshës</w:t>
            </w:r>
          </w:p>
        </w:tc>
        <w:tc>
          <w:tcPr>
            <w:tcW w:w="1075" w:type="dxa"/>
            <w:noWrap/>
          </w:tcPr>
          <w:p w14:paraId="5DFA2279" w14:textId="77777777"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 </w:t>
            </w:r>
          </w:p>
        </w:tc>
      </w:tr>
      <w:tr w:rsidR="003E1630" w:rsidRPr="00024D5A" w14:paraId="0974B5C8" w14:textId="77777777" w:rsidTr="00070BC1">
        <w:trPr>
          <w:trHeight w:val="20"/>
        </w:trPr>
        <w:tc>
          <w:tcPr>
            <w:tcW w:w="895" w:type="dxa"/>
            <w:vMerge/>
            <w:vAlign w:val="center"/>
          </w:tcPr>
          <w:p w14:paraId="650FD808" w14:textId="77777777" w:rsidR="003E1630" w:rsidRPr="00024D5A" w:rsidRDefault="003E1630" w:rsidP="00791B1A">
            <w:pPr>
              <w:rPr>
                <w:rFonts w:ascii="Garamond" w:eastAsia="Times New Roman" w:hAnsi="Garamond"/>
                <w:b/>
                <w:bCs/>
                <w:sz w:val="12"/>
                <w:szCs w:val="16"/>
                <w:lang w:eastAsia="en-US"/>
              </w:rPr>
            </w:pPr>
          </w:p>
        </w:tc>
        <w:tc>
          <w:tcPr>
            <w:tcW w:w="1980" w:type="dxa"/>
            <w:noWrap/>
          </w:tcPr>
          <w:p w14:paraId="2BDFA437" w14:textId="61000B61"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Masë prioritare 2.4</w:t>
            </w:r>
            <w:r w:rsidR="00110C9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Konsolidimi dhe zgjerimi i shërbimeve për punëdhënësit dhe punëkërkuesit dhe përshtatja e vazhdueshme e tyre bazuar në praktikat e monitorimit dhe vlerësimit</w:t>
            </w:r>
            <w:r w:rsidR="00544401"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w:t>
            </w:r>
          </w:p>
        </w:tc>
        <w:tc>
          <w:tcPr>
            <w:tcW w:w="1980" w:type="dxa"/>
          </w:tcPr>
          <w:p w14:paraId="3DABAEBE" w14:textId="2B0748CA" w:rsidR="003E1630" w:rsidRPr="00024D5A" w:rsidRDefault="005743A8"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Nr. i përfituesve nga programet aktive;</w:t>
            </w:r>
            <w:r w:rsidRPr="00024D5A">
              <w:rPr>
                <w:rFonts w:ascii="Garamond" w:eastAsia="Times New Roman" w:hAnsi="Garamond"/>
                <w:sz w:val="12"/>
                <w:szCs w:val="16"/>
                <w:lang w:eastAsia="en-US"/>
              </w:rPr>
              <w:br/>
              <w:t>Nr. bizneseve përfituese nga incentivat;</w:t>
            </w:r>
            <w:r w:rsidRPr="00024D5A">
              <w:rPr>
                <w:rFonts w:ascii="Garamond" w:eastAsia="Times New Roman" w:hAnsi="Garamond"/>
                <w:sz w:val="12"/>
                <w:szCs w:val="16"/>
                <w:lang w:eastAsia="en-US"/>
              </w:rPr>
              <w:br/>
              <w:t>Nr</w:t>
            </w:r>
            <w:r w:rsidR="00A50738"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i programeve të posaçme për PAK të krijuara dhe zbatuara; </w:t>
            </w:r>
            <w:r w:rsidRPr="00024D5A">
              <w:rPr>
                <w:rFonts w:ascii="Garamond" w:eastAsia="Times New Roman" w:hAnsi="Garamond"/>
                <w:sz w:val="12"/>
                <w:szCs w:val="16"/>
                <w:lang w:eastAsia="en-US"/>
              </w:rPr>
              <w:br/>
              <w:t>% e mbajtjes së punës &gt;12 muaj</w:t>
            </w:r>
          </w:p>
        </w:tc>
        <w:tc>
          <w:tcPr>
            <w:tcW w:w="720" w:type="dxa"/>
          </w:tcPr>
          <w:p w14:paraId="7E5B83EA" w14:textId="77777777"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240</w:t>
            </w:r>
            <w:r w:rsidRPr="00024D5A">
              <w:rPr>
                <w:rFonts w:ascii="Garamond" w:eastAsia="Times New Roman" w:hAnsi="Garamond"/>
                <w:sz w:val="12"/>
                <w:szCs w:val="16"/>
                <w:lang w:eastAsia="en-US"/>
              </w:rPr>
              <w:br/>
              <w:t>N/A</w:t>
            </w:r>
            <w:r w:rsidRPr="00024D5A">
              <w:rPr>
                <w:rFonts w:ascii="Garamond" w:eastAsia="Times New Roman" w:hAnsi="Garamond"/>
                <w:sz w:val="12"/>
                <w:szCs w:val="16"/>
                <w:lang w:eastAsia="en-US"/>
              </w:rPr>
              <w:br/>
              <w:t>0</w:t>
            </w:r>
          </w:p>
        </w:tc>
        <w:tc>
          <w:tcPr>
            <w:tcW w:w="720" w:type="dxa"/>
          </w:tcPr>
          <w:p w14:paraId="17E0A07F" w14:textId="66FC6332"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60050% gra/50% t</w:t>
            </w:r>
            <w:r w:rsidR="00070BC1" w:rsidRPr="00024D5A">
              <w:rPr>
                <w:rFonts w:ascii="Garamond" w:eastAsia="Times New Roman" w:hAnsi="Garamond"/>
                <w:sz w:val="12"/>
                <w:szCs w:val="16"/>
                <w:lang w:eastAsia="en-US"/>
              </w:rPr>
              <w:t>ë</w:t>
            </w:r>
            <w:r w:rsidRPr="00024D5A">
              <w:rPr>
                <w:rFonts w:ascii="Garamond" w:eastAsia="Times New Roman" w:hAnsi="Garamond"/>
                <w:sz w:val="12"/>
                <w:szCs w:val="16"/>
                <w:lang w:eastAsia="en-US"/>
              </w:rPr>
              <w:t xml:space="preserve"> rinj;</w:t>
            </w:r>
            <w:r w:rsidRPr="00024D5A">
              <w:rPr>
                <w:rFonts w:ascii="Garamond" w:eastAsia="Times New Roman" w:hAnsi="Garamond"/>
                <w:sz w:val="12"/>
                <w:szCs w:val="16"/>
                <w:lang w:eastAsia="en-US"/>
              </w:rPr>
              <w:br/>
              <w:t>60</w:t>
            </w:r>
            <w:r w:rsidRPr="00024D5A">
              <w:rPr>
                <w:rFonts w:ascii="Garamond" w:eastAsia="Times New Roman" w:hAnsi="Garamond"/>
                <w:sz w:val="12"/>
                <w:szCs w:val="16"/>
                <w:lang w:eastAsia="en-US"/>
              </w:rPr>
              <w:br/>
              <w:t>2</w:t>
            </w:r>
          </w:p>
        </w:tc>
        <w:tc>
          <w:tcPr>
            <w:tcW w:w="720" w:type="dxa"/>
          </w:tcPr>
          <w:p w14:paraId="1F79DE9D" w14:textId="2FE2AB3D"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30050% gra/50% t</w:t>
            </w:r>
            <w:r w:rsidR="00070BC1" w:rsidRPr="00024D5A">
              <w:rPr>
                <w:rFonts w:ascii="Garamond" w:eastAsia="Times New Roman" w:hAnsi="Garamond"/>
                <w:sz w:val="12"/>
                <w:szCs w:val="16"/>
                <w:lang w:eastAsia="en-US"/>
              </w:rPr>
              <w:t>ë</w:t>
            </w:r>
            <w:r w:rsidRPr="00024D5A">
              <w:rPr>
                <w:rFonts w:ascii="Garamond" w:eastAsia="Times New Roman" w:hAnsi="Garamond"/>
                <w:sz w:val="12"/>
                <w:szCs w:val="16"/>
                <w:lang w:eastAsia="en-US"/>
              </w:rPr>
              <w:t xml:space="preserve"> rinj;</w:t>
            </w:r>
            <w:r w:rsidRPr="00024D5A">
              <w:rPr>
                <w:rFonts w:ascii="Garamond" w:eastAsia="Times New Roman" w:hAnsi="Garamond"/>
                <w:sz w:val="12"/>
                <w:szCs w:val="16"/>
                <w:lang w:eastAsia="en-US"/>
              </w:rPr>
              <w:br/>
              <w:t>70</w:t>
            </w:r>
            <w:r w:rsidRPr="00024D5A">
              <w:rPr>
                <w:rFonts w:ascii="Garamond" w:eastAsia="Times New Roman" w:hAnsi="Garamond"/>
                <w:sz w:val="12"/>
                <w:szCs w:val="16"/>
                <w:lang w:eastAsia="en-US"/>
              </w:rPr>
              <w:br/>
              <w:t>2</w:t>
            </w:r>
          </w:p>
        </w:tc>
        <w:tc>
          <w:tcPr>
            <w:tcW w:w="1260" w:type="dxa"/>
          </w:tcPr>
          <w:p w14:paraId="215DE289" w14:textId="77777777"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Të dhëna dhe statistika të programeve aktive;</w:t>
            </w:r>
            <w:r w:rsidRPr="00024D5A">
              <w:rPr>
                <w:rFonts w:ascii="Garamond" w:eastAsia="Times New Roman" w:hAnsi="Garamond"/>
                <w:sz w:val="12"/>
                <w:szCs w:val="16"/>
                <w:lang w:eastAsia="en-US"/>
              </w:rPr>
              <w:br/>
              <w:t xml:space="preserve">Kontrata subvencioni; </w:t>
            </w:r>
          </w:p>
        </w:tc>
        <w:tc>
          <w:tcPr>
            <w:tcW w:w="1075" w:type="dxa"/>
          </w:tcPr>
          <w:p w14:paraId="29C86FC6" w14:textId="77777777"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 </w:t>
            </w:r>
          </w:p>
        </w:tc>
      </w:tr>
      <w:tr w:rsidR="003E1630" w:rsidRPr="00024D5A" w14:paraId="4C8865C2" w14:textId="77777777" w:rsidTr="00070BC1">
        <w:trPr>
          <w:trHeight w:val="20"/>
        </w:trPr>
        <w:tc>
          <w:tcPr>
            <w:tcW w:w="895" w:type="dxa"/>
            <w:vMerge/>
            <w:vAlign w:val="center"/>
          </w:tcPr>
          <w:p w14:paraId="5D6E6BA2" w14:textId="77777777" w:rsidR="003E1630" w:rsidRPr="00024D5A" w:rsidRDefault="003E1630" w:rsidP="00791B1A">
            <w:pPr>
              <w:rPr>
                <w:rFonts w:ascii="Garamond" w:eastAsia="Times New Roman" w:hAnsi="Garamond"/>
                <w:b/>
                <w:bCs/>
                <w:sz w:val="12"/>
                <w:szCs w:val="16"/>
                <w:lang w:eastAsia="en-US"/>
              </w:rPr>
            </w:pPr>
          </w:p>
        </w:tc>
        <w:tc>
          <w:tcPr>
            <w:tcW w:w="1980" w:type="dxa"/>
            <w:noWrap/>
          </w:tcPr>
          <w:p w14:paraId="7024059B" w14:textId="6D325009"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 xml:space="preserve">Masa </w:t>
            </w:r>
            <w:r w:rsidR="00544401" w:rsidRPr="00024D5A">
              <w:rPr>
                <w:rFonts w:ascii="Garamond" w:eastAsia="Times New Roman" w:hAnsi="Garamond"/>
                <w:sz w:val="12"/>
                <w:szCs w:val="16"/>
                <w:lang w:eastAsia="en-US"/>
              </w:rPr>
              <w:t xml:space="preserve">prioritare </w:t>
            </w:r>
            <w:r w:rsidRPr="00024D5A">
              <w:rPr>
                <w:rFonts w:ascii="Garamond" w:eastAsia="Times New Roman" w:hAnsi="Garamond"/>
                <w:sz w:val="12"/>
                <w:szCs w:val="16"/>
                <w:lang w:eastAsia="en-US"/>
              </w:rPr>
              <w:t>2.5</w:t>
            </w:r>
            <w:r w:rsidR="00110C9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Forcimi i qeverisjes, koordinimit dhe monitorimit për punësimin e personave me aftësi të kufizuara</w:t>
            </w:r>
            <w:r w:rsidR="00544401" w:rsidRPr="00024D5A">
              <w:rPr>
                <w:rFonts w:ascii="Garamond" w:eastAsia="Times New Roman" w:hAnsi="Garamond"/>
                <w:sz w:val="12"/>
                <w:szCs w:val="16"/>
                <w:lang w:eastAsia="en-US"/>
              </w:rPr>
              <w:t>.</w:t>
            </w:r>
          </w:p>
        </w:tc>
        <w:tc>
          <w:tcPr>
            <w:tcW w:w="1980" w:type="dxa"/>
          </w:tcPr>
          <w:p w14:paraId="30F810C2" w14:textId="31E5F758" w:rsidR="003E1630" w:rsidRPr="00024D5A" w:rsidRDefault="005743A8" w:rsidP="00791B1A">
            <w:pPr>
              <w:rPr>
                <w:rFonts w:ascii="Garamond" w:eastAsia="Times New Roman" w:hAnsi="Garamond"/>
                <w:sz w:val="12"/>
                <w:szCs w:val="16"/>
                <w:lang w:eastAsia="en-US"/>
              </w:rPr>
            </w:pPr>
            <w:r w:rsidRPr="00024D5A">
              <w:rPr>
                <w:rFonts w:ascii="Garamond" w:eastAsia="Times New Roman" w:hAnsi="Garamond"/>
                <w:sz w:val="12"/>
                <w:szCs w:val="16"/>
                <w:lang w:eastAsia="en-US"/>
              </w:rPr>
              <w:t>Nr. mekanizmave ndërinstitucionalë funksionalë;</w:t>
            </w:r>
            <w:r w:rsidRPr="00024D5A">
              <w:rPr>
                <w:rFonts w:ascii="Garamond" w:eastAsia="Times New Roman" w:hAnsi="Garamond"/>
                <w:sz w:val="12"/>
                <w:szCs w:val="16"/>
                <w:lang w:eastAsia="en-US"/>
              </w:rPr>
              <w:br/>
              <w:t>Nr. raporteve të monitorimit</w:t>
            </w:r>
            <w:r w:rsidR="00544401" w:rsidRPr="00024D5A">
              <w:rPr>
                <w:rFonts w:ascii="Garamond" w:eastAsia="Times New Roman" w:hAnsi="Garamond"/>
                <w:sz w:val="12"/>
                <w:szCs w:val="16"/>
                <w:lang w:eastAsia="en-US"/>
              </w:rPr>
              <w:t>.</w:t>
            </w:r>
          </w:p>
        </w:tc>
        <w:tc>
          <w:tcPr>
            <w:tcW w:w="720" w:type="dxa"/>
            <w:noWrap/>
          </w:tcPr>
          <w:p w14:paraId="37A7A949" w14:textId="77777777"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 </w:t>
            </w:r>
          </w:p>
        </w:tc>
        <w:tc>
          <w:tcPr>
            <w:tcW w:w="720" w:type="dxa"/>
            <w:noWrap/>
          </w:tcPr>
          <w:p w14:paraId="361621F3" w14:textId="013C5431"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3 raporte (1 n</w:t>
            </w:r>
            <w:r w:rsidR="00B678F1" w:rsidRPr="00024D5A">
              <w:rPr>
                <w:rFonts w:ascii="Garamond" w:eastAsia="Times New Roman" w:hAnsi="Garamond"/>
                <w:sz w:val="12"/>
                <w:szCs w:val="16"/>
                <w:lang w:eastAsia="en-US"/>
              </w:rPr>
              <w:t>ë</w:t>
            </w:r>
            <w:r w:rsidRPr="00024D5A">
              <w:rPr>
                <w:rFonts w:ascii="Garamond" w:eastAsia="Times New Roman" w:hAnsi="Garamond"/>
                <w:sz w:val="12"/>
                <w:szCs w:val="16"/>
                <w:lang w:eastAsia="en-US"/>
              </w:rPr>
              <w:t xml:space="preserve"> vit)</w:t>
            </w:r>
          </w:p>
        </w:tc>
        <w:tc>
          <w:tcPr>
            <w:tcW w:w="720" w:type="dxa"/>
            <w:noWrap/>
          </w:tcPr>
          <w:p w14:paraId="0A21253F" w14:textId="0E25E788"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2 raporte (1 n</w:t>
            </w:r>
            <w:r w:rsidR="00B678F1" w:rsidRPr="00024D5A">
              <w:rPr>
                <w:rFonts w:ascii="Garamond" w:eastAsia="Times New Roman" w:hAnsi="Garamond"/>
                <w:sz w:val="12"/>
                <w:szCs w:val="16"/>
                <w:lang w:eastAsia="en-US"/>
              </w:rPr>
              <w:t>ë</w:t>
            </w:r>
            <w:r w:rsidRPr="00024D5A">
              <w:rPr>
                <w:rFonts w:ascii="Garamond" w:eastAsia="Times New Roman" w:hAnsi="Garamond"/>
                <w:sz w:val="12"/>
                <w:szCs w:val="16"/>
                <w:lang w:eastAsia="en-US"/>
              </w:rPr>
              <w:t xml:space="preserve"> vit)</w:t>
            </w:r>
          </w:p>
        </w:tc>
        <w:tc>
          <w:tcPr>
            <w:tcW w:w="1260" w:type="dxa"/>
          </w:tcPr>
          <w:p w14:paraId="349E9DAE" w14:textId="0F347E20"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Procesverbale takimesh;</w:t>
            </w:r>
            <w:r w:rsidRPr="00024D5A">
              <w:rPr>
                <w:rFonts w:ascii="Garamond" w:eastAsia="Times New Roman" w:hAnsi="Garamond"/>
                <w:sz w:val="12"/>
                <w:szCs w:val="16"/>
                <w:lang w:eastAsia="en-US"/>
              </w:rPr>
              <w:br/>
              <w:t>Raporte vjetore të progresit</w:t>
            </w:r>
            <w:r w:rsidR="00544401" w:rsidRPr="00024D5A">
              <w:rPr>
                <w:rFonts w:ascii="Garamond" w:eastAsia="Times New Roman" w:hAnsi="Garamond"/>
                <w:sz w:val="12"/>
                <w:szCs w:val="16"/>
                <w:lang w:eastAsia="en-US"/>
              </w:rPr>
              <w:t>.</w:t>
            </w:r>
          </w:p>
        </w:tc>
        <w:tc>
          <w:tcPr>
            <w:tcW w:w="1075" w:type="dxa"/>
          </w:tcPr>
          <w:p w14:paraId="4413F41A" w14:textId="77777777" w:rsidR="003E1630" w:rsidRPr="00024D5A" w:rsidRDefault="005743A8" w:rsidP="00791B1A">
            <w:pPr>
              <w:jc w:val="both"/>
              <w:rPr>
                <w:rFonts w:ascii="Garamond" w:eastAsia="Times New Roman" w:hAnsi="Garamond"/>
                <w:sz w:val="12"/>
                <w:szCs w:val="16"/>
                <w:lang w:eastAsia="en-US"/>
              </w:rPr>
            </w:pPr>
            <w:r w:rsidRPr="00024D5A">
              <w:rPr>
                <w:rFonts w:ascii="Garamond" w:eastAsia="Times New Roman" w:hAnsi="Garamond"/>
                <w:sz w:val="12"/>
                <w:szCs w:val="16"/>
                <w:lang w:eastAsia="en-US"/>
              </w:rPr>
              <w:t> </w:t>
            </w:r>
          </w:p>
        </w:tc>
      </w:tr>
    </w:tbl>
    <w:p w14:paraId="7A71595D" w14:textId="77777777" w:rsidR="003E1630" w:rsidRPr="00024D5A" w:rsidRDefault="003E1630" w:rsidP="00791B1A">
      <w:pPr>
        <w:rPr>
          <w:rFonts w:ascii="Garamond" w:eastAsia="MS Mincho" w:hAnsi="Garamond"/>
          <w:lang w:eastAsia="en-US"/>
        </w:rPr>
      </w:pPr>
    </w:p>
    <w:p w14:paraId="751C3028" w14:textId="06B864F2" w:rsidR="003E1630" w:rsidRPr="00024D5A" w:rsidRDefault="0058487E" w:rsidP="000E3330">
      <w:pPr>
        <w:pStyle w:val="Heading2"/>
        <w:spacing w:before="0"/>
        <w:ind w:firstLine="288"/>
        <w:rPr>
          <w:rFonts w:ascii="Garamond" w:hAnsi="Garamond"/>
          <w:color w:val="auto"/>
          <w:lang w:eastAsia="en-US"/>
        </w:rPr>
      </w:pPr>
      <w:bookmarkStart w:id="62" w:name="_Toc231489660"/>
      <w:r w:rsidRPr="00024D5A">
        <w:rPr>
          <w:rFonts w:ascii="Garamond" w:hAnsi="Garamond"/>
          <w:color w:val="auto"/>
          <w:lang w:eastAsia="en-US"/>
        </w:rPr>
        <w:t>5</w:t>
      </w:r>
      <w:r w:rsidR="005743A8" w:rsidRPr="00024D5A">
        <w:rPr>
          <w:rFonts w:ascii="Garamond" w:hAnsi="Garamond"/>
          <w:color w:val="auto"/>
          <w:lang w:eastAsia="en-US"/>
        </w:rPr>
        <w:t>.4 Arsimi</w:t>
      </w:r>
      <w:bookmarkEnd w:id="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
        <w:gridCol w:w="1272"/>
        <w:gridCol w:w="1416"/>
        <w:gridCol w:w="1517"/>
        <w:gridCol w:w="720"/>
        <w:gridCol w:w="911"/>
        <w:gridCol w:w="864"/>
        <w:gridCol w:w="864"/>
        <w:gridCol w:w="1007"/>
      </w:tblGrid>
      <w:tr w:rsidR="003E1630" w:rsidRPr="00024D5A" w14:paraId="190D43A4" w14:textId="77777777" w:rsidTr="003509EA">
        <w:trPr>
          <w:trHeight w:val="20"/>
        </w:trPr>
        <w:tc>
          <w:tcPr>
            <w:tcW w:w="430" w:type="pct"/>
            <w:shd w:val="clear" w:color="auto" w:fill="C0E5F3"/>
            <w:vAlign w:val="center"/>
          </w:tcPr>
          <w:p w14:paraId="53D6A551" w14:textId="5F300AB5" w:rsidR="003E1630" w:rsidRPr="00024D5A" w:rsidRDefault="003E1630" w:rsidP="00B678F1">
            <w:pPr>
              <w:jc w:val="center"/>
              <w:rPr>
                <w:rFonts w:ascii="Garamond" w:eastAsia="Times New Roman" w:hAnsi="Garamond"/>
                <w:sz w:val="10"/>
                <w:szCs w:val="10"/>
                <w:lang w:eastAsia="en-US"/>
              </w:rPr>
            </w:pPr>
          </w:p>
        </w:tc>
        <w:tc>
          <w:tcPr>
            <w:tcW w:w="611" w:type="pct"/>
            <w:shd w:val="clear" w:color="auto" w:fill="C0E5F3"/>
            <w:vAlign w:val="center"/>
          </w:tcPr>
          <w:p w14:paraId="6C9106C4" w14:textId="77777777" w:rsidR="003E1630" w:rsidRPr="00024D5A" w:rsidRDefault="005743A8" w:rsidP="00B678F1">
            <w:pPr>
              <w:jc w:val="center"/>
              <w:rPr>
                <w:rFonts w:ascii="Garamond" w:eastAsia="Times New Roman" w:hAnsi="Garamond"/>
                <w:b/>
                <w:bCs/>
                <w:sz w:val="10"/>
                <w:szCs w:val="10"/>
                <w:lang w:eastAsia="en-US"/>
              </w:rPr>
            </w:pPr>
            <w:r w:rsidRPr="00024D5A">
              <w:rPr>
                <w:rFonts w:ascii="Garamond" w:eastAsia="Times New Roman" w:hAnsi="Garamond"/>
                <w:b/>
                <w:bCs/>
                <w:sz w:val="10"/>
                <w:szCs w:val="10"/>
                <w:lang w:eastAsia="en-US"/>
              </w:rPr>
              <w:t>Objektivat</w:t>
            </w:r>
          </w:p>
        </w:tc>
        <w:tc>
          <w:tcPr>
            <w:tcW w:w="1595" w:type="pct"/>
            <w:gridSpan w:val="2"/>
            <w:shd w:val="clear" w:color="auto" w:fill="C0E5F3"/>
            <w:vAlign w:val="center"/>
          </w:tcPr>
          <w:p w14:paraId="12BD6E17" w14:textId="77777777" w:rsidR="003E1630" w:rsidRPr="00024D5A" w:rsidRDefault="005743A8" w:rsidP="00B678F1">
            <w:pPr>
              <w:jc w:val="center"/>
              <w:rPr>
                <w:rFonts w:ascii="Garamond" w:eastAsia="Times New Roman" w:hAnsi="Garamond"/>
                <w:b/>
                <w:bCs/>
                <w:sz w:val="10"/>
                <w:szCs w:val="10"/>
                <w:lang w:eastAsia="en-US"/>
              </w:rPr>
            </w:pPr>
            <w:r w:rsidRPr="00024D5A">
              <w:rPr>
                <w:rFonts w:ascii="Garamond" w:eastAsia="Times New Roman" w:hAnsi="Garamond"/>
                <w:b/>
                <w:bCs/>
                <w:sz w:val="10"/>
                <w:szCs w:val="10"/>
                <w:lang w:eastAsia="en-US"/>
              </w:rPr>
              <w:t>Treguesi</w:t>
            </w:r>
          </w:p>
        </w:tc>
        <w:tc>
          <w:tcPr>
            <w:tcW w:w="388" w:type="pct"/>
            <w:shd w:val="clear" w:color="auto" w:fill="C0E5F3"/>
            <w:vAlign w:val="center"/>
          </w:tcPr>
          <w:p w14:paraId="08351697" w14:textId="77777777" w:rsidR="003E1630" w:rsidRPr="00024D5A" w:rsidRDefault="005743A8" w:rsidP="00B678F1">
            <w:pPr>
              <w:jc w:val="center"/>
              <w:rPr>
                <w:rFonts w:ascii="Garamond" w:eastAsia="Times New Roman" w:hAnsi="Garamond"/>
                <w:b/>
                <w:bCs/>
                <w:sz w:val="10"/>
                <w:szCs w:val="10"/>
                <w:lang w:eastAsia="en-US"/>
              </w:rPr>
            </w:pPr>
            <w:r w:rsidRPr="00024D5A">
              <w:rPr>
                <w:rFonts w:ascii="Garamond" w:eastAsia="Times New Roman" w:hAnsi="Garamond"/>
                <w:b/>
                <w:bCs/>
                <w:sz w:val="10"/>
                <w:szCs w:val="10"/>
                <w:lang w:eastAsia="en-US"/>
              </w:rPr>
              <w:t>Vlera bazë</w:t>
            </w:r>
          </w:p>
        </w:tc>
        <w:tc>
          <w:tcPr>
            <w:tcW w:w="491" w:type="pct"/>
            <w:shd w:val="clear" w:color="auto" w:fill="C0E5F3"/>
            <w:vAlign w:val="center"/>
          </w:tcPr>
          <w:p w14:paraId="77B0551A" w14:textId="77777777" w:rsidR="003E1630" w:rsidRPr="00024D5A" w:rsidRDefault="005743A8" w:rsidP="00B678F1">
            <w:pPr>
              <w:jc w:val="center"/>
              <w:rPr>
                <w:rFonts w:ascii="Garamond" w:eastAsia="Times New Roman" w:hAnsi="Garamond"/>
                <w:b/>
                <w:bCs/>
                <w:sz w:val="10"/>
                <w:szCs w:val="10"/>
                <w:lang w:eastAsia="en-US"/>
              </w:rPr>
            </w:pPr>
            <w:r w:rsidRPr="00024D5A">
              <w:rPr>
                <w:rFonts w:ascii="Garamond" w:eastAsia="Times New Roman" w:hAnsi="Garamond"/>
                <w:b/>
                <w:bCs/>
                <w:sz w:val="10"/>
                <w:szCs w:val="10"/>
                <w:lang w:eastAsia="en-US"/>
              </w:rPr>
              <w:t>Synimi 2028</w:t>
            </w:r>
          </w:p>
        </w:tc>
        <w:tc>
          <w:tcPr>
            <w:tcW w:w="458" w:type="pct"/>
            <w:shd w:val="clear" w:color="auto" w:fill="C0E5F3"/>
            <w:vAlign w:val="center"/>
          </w:tcPr>
          <w:p w14:paraId="42BDB3C4" w14:textId="77777777" w:rsidR="003E1630" w:rsidRPr="00024D5A" w:rsidRDefault="005743A8" w:rsidP="00B678F1">
            <w:pPr>
              <w:jc w:val="center"/>
              <w:rPr>
                <w:rFonts w:ascii="Garamond" w:eastAsia="Times New Roman" w:hAnsi="Garamond"/>
                <w:b/>
                <w:bCs/>
                <w:sz w:val="10"/>
                <w:szCs w:val="10"/>
                <w:lang w:eastAsia="en-US"/>
              </w:rPr>
            </w:pPr>
            <w:r w:rsidRPr="00024D5A">
              <w:rPr>
                <w:rFonts w:ascii="Garamond" w:eastAsia="Times New Roman" w:hAnsi="Garamond"/>
                <w:b/>
                <w:bCs/>
                <w:sz w:val="10"/>
                <w:szCs w:val="10"/>
                <w:lang w:eastAsia="en-US"/>
              </w:rPr>
              <w:t>Synimi 2030</w:t>
            </w:r>
          </w:p>
        </w:tc>
        <w:tc>
          <w:tcPr>
            <w:tcW w:w="457" w:type="pct"/>
            <w:shd w:val="clear" w:color="auto" w:fill="C0E5F3"/>
            <w:vAlign w:val="center"/>
          </w:tcPr>
          <w:p w14:paraId="02A640A5" w14:textId="77777777" w:rsidR="003E1630" w:rsidRPr="00024D5A" w:rsidRDefault="005743A8" w:rsidP="00B678F1">
            <w:pPr>
              <w:jc w:val="center"/>
              <w:rPr>
                <w:rFonts w:ascii="Garamond" w:eastAsia="Times New Roman" w:hAnsi="Garamond"/>
                <w:b/>
                <w:bCs/>
                <w:sz w:val="10"/>
                <w:szCs w:val="10"/>
                <w:lang w:eastAsia="en-US"/>
              </w:rPr>
            </w:pPr>
            <w:r w:rsidRPr="00024D5A">
              <w:rPr>
                <w:rFonts w:ascii="Garamond" w:eastAsia="Times New Roman" w:hAnsi="Garamond"/>
                <w:b/>
                <w:bCs/>
                <w:sz w:val="10"/>
                <w:szCs w:val="10"/>
                <w:lang w:eastAsia="en-US"/>
              </w:rPr>
              <w:t>Burimet dhe mjetet e verifikimit</w:t>
            </w:r>
          </w:p>
        </w:tc>
        <w:tc>
          <w:tcPr>
            <w:tcW w:w="570" w:type="pct"/>
            <w:shd w:val="clear" w:color="auto" w:fill="C0E5F3"/>
            <w:vAlign w:val="center"/>
          </w:tcPr>
          <w:p w14:paraId="3F0AB6A2" w14:textId="77777777" w:rsidR="003E1630" w:rsidRPr="00024D5A" w:rsidRDefault="005743A8" w:rsidP="00B678F1">
            <w:pPr>
              <w:jc w:val="center"/>
              <w:rPr>
                <w:rFonts w:ascii="Garamond" w:eastAsia="Times New Roman" w:hAnsi="Garamond"/>
                <w:b/>
                <w:bCs/>
                <w:sz w:val="10"/>
                <w:szCs w:val="10"/>
                <w:lang w:eastAsia="en-US"/>
              </w:rPr>
            </w:pPr>
            <w:r w:rsidRPr="00024D5A">
              <w:rPr>
                <w:rFonts w:ascii="Garamond" w:eastAsia="Times New Roman" w:hAnsi="Garamond"/>
                <w:b/>
                <w:bCs/>
                <w:sz w:val="10"/>
                <w:szCs w:val="10"/>
                <w:lang w:eastAsia="en-US"/>
              </w:rPr>
              <w:t>Referenca në dok. të tjera</w:t>
            </w:r>
          </w:p>
        </w:tc>
      </w:tr>
      <w:tr w:rsidR="003E1630" w:rsidRPr="00024D5A" w14:paraId="3E40D25D" w14:textId="77777777" w:rsidTr="003509EA">
        <w:trPr>
          <w:trHeight w:val="20"/>
        </w:trPr>
        <w:tc>
          <w:tcPr>
            <w:tcW w:w="430" w:type="pct"/>
            <w:shd w:val="clear" w:color="auto" w:fill="D8F1D0"/>
          </w:tcPr>
          <w:p w14:paraId="2CE8AC71" w14:textId="77777777" w:rsidR="003E1630" w:rsidRPr="00024D5A" w:rsidRDefault="005743A8" w:rsidP="00791B1A">
            <w:pPr>
              <w:rPr>
                <w:rFonts w:ascii="Garamond" w:eastAsia="Times New Roman" w:hAnsi="Garamond"/>
                <w:b/>
                <w:bCs/>
                <w:sz w:val="10"/>
                <w:szCs w:val="10"/>
                <w:lang w:eastAsia="en-US"/>
              </w:rPr>
            </w:pPr>
            <w:r w:rsidRPr="00024D5A">
              <w:rPr>
                <w:rFonts w:ascii="Garamond" w:eastAsia="Times New Roman" w:hAnsi="Garamond"/>
                <w:b/>
                <w:bCs/>
                <w:sz w:val="10"/>
                <w:szCs w:val="10"/>
                <w:lang w:eastAsia="en-US"/>
              </w:rPr>
              <w:t xml:space="preserve">Qëllimi i politikës </w:t>
            </w:r>
          </w:p>
        </w:tc>
        <w:tc>
          <w:tcPr>
            <w:tcW w:w="611" w:type="pct"/>
            <w:shd w:val="clear" w:color="auto" w:fill="D8F1D0"/>
          </w:tcPr>
          <w:p w14:paraId="752C37ED"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Sigurimi i arsimit cilësor dhe gjithëpërfshirës në të gjitha nivelet e sistemit arsimor për fëmijët, nxënësit dhe studentët me aftësi të kufizuara.</w:t>
            </w:r>
          </w:p>
        </w:tc>
        <w:tc>
          <w:tcPr>
            <w:tcW w:w="764" w:type="pct"/>
            <w:shd w:val="clear" w:color="auto" w:fill="D8F1D0"/>
          </w:tcPr>
          <w:p w14:paraId="3C6A66E0"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e fëmijëve/nxënësve/studentëve me aftësi të kufizuara të regjistruar në sistemin arsimor në të gjitha nivelet;</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 e institucioneve arsimore që kanë kapacitete dhe mjedis mbështetës;</w:t>
            </w:r>
          </w:p>
        </w:tc>
        <w:tc>
          <w:tcPr>
            <w:tcW w:w="831" w:type="pct"/>
            <w:shd w:val="clear" w:color="auto" w:fill="D8F1D0"/>
          </w:tcPr>
          <w:p w14:paraId="58F968E1" w14:textId="158CACF6"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w:t>
            </w:r>
            <w:r w:rsidR="000E3330" w:rsidRPr="00024D5A">
              <w:rPr>
                <w:rFonts w:ascii="Garamond" w:eastAsia="Times New Roman" w:hAnsi="Garamond"/>
                <w:sz w:val="10"/>
                <w:szCs w:val="10"/>
                <w:lang w:eastAsia="en-US"/>
              </w:rPr>
              <w:t xml:space="preserve"> </w:t>
            </w:r>
            <w:r w:rsidRPr="00024D5A">
              <w:rPr>
                <w:rFonts w:ascii="Garamond" w:eastAsia="Times New Roman" w:hAnsi="Garamond"/>
                <w:sz w:val="10"/>
                <w:szCs w:val="10"/>
                <w:lang w:eastAsia="en-US"/>
              </w:rPr>
              <w:t>e</w:t>
            </w:r>
            <w:r w:rsidR="000E3330" w:rsidRPr="00024D5A">
              <w:rPr>
                <w:rFonts w:ascii="Garamond" w:eastAsia="Times New Roman" w:hAnsi="Garamond"/>
                <w:sz w:val="10"/>
                <w:szCs w:val="10"/>
                <w:lang w:eastAsia="en-US"/>
              </w:rPr>
              <w:t xml:space="preserve"> </w:t>
            </w:r>
            <w:r w:rsidRPr="00024D5A">
              <w:rPr>
                <w:rFonts w:ascii="Garamond" w:eastAsia="Times New Roman" w:hAnsi="Garamond"/>
                <w:sz w:val="10"/>
                <w:szCs w:val="10"/>
                <w:lang w:eastAsia="en-US"/>
              </w:rPr>
              <w:t>fëmijëve/nxënësve/studentëve me aftësi të kufizuara të regjistruar në të gjitha nivelet e sistemit arsimor;</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 e institucioneve arsimore që kanë infrastrukturë mbështetëse</w:t>
            </w:r>
            <w:r w:rsidR="000E3330" w:rsidRPr="00024D5A">
              <w:rPr>
                <w:rFonts w:ascii="Garamond" w:eastAsia="Times New Roman" w:hAnsi="Garamond"/>
                <w:sz w:val="10"/>
                <w:szCs w:val="10"/>
                <w:lang w:eastAsia="en-US"/>
              </w:rPr>
              <w:t>:</w:t>
            </w:r>
            <w:r w:rsidRPr="00024D5A">
              <w:rPr>
                <w:rFonts w:ascii="Garamond" w:eastAsia="Times New Roman" w:hAnsi="Garamond"/>
                <w:sz w:val="10"/>
                <w:szCs w:val="10"/>
                <w:lang w:eastAsia="en-US"/>
              </w:rPr>
              <w:t xml:space="preserve"> i</w:t>
            </w:r>
            <w:r w:rsidR="000E3330" w:rsidRPr="00024D5A">
              <w:rPr>
                <w:rFonts w:ascii="Garamond" w:eastAsia="Times New Roman" w:hAnsi="Garamond"/>
                <w:sz w:val="10"/>
                <w:szCs w:val="10"/>
                <w:lang w:eastAsia="en-US"/>
              </w:rPr>
              <w:t>.</w:t>
            </w:r>
            <w:r w:rsidRPr="00024D5A">
              <w:rPr>
                <w:rFonts w:ascii="Garamond" w:eastAsia="Times New Roman" w:hAnsi="Garamond"/>
                <w:sz w:val="10"/>
                <w:szCs w:val="10"/>
                <w:lang w:eastAsia="en-US"/>
              </w:rPr>
              <w:t xml:space="preserve"> asistenca individuale </w:t>
            </w:r>
            <w:r w:rsidR="000E3330" w:rsidRPr="00024D5A">
              <w:rPr>
                <w:rFonts w:ascii="Garamond" w:eastAsia="Times New Roman" w:hAnsi="Garamond"/>
                <w:sz w:val="10"/>
                <w:szCs w:val="10"/>
                <w:lang w:eastAsia="en-US"/>
              </w:rPr>
              <w:t>–</w:t>
            </w:r>
            <w:r w:rsidRPr="00024D5A">
              <w:rPr>
                <w:rFonts w:ascii="Garamond" w:eastAsia="Times New Roman" w:hAnsi="Garamond"/>
                <w:sz w:val="10"/>
                <w:szCs w:val="10"/>
                <w:lang w:eastAsia="en-US"/>
              </w:rPr>
              <w:t xml:space="preserve"> raporti mësues ndihmës/nxënës me aftësi të kufizuara dhe ii</w:t>
            </w:r>
            <w:r w:rsidR="000E3330" w:rsidRPr="00024D5A">
              <w:rPr>
                <w:rFonts w:ascii="Garamond" w:eastAsia="Times New Roman" w:hAnsi="Garamond"/>
                <w:sz w:val="10"/>
                <w:szCs w:val="10"/>
                <w:lang w:eastAsia="en-US"/>
              </w:rPr>
              <w:t xml:space="preserve">. </w:t>
            </w:r>
            <w:r w:rsidRPr="00024D5A">
              <w:rPr>
                <w:rFonts w:ascii="Garamond" w:eastAsia="Times New Roman" w:hAnsi="Garamond"/>
                <w:sz w:val="10"/>
                <w:szCs w:val="10"/>
                <w:lang w:eastAsia="en-US"/>
              </w:rPr>
              <w:t>disponueshmëria e infrastrukturës fizike dhe teknologjisë ndihmëse</w:t>
            </w:r>
            <w:r w:rsidR="000E3330" w:rsidRPr="00024D5A">
              <w:rPr>
                <w:rFonts w:ascii="Garamond" w:eastAsia="Times New Roman" w:hAnsi="Garamond"/>
                <w:sz w:val="10"/>
                <w:szCs w:val="10"/>
                <w:lang w:eastAsia="en-US"/>
              </w:rPr>
              <w:t>.</w:t>
            </w:r>
          </w:p>
        </w:tc>
        <w:tc>
          <w:tcPr>
            <w:tcW w:w="388" w:type="pct"/>
            <w:shd w:val="clear" w:color="auto" w:fill="D8F1D0"/>
          </w:tcPr>
          <w:p w14:paraId="733960D8" w14:textId="7C42139F"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600 në arsimin parashkollor, 3887 në arsimin bazë;</w:t>
            </w:r>
            <w:r w:rsidR="000E3330" w:rsidRPr="00024D5A">
              <w:rPr>
                <w:rFonts w:ascii="Garamond" w:eastAsia="Times New Roman" w:hAnsi="Garamond"/>
                <w:sz w:val="10"/>
                <w:szCs w:val="10"/>
                <w:lang w:eastAsia="en-US"/>
              </w:rPr>
              <w:t xml:space="preserve"> </w:t>
            </w:r>
            <w:r w:rsidRPr="00024D5A">
              <w:rPr>
                <w:rFonts w:ascii="Garamond" w:eastAsia="Times New Roman" w:hAnsi="Garamond"/>
                <w:sz w:val="10"/>
                <w:szCs w:val="10"/>
                <w:lang w:eastAsia="en-US"/>
              </w:rPr>
              <w:t>538 në arsimin e mesëm, Total 5025; N/A për arsimin universitar;</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i</w:t>
            </w:r>
            <w:r w:rsidR="005E3EA4" w:rsidRPr="00024D5A">
              <w:rPr>
                <w:rFonts w:ascii="Garamond" w:eastAsia="Times New Roman" w:hAnsi="Garamond"/>
                <w:sz w:val="10"/>
                <w:szCs w:val="10"/>
                <w:lang w:eastAsia="en-US"/>
              </w:rPr>
              <w:t>.</w:t>
            </w:r>
            <w:r w:rsidRPr="00024D5A">
              <w:rPr>
                <w:rFonts w:ascii="Garamond" w:eastAsia="Times New Roman" w:hAnsi="Garamond"/>
                <w:sz w:val="10"/>
                <w:szCs w:val="10"/>
                <w:lang w:eastAsia="en-US"/>
              </w:rPr>
              <w:t xml:space="preserve"> 1 mësues ndihmës për 2.3 nxënës me aftësi të kufizuara në 2024;</w:t>
            </w:r>
            <w:r w:rsidRPr="00024D5A">
              <w:rPr>
                <w:rFonts w:ascii="Garamond" w:eastAsia="Times New Roman" w:hAnsi="Garamond"/>
                <w:sz w:val="10"/>
                <w:szCs w:val="10"/>
                <w:lang w:eastAsia="en-US"/>
              </w:rPr>
              <w:br/>
              <w:t>ii</w:t>
            </w:r>
            <w:r w:rsidR="005E3EA4" w:rsidRPr="00024D5A">
              <w:rPr>
                <w:rFonts w:ascii="Garamond" w:eastAsia="Times New Roman" w:hAnsi="Garamond"/>
                <w:sz w:val="10"/>
                <w:szCs w:val="10"/>
                <w:lang w:eastAsia="en-US"/>
              </w:rPr>
              <w:t>.</w:t>
            </w:r>
            <w:r w:rsidRPr="00024D5A">
              <w:rPr>
                <w:rFonts w:ascii="Garamond" w:eastAsia="Times New Roman" w:hAnsi="Garamond"/>
                <w:sz w:val="10"/>
                <w:szCs w:val="10"/>
                <w:lang w:eastAsia="en-US"/>
              </w:rPr>
              <w:t xml:space="preserve"> N/A</w:t>
            </w:r>
          </w:p>
        </w:tc>
        <w:tc>
          <w:tcPr>
            <w:tcW w:w="491" w:type="pct"/>
            <w:shd w:val="clear" w:color="auto" w:fill="D8F1D0"/>
          </w:tcPr>
          <w:p w14:paraId="7B4527E4" w14:textId="364E00C1"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të rritet deri në 5% çdo vit</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 xml:space="preserve">Raporti </w:t>
            </w:r>
            <w:r w:rsidR="00DB4CA0" w:rsidRPr="00024D5A">
              <w:rPr>
                <w:rFonts w:ascii="Garamond" w:eastAsia="Times New Roman" w:hAnsi="Garamond"/>
                <w:sz w:val="10"/>
                <w:szCs w:val="10"/>
                <w:lang w:eastAsia="en-US"/>
              </w:rPr>
              <w:t xml:space="preserve">mësues ndihmës/nxënës </w:t>
            </w:r>
            <w:r w:rsidRPr="00024D5A">
              <w:rPr>
                <w:rFonts w:ascii="Garamond" w:eastAsia="Times New Roman" w:hAnsi="Garamond"/>
                <w:sz w:val="10"/>
                <w:szCs w:val="10"/>
                <w:lang w:eastAsia="en-US"/>
              </w:rPr>
              <w:t>me aftësi të kufizuara zvogëlohet në 1 me 1.8</w:t>
            </w:r>
          </w:p>
        </w:tc>
        <w:tc>
          <w:tcPr>
            <w:tcW w:w="458" w:type="pct"/>
            <w:shd w:val="clear" w:color="auto" w:fill="D8F1D0"/>
          </w:tcPr>
          <w:p w14:paraId="2718458C" w14:textId="137E54DB"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të rritet deri në 5% çdo vit</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 xml:space="preserve">Raporti </w:t>
            </w:r>
            <w:r w:rsidR="00DB4CA0" w:rsidRPr="00024D5A">
              <w:rPr>
                <w:rFonts w:ascii="Garamond" w:eastAsia="Times New Roman" w:hAnsi="Garamond"/>
                <w:sz w:val="10"/>
                <w:szCs w:val="10"/>
                <w:lang w:eastAsia="en-US"/>
              </w:rPr>
              <w:t xml:space="preserve">mësues ndihmës/nxënës </w:t>
            </w:r>
            <w:r w:rsidRPr="00024D5A">
              <w:rPr>
                <w:rFonts w:ascii="Garamond" w:eastAsia="Times New Roman" w:hAnsi="Garamond"/>
                <w:sz w:val="10"/>
                <w:szCs w:val="10"/>
                <w:lang w:eastAsia="en-US"/>
              </w:rPr>
              <w:t>me aftësi të kufizuara zvogëlohet në 1 me 1</w:t>
            </w:r>
            <w:r w:rsidR="00DB4CA0" w:rsidRPr="00024D5A">
              <w:rPr>
                <w:rFonts w:ascii="Garamond" w:eastAsia="Times New Roman" w:hAnsi="Garamond"/>
                <w:sz w:val="10"/>
                <w:szCs w:val="10"/>
                <w:lang w:eastAsia="en-US"/>
              </w:rPr>
              <w:t>.</w:t>
            </w:r>
          </w:p>
        </w:tc>
        <w:tc>
          <w:tcPr>
            <w:tcW w:w="457" w:type="pct"/>
            <w:shd w:val="clear" w:color="auto" w:fill="D8F1D0"/>
          </w:tcPr>
          <w:p w14:paraId="6930DF1A"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xml:space="preserve">SMIP; </w:t>
            </w:r>
            <w:r w:rsidRPr="00024D5A">
              <w:rPr>
                <w:rFonts w:ascii="Garamond" w:eastAsia="Times New Roman" w:hAnsi="Garamond"/>
                <w:sz w:val="10"/>
                <w:szCs w:val="10"/>
                <w:lang w:eastAsia="en-US"/>
              </w:rPr>
              <w:br/>
              <w:t xml:space="preserve">INSTAT; </w:t>
            </w:r>
          </w:p>
          <w:p w14:paraId="12EBE115" w14:textId="708A0D01" w:rsidR="003E1630" w:rsidRPr="00024D5A" w:rsidRDefault="005743A8" w:rsidP="00791B1A">
            <w:pPr>
              <w:rPr>
                <w:rFonts w:ascii="Garamond" w:eastAsia="Times New Roman" w:hAnsi="Garamond" w:cs="Arial"/>
                <w:sz w:val="10"/>
                <w:szCs w:val="10"/>
                <w:lang w:eastAsia="en-US"/>
              </w:rPr>
            </w:pPr>
            <w:r w:rsidRPr="00024D5A">
              <w:rPr>
                <w:rFonts w:ascii="Garamond" w:eastAsia="Times New Roman" w:hAnsi="Garamond" w:cs="Arial"/>
                <w:sz w:val="10"/>
                <w:szCs w:val="10"/>
                <w:lang w:eastAsia="en-US"/>
              </w:rPr>
              <w:t>MSHPV</w:t>
            </w:r>
            <w:r w:rsidR="00DB4CA0" w:rsidRPr="00024D5A">
              <w:rPr>
                <w:rFonts w:ascii="Garamond" w:eastAsia="Times New Roman" w:hAnsi="Garamond" w:cs="Arial"/>
                <w:sz w:val="10"/>
                <w:szCs w:val="10"/>
                <w:lang w:eastAsia="en-US"/>
              </w:rPr>
              <w:t>;</w:t>
            </w:r>
          </w:p>
          <w:p w14:paraId="7E26A709" w14:textId="6A071063"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cs="Arial"/>
                <w:sz w:val="10"/>
                <w:szCs w:val="10"/>
                <w:lang w:eastAsia="en-US"/>
              </w:rPr>
              <w:t>AMVV</w:t>
            </w:r>
            <w:r w:rsidR="00DB4CA0" w:rsidRPr="00024D5A">
              <w:rPr>
                <w:rFonts w:ascii="Garamond" w:eastAsia="Times New Roman" w:hAnsi="Garamond" w:cs="Arial"/>
                <w:sz w:val="10"/>
                <w:szCs w:val="10"/>
                <w:lang w:eastAsia="en-US"/>
              </w:rPr>
              <w:t>;</w:t>
            </w:r>
            <w:r w:rsidRPr="00024D5A">
              <w:rPr>
                <w:rFonts w:ascii="Garamond" w:eastAsia="Times New Roman" w:hAnsi="Garamond" w:cs="Arial"/>
                <w:sz w:val="10"/>
                <w:szCs w:val="10"/>
                <w:lang w:eastAsia="en-US"/>
              </w:rPr>
              <w:t xml:space="preserve"> </w:t>
            </w:r>
            <w:r w:rsidRPr="00024D5A">
              <w:rPr>
                <w:rFonts w:ascii="Garamond" w:eastAsia="Times New Roman" w:hAnsi="Garamond" w:cs="Arial"/>
                <w:sz w:val="10"/>
                <w:szCs w:val="10"/>
                <w:lang w:eastAsia="en-US"/>
              </w:rPr>
              <w:br/>
            </w:r>
            <w:r w:rsidR="00DB4CA0" w:rsidRPr="00024D5A">
              <w:rPr>
                <w:rFonts w:ascii="Garamond" w:eastAsia="Times New Roman" w:hAnsi="Garamond"/>
                <w:sz w:val="10"/>
                <w:szCs w:val="10"/>
                <w:lang w:eastAsia="en-US"/>
              </w:rPr>
              <w:t xml:space="preserve">raporte </w:t>
            </w:r>
            <w:r w:rsidRPr="00024D5A">
              <w:rPr>
                <w:rFonts w:ascii="Garamond" w:eastAsia="Times New Roman" w:hAnsi="Garamond"/>
                <w:sz w:val="10"/>
                <w:szCs w:val="10"/>
                <w:lang w:eastAsia="en-US"/>
              </w:rPr>
              <w:t>vjetore të MAS</w:t>
            </w:r>
            <w:r w:rsidR="00DB4CA0" w:rsidRPr="00024D5A">
              <w:rPr>
                <w:rFonts w:ascii="Garamond" w:eastAsia="Times New Roman" w:hAnsi="Garamond"/>
                <w:sz w:val="10"/>
                <w:szCs w:val="10"/>
                <w:lang w:eastAsia="en-US"/>
              </w:rPr>
              <w:t>-it.</w:t>
            </w:r>
          </w:p>
        </w:tc>
        <w:tc>
          <w:tcPr>
            <w:tcW w:w="570" w:type="pct"/>
            <w:shd w:val="clear" w:color="auto" w:fill="D8F1D0"/>
          </w:tcPr>
          <w:p w14:paraId="2BE2FE41" w14:textId="1B907D40"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Strategjia Kombëtare për Arsimin 2021</w:t>
            </w:r>
            <w:r w:rsidR="00651A5D" w:rsidRPr="00024D5A">
              <w:rPr>
                <w:rFonts w:ascii="Garamond" w:eastAsia="Times New Roman" w:hAnsi="Garamond"/>
                <w:sz w:val="10"/>
                <w:szCs w:val="10"/>
                <w:lang w:eastAsia="en-US"/>
              </w:rPr>
              <w:t>–</w:t>
            </w:r>
            <w:r w:rsidRPr="00024D5A">
              <w:rPr>
                <w:rFonts w:ascii="Garamond" w:eastAsia="Times New Roman" w:hAnsi="Garamond"/>
                <w:sz w:val="10"/>
                <w:szCs w:val="10"/>
                <w:lang w:eastAsia="en-US"/>
              </w:rPr>
              <w:t xml:space="preserve">2026; </w:t>
            </w:r>
            <w:r w:rsidRPr="00024D5A">
              <w:rPr>
                <w:rFonts w:ascii="Garamond" w:eastAsia="Times New Roman" w:hAnsi="Garamond"/>
                <w:sz w:val="10"/>
                <w:szCs w:val="10"/>
                <w:lang w:eastAsia="en-US"/>
              </w:rPr>
              <w:br/>
              <w:t xml:space="preserve">VKM për standardet e aksesueshmërisë; </w:t>
            </w:r>
            <w:r w:rsidRPr="00024D5A">
              <w:rPr>
                <w:rFonts w:ascii="Garamond" w:eastAsia="Times New Roman" w:hAnsi="Garamond"/>
                <w:sz w:val="10"/>
                <w:szCs w:val="10"/>
                <w:lang w:eastAsia="en-US"/>
              </w:rPr>
              <w:br/>
              <w:t xml:space="preserve">Konventa OKB për të </w:t>
            </w:r>
            <w:r w:rsidR="00651A5D" w:rsidRPr="00024D5A">
              <w:rPr>
                <w:rFonts w:ascii="Garamond" w:eastAsia="Times New Roman" w:hAnsi="Garamond"/>
                <w:sz w:val="10"/>
                <w:szCs w:val="10"/>
                <w:lang w:eastAsia="en-US"/>
              </w:rPr>
              <w:t xml:space="preserve">drejtat </w:t>
            </w:r>
            <w:r w:rsidRPr="00024D5A">
              <w:rPr>
                <w:rFonts w:ascii="Garamond" w:eastAsia="Times New Roman" w:hAnsi="Garamond"/>
                <w:sz w:val="10"/>
                <w:szCs w:val="10"/>
                <w:lang w:eastAsia="en-US"/>
              </w:rPr>
              <w:t>e PAK</w:t>
            </w:r>
            <w:r w:rsidR="00651A5D" w:rsidRPr="00024D5A">
              <w:rPr>
                <w:rFonts w:ascii="Garamond" w:eastAsia="Times New Roman" w:hAnsi="Garamond"/>
                <w:sz w:val="10"/>
                <w:szCs w:val="10"/>
                <w:lang w:eastAsia="en-US"/>
              </w:rPr>
              <w:t>-së</w:t>
            </w:r>
            <w:r w:rsidRPr="00024D5A">
              <w:rPr>
                <w:rFonts w:ascii="Garamond" w:eastAsia="Times New Roman" w:hAnsi="Garamond"/>
                <w:sz w:val="10"/>
                <w:szCs w:val="10"/>
                <w:lang w:eastAsia="en-US"/>
              </w:rPr>
              <w:t>;</w:t>
            </w:r>
            <w:r w:rsidRPr="00024D5A">
              <w:rPr>
                <w:rFonts w:ascii="Garamond" w:eastAsia="Times New Roman" w:hAnsi="Garamond"/>
                <w:sz w:val="10"/>
                <w:szCs w:val="10"/>
                <w:lang w:eastAsia="en-US"/>
              </w:rPr>
              <w:br/>
              <w:t>Strategjinë Kombëtare për Zhvillim dhe Integrim Evropian (SKZHIE)</w:t>
            </w:r>
            <w:r w:rsidR="00651A5D" w:rsidRPr="00024D5A">
              <w:rPr>
                <w:rFonts w:ascii="Garamond" w:eastAsia="Times New Roman" w:hAnsi="Garamond"/>
                <w:sz w:val="10"/>
                <w:szCs w:val="10"/>
                <w:lang w:eastAsia="en-US"/>
              </w:rPr>
              <w:t xml:space="preserve"> </w:t>
            </w:r>
            <w:r w:rsidRPr="00024D5A">
              <w:rPr>
                <w:rFonts w:ascii="Garamond" w:eastAsia="Times New Roman" w:hAnsi="Garamond"/>
                <w:sz w:val="10"/>
                <w:szCs w:val="10"/>
                <w:lang w:eastAsia="en-US"/>
              </w:rPr>
              <w:t>2030</w:t>
            </w:r>
            <w:r w:rsidR="00651A5D" w:rsidRPr="00024D5A">
              <w:rPr>
                <w:rFonts w:ascii="Garamond" w:eastAsia="Times New Roman" w:hAnsi="Garamond"/>
                <w:sz w:val="10"/>
                <w:szCs w:val="10"/>
                <w:lang w:eastAsia="en-US"/>
              </w:rPr>
              <w:t>–</w:t>
            </w:r>
            <w:r w:rsidRPr="00024D5A">
              <w:rPr>
                <w:rFonts w:ascii="Garamond" w:eastAsia="Times New Roman" w:hAnsi="Garamond"/>
                <w:sz w:val="10"/>
                <w:szCs w:val="10"/>
                <w:lang w:eastAsia="en-US"/>
              </w:rPr>
              <w:t xml:space="preserve">Shtylla </w:t>
            </w:r>
            <w:r w:rsidR="0078161D" w:rsidRPr="00024D5A">
              <w:rPr>
                <w:rFonts w:ascii="Garamond" w:eastAsia="Times New Roman" w:hAnsi="Garamond"/>
                <w:sz w:val="10"/>
                <w:szCs w:val="10"/>
                <w:lang w:eastAsia="en-US"/>
              </w:rPr>
              <w:t>“</w:t>
            </w:r>
            <w:r w:rsidRPr="00024D5A">
              <w:rPr>
                <w:rFonts w:ascii="Garamond" w:eastAsia="Times New Roman" w:hAnsi="Garamond"/>
                <w:sz w:val="10"/>
                <w:szCs w:val="10"/>
                <w:lang w:eastAsia="en-US"/>
              </w:rPr>
              <w:t>Kohezioni social</w:t>
            </w:r>
            <w:r w:rsidR="0078161D" w:rsidRPr="00024D5A">
              <w:rPr>
                <w:rFonts w:ascii="Garamond" w:eastAsia="Times New Roman" w:hAnsi="Garamond"/>
                <w:sz w:val="10"/>
                <w:szCs w:val="10"/>
                <w:lang w:eastAsia="en-US"/>
              </w:rPr>
              <w:t>”</w:t>
            </w:r>
            <w:r w:rsidRPr="00024D5A">
              <w:rPr>
                <w:rFonts w:ascii="Garamond" w:eastAsia="Times New Roman" w:hAnsi="Garamond"/>
                <w:sz w:val="10"/>
                <w:szCs w:val="10"/>
                <w:lang w:eastAsia="en-US"/>
              </w:rPr>
              <w:t>;</w:t>
            </w:r>
            <w:r w:rsidRPr="00024D5A">
              <w:rPr>
                <w:rFonts w:ascii="Garamond" w:eastAsia="Times New Roman" w:hAnsi="Garamond"/>
                <w:sz w:val="10"/>
                <w:szCs w:val="10"/>
                <w:lang w:eastAsia="en-US"/>
              </w:rPr>
              <w:br/>
            </w:r>
            <w:r w:rsidRPr="00024D5A">
              <w:rPr>
                <w:rFonts w:ascii="Garamond" w:eastAsia="Times New Roman" w:hAnsi="Garamond"/>
                <w:i/>
                <w:iCs/>
                <w:sz w:val="10"/>
                <w:szCs w:val="10"/>
                <w:lang w:eastAsia="en-US"/>
              </w:rPr>
              <w:t>Reform and Gro</w:t>
            </w:r>
            <w:r w:rsidR="00651A5D" w:rsidRPr="00024D5A">
              <w:rPr>
                <w:rFonts w:ascii="Garamond" w:eastAsia="Times New Roman" w:hAnsi="Garamond"/>
                <w:i/>
                <w:iCs/>
                <w:sz w:val="10"/>
                <w:szCs w:val="10"/>
                <w:lang w:eastAsia="en-US"/>
              </w:rPr>
              <w:t>w</w:t>
            </w:r>
            <w:r w:rsidRPr="00024D5A">
              <w:rPr>
                <w:rFonts w:ascii="Garamond" w:eastAsia="Times New Roman" w:hAnsi="Garamond"/>
                <w:i/>
                <w:iCs/>
                <w:sz w:val="10"/>
                <w:szCs w:val="10"/>
                <w:lang w:eastAsia="en-US"/>
              </w:rPr>
              <w:t>th Facility for the Ëestern Balkans - Reform Agenda of Albania 2024-2027 (Policy Area 2;</w:t>
            </w:r>
            <w:r w:rsidRPr="00024D5A">
              <w:rPr>
                <w:rFonts w:ascii="Garamond" w:eastAsia="Times New Roman" w:hAnsi="Garamond"/>
                <w:i/>
                <w:iCs/>
                <w:sz w:val="10"/>
                <w:szCs w:val="10"/>
                <w:lang w:eastAsia="en-US"/>
              </w:rPr>
              <w:br/>
              <w:t>Human Capital - Sub-area 2.1 Education &amp; Skills;</w:t>
            </w:r>
            <w:r w:rsidRPr="00024D5A">
              <w:rPr>
                <w:rFonts w:ascii="Garamond" w:eastAsia="Times New Roman" w:hAnsi="Garamond"/>
                <w:sz w:val="10"/>
                <w:szCs w:val="10"/>
                <w:lang w:eastAsia="en-US"/>
              </w:rPr>
              <w:br/>
              <w:t xml:space="preserve">Strategjia e BE-së për të Drejtat e Personave me Aftësi të Kufizuara </w:t>
            </w:r>
            <w:r w:rsidR="008639DB" w:rsidRPr="00024D5A">
              <w:rPr>
                <w:rFonts w:ascii="Garamond" w:eastAsia="Times New Roman" w:hAnsi="Garamond"/>
                <w:sz w:val="10"/>
                <w:szCs w:val="10"/>
                <w:lang w:eastAsia="en-US"/>
              </w:rPr>
              <w:t>2021–2030</w:t>
            </w:r>
            <w:r w:rsidR="00651A5D" w:rsidRPr="00024D5A">
              <w:rPr>
                <w:rFonts w:ascii="Garamond" w:eastAsia="Times New Roman" w:hAnsi="Garamond"/>
                <w:sz w:val="10"/>
                <w:szCs w:val="10"/>
                <w:lang w:eastAsia="en-US"/>
              </w:rPr>
              <w:t>.</w:t>
            </w:r>
            <w:r w:rsidRPr="00024D5A">
              <w:rPr>
                <w:rFonts w:ascii="Garamond" w:eastAsia="Times New Roman" w:hAnsi="Garamond"/>
                <w:sz w:val="10"/>
                <w:szCs w:val="10"/>
                <w:lang w:eastAsia="en-US"/>
              </w:rPr>
              <w:t xml:space="preserve"> </w:t>
            </w:r>
          </w:p>
        </w:tc>
      </w:tr>
      <w:tr w:rsidR="00657405" w:rsidRPr="00024D5A" w14:paraId="43E5753E" w14:textId="77777777" w:rsidTr="003509EA">
        <w:trPr>
          <w:trHeight w:val="20"/>
        </w:trPr>
        <w:tc>
          <w:tcPr>
            <w:tcW w:w="430" w:type="pct"/>
            <w:vMerge w:val="restart"/>
            <w:shd w:val="clear" w:color="auto" w:fill="CAEDFA"/>
          </w:tcPr>
          <w:p w14:paraId="57D30FF4" w14:textId="4D88BD47" w:rsidR="00657405" w:rsidRPr="00024D5A" w:rsidRDefault="00657405" w:rsidP="00791B1A">
            <w:pPr>
              <w:rPr>
                <w:rFonts w:ascii="Garamond" w:eastAsia="Times New Roman" w:hAnsi="Garamond"/>
                <w:b/>
                <w:bCs/>
                <w:sz w:val="10"/>
                <w:szCs w:val="10"/>
                <w:lang w:eastAsia="en-US"/>
              </w:rPr>
            </w:pPr>
            <w:r w:rsidRPr="00024D5A">
              <w:rPr>
                <w:rFonts w:ascii="Garamond" w:eastAsia="Times New Roman" w:hAnsi="Garamond"/>
                <w:b/>
                <w:bCs/>
                <w:sz w:val="10"/>
                <w:szCs w:val="10"/>
                <w:lang w:eastAsia="en-US"/>
              </w:rPr>
              <w:t>Objektivat specifik</w:t>
            </w:r>
            <w:r w:rsidR="008C23DB" w:rsidRPr="00024D5A">
              <w:rPr>
                <w:rFonts w:ascii="Garamond" w:eastAsia="Times New Roman" w:hAnsi="Garamond"/>
                <w:b/>
                <w:bCs/>
                <w:sz w:val="10"/>
                <w:szCs w:val="10"/>
                <w:lang w:eastAsia="en-US"/>
              </w:rPr>
              <w:t>ë</w:t>
            </w:r>
          </w:p>
        </w:tc>
        <w:tc>
          <w:tcPr>
            <w:tcW w:w="611" w:type="pct"/>
            <w:vMerge w:val="restart"/>
            <w:shd w:val="clear" w:color="auto" w:fill="CAEDFA"/>
          </w:tcPr>
          <w:p w14:paraId="2530EEDD" w14:textId="2FB5F0BF" w:rsidR="00282E08"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Objektivi specifik 1</w:t>
            </w:r>
            <w:r w:rsidR="00AC5DA9">
              <w:rPr>
                <w:rFonts w:ascii="Garamond" w:eastAsia="Times New Roman" w:hAnsi="Garamond"/>
                <w:sz w:val="10"/>
                <w:szCs w:val="10"/>
                <w:lang w:eastAsia="en-US"/>
              </w:rPr>
              <w:t>:</w:t>
            </w:r>
            <w:r w:rsidR="00282E08" w:rsidRPr="00024D5A">
              <w:rPr>
                <w:rFonts w:ascii="Garamond" w:eastAsia="Times New Roman" w:hAnsi="Garamond"/>
                <w:sz w:val="10"/>
                <w:szCs w:val="10"/>
                <w:lang w:eastAsia="en-US"/>
              </w:rPr>
              <w:t xml:space="preserve"> </w:t>
            </w:r>
          </w:p>
          <w:p w14:paraId="5717D922" w14:textId="55547C49"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Zhvillimi dhe edukimi gjithëpërfshirës i fëmijëve me aftësi të kufizuara në fëmijërinë e hershme dhe arsimin parashkollor duke investuar në infrastrukturë, shërbime mbështetëse dhe zhvillimin profesional të stafit të kopshteve.</w:t>
            </w:r>
          </w:p>
        </w:tc>
        <w:tc>
          <w:tcPr>
            <w:tcW w:w="764" w:type="pct"/>
            <w:vMerge w:val="restart"/>
            <w:shd w:val="clear" w:color="auto" w:fill="CAEDFA"/>
          </w:tcPr>
          <w:p w14:paraId="1A4BD631" w14:textId="77777777"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p w14:paraId="6A64D064" w14:textId="77777777"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p w14:paraId="389B8E2E" w14:textId="77777777"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p w14:paraId="48F1D0DB" w14:textId="42AA4C3C"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tc>
        <w:tc>
          <w:tcPr>
            <w:tcW w:w="831" w:type="pct"/>
            <w:vMerge w:val="restart"/>
            <w:shd w:val="clear" w:color="auto" w:fill="CAEDFA"/>
          </w:tcPr>
          <w:p w14:paraId="7FE643C9" w14:textId="34656D78"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e kopshteve me infrastrukturë të aksesueshme;</w:t>
            </w:r>
            <w:r w:rsidRPr="00024D5A">
              <w:rPr>
                <w:rFonts w:ascii="Garamond" w:eastAsia="Times New Roman" w:hAnsi="Garamond"/>
                <w:sz w:val="10"/>
                <w:szCs w:val="10"/>
                <w:lang w:eastAsia="en-US"/>
              </w:rPr>
              <w:br/>
              <w:t>% e edukatorëve të trajnuar në arsim gjithëpërfshirës;</w:t>
            </w:r>
            <w:r w:rsidRPr="00024D5A">
              <w:rPr>
                <w:rFonts w:ascii="Garamond" w:eastAsia="Times New Roman" w:hAnsi="Garamond"/>
                <w:sz w:val="10"/>
                <w:szCs w:val="10"/>
                <w:lang w:eastAsia="en-US"/>
              </w:rPr>
              <w:br/>
              <w:t>% e fëmijëve me PIZH (Plan Individual Zhvillimi dhe PEI, Plane Edukative Individuale</w:t>
            </w:r>
            <w:r w:rsidR="00282E08" w:rsidRPr="00024D5A">
              <w:rPr>
                <w:rFonts w:ascii="Garamond" w:eastAsia="Times New Roman" w:hAnsi="Garamond"/>
                <w:sz w:val="10"/>
                <w:szCs w:val="10"/>
                <w:lang w:eastAsia="en-US"/>
              </w:rPr>
              <w:t>.</w:t>
            </w:r>
          </w:p>
        </w:tc>
        <w:tc>
          <w:tcPr>
            <w:tcW w:w="388" w:type="pct"/>
            <w:shd w:val="clear" w:color="auto" w:fill="CAEDFA"/>
          </w:tcPr>
          <w:p w14:paraId="3FC37B3E" w14:textId="77777777"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N/A</w:t>
            </w:r>
          </w:p>
        </w:tc>
        <w:tc>
          <w:tcPr>
            <w:tcW w:w="491" w:type="pct"/>
            <w:shd w:val="clear" w:color="auto" w:fill="CAEDFA"/>
          </w:tcPr>
          <w:p w14:paraId="495BD1DD" w14:textId="77777777"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40%</w:t>
            </w:r>
          </w:p>
        </w:tc>
        <w:tc>
          <w:tcPr>
            <w:tcW w:w="458" w:type="pct"/>
            <w:shd w:val="clear" w:color="auto" w:fill="CAEDFA"/>
          </w:tcPr>
          <w:p w14:paraId="628EEB0B" w14:textId="77777777"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80%</w:t>
            </w:r>
          </w:p>
        </w:tc>
        <w:tc>
          <w:tcPr>
            <w:tcW w:w="457" w:type="pct"/>
            <w:vMerge w:val="restart"/>
            <w:shd w:val="clear" w:color="auto" w:fill="CAEDFA"/>
          </w:tcPr>
          <w:p w14:paraId="1FDBE415" w14:textId="2727C165"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xml:space="preserve">Inventari kombëtar i objekteve publike të aksesueshme; </w:t>
            </w:r>
            <w:r w:rsidRPr="00024D5A">
              <w:rPr>
                <w:rFonts w:ascii="Garamond" w:eastAsia="Times New Roman" w:hAnsi="Garamond"/>
                <w:sz w:val="10"/>
                <w:szCs w:val="10"/>
                <w:lang w:eastAsia="en-US"/>
              </w:rPr>
              <w:br/>
              <w:t>Raporte bashkiake;</w:t>
            </w:r>
            <w:r w:rsidRPr="00024D5A">
              <w:rPr>
                <w:rFonts w:ascii="Garamond" w:eastAsia="Times New Roman" w:hAnsi="Garamond"/>
                <w:sz w:val="10"/>
                <w:szCs w:val="10"/>
                <w:lang w:eastAsia="en-US"/>
              </w:rPr>
              <w:br/>
              <w:t xml:space="preserve">Regjistri i trajnimeve; </w:t>
            </w:r>
            <w:r w:rsidRPr="00024D5A">
              <w:rPr>
                <w:rFonts w:ascii="Garamond" w:eastAsia="Times New Roman" w:hAnsi="Garamond"/>
                <w:sz w:val="10"/>
                <w:szCs w:val="10"/>
                <w:lang w:eastAsia="en-US"/>
              </w:rPr>
              <w:br/>
              <w:t>ASCAP;</w:t>
            </w:r>
            <w:r w:rsidRPr="00024D5A">
              <w:rPr>
                <w:rFonts w:ascii="Garamond" w:eastAsia="Times New Roman" w:hAnsi="Garamond"/>
                <w:sz w:val="10"/>
                <w:szCs w:val="10"/>
                <w:lang w:eastAsia="en-US"/>
              </w:rPr>
              <w:br/>
              <w:t xml:space="preserve">Dosjet pedagogjike; </w:t>
            </w:r>
            <w:r w:rsidRPr="00024D5A">
              <w:rPr>
                <w:rFonts w:ascii="Garamond" w:eastAsia="Times New Roman" w:hAnsi="Garamond"/>
                <w:sz w:val="10"/>
                <w:szCs w:val="10"/>
                <w:lang w:eastAsia="en-US"/>
              </w:rPr>
              <w:br/>
              <w:t>EMIS</w:t>
            </w:r>
            <w:r w:rsidR="00AA55DC" w:rsidRPr="00024D5A">
              <w:rPr>
                <w:rFonts w:ascii="Garamond" w:eastAsia="Times New Roman" w:hAnsi="Garamond"/>
                <w:sz w:val="10"/>
                <w:szCs w:val="10"/>
                <w:lang w:eastAsia="en-US"/>
              </w:rPr>
              <w:t>.</w:t>
            </w:r>
          </w:p>
        </w:tc>
        <w:tc>
          <w:tcPr>
            <w:tcW w:w="570" w:type="pct"/>
            <w:vMerge w:val="restart"/>
            <w:shd w:val="clear" w:color="auto" w:fill="CAEDFA"/>
          </w:tcPr>
          <w:p w14:paraId="51C9C05C" w14:textId="510B2726"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Direktiva/</w:t>
            </w:r>
            <w:r w:rsidR="00CC3C6A" w:rsidRPr="00024D5A">
              <w:rPr>
                <w:rFonts w:ascii="Garamond" w:eastAsia="Times New Roman" w:hAnsi="Garamond"/>
                <w:sz w:val="10"/>
                <w:szCs w:val="10"/>
                <w:lang w:eastAsia="en-US"/>
              </w:rPr>
              <w:t xml:space="preserve"> “</w:t>
            </w:r>
            <w:r w:rsidRPr="00024D5A">
              <w:rPr>
                <w:rFonts w:ascii="Garamond" w:eastAsia="Times New Roman" w:hAnsi="Garamond"/>
                <w:sz w:val="10"/>
                <w:szCs w:val="10"/>
                <w:lang w:eastAsia="en-US"/>
              </w:rPr>
              <w:t xml:space="preserve">European Accessibility Act” </w:t>
            </w:r>
            <w:r w:rsidR="00CC3C6A" w:rsidRPr="00024D5A">
              <w:rPr>
                <w:rFonts w:ascii="Garamond" w:eastAsia="Times New Roman" w:hAnsi="Garamond"/>
                <w:sz w:val="10"/>
                <w:szCs w:val="10"/>
                <w:lang w:eastAsia="en-US"/>
              </w:rPr>
              <w:t>–</w:t>
            </w:r>
            <w:r w:rsidRPr="00024D5A">
              <w:rPr>
                <w:rFonts w:ascii="Garamond" w:eastAsia="Times New Roman" w:hAnsi="Garamond"/>
                <w:sz w:val="10"/>
                <w:szCs w:val="10"/>
                <w:lang w:eastAsia="en-US"/>
              </w:rPr>
              <w:t xml:space="preserve"> </w:t>
            </w:r>
            <w:r w:rsidR="00CC3C6A" w:rsidRPr="00024D5A">
              <w:rPr>
                <w:rFonts w:ascii="Garamond" w:eastAsia="Times New Roman" w:hAnsi="Garamond"/>
                <w:sz w:val="10"/>
                <w:szCs w:val="10"/>
                <w:lang w:eastAsia="en-US"/>
              </w:rPr>
              <w:t xml:space="preserve">direktivë </w:t>
            </w:r>
            <w:r w:rsidRPr="00024D5A">
              <w:rPr>
                <w:rFonts w:ascii="Garamond" w:eastAsia="Times New Roman" w:hAnsi="Garamond"/>
                <w:sz w:val="10"/>
                <w:szCs w:val="10"/>
                <w:lang w:eastAsia="en-US"/>
              </w:rPr>
              <w:t>(BE) 2019/882 (kërkesat e aksesueshmërisë për produkte dhe shërbime, përfshirë ato arsimore); Strategjia Kombëtare për Arsimin 2021</w:t>
            </w:r>
            <w:r w:rsidR="00CC3C6A" w:rsidRPr="00024D5A">
              <w:rPr>
                <w:rFonts w:ascii="Garamond" w:eastAsia="Times New Roman" w:hAnsi="Garamond"/>
                <w:sz w:val="10"/>
                <w:szCs w:val="10"/>
                <w:lang w:eastAsia="en-US"/>
              </w:rPr>
              <w:t>–</w:t>
            </w:r>
            <w:r w:rsidRPr="00024D5A">
              <w:rPr>
                <w:rFonts w:ascii="Garamond" w:eastAsia="Times New Roman" w:hAnsi="Garamond"/>
                <w:sz w:val="10"/>
                <w:szCs w:val="10"/>
                <w:lang w:eastAsia="en-US"/>
              </w:rPr>
              <w:t xml:space="preserve">2026; </w:t>
            </w:r>
            <w:r w:rsidRPr="00024D5A">
              <w:rPr>
                <w:rFonts w:ascii="Garamond" w:eastAsia="Times New Roman" w:hAnsi="Garamond"/>
                <w:sz w:val="10"/>
                <w:szCs w:val="10"/>
                <w:lang w:eastAsia="en-US"/>
              </w:rPr>
              <w:br/>
              <w:t xml:space="preserve">VKM për standardet e aksesueshmërisë; </w:t>
            </w:r>
            <w:r w:rsidRPr="00024D5A">
              <w:rPr>
                <w:rFonts w:ascii="Garamond" w:eastAsia="Times New Roman" w:hAnsi="Garamond"/>
                <w:sz w:val="10"/>
                <w:szCs w:val="10"/>
                <w:lang w:eastAsia="en-US"/>
              </w:rPr>
              <w:br/>
              <w:t>Konventa OKB për të Drejtat e PAK</w:t>
            </w:r>
            <w:r w:rsidR="00CC3C6A" w:rsidRPr="00024D5A">
              <w:rPr>
                <w:rFonts w:ascii="Garamond" w:eastAsia="Times New Roman" w:hAnsi="Garamond"/>
                <w:sz w:val="10"/>
                <w:szCs w:val="10"/>
                <w:lang w:eastAsia="en-US"/>
              </w:rPr>
              <w:t>-së</w:t>
            </w:r>
            <w:r w:rsidRPr="00024D5A">
              <w:rPr>
                <w:rFonts w:ascii="Garamond" w:eastAsia="Times New Roman" w:hAnsi="Garamond"/>
                <w:sz w:val="10"/>
                <w:szCs w:val="10"/>
                <w:lang w:eastAsia="en-US"/>
              </w:rPr>
              <w:t>;</w:t>
            </w:r>
            <w:r w:rsidRPr="00024D5A">
              <w:rPr>
                <w:rFonts w:ascii="Garamond" w:eastAsia="Times New Roman" w:hAnsi="Garamond"/>
                <w:sz w:val="10"/>
                <w:szCs w:val="10"/>
                <w:lang w:eastAsia="en-US"/>
              </w:rPr>
              <w:br/>
              <w:t>Korniza e Zhvillimit Profesional;</w:t>
            </w:r>
            <w:r w:rsidRPr="00024D5A">
              <w:rPr>
                <w:rFonts w:ascii="Garamond" w:eastAsia="Times New Roman" w:hAnsi="Garamond"/>
                <w:sz w:val="10"/>
                <w:szCs w:val="10"/>
                <w:lang w:eastAsia="en-US"/>
              </w:rPr>
              <w:br/>
              <w:t>Udhëzime MAS për planet PEI</w:t>
            </w:r>
            <w:r w:rsidR="00CC3C6A" w:rsidRPr="00024D5A">
              <w:rPr>
                <w:rFonts w:ascii="Garamond" w:eastAsia="Times New Roman" w:hAnsi="Garamond"/>
                <w:sz w:val="10"/>
                <w:szCs w:val="10"/>
                <w:lang w:eastAsia="en-US"/>
              </w:rPr>
              <w:t>.</w:t>
            </w:r>
          </w:p>
        </w:tc>
      </w:tr>
      <w:tr w:rsidR="00657405" w:rsidRPr="00024D5A" w14:paraId="50434EB2" w14:textId="77777777" w:rsidTr="003509EA">
        <w:trPr>
          <w:trHeight w:val="20"/>
        </w:trPr>
        <w:tc>
          <w:tcPr>
            <w:tcW w:w="430" w:type="pct"/>
            <w:vMerge/>
          </w:tcPr>
          <w:p w14:paraId="54CFB3F9" w14:textId="77777777" w:rsidR="00657405" w:rsidRPr="00024D5A" w:rsidRDefault="00657405" w:rsidP="00791B1A">
            <w:pPr>
              <w:rPr>
                <w:rFonts w:ascii="Garamond" w:eastAsia="Times New Roman" w:hAnsi="Garamond"/>
                <w:b/>
                <w:bCs/>
                <w:sz w:val="10"/>
                <w:szCs w:val="10"/>
                <w:lang w:eastAsia="en-US"/>
              </w:rPr>
            </w:pPr>
          </w:p>
        </w:tc>
        <w:tc>
          <w:tcPr>
            <w:tcW w:w="611" w:type="pct"/>
            <w:vMerge/>
          </w:tcPr>
          <w:p w14:paraId="3F38393D" w14:textId="77777777" w:rsidR="00657405" w:rsidRPr="00024D5A" w:rsidRDefault="00657405" w:rsidP="00791B1A">
            <w:pPr>
              <w:rPr>
                <w:rFonts w:ascii="Garamond" w:eastAsia="Times New Roman" w:hAnsi="Garamond"/>
                <w:sz w:val="10"/>
                <w:szCs w:val="10"/>
                <w:lang w:eastAsia="en-US"/>
              </w:rPr>
            </w:pPr>
          </w:p>
        </w:tc>
        <w:tc>
          <w:tcPr>
            <w:tcW w:w="764" w:type="pct"/>
            <w:vMerge/>
            <w:shd w:val="clear" w:color="auto" w:fill="CAEDFA"/>
          </w:tcPr>
          <w:p w14:paraId="6AF8B492" w14:textId="51C5549C" w:rsidR="00657405" w:rsidRPr="00024D5A" w:rsidRDefault="00657405" w:rsidP="00791B1A">
            <w:pPr>
              <w:rPr>
                <w:rFonts w:ascii="Garamond" w:eastAsia="Times New Roman" w:hAnsi="Garamond"/>
                <w:sz w:val="10"/>
                <w:szCs w:val="10"/>
                <w:lang w:eastAsia="en-US"/>
              </w:rPr>
            </w:pPr>
          </w:p>
        </w:tc>
        <w:tc>
          <w:tcPr>
            <w:tcW w:w="831" w:type="pct"/>
            <w:vMerge/>
          </w:tcPr>
          <w:p w14:paraId="623435F4" w14:textId="77777777" w:rsidR="00657405" w:rsidRPr="00024D5A" w:rsidRDefault="00657405" w:rsidP="00791B1A">
            <w:pPr>
              <w:rPr>
                <w:rFonts w:ascii="Garamond" w:eastAsia="Times New Roman" w:hAnsi="Garamond"/>
                <w:sz w:val="10"/>
                <w:szCs w:val="10"/>
                <w:lang w:eastAsia="en-US"/>
              </w:rPr>
            </w:pPr>
          </w:p>
        </w:tc>
        <w:tc>
          <w:tcPr>
            <w:tcW w:w="388" w:type="pct"/>
            <w:shd w:val="clear" w:color="auto" w:fill="CAEDFA"/>
          </w:tcPr>
          <w:p w14:paraId="0806C7A8" w14:textId="77777777"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N/A</w:t>
            </w:r>
          </w:p>
        </w:tc>
        <w:tc>
          <w:tcPr>
            <w:tcW w:w="491" w:type="pct"/>
            <w:shd w:val="clear" w:color="auto" w:fill="CAEDFA"/>
          </w:tcPr>
          <w:p w14:paraId="07262EBC" w14:textId="77777777"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50%</w:t>
            </w:r>
          </w:p>
        </w:tc>
        <w:tc>
          <w:tcPr>
            <w:tcW w:w="458" w:type="pct"/>
            <w:shd w:val="clear" w:color="auto" w:fill="CAEDFA"/>
          </w:tcPr>
          <w:p w14:paraId="5EDB8656" w14:textId="77777777"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80%</w:t>
            </w:r>
          </w:p>
        </w:tc>
        <w:tc>
          <w:tcPr>
            <w:tcW w:w="457" w:type="pct"/>
            <w:vMerge/>
          </w:tcPr>
          <w:p w14:paraId="26BD793F" w14:textId="77777777" w:rsidR="00657405" w:rsidRPr="00024D5A" w:rsidRDefault="00657405" w:rsidP="00791B1A">
            <w:pPr>
              <w:rPr>
                <w:rFonts w:ascii="Garamond" w:eastAsia="Times New Roman" w:hAnsi="Garamond"/>
                <w:sz w:val="10"/>
                <w:szCs w:val="10"/>
                <w:lang w:eastAsia="en-US"/>
              </w:rPr>
            </w:pPr>
          </w:p>
        </w:tc>
        <w:tc>
          <w:tcPr>
            <w:tcW w:w="570" w:type="pct"/>
            <w:vMerge/>
          </w:tcPr>
          <w:p w14:paraId="4DE11DDC" w14:textId="77777777" w:rsidR="00657405" w:rsidRPr="00024D5A" w:rsidRDefault="00657405" w:rsidP="00791B1A">
            <w:pPr>
              <w:rPr>
                <w:rFonts w:ascii="Garamond" w:eastAsia="Times New Roman" w:hAnsi="Garamond"/>
                <w:sz w:val="10"/>
                <w:szCs w:val="10"/>
                <w:lang w:eastAsia="en-US"/>
              </w:rPr>
            </w:pPr>
          </w:p>
        </w:tc>
      </w:tr>
      <w:tr w:rsidR="00657405" w:rsidRPr="00024D5A" w14:paraId="58E7A3D4" w14:textId="77777777" w:rsidTr="003509EA">
        <w:trPr>
          <w:trHeight w:val="20"/>
        </w:trPr>
        <w:tc>
          <w:tcPr>
            <w:tcW w:w="430" w:type="pct"/>
            <w:vMerge/>
          </w:tcPr>
          <w:p w14:paraId="412EF155" w14:textId="77777777" w:rsidR="00657405" w:rsidRPr="00024D5A" w:rsidRDefault="00657405" w:rsidP="00791B1A">
            <w:pPr>
              <w:rPr>
                <w:rFonts w:ascii="Garamond" w:eastAsia="Times New Roman" w:hAnsi="Garamond"/>
                <w:b/>
                <w:bCs/>
                <w:sz w:val="10"/>
                <w:szCs w:val="10"/>
                <w:lang w:eastAsia="en-US"/>
              </w:rPr>
            </w:pPr>
          </w:p>
        </w:tc>
        <w:tc>
          <w:tcPr>
            <w:tcW w:w="611" w:type="pct"/>
            <w:vMerge/>
          </w:tcPr>
          <w:p w14:paraId="40ED2E95" w14:textId="77777777" w:rsidR="00657405" w:rsidRPr="00024D5A" w:rsidRDefault="00657405" w:rsidP="00791B1A">
            <w:pPr>
              <w:rPr>
                <w:rFonts w:ascii="Garamond" w:eastAsia="Times New Roman" w:hAnsi="Garamond"/>
                <w:sz w:val="10"/>
                <w:szCs w:val="10"/>
                <w:lang w:eastAsia="en-US"/>
              </w:rPr>
            </w:pPr>
          </w:p>
        </w:tc>
        <w:tc>
          <w:tcPr>
            <w:tcW w:w="764" w:type="pct"/>
            <w:vMerge/>
            <w:shd w:val="clear" w:color="auto" w:fill="CAEDFA"/>
          </w:tcPr>
          <w:p w14:paraId="6620E8C3" w14:textId="4AE8D775" w:rsidR="00657405" w:rsidRPr="00024D5A" w:rsidRDefault="00657405" w:rsidP="00791B1A">
            <w:pPr>
              <w:rPr>
                <w:rFonts w:ascii="Garamond" w:eastAsia="Times New Roman" w:hAnsi="Garamond"/>
                <w:sz w:val="10"/>
                <w:szCs w:val="10"/>
                <w:lang w:eastAsia="en-US"/>
              </w:rPr>
            </w:pPr>
          </w:p>
        </w:tc>
        <w:tc>
          <w:tcPr>
            <w:tcW w:w="831" w:type="pct"/>
            <w:vMerge/>
          </w:tcPr>
          <w:p w14:paraId="178E6A7E" w14:textId="77777777" w:rsidR="00657405" w:rsidRPr="00024D5A" w:rsidRDefault="00657405" w:rsidP="00791B1A">
            <w:pPr>
              <w:rPr>
                <w:rFonts w:ascii="Garamond" w:eastAsia="Times New Roman" w:hAnsi="Garamond"/>
                <w:sz w:val="10"/>
                <w:szCs w:val="10"/>
                <w:lang w:eastAsia="en-US"/>
              </w:rPr>
            </w:pPr>
          </w:p>
        </w:tc>
        <w:tc>
          <w:tcPr>
            <w:tcW w:w="388" w:type="pct"/>
            <w:shd w:val="clear" w:color="auto" w:fill="CAEDFA"/>
          </w:tcPr>
          <w:p w14:paraId="4D981B98" w14:textId="77777777"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N/A</w:t>
            </w:r>
          </w:p>
        </w:tc>
        <w:tc>
          <w:tcPr>
            <w:tcW w:w="491" w:type="pct"/>
            <w:shd w:val="clear" w:color="auto" w:fill="CAEDFA"/>
          </w:tcPr>
          <w:p w14:paraId="5F677C6B" w14:textId="77777777"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60%</w:t>
            </w:r>
          </w:p>
        </w:tc>
        <w:tc>
          <w:tcPr>
            <w:tcW w:w="458" w:type="pct"/>
            <w:shd w:val="clear" w:color="auto" w:fill="CAEDFA"/>
          </w:tcPr>
          <w:p w14:paraId="201D0BC9" w14:textId="77777777"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80%</w:t>
            </w:r>
          </w:p>
        </w:tc>
        <w:tc>
          <w:tcPr>
            <w:tcW w:w="457" w:type="pct"/>
            <w:vMerge/>
          </w:tcPr>
          <w:p w14:paraId="1559DB9D" w14:textId="77777777" w:rsidR="00657405" w:rsidRPr="00024D5A" w:rsidRDefault="00657405" w:rsidP="00791B1A">
            <w:pPr>
              <w:rPr>
                <w:rFonts w:ascii="Garamond" w:eastAsia="Times New Roman" w:hAnsi="Garamond"/>
                <w:sz w:val="10"/>
                <w:szCs w:val="10"/>
                <w:lang w:eastAsia="en-US"/>
              </w:rPr>
            </w:pPr>
          </w:p>
        </w:tc>
        <w:tc>
          <w:tcPr>
            <w:tcW w:w="570" w:type="pct"/>
            <w:vMerge/>
          </w:tcPr>
          <w:p w14:paraId="334AD55A" w14:textId="77777777" w:rsidR="00657405" w:rsidRPr="00024D5A" w:rsidRDefault="00657405" w:rsidP="00791B1A">
            <w:pPr>
              <w:rPr>
                <w:rFonts w:ascii="Garamond" w:eastAsia="Times New Roman" w:hAnsi="Garamond"/>
                <w:sz w:val="10"/>
                <w:szCs w:val="10"/>
                <w:lang w:eastAsia="en-US"/>
              </w:rPr>
            </w:pPr>
          </w:p>
        </w:tc>
      </w:tr>
      <w:tr w:rsidR="00657405" w:rsidRPr="00024D5A" w14:paraId="7014CCD1" w14:textId="77777777" w:rsidTr="003509EA">
        <w:trPr>
          <w:trHeight w:val="20"/>
        </w:trPr>
        <w:tc>
          <w:tcPr>
            <w:tcW w:w="430" w:type="pct"/>
            <w:vMerge/>
          </w:tcPr>
          <w:p w14:paraId="4984D674" w14:textId="77777777" w:rsidR="00657405" w:rsidRPr="00024D5A" w:rsidRDefault="00657405" w:rsidP="00791B1A">
            <w:pPr>
              <w:rPr>
                <w:rFonts w:ascii="Garamond" w:eastAsia="Times New Roman" w:hAnsi="Garamond"/>
                <w:b/>
                <w:bCs/>
                <w:sz w:val="10"/>
                <w:szCs w:val="10"/>
                <w:lang w:eastAsia="en-US"/>
              </w:rPr>
            </w:pPr>
          </w:p>
        </w:tc>
        <w:tc>
          <w:tcPr>
            <w:tcW w:w="611" w:type="pct"/>
            <w:vMerge/>
          </w:tcPr>
          <w:p w14:paraId="08240333" w14:textId="77777777" w:rsidR="00657405" w:rsidRPr="00024D5A" w:rsidRDefault="00657405" w:rsidP="00791B1A">
            <w:pPr>
              <w:rPr>
                <w:rFonts w:ascii="Garamond" w:eastAsia="Times New Roman" w:hAnsi="Garamond"/>
                <w:sz w:val="10"/>
                <w:szCs w:val="10"/>
                <w:lang w:eastAsia="en-US"/>
              </w:rPr>
            </w:pPr>
          </w:p>
        </w:tc>
        <w:tc>
          <w:tcPr>
            <w:tcW w:w="764" w:type="pct"/>
            <w:vMerge/>
            <w:shd w:val="clear" w:color="auto" w:fill="CAEDFA"/>
          </w:tcPr>
          <w:p w14:paraId="689B73F2" w14:textId="5B1F7D52" w:rsidR="00657405" w:rsidRPr="00024D5A" w:rsidRDefault="00657405" w:rsidP="00791B1A">
            <w:pPr>
              <w:rPr>
                <w:rFonts w:ascii="Garamond" w:eastAsia="Times New Roman" w:hAnsi="Garamond"/>
                <w:sz w:val="10"/>
                <w:szCs w:val="10"/>
                <w:lang w:eastAsia="en-US"/>
              </w:rPr>
            </w:pPr>
          </w:p>
        </w:tc>
        <w:tc>
          <w:tcPr>
            <w:tcW w:w="831" w:type="pct"/>
            <w:vMerge/>
          </w:tcPr>
          <w:p w14:paraId="2EBC0280" w14:textId="77777777" w:rsidR="00657405" w:rsidRPr="00024D5A" w:rsidRDefault="00657405" w:rsidP="00791B1A">
            <w:pPr>
              <w:rPr>
                <w:rFonts w:ascii="Garamond" w:eastAsia="Times New Roman" w:hAnsi="Garamond"/>
                <w:sz w:val="10"/>
                <w:szCs w:val="10"/>
                <w:lang w:eastAsia="en-US"/>
              </w:rPr>
            </w:pPr>
          </w:p>
        </w:tc>
        <w:tc>
          <w:tcPr>
            <w:tcW w:w="388" w:type="pct"/>
            <w:shd w:val="clear" w:color="auto" w:fill="CAEDFA"/>
          </w:tcPr>
          <w:p w14:paraId="7DB8BE70" w14:textId="77777777"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tc>
        <w:tc>
          <w:tcPr>
            <w:tcW w:w="491" w:type="pct"/>
            <w:shd w:val="clear" w:color="auto" w:fill="CAEDFA"/>
          </w:tcPr>
          <w:p w14:paraId="336EDC01" w14:textId="77777777"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tc>
        <w:tc>
          <w:tcPr>
            <w:tcW w:w="458" w:type="pct"/>
            <w:shd w:val="clear" w:color="auto" w:fill="CAEDFA"/>
          </w:tcPr>
          <w:p w14:paraId="3EFADC05" w14:textId="77777777"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tc>
        <w:tc>
          <w:tcPr>
            <w:tcW w:w="457" w:type="pct"/>
            <w:vMerge/>
          </w:tcPr>
          <w:p w14:paraId="38D7747F" w14:textId="77777777" w:rsidR="00657405" w:rsidRPr="00024D5A" w:rsidRDefault="00657405" w:rsidP="00791B1A">
            <w:pPr>
              <w:rPr>
                <w:rFonts w:ascii="Garamond" w:eastAsia="Times New Roman" w:hAnsi="Garamond"/>
                <w:sz w:val="10"/>
                <w:szCs w:val="10"/>
                <w:lang w:eastAsia="en-US"/>
              </w:rPr>
            </w:pPr>
          </w:p>
        </w:tc>
        <w:tc>
          <w:tcPr>
            <w:tcW w:w="570" w:type="pct"/>
            <w:vMerge/>
          </w:tcPr>
          <w:p w14:paraId="3C9D0D52" w14:textId="77777777" w:rsidR="00657405" w:rsidRPr="00024D5A" w:rsidRDefault="00657405" w:rsidP="00791B1A">
            <w:pPr>
              <w:rPr>
                <w:rFonts w:ascii="Garamond" w:eastAsia="Times New Roman" w:hAnsi="Garamond"/>
                <w:sz w:val="10"/>
                <w:szCs w:val="10"/>
                <w:lang w:eastAsia="en-US"/>
              </w:rPr>
            </w:pPr>
          </w:p>
        </w:tc>
      </w:tr>
      <w:tr w:rsidR="00657405" w:rsidRPr="00024D5A" w14:paraId="514B1F85" w14:textId="77777777" w:rsidTr="003509EA">
        <w:trPr>
          <w:trHeight w:val="20"/>
        </w:trPr>
        <w:tc>
          <w:tcPr>
            <w:tcW w:w="430" w:type="pct"/>
            <w:vMerge/>
          </w:tcPr>
          <w:p w14:paraId="69025972" w14:textId="77777777" w:rsidR="00657405" w:rsidRPr="00024D5A" w:rsidRDefault="00657405" w:rsidP="00791B1A">
            <w:pPr>
              <w:rPr>
                <w:rFonts w:ascii="Garamond" w:eastAsia="Times New Roman" w:hAnsi="Garamond"/>
                <w:b/>
                <w:bCs/>
                <w:sz w:val="10"/>
                <w:szCs w:val="10"/>
                <w:lang w:eastAsia="en-US"/>
              </w:rPr>
            </w:pPr>
          </w:p>
        </w:tc>
        <w:tc>
          <w:tcPr>
            <w:tcW w:w="611" w:type="pct"/>
            <w:vMerge/>
          </w:tcPr>
          <w:p w14:paraId="1A2E5D6E" w14:textId="77777777" w:rsidR="00657405" w:rsidRPr="00024D5A" w:rsidRDefault="00657405" w:rsidP="00791B1A">
            <w:pPr>
              <w:rPr>
                <w:rFonts w:ascii="Garamond" w:eastAsia="Times New Roman" w:hAnsi="Garamond"/>
                <w:sz w:val="10"/>
                <w:szCs w:val="10"/>
                <w:lang w:eastAsia="en-US"/>
              </w:rPr>
            </w:pPr>
          </w:p>
        </w:tc>
        <w:tc>
          <w:tcPr>
            <w:tcW w:w="764" w:type="pct"/>
            <w:vMerge/>
            <w:shd w:val="clear" w:color="auto" w:fill="CAEDFA"/>
          </w:tcPr>
          <w:p w14:paraId="7FC317D4" w14:textId="3B2EB63C" w:rsidR="00657405" w:rsidRPr="00024D5A" w:rsidRDefault="00657405" w:rsidP="00791B1A">
            <w:pPr>
              <w:rPr>
                <w:rFonts w:ascii="Garamond" w:eastAsia="Times New Roman" w:hAnsi="Garamond"/>
                <w:sz w:val="10"/>
                <w:szCs w:val="10"/>
                <w:lang w:eastAsia="en-US"/>
              </w:rPr>
            </w:pPr>
          </w:p>
        </w:tc>
        <w:tc>
          <w:tcPr>
            <w:tcW w:w="831" w:type="pct"/>
            <w:vMerge/>
          </w:tcPr>
          <w:p w14:paraId="7A761C2B" w14:textId="77777777" w:rsidR="00657405" w:rsidRPr="00024D5A" w:rsidRDefault="00657405" w:rsidP="00791B1A">
            <w:pPr>
              <w:rPr>
                <w:rFonts w:ascii="Garamond" w:eastAsia="Times New Roman" w:hAnsi="Garamond"/>
                <w:sz w:val="10"/>
                <w:szCs w:val="10"/>
                <w:lang w:eastAsia="en-US"/>
              </w:rPr>
            </w:pPr>
          </w:p>
        </w:tc>
        <w:tc>
          <w:tcPr>
            <w:tcW w:w="388" w:type="pct"/>
            <w:shd w:val="clear" w:color="auto" w:fill="CAEDFA"/>
          </w:tcPr>
          <w:p w14:paraId="20239D14" w14:textId="77777777"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tc>
        <w:tc>
          <w:tcPr>
            <w:tcW w:w="491" w:type="pct"/>
            <w:shd w:val="clear" w:color="auto" w:fill="CAEDFA"/>
          </w:tcPr>
          <w:p w14:paraId="114DBAB2" w14:textId="77777777"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tc>
        <w:tc>
          <w:tcPr>
            <w:tcW w:w="458" w:type="pct"/>
            <w:shd w:val="clear" w:color="auto" w:fill="CAEDFA"/>
          </w:tcPr>
          <w:p w14:paraId="6DFFFB81" w14:textId="77777777"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tc>
        <w:tc>
          <w:tcPr>
            <w:tcW w:w="457" w:type="pct"/>
            <w:vMerge/>
          </w:tcPr>
          <w:p w14:paraId="10607096" w14:textId="77777777" w:rsidR="00657405" w:rsidRPr="00024D5A" w:rsidRDefault="00657405" w:rsidP="00791B1A">
            <w:pPr>
              <w:rPr>
                <w:rFonts w:ascii="Garamond" w:eastAsia="Times New Roman" w:hAnsi="Garamond"/>
                <w:sz w:val="10"/>
                <w:szCs w:val="10"/>
                <w:lang w:eastAsia="en-US"/>
              </w:rPr>
            </w:pPr>
          </w:p>
        </w:tc>
        <w:tc>
          <w:tcPr>
            <w:tcW w:w="570" w:type="pct"/>
            <w:vMerge/>
          </w:tcPr>
          <w:p w14:paraId="5ECBF38C" w14:textId="77777777" w:rsidR="00657405" w:rsidRPr="00024D5A" w:rsidRDefault="00657405" w:rsidP="00791B1A">
            <w:pPr>
              <w:rPr>
                <w:rFonts w:ascii="Garamond" w:eastAsia="Times New Roman" w:hAnsi="Garamond"/>
                <w:sz w:val="10"/>
                <w:szCs w:val="10"/>
                <w:lang w:eastAsia="en-US"/>
              </w:rPr>
            </w:pPr>
          </w:p>
        </w:tc>
      </w:tr>
      <w:tr w:rsidR="00657405" w:rsidRPr="00024D5A" w14:paraId="08938A0B" w14:textId="77777777" w:rsidTr="003509EA">
        <w:trPr>
          <w:trHeight w:val="20"/>
        </w:trPr>
        <w:tc>
          <w:tcPr>
            <w:tcW w:w="430" w:type="pct"/>
            <w:vMerge/>
          </w:tcPr>
          <w:p w14:paraId="4A050D1A" w14:textId="77777777" w:rsidR="00657405" w:rsidRPr="00024D5A" w:rsidRDefault="00657405" w:rsidP="00791B1A">
            <w:pPr>
              <w:rPr>
                <w:rFonts w:ascii="Garamond" w:eastAsia="Times New Roman" w:hAnsi="Garamond"/>
                <w:b/>
                <w:bCs/>
                <w:sz w:val="10"/>
                <w:szCs w:val="10"/>
                <w:lang w:eastAsia="en-US"/>
              </w:rPr>
            </w:pPr>
          </w:p>
        </w:tc>
        <w:tc>
          <w:tcPr>
            <w:tcW w:w="611" w:type="pct"/>
            <w:shd w:val="clear" w:color="auto" w:fill="CAEDFA"/>
          </w:tcPr>
          <w:p w14:paraId="3ED48BD7" w14:textId="24A4DCE9"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Objektivi specifik 2</w:t>
            </w:r>
            <w:r w:rsidR="00AC5DA9">
              <w:rPr>
                <w:rFonts w:ascii="Garamond" w:eastAsia="Times New Roman" w:hAnsi="Garamond"/>
                <w:sz w:val="10"/>
                <w:szCs w:val="10"/>
                <w:lang w:eastAsia="en-US"/>
              </w:rPr>
              <w:t xml:space="preserve">: </w:t>
            </w:r>
            <w:r w:rsidRPr="00024D5A">
              <w:rPr>
                <w:rFonts w:ascii="Garamond" w:eastAsia="Times New Roman" w:hAnsi="Garamond"/>
                <w:sz w:val="10"/>
                <w:szCs w:val="10"/>
                <w:lang w:eastAsia="en-US"/>
              </w:rPr>
              <w:t>Arsim parauniversitar gjithëpërfshirës, cilësor dhe i barabartë për nxënësit me aftësi të kufizuara.</w:t>
            </w:r>
          </w:p>
          <w:p w14:paraId="7B05986F" w14:textId="77777777" w:rsidR="00657405" w:rsidRPr="00024D5A" w:rsidRDefault="00657405" w:rsidP="00791B1A">
            <w:pPr>
              <w:rPr>
                <w:rFonts w:ascii="Garamond" w:eastAsia="Times New Roman" w:hAnsi="Garamond"/>
                <w:sz w:val="10"/>
                <w:szCs w:val="10"/>
                <w:lang w:eastAsia="en-US"/>
              </w:rPr>
            </w:pPr>
          </w:p>
        </w:tc>
        <w:tc>
          <w:tcPr>
            <w:tcW w:w="764" w:type="pct"/>
            <w:shd w:val="clear" w:color="auto" w:fill="CAEDFA"/>
          </w:tcPr>
          <w:p w14:paraId="20B5D8A8" w14:textId="00DF1D10"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tc>
        <w:tc>
          <w:tcPr>
            <w:tcW w:w="831" w:type="pct"/>
            <w:shd w:val="clear" w:color="auto" w:fill="CAEDFA"/>
          </w:tcPr>
          <w:p w14:paraId="517C3B79" w14:textId="5697669B"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e shkollave me infrastrukturë të aksesueshme;</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Raporti mësues ndihmës</w:t>
            </w:r>
            <w:r w:rsidR="007675EC" w:rsidRPr="00024D5A">
              <w:rPr>
                <w:rFonts w:ascii="Garamond" w:eastAsia="Times New Roman" w:hAnsi="Garamond"/>
                <w:sz w:val="10"/>
                <w:szCs w:val="10"/>
                <w:lang w:eastAsia="en-US"/>
              </w:rPr>
              <w:t>/</w:t>
            </w:r>
            <w:r w:rsidRPr="00024D5A">
              <w:rPr>
                <w:rFonts w:ascii="Garamond" w:eastAsia="Times New Roman" w:hAnsi="Garamond"/>
                <w:sz w:val="10"/>
                <w:szCs w:val="10"/>
                <w:lang w:eastAsia="en-US"/>
              </w:rPr>
              <w:t>nxënës me aftësi të kufizuara</w:t>
            </w:r>
            <w:r w:rsidR="00B11107" w:rsidRPr="00024D5A">
              <w:rPr>
                <w:rFonts w:ascii="Garamond" w:eastAsia="Times New Roman" w:hAnsi="Garamond"/>
                <w:sz w:val="10"/>
                <w:szCs w:val="10"/>
                <w:lang w:eastAsia="en-US"/>
              </w:rPr>
              <w:t>.</w:t>
            </w:r>
          </w:p>
          <w:p w14:paraId="7B456218" w14:textId="260271FE"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tc>
        <w:tc>
          <w:tcPr>
            <w:tcW w:w="388" w:type="pct"/>
            <w:shd w:val="clear" w:color="auto" w:fill="CAEDFA"/>
          </w:tcPr>
          <w:p w14:paraId="2FD13459" w14:textId="77777777"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N/A</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1 mësues me 2.3 nxënës</w:t>
            </w:r>
          </w:p>
        </w:tc>
        <w:tc>
          <w:tcPr>
            <w:tcW w:w="491" w:type="pct"/>
            <w:shd w:val="clear" w:color="auto" w:fill="CAEDFA"/>
          </w:tcPr>
          <w:p w14:paraId="07D1F71A" w14:textId="77777777"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75%</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 xml:space="preserve">1 mësues me </w:t>
            </w:r>
          </w:p>
          <w:p w14:paraId="1D015FD6" w14:textId="58760148"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1.8 nxënës</w:t>
            </w:r>
            <w:r w:rsidR="00B11107" w:rsidRPr="00024D5A">
              <w:rPr>
                <w:rFonts w:ascii="Garamond" w:eastAsia="Times New Roman" w:hAnsi="Garamond"/>
                <w:sz w:val="10"/>
                <w:szCs w:val="10"/>
                <w:lang w:eastAsia="en-US"/>
              </w:rPr>
              <w:t xml:space="preserve"> – raporti </w:t>
            </w:r>
            <w:r w:rsidRPr="00024D5A">
              <w:rPr>
                <w:rFonts w:ascii="Garamond" w:eastAsia="Times New Roman" w:hAnsi="Garamond"/>
                <w:sz w:val="10"/>
                <w:szCs w:val="10"/>
                <w:lang w:eastAsia="en-US"/>
              </w:rPr>
              <w:t>mësues ndihmës për nxënës do të jetë në raport me nevojat e nxënësve, në bazë të vlerësimit të Komisionit Multidisiplinar (KMD)</w:t>
            </w:r>
            <w:r w:rsidR="00B11107" w:rsidRPr="00024D5A">
              <w:rPr>
                <w:rFonts w:ascii="Garamond" w:eastAsia="Times New Roman" w:hAnsi="Garamond"/>
                <w:sz w:val="10"/>
                <w:szCs w:val="10"/>
                <w:lang w:eastAsia="en-US"/>
              </w:rPr>
              <w:t>.</w:t>
            </w:r>
          </w:p>
        </w:tc>
        <w:tc>
          <w:tcPr>
            <w:tcW w:w="458" w:type="pct"/>
            <w:shd w:val="clear" w:color="auto" w:fill="CAEDFA"/>
          </w:tcPr>
          <w:p w14:paraId="58C661D8" w14:textId="5058397B"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85%</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1 mësues me 1 nxënës</w:t>
            </w:r>
            <w:r w:rsidR="007675EC" w:rsidRPr="00024D5A">
              <w:rPr>
                <w:rFonts w:ascii="Garamond" w:eastAsia="Times New Roman" w:hAnsi="Garamond"/>
                <w:sz w:val="10"/>
                <w:szCs w:val="10"/>
                <w:lang w:eastAsia="en-US"/>
              </w:rPr>
              <w:t>/</w:t>
            </w:r>
            <w:r w:rsidR="00B11107" w:rsidRPr="00024D5A">
              <w:rPr>
                <w:rFonts w:ascii="Garamond" w:eastAsia="Times New Roman" w:hAnsi="Garamond"/>
                <w:sz w:val="10"/>
                <w:szCs w:val="10"/>
                <w:lang w:eastAsia="en-US"/>
              </w:rPr>
              <w:t xml:space="preserve">raporti </w:t>
            </w:r>
            <w:r w:rsidRPr="00024D5A">
              <w:rPr>
                <w:rFonts w:ascii="Garamond" w:eastAsia="Times New Roman" w:hAnsi="Garamond"/>
                <w:sz w:val="10"/>
                <w:szCs w:val="10"/>
                <w:lang w:eastAsia="en-US"/>
              </w:rPr>
              <w:t>mësues ndihmës për nxënës do të jetë në raport me nevojat e nxënësve, në bazë të vlerësimit të Komisionit Multidisiplinar (KMD)</w:t>
            </w:r>
            <w:r w:rsidR="00B11107" w:rsidRPr="00024D5A">
              <w:rPr>
                <w:rFonts w:ascii="Garamond" w:eastAsia="Times New Roman" w:hAnsi="Garamond"/>
                <w:sz w:val="10"/>
                <w:szCs w:val="10"/>
                <w:lang w:eastAsia="en-US"/>
              </w:rPr>
              <w:t>.</w:t>
            </w:r>
          </w:p>
        </w:tc>
        <w:tc>
          <w:tcPr>
            <w:tcW w:w="457" w:type="pct"/>
            <w:shd w:val="clear" w:color="auto" w:fill="CAEDFA"/>
          </w:tcPr>
          <w:p w14:paraId="4DA471C9" w14:textId="75489E28"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e shkollave me infrastrukturë të aksesueshme;</w:t>
            </w:r>
            <w:r w:rsidRPr="00024D5A">
              <w:rPr>
                <w:rFonts w:ascii="Garamond" w:eastAsia="Times New Roman" w:hAnsi="Garamond"/>
                <w:sz w:val="10"/>
                <w:szCs w:val="10"/>
                <w:lang w:eastAsia="en-US"/>
              </w:rPr>
              <w:br/>
            </w:r>
            <w:r w:rsidR="00B11107" w:rsidRPr="00024D5A">
              <w:rPr>
                <w:rFonts w:ascii="Garamond" w:eastAsia="Times New Roman" w:hAnsi="Garamond"/>
                <w:sz w:val="10"/>
                <w:szCs w:val="10"/>
                <w:lang w:eastAsia="en-US"/>
              </w:rPr>
              <w:t xml:space="preserve">Raporti </w:t>
            </w:r>
            <w:r w:rsidRPr="00024D5A">
              <w:rPr>
                <w:rFonts w:ascii="Garamond" w:eastAsia="Times New Roman" w:hAnsi="Garamond"/>
                <w:sz w:val="10"/>
                <w:szCs w:val="10"/>
                <w:lang w:eastAsia="en-US"/>
              </w:rPr>
              <w:t>mësues ndihmës</w:t>
            </w:r>
            <w:r w:rsidR="007675EC" w:rsidRPr="00024D5A">
              <w:rPr>
                <w:rFonts w:ascii="Garamond" w:eastAsia="Times New Roman" w:hAnsi="Garamond"/>
                <w:sz w:val="10"/>
                <w:szCs w:val="10"/>
                <w:lang w:eastAsia="en-US"/>
              </w:rPr>
              <w:t>/</w:t>
            </w:r>
            <w:r w:rsidRPr="00024D5A">
              <w:rPr>
                <w:rFonts w:ascii="Garamond" w:eastAsia="Times New Roman" w:hAnsi="Garamond"/>
                <w:sz w:val="10"/>
                <w:szCs w:val="10"/>
                <w:lang w:eastAsia="en-US"/>
              </w:rPr>
              <w:t>nxënës me aftësi të kufizuara;</w:t>
            </w:r>
            <w:r w:rsidRPr="00024D5A">
              <w:rPr>
                <w:rFonts w:ascii="Garamond" w:eastAsia="Times New Roman" w:hAnsi="Garamond"/>
                <w:sz w:val="10"/>
                <w:szCs w:val="10"/>
                <w:lang w:eastAsia="en-US"/>
              </w:rPr>
              <w:br/>
              <w:t>Ulja e braktisjes shkollore (%)</w:t>
            </w:r>
            <w:r w:rsidR="00B11107" w:rsidRPr="00024D5A">
              <w:rPr>
                <w:rFonts w:ascii="Garamond" w:eastAsia="Times New Roman" w:hAnsi="Garamond"/>
                <w:sz w:val="10"/>
                <w:szCs w:val="10"/>
                <w:lang w:eastAsia="en-US"/>
              </w:rPr>
              <w:t>.</w:t>
            </w:r>
          </w:p>
        </w:tc>
        <w:tc>
          <w:tcPr>
            <w:tcW w:w="570" w:type="pct"/>
            <w:shd w:val="clear" w:color="auto" w:fill="CAEDFA"/>
          </w:tcPr>
          <w:p w14:paraId="38AE0F73" w14:textId="5DC0368D"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Strategjia e Arsimit 2021</w:t>
            </w:r>
            <w:r w:rsidR="00B11107" w:rsidRPr="00024D5A">
              <w:rPr>
                <w:rFonts w:ascii="Garamond" w:eastAsia="Times New Roman" w:hAnsi="Garamond"/>
                <w:sz w:val="10"/>
                <w:szCs w:val="10"/>
                <w:lang w:eastAsia="en-US"/>
              </w:rPr>
              <w:t>–</w:t>
            </w:r>
            <w:r w:rsidRPr="00024D5A">
              <w:rPr>
                <w:rFonts w:ascii="Garamond" w:eastAsia="Times New Roman" w:hAnsi="Garamond"/>
                <w:sz w:val="10"/>
                <w:szCs w:val="10"/>
                <w:lang w:eastAsia="en-US"/>
              </w:rPr>
              <w:t>2026;</w:t>
            </w:r>
            <w:r w:rsidRPr="00024D5A">
              <w:rPr>
                <w:rFonts w:ascii="Garamond" w:eastAsia="Times New Roman" w:hAnsi="Garamond"/>
                <w:sz w:val="10"/>
                <w:szCs w:val="10"/>
                <w:lang w:eastAsia="en-US"/>
              </w:rPr>
              <w:br/>
              <w:t xml:space="preserve">VKM për </w:t>
            </w:r>
            <w:r w:rsidR="00282E08" w:rsidRPr="00024D5A">
              <w:rPr>
                <w:rFonts w:ascii="Garamond" w:eastAsia="Times New Roman" w:hAnsi="Garamond"/>
                <w:sz w:val="10"/>
                <w:szCs w:val="10"/>
                <w:lang w:eastAsia="en-US"/>
              </w:rPr>
              <w:t xml:space="preserve">mësuesit </w:t>
            </w:r>
            <w:r w:rsidRPr="00024D5A">
              <w:rPr>
                <w:rFonts w:ascii="Garamond" w:eastAsia="Times New Roman" w:hAnsi="Garamond"/>
                <w:sz w:val="10"/>
                <w:szCs w:val="10"/>
                <w:lang w:eastAsia="en-US"/>
              </w:rPr>
              <w:t>ndihmës</w:t>
            </w:r>
            <w:r w:rsidR="00282E08" w:rsidRPr="00024D5A">
              <w:rPr>
                <w:rFonts w:ascii="Garamond" w:eastAsia="Times New Roman" w:hAnsi="Garamond"/>
                <w:sz w:val="10"/>
                <w:szCs w:val="10"/>
                <w:lang w:eastAsia="en-US"/>
              </w:rPr>
              <w:t>.</w:t>
            </w:r>
          </w:p>
        </w:tc>
      </w:tr>
      <w:tr w:rsidR="00657405" w:rsidRPr="00024D5A" w14:paraId="40CB7BEE" w14:textId="77777777" w:rsidTr="003509EA">
        <w:trPr>
          <w:trHeight w:val="20"/>
        </w:trPr>
        <w:tc>
          <w:tcPr>
            <w:tcW w:w="430" w:type="pct"/>
            <w:vMerge/>
          </w:tcPr>
          <w:p w14:paraId="4DB53537" w14:textId="77777777" w:rsidR="00657405" w:rsidRPr="00024D5A" w:rsidRDefault="00657405" w:rsidP="00791B1A">
            <w:pPr>
              <w:rPr>
                <w:rFonts w:ascii="Garamond" w:eastAsia="Times New Roman" w:hAnsi="Garamond"/>
                <w:b/>
                <w:bCs/>
                <w:sz w:val="10"/>
                <w:szCs w:val="10"/>
                <w:lang w:eastAsia="en-US"/>
              </w:rPr>
            </w:pPr>
          </w:p>
        </w:tc>
        <w:tc>
          <w:tcPr>
            <w:tcW w:w="611" w:type="pct"/>
            <w:shd w:val="clear" w:color="auto" w:fill="CAEDFA"/>
          </w:tcPr>
          <w:p w14:paraId="3BC7578C" w14:textId="31042704"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Objektivi specifik 3</w:t>
            </w:r>
            <w:r w:rsidR="00AC5DA9">
              <w:rPr>
                <w:rFonts w:ascii="Garamond" w:eastAsia="Times New Roman" w:hAnsi="Garamond"/>
                <w:sz w:val="10"/>
                <w:szCs w:val="10"/>
                <w:lang w:eastAsia="en-US"/>
              </w:rPr>
              <w:t>:</w:t>
            </w:r>
            <w:r w:rsidR="00282E08" w:rsidRPr="00024D5A">
              <w:rPr>
                <w:rFonts w:ascii="Garamond" w:eastAsia="Times New Roman" w:hAnsi="Garamond"/>
                <w:sz w:val="10"/>
                <w:szCs w:val="10"/>
                <w:lang w:eastAsia="en-US"/>
              </w:rPr>
              <w:t xml:space="preserve"> </w:t>
            </w:r>
            <w:r w:rsidRPr="00024D5A">
              <w:rPr>
                <w:rFonts w:ascii="Garamond" w:eastAsia="Times New Roman" w:hAnsi="Garamond"/>
                <w:sz w:val="10"/>
                <w:szCs w:val="10"/>
                <w:lang w:eastAsia="en-US"/>
              </w:rPr>
              <w:t>Transformimi/riorganizimi i shkollave speciale në qendra burimore dhe konsolidimi i rolit dhe veprimtarisë së tyre.</w:t>
            </w:r>
          </w:p>
          <w:p w14:paraId="69766428" w14:textId="77777777" w:rsidR="00657405" w:rsidRPr="00024D5A" w:rsidRDefault="00657405" w:rsidP="00791B1A">
            <w:pPr>
              <w:rPr>
                <w:rFonts w:ascii="Garamond" w:eastAsia="Times New Roman" w:hAnsi="Garamond"/>
                <w:sz w:val="10"/>
                <w:szCs w:val="10"/>
                <w:lang w:eastAsia="en-US"/>
              </w:rPr>
            </w:pPr>
          </w:p>
        </w:tc>
        <w:tc>
          <w:tcPr>
            <w:tcW w:w="764" w:type="pct"/>
            <w:shd w:val="clear" w:color="auto" w:fill="CAEDFA"/>
          </w:tcPr>
          <w:p w14:paraId="33FB0F18" w14:textId="77777777"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p w14:paraId="7DED4B9D" w14:textId="417EE868"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tc>
        <w:tc>
          <w:tcPr>
            <w:tcW w:w="831" w:type="pct"/>
            <w:shd w:val="clear" w:color="auto" w:fill="CAEDFA"/>
          </w:tcPr>
          <w:p w14:paraId="137AB442" w14:textId="6502FE69"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e shkollave speciale të transformuara;</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Nr. i shkollave të zakonshme të mbështetura nga qendrat burimore</w:t>
            </w:r>
            <w:r w:rsidR="00CC3C6A" w:rsidRPr="00024D5A">
              <w:rPr>
                <w:rFonts w:ascii="Garamond" w:eastAsia="Times New Roman" w:hAnsi="Garamond"/>
                <w:sz w:val="10"/>
                <w:szCs w:val="10"/>
                <w:lang w:eastAsia="en-US"/>
              </w:rPr>
              <w:t>.</w:t>
            </w:r>
          </w:p>
        </w:tc>
        <w:tc>
          <w:tcPr>
            <w:tcW w:w="388" w:type="pct"/>
            <w:shd w:val="clear" w:color="auto" w:fill="CAEDFA"/>
          </w:tcPr>
          <w:p w14:paraId="656202F1" w14:textId="77777777"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30%</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1%</w:t>
            </w:r>
          </w:p>
        </w:tc>
        <w:tc>
          <w:tcPr>
            <w:tcW w:w="491" w:type="pct"/>
            <w:shd w:val="clear" w:color="auto" w:fill="CAEDFA"/>
          </w:tcPr>
          <w:p w14:paraId="7C17D5E0" w14:textId="77777777"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xml:space="preserve">70% </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30%</w:t>
            </w:r>
          </w:p>
        </w:tc>
        <w:tc>
          <w:tcPr>
            <w:tcW w:w="458" w:type="pct"/>
            <w:shd w:val="clear" w:color="auto" w:fill="CAEDFA"/>
          </w:tcPr>
          <w:p w14:paraId="3974FC05" w14:textId="77777777"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100%</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60%</w:t>
            </w:r>
          </w:p>
        </w:tc>
        <w:tc>
          <w:tcPr>
            <w:tcW w:w="457" w:type="pct"/>
            <w:shd w:val="clear" w:color="auto" w:fill="CAEDFA"/>
          </w:tcPr>
          <w:p w14:paraId="57F51937" w14:textId="3E82EB51"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xml:space="preserve">Vendime MAS; </w:t>
            </w:r>
            <w:r w:rsidRPr="00024D5A">
              <w:rPr>
                <w:rFonts w:ascii="Garamond" w:eastAsia="Times New Roman" w:hAnsi="Garamond"/>
                <w:sz w:val="10"/>
                <w:szCs w:val="10"/>
                <w:lang w:eastAsia="en-US"/>
              </w:rPr>
              <w:br/>
              <w:t>Raporte zbatimi;</w:t>
            </w:r>
            <w:r w:rsidRPr="00024D5A">
              <w:rPr>
                <w:rFonts w:ascii="Garamond" w:eastAsia="Times New Roman" w:hAnsi="Garamond"/>
                <w:sz w:val="10"/>
                <w:szCs w:val="10"/>
                <w:lang w:eastAsia="en-US"/>
              </w:rPr>
              <w:br/>
              <w:t>Raporte vjetore të qendrave burimore;</w:t>
            </w:r>
            <w:r w:rsidRPr="00024D5A">
              <w:rPr>
                <w:rFonts w:ascii="Garamond" w:eastAsia="Times New Roman" w:hAnsi="Garamond"/>
                <w:sz w:val="10"/>
                <w:szCs w:val="10"/>
                <w:lang w:eastAsia="en-US"/>
              </w:rPr>
              <w:br/>
              <w:t>Raporte aktivitetesh</w:t>
            </w:r>
            <w:r w:rsidR="00CC3C6A" w:rsidRPr="00024D5A">
              <w:rPr>
                <w:rFonts w:ascii="Garamond" w:eastAsia="Times New Roman" w:hAnsi="Garamond"/>
                <w:sz w:val="10"/>
                <w:szCs w:val="10"/>
                <w:lang w:eastAsia="en-US"/>
              </w:rPr>
              <w:t>.</w:t>
            </w:r>
          </w:p>
        </w:tc>
        <w:tc>
          <w:tcPr>
            <w:tcW w:w="570" w:type="pct"/>
            <w:shd w:val="clear" w:color="auto" w:fill="CAEDFA"/>
          </w:tcPr>
          <w:p w14:paraId="70D5452B" w14:textId="386A40BD"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xml:space="preserve">PKVPAK </w:t>
            </w:r>
            <w:r w:rsidR="007247B2" w:rsidRPr="00024D5A">
              <w:rPr>
                <w:rFonts w:ascii="Garamond" w:eastAsia="Times New Roman" w:hAnsi="Garamond"/>
                <w:sz w:val="10"/>
                <w:szCs w:val="10"/>
                <w:lang w:eastAsia="en-US"/>
              </w:rPr>
              <w:t>2021–2025</w:t>
            </w:r>
            <w:r w:rsidRPr="00024D5A">
              <w:rPr>
                <w:rFonts w:ascii="Garamond" w:eastAsia="Times New Roman" w:hAnsi="Garamond"/>
                <w:sz w:val="10"/>
                <w:szCs w:val="10"/>
                <w:lang w:eastAsia="en-US"/>
              </w:rPr>
              <w:t>;</w:t>
            </w:r>
            <w:r w:rsidRPr="00024D5A">
              <w:rPr>
                <w:rFonts w:ascii="Garamond" w:eastAsia="Times New Roman" w:hAnsi="Garamond"/>
                <w:sz w:val="10"/>
                <w:szCs w:val="10"/>
                <w:lang w:eastAsia="en-US"/>
              </w:rPr>
              <w:br/>
              <w:t>SKA;</w:t>
            </w:r>
            <w:r w:rsidRPr="00024D5A">
              <w:rPr>
                <w:rFonts w:ascii="Garamond" w:eastAsia="Times New Roman" w:hAnsi="Garamond"/>
                <w:sz w:val="10"/>
                <w:szCs w:val="10"/>
                <w:lang w:eastAsia="en-US"/>
              </w:rPr>
              <w:br/>
              <w:t>Udhëzime të MAS;</w:t>
            </w:r>
            <w:r w:rsidRPr="00024D5A">
              <w:rPr>
                <w:rFonts w:ascii="Garamond" w:eastAsia="Times New Roman" w:hAnsi="Garamond"/>
                <w:sz w:val="10"/>
                <w:szCs w:val="10"/>
                <w:lang w:eastAsia="en-US"/>
              </w:rPr>
              <w:br/>
              <w:t>Plani i Trajnimeve Kombëtare</w:t>
            </w:r>
            <w:r w:rsidR="00CC3C6A" w:rsidRPr="00024D5A">
              <w:rPr>
                <w:rFonts w:ascii="Garamond" w:eastAsia="Times New Roman" w:hAnsi="Garamond"/>
                <w:sz w:val="10"/>
                <w:szCs w:val="10"/>
                <w:lang w:eastAsia="en-US"/>
              </w:rPr>
              <w:t>.</w:t>
            </w:r>
          </w:p>
        </w:tc>
      </w:tr>
      <w:tr w:rsidR="00657405" w:rsidRPr="00024D5A" w14:paraId="62F2403F" w14:textId="77777777" w:rsidTr="003509EA">
        <w:trPr>
          <w:trHeight w:val="20"/>
        </w:trPr>
        <w:tc>
          <w:tcPr>
            <w:tcW w:w="430" w:type="pct"/>
            <w:vMerge/>
          </w:tcPr>
          <w:p w14:paraId="4E2D10D7" w14:textId="77777777" w:rsidR="00657405" w:rsidRPr="00024D5A" w:rsidRDefault="00657405" w:rsidP="00791B1A">
            <w:pPr>
              <w:rPr>
                <w:rFonts w:ascii="Garamond" w:eastAsia="Times New Roman" w:hAnsi="Garamond"/>
                <w:b/>
                <w:bCs/>
                <w:sz w:val="10"/>
                <w:szCs w:val="10"/>
                <w:lang w:eastAsia="en-US"/>
              </w:rPr>
            </w:pPr>
          </w:p>
        </w:tc>
        <w:tc>
          <w:tcPr>
            <w:tcW w:w="611" w:type="pct"/>
            <w:shd w:val="clear" w:color="auto" w:fill="CAEDFA"/>
          </w:tcPr>
          <w:p w14:paraId="31EBDB34" w14:textId="115D147A"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Objektivi specifik 4</w:t>
            </w:r>
            <w:r w:rsidR="00AC5DA9">
              <w:rPr>
                <w:rFonts w:ascii="Garamond" w:eastAsia="Times New Roman" w:hAnsi="Garamond"/>
                <w:sz w:val="10"/>
                <w:szCs w:val="10"/>
                <w:lang w:eastAsia="en-US"/>
              </w:rPr>
              <w:t>:</w:t>
            </w:r>
            <w:r w:rsidRPr="00024D5A">
              <w:rPr>
                <w:rFonts w:ascii="Garamond" w:eastAsia="Times New Roman" w:hAnsi="Garamond"/>
                <w:sz w:val="10"/>
                <w:szCs w:val="10"/>
                <w:lang w:eastAsia="en-US"/>
              </w:rPr>
              <w:t xml:space="preserve"> Arsim i lartë gjithëpërfshirës</w:t>
            </w:r>
            <w:r w:rsidR="00B11DB3" w:rsidRPr="00024D5A">
              <w:rPr>
                <w:rFonts w:ascii="Garamond" w:eastAsia="Times New Roman" w:hAnsi="Garamond"/>
                <w:sz w:val="10"/>
                <w:szCs w:val="10"/>
                <w:lang w:eastAsia="en-US"/>
              </w:rPr>
              <w:t>,</w:t>
            </w:r>
            <w:r w:rsidRPr="00024D5A">
              <w:rPr>
                <w:rFonts w:ascii="Garamond" w:eastAsia="Times New Roman" w:hAnsi="Garamond"/>
                <w:sz w:val="10"/>
                <w:szCs w:val="10"/>
                <w:lang w:eastAsia="en-US"/>
              </w:rPr>
              <w:t xml:space="preserve"> që plotëson standardet ndërkombëtare të aksesueshmërisë, cilësisë dhe mbështetjes për studentët me aftësi të kufizuara.</w:t>
            </w:r>
          </w:p>
        </w:tc>
        <w:tc>
          <w:tcPr>
            <w:tcW w:w="764" w:type="pct"/>
            <w:shd w:val="clear" w:color="auto" w:fill="CAEDFA"/>
          </w:tcPr>
          <w:p w14:paraId="6E0AE7AC" w14:textId="77777777"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p w14:paraId="40451E3A" w14:textId="3366AD91"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tc>
        <w:tc>
          <w:tcPr>
            <w:tcW w:w="831" w:type="pct"/>
            <w:shd w:val="clear" w:color="auto" w:fill="CAEDFA"/>
          </w:tcPr>
          <w:p w14:paraId="36A563B9" w14:textId="6E04B3E5"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e IAL me standarde të aksesueshmërisë të përmbushura;</w:t>
            </w:r>
            <w:r w:rsidRPr="00024D5A">
              <w:rPr>
                <w:rFonts w:ascii="Garamond" w:eastAsia="Times New Roman" w:hAnsi="Garamond"/>
                <w:sz w:val="10"/>
                <w:szCs w:val="10"/>
                <w:lang w:eastAsia="en-US"/>
              </w:rPr>
              <w:br/>
              <w:t>% e studentëve me aftësi të kufizuara që marrin mbështetje individuale</w:t>
            </w:r>
            <w:r w:rsidR="00B11DB3" w:rsidRPr="00024D5A">
              <w:rPr>
                <w:rFonts w:ascii="Garamond" w:eastAsia="Times New Roman" w:hAnsi="Garamond"/>
                <w:sz w:val="10"/>
                <w:szCs w:val="10"/>
                <w:lang w:eastAsia="en-US"/>
              </w:rPr>
              <w:t>.</w:t>
            </w:r>
          </w:p>
        </w:tc>
        <w:tc>
          <w:tcPr>
            <w:tcW w:w="388" w:type="pct"/>
            <w:shd w:val="clear" w:color="auto" w:fill="CAEDFA"/>
          </w:tcPr>
          <w:p w14:paraId="01EF8315" w14:textId="77777777"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N/A</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N/A</w:t>
            </w:r>
          </w:p>
        </w:tc>
        <w:tc>
          <w:tcPr>
            <w:tcW w:w="491" w:type="pct"/>
            <w:shd w:val="clear" w:color="auto" w:fill="CAEDFA"/>
          </w:tcPr>
          <w:p w14:paraId="5C846C0F" w14:textId="77777777"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25%</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50%</w:t>
            </w:r>
          </w:p>
        </w:tc>
        <w:tc>
          <w:tcPr>
            <w:tcW w:w="458" w:type="pct"/>
            <w:shd w:val="clear" w:color="auto" w:fill="CAEDFA"/>
          </w:tcPr>
          <w:p w14:paraId="5F325477" w14:textId="77777777"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50%</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70%</w:t>
            </w:r>
          </w:p>
        </w:tc>
        <w:tc>
          <w:tcPr>
            <w:tcW w:w="457" w:type="pct"/>
            <w:shd w:val="clear" w:color="auto" w:fill="CAEDFA"/>
          </w:tcPr>
          <w:p w14:paraId="28DF41FB" w14:textId="6567677F" w:rsidR="00657405"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xml:space="preserve">Raporte të akreditimit; </w:t>
            </w:r>
            <w:r w:rsidRPr="00024D5A">
              <w:rPr>
                <w:rFonts w:ascii="Garamond" w:eastAsia="Times New Roman" w:hAnsi="Garamond"/>
                <w:sz w:val="10"/>
                <w:szCs w:val="10"/>
                <w:lang w:eastAsia="en-US"/>
              </w:rPr>
              <w:br/>
              <w:t xml:space="preserve">ASCAL, </w:t>
            </w:r>
            <w:r w:rsidRPr="00024D5A">
              <w:rPr>
                <w:rFonts w:ascii="Garamond" w:eastAsia="Times New Roman" w:hAnsi="Garamond"/>
                <w:sz w:val="10"/>
                <w:szCs w:val="10"/>
                <w:lang w:eastAsia="en-US"/>
              </w:rPr>
              <w:br/>
              <w:t>Raporte vjetore të MA</w:t>
            </w:r>
            <w:r w:rsidR="00F064BD" w:rsidRPr="00024D5A">
              <w:rPr>
                <w:rFonts w:ascii="Garamond" w:eastAsia="Times New Roman" w:hAnsi="Garamond"/>
                <w:sz w:val="10"/>
                <w:szCs w:val="10"/>
                <w:lang w:eastAsia="en-US"/>
              </w:rPr>
              <w:t>-së</w:t>
            </w:r>
            <w:r w:rsidR="00896A86" w:rsidRPr="00024D5A">
              <w:rPr>
                <w:rFonts w:ascii="Garamond" w:eastAsia="Times New Roman" w:hAnsi="Garamond"/>
                <w:sz w:val="10"/>
                <w:szCs w:val="10"/>
                <w:lang w:eastAsia="en-US"/>
              </w:rPr>
              <w:t>.</w:t>
            </w:r>
          </w:p>
        </w:tc>
        <w:tc>
          <w:tcPr>
            <w:tcW w:w="570" w:type="pct"/>
            <w:shd w:val="clear" w:color="auto" w:fill="CAEDFA"/>
          </w:tcPr>
          <w:p w14:paraId="564D17AE" w14:textId="77777777" w:rsidR="00280B64" w:rsidRPr="00024D5A" w:rsidRDefault="00657405"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Konventa OKB për të Drejtat e Personave me Aftësi të Kufizuara;</w:t>
            </w:r>
            <w:r w:rsidRPr="00024D5A">
              <w:rPr>
                <w:rFonts w:ascii="Garamond" w:eastAsia="Times New Roman" w:hAnsi="Garamond"/>
                <w:sz w:val="10"/>
                <w:szCs w:val="10"/>
                <w:lang w:eastAsia="en-US"/>
              </w:rPr>
              <w:br/>
              <w:t>Strategjia Kombëtare e Arsimit 2021</w:t>
            </w:r>
            <w:r w:rsidR="00280B64" w:rsidRPr="00024D5A">
              <w:rPr>
                <w:rFonts w:ascii="Garamond" w:eastAsia="Times New Roman" w:hAnsi="Garamond"/>
                <w:sz w:val="10"/>
                <w:szCs w:val="10"/>
                <w:lang w:eastAsia="en-US"/>
              </w:rPr>
              <w:t>–</w:t>
            </w:r>
            <w:r w:rsidRPr="00024D5A">
              <w:rPr>
                <w:rFonts w:ascii="Garamond" w:eastAsia="Times New Roman" w:hAnsi="Garamond"/>
                <w:sz w:val="10"/>
                <w:szCs w:val="10"/>
                <w:lang w:eastAsia="en-US"/>
              </w:rPr>
              <w:t>2026;</w:t>
            </w:r>
            <w:r w:rsidRPr="00024D5A">
              <w:rPr>
                <w:rFonts w:ascii="Garamond" w:eastAsia="Times New Roman" w:hAnsi="Garamond"/>
                <w:sz w:val="10"/>
                <w:szCs w:val="10"/>
                <w:lang w:eastAsia="en-US"/>
              </w:rPr>
              <w:br/>
              <w:t xml:space="preserve">Ligji për Përfshirjen dhe Aksesueshmërinë </w:t>
            </w:r>
            <w:r w:rsidRPr="00024D5A">
              <w:rPr>
                <w:rFonts w:ascii="Garamond" w:eastAsia="Times New Roman" w:hAnsi="Garamond"/>
                <w:sz w:val="10"/>
                <w:szCs w:val="10"/>
                <w:lang w:eastAsia="en-US"/>
              </w:rPr>
              <w:br/>
              <w:t xml:space="preserve">Dokumenti i Politikave për Arsimin e Lartë 2030; </w:t>
            </w:r>
          </w:p>
          <w:p w14:paraId="17F3117A" w14:textId="22D83DF9" w:rsidR="00657405" w:rsidRPr="00024D5A" w:rsidRDefault="00657405" w:rsidP="00280B64">
            <w:pPr>
              <w:rPr>
                <w:rFonts w:ascii="Garamond" w:eastAsia="Times New Roman" w:hAnsi="Garamond"/>
                <w:sz w:val="10"/>
                <w:szCs w:val="10"/>
                <w:lang w:eastAsia="en-US"/>
              </w:rPr>
            </w:pPr>
            <w:r w:rsidRPr="00024D5A">
              <w:rPr>
                <w:rFonts w:ascii="Garamond" w:eastAsia="Times New Roman" w:hAnsi="Garamond"/>
                <w:sz w:val="10"/>
                <w:szCs w:val="10"/>
                <w:lang w:eastAsia="en-US"/>
              </w:rPr>
              <w:t>Strategjia Kombëtare për Kërkimin Shkencor Teknologjinë dhe Inovacionin 2023</w:t>
            </w:r>
            <w:r w:rsidR="00280B64" w:rsidRPr="00024D5A">
              <w:rPr>
                <w:rFonts w:ascii="Garamond" w:eastAsia="Times New Roman" w:hAnsi="Garamond"/>
                <w:sz w:val="10"/>
                <w:szCs w:val="10"/>
                <w:lang w:eastAsia="en-US"/>
              </w:rPr>
              <w:t>–</w:t>
            </w:r>
            <w:r w:rsidRPr="00024D5A">
              <w:rPr>
                <w:rFonts w:ascii="Garamond" w:eastAsia="Times New Roman" w:hAnsi="Garamond"/>
                <w:sz w:val="10"/>
                <w:szCs w:val="10"/>
                <w:lang w:eastAsia="en-US"/>
              </w:rPr>
              <w:t>2030;</w:t>
            </w:r>
            <w:r w:rsidRPr="00024D5A">
              <w:rPr>
                <w:rFonts w:ascii="Garamond" w:eastAsia="Times New Roman" w:hAnsi="Garamond"/>
                <w:sz w:val="10"/>
                <w:szCs w:val="10"/>
                <w:lang w:eastAsia="en-US"/>
              </w:rPr>
              <w:br/>
              <w:t>Plani Kombëtar për Zhvillimin e Qëndrueshëm të Infrastrukturës Digjitale 2020</w:t>
            </w:r>
            <w:r w:rsidR="00280B64" w:rsidRPr="00024D5A">
              <w:rPr>
                <w:rFonts w:ascii="Garamond" w:eastAsia="Times New Roman" w:hAnsi="Garamond"/>
                <w:sz w:val="10"/>
                <w:szCs w:val="10"/>
                <w:lang w:eastAsia="en-US"/>
              </w:rPr>
              <w:t>–</w:t>
            </w:r>
            <w:r w:rsidRPr="00024D5A">
              <w:rPr>
                <w:rFonts w:ascii="Garamond" w:eastAsia="Times New Roman" w:hAnsi="Garamond"/>
                <w:sz w:val="10"/>
                <w:szCs w:val="10"/>
                <w:lang w:eastAsia="en-US"/>
              </w:rPr>
              <w:t>2025</w:t>
            </w:r>
            <w:r w:rsidR="00280B64" w:rsidRPr="00024D5A">
              <w:rPr>
                <w:rFonts w:ascii="Garamond" w:eastAsia="Times New Roman" w:hAnsi="Garamond"/>
                <w:sz w:val="10"/>
                <w:szCs w:val="10"/>
                <w:lang w:eastAsia="en-US"/>
              </w:rPr>
              <w:t>.</w:t>
            </w:r>
          </w:p>
        </w:tc>
      </w:tr>
      <w:tr w:rsidR="003E1630" w:rsidRPr="00024D5A" w14:paraId="2BAE9016" w14:textId="77777777" w:rsidTr="003509EA">
        <w:trPr>
          <w:trHeight w:val="20"/>
        </w:trPr>
        <w:tc>
          <w:tcPr>
            <w:tcW w:w="430" w:type="pct"/>
            <w:vMerge w:val="restart"/>
          </w:tcPr>
          <w:p w14:paraId="45C6926C" w14:textId="77777777" w:rsidR="003E1630" w:rsidRPr="00024D5A" w:rsidRDefault="005743A8" w:rsidP="00791B1A">
            <w:pPr>
              <w:rPr>
                <w:rFonts w:ascii="Garamond" w:eastAsia="Times New Roman" w:hAnsi="Garamond"/>
                <w:b/>
                <w:bCs/>
                <w:sz w:val="10"/>
                <w:szCs w:val="10"/>
                <w:lang w:eastAsia="en-US"/>
              </w:rPr>
            </w:pPr>
            <w:r w:rsidRPr="00024D5A">
              <w:rPr>
                <w:rFonts w:ascii="Garamond" w:eastAsia="Times New Roman" w:hAnsi="Garamond"/>
                <w:b/>
                <w:bCs/>
                <w:sz w:val="10"/>
                <w:szCs w:val="10"/>
                <w:lang w:eastAsia="en-US"/>
              </w:rPr>
              <w:t>Masat prioritare</w:t>
            </w:r>
          </w:p>
        </w:tc>
        <w:tc>
          <w:tcPr>
            <w:tcW w:w="611" w:type="pct"/>
          </w:tcPr>
          <w:p w14:paraId="6DEC226E"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Masa 1.1. Përmirësimi i kuadrit të politikave dhe qeverisjes për të garantuar akses të barabartë në edukimin e hershëm për fëmijët me aftësi të kufizuara.</w:t>
            </w:r>
          </w:p>
        </w:tc>
        <w:tc>
          <w:tcPr>
            <w:tcW w:w="764" w:type="pct"/>
          </w:tcPr>
          <w:p w14:paraId="16F1D711" w14:textId="77777777" w:rsidR="003E1630" w:rsidRPr="00024D5A" w:rsidRDefault="003E1630" w:rsidP="00791B1A">
            <w:pPr>
              <w:rPr>
                <w:rFonts w:ascii="Garamond" w:eastAsia="Times New Roman" w:hAnsi="Garamond"/>
                <w:sz w:val="10"/>
                <w:szCs w:val="10"/>
                <w:lang w:eastAsia="en-US"/>
              </w:rPr>
            </w:pPr>
          </w:p>
        </w:tc>
        <w:tc>
          <w:tcPr>
            <w:tcW w:w="831" w:type="pct"/>
          </w:tcPr>
          <w:p w14:paraId="56D45974" w14:textId="377B96E5"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xml:space="preserve">Kuadër ligjor i rishikuar, </w:t>
            </w:r>
            <w:r w:rsidR="007F0C53" w:rsidRPr="00024D5A">
              <w:rPr>
                <w:rFonts w:ascii="Garamond" w:eastAsia="Times New Roman" w:hAnsi="Garamond"/>
                <w:sz w:val="10"/>
                <w:szCs w:val="10"/>
                <w:lang w:eastAsia="en-US"/>
              </w:rPr>
              <w:t>nr</w:t>
            </w:r>
            <w:r w:rsidRPr="00024D5A">
              <w:rPr>
                <w:rFonts w:ascii="Garamond" w:eastAsia="Times New Roman" w:hAnsi="Garamond"/>
                <w:sz w:val="10"/>
                <w:szCs w:val="10"/>
                <w:lang w:eastAsia="en-US"/>
              </w:rPr>
              <w:t>. aktesh ligjore të harmonizuara</w:t>
            </w:r>
            <w:r w:rsidRPr="00024D5A">
              <w:rPr>
                <w:rFonts w:ascii="Garamond" w:eastAsia="Times New Roman" w:hAnsi="Garamond"/>
                <w:sz w:val="10"/>
                <w:szCs w:val="10"/>
                <w:lang w:eastAsia="en-US"/>
              </w:rPr>
              <w:br/>
              <w:t xml:space="preserve"> </w:t>
            </w:r>
            <w:r w:rsidRPr="00024D5A">
              <w:rPr>
                <w:rFonts w:ascii="Garamond" w:eastAsia="Times New Roman" w:hAnsi="Garamond"/>
                <w:sz w:val="10"/>
                <w:szCs w:val="10"/>
                <w:lang w:eastAsia="en-US"/>
              </w:rPr>
              <w:br/>
              <w:t>Mekanizëm koordinimi ndërinstitucional funksional;</w:t>
            </w:r>
          </w:p>
        </w:tc>
        <w:tc>
          <w:tcPr>
            <w:tcW w:w="388" w:type="pct"/>
          </w:tcPr>
          <w:p w14:paraId="2B788C69"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r>
          </w:p>
        </w:tc>
        <w:tc>
          <w:tcPr>
            <w:tcW w:w="491" w:type="pct"/>
          </w:tcPr>
          <w:p w14:paraId="4AAF66BE"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2 ligje, (Ligji për arsimin parauniversitar dhe SKA; Ligji për shërbimet Shoqërore) 2 udhëzime;</w:t>
            </w:r>
            <w:r w:rsidRPr="00024D5A">
              <w:rPr>
                <w:rFonts w:ascii="Garamond" w:eastAsia="Times New Roman" w:hAnsi="Garamond"/>
                <w:sz w:val="10"/>
                <w:szCs w:val="10"/>
                <w:lang w:eastAsia="en-US"/>
              </w:rPr>
              <w:br/>
              <w:t>1 Marrëveshje për koordinim institucional:</w:t>
            </w:r>
          </w:p>
        </w:tc>
        <w:tc>
          <w:tcPr>
            <w:tcW w:w="458" w:type="pct"/>
          </w:tcPr>
          <w:p w14:paraId="4605759E"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2 udhëzime</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r>
          </w:p>
        </w:tc>
        <w:tc>
          <w:tcPr>
            <w:tcW w:w="457" w:type="pct"/>
          </w:tcPr>
          <w:p w14:paraId="5A7E0C22"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xml:space="preserve">Fletorja Zyrtare; </w:t>
            </w:r>
            <w:r w:rsidRPr="00024D5A">
              <w:rPr>
                <w:rFonts w:ascii="Garamond" w:eastAsia="Times New Roman" w:hAnsi="Garamond"/>
                <w:sz w:val="10"/>
                <w:szCs w:val="10"/>
                <w:lang w:eastAsia="en-US"/>
              </w:rPr>
              <w:br/>
              <w:t>VKM;</w:t>
            </w:r>
            <w:r w:rsidRPr="00024D5A">
              <w:rPr>
                <w:rFonts w:ascii="Garamond" w:eastAsia="Times New Roman" w:hAnsi="Garamond"/>
                <w:sz w:val="10"/>
                <w:szCs w:val="10"/>
                <w:lang w:eastAsia="en-US"/>
              </w:rPr>
              <w:br/>
              <w:t xml:space="preserve">Raporte MAS; </w:t>
            </w:r>
            <w:r w:rsidRPr="00024D5A">
              <w:rPr>
                <w:rFonts w:ascii="Garamond" w:eastAsia="Times New Roman" w:hAnsi="Garamond"/>
                <w:sz w:val="10"/>
                <w:szCs w:val="10"/>
                <w:lang w:eastAsia="en-US"/>
              </w:rPr>
              <w:br/>
              <w:t>Raporte bashkiake;</w:t>
            </w:r>
          </w:p>
        </w:tc>
        <w:tc>
          <w:tcPr>
            <w:tcW w:w="570" w:type="pct"/>
          </w:tcPr>
          <w:p w14:paraId="30A4571C" w14:textId="77777777" w:rsidR="003E1630" w:rsidRPr="00024D5A" w:rsidRDefault="003E1630" w:rsidP="00791B1A">
            <w:pPr>
              <w:rPr>
                <w:rFonts w:ascii="Garamond" w:eastAsia="Times New Roman" w:hAnsi="Garamond"/>
                <w:sz w:val="10"/>
                <w:szCs w:val="10"/>
                <w:lang w:eastAsia="en-US"/>
              </w:rPr>
            </w:pPr>
          </w:p>
        </w:tc>
      </w:tr>
      <w:tr w:rsidR="003E1630" w:rsidRPr="00024D5A" w14:paraId="3E2066B4" w14:textId="77777777" w:rsidTr="003509EA">
        <w:trPr>
          <w:trHeight w:val="20"/>
        </w:trPr>
        <w:tc>
          <w:tcPr>
            <w:tcW w:w="430" w:type="pct"/>
            <w:vMerge/>
          </w:tcPr>
          <w:p w14:paraId="62DA5755" w14:textId="77777777" w:rsidR="003E1630" w:rsidRPr="00024D5A" w:rsidRDefault="003E1630" w:rsidP="00791B1A">
            <w:pPr>
              <w:rPr>
                <w:rFonts w:ascii="Garamond" w:eastAsia="Times New Roman" w:hAnsi="Garamond"/>
                <w:b/>
                <w:bCs/>
                <w:sz w:val="10"/>
                <w:szCs w:val="10"/>
                <w:lang w:eastAsia="en-US"/>
              </w:rPr>
            </w:pPr>
          </w:p>
        </w:tc>
        <w:tc>
          <w:tcPr>
            <w:tcW w:w="611" w:type="pct"/>
          </w:tcPr>
          <w:p w14:paraId="6D5552AF"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Masa 1.2. Infrastrukturë dhe mjedise të aksesueshme, të sigurta, miqësore dhe gjithëpërfshirëse për fëmijët me aftësi të kufizuara në kopshte dhe arsim parashkollor.</w:t>
            </w:r>
          </w:p>
        </w:tc>
        <w:tc>
          <w:tcPr>
            <w:tcW w:w="764" w:type="pct"/>
          </w:tcPr>
          <w:p w14:paraId="7D51F89C"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tc>
        <w:tc>
          <w:tcPr>
            <w:tcW w:w="831" w:type="pct"/>
          </w:tcPr>
          <w:p w14:paraId="4CBB6E62" w14:textId="23BE066E"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xml:space="preserve">% kopshtesh me aksesueshmëri të plotë; </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 kopshtesh me kënde lojërash të aksesueshme</w:t>
            </w:r>
            <w:r w:rsidR="008A2939" w:rsidRPr="00024D5A">
              <w:rPr>
                <w:rFonts w:ascii="Garamond" w:eastAsia="Times New Roman" w:hAnsi="Garamond"/>
                <w:sz w:val="10"/>
                <w:szCs w:val="10"/>
                <w:lang w:eastAsia="en-US"/>
              </w:rPr>
              <w:t>.</w:t>
            </w:r>
          </w:p>
        </w:tc>
        <w:tc>
          <w:tcPr>
            <w:tcW w:w="388" w:type="pct"/>
          </w:tcPr>
          <w:p w14:paraId="4D868D3A"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N/A</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N/A</w:t>
            </w:r>
          </w:p>
        </w:tc>
        <w:tc>
          <w:tcPr>
            <w:tcW w:w="491" w:type="pct"/>
          </w:tcPr>
          <w:p w14:paraId="3DE4CBED"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40%</w:t>
            </w:r>
          </w:p>
        </w:tc>
        <w:tc>
          <w:tcPr>
            <w:tcW w:w="458" w:type="pct"/>
          </w:tcPr>
          <w:p w14:paraId="0D70257B"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80%</w:t>
            </w:r>
          </w:p>
        </w:tc>
        <w:tc>
          <w:tcPr>
            <w:tcW w:w="457" w:type="pct"/>
          </w:tcPr>
          <w:p w14:paraId="225AA61E" w14:textId="77777777" w:rsidR="003E1630" w:rsidRPr="00024D5A" w:rsidRDefault="005743A8" w:rsidP="00791B1A">
            <w:pPr>
              <w:rPr>
                <w:rFonts w:ascii="Garamond" w:eastAsia="Times New Roman" w:hAnsi="Garamond" w:cs="Arial"/>
                <w:sz w:val="10"/>
                <w:szCs w:val="10"/>
                <w:lang w:eastAsia="en-US"/>
              </w:rPr>
            </w:pPr>
            <w:r w:rsidRPr="00024D5A">
              <w:rPr>
                <w:rFonts w:ascii="Garamond" w:eastAsia="Times New Roman" w:hAnsi="Garamond" w:cs="Arial"/>
                <w:sz w:val="10"/>
                <w:szCs w:val="10"/>
                <w:lang w:eastAsia="en-US"/>
              </w:rPr>
              <w:t>MSHPV</w:t>
            </w:r>
          </w:p>
          <w:p w14:paraId="0AA39CDA"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cs="Arial"/>
                <w:sz w:val="10"/>
                <w:szCs w:val="10"/>
                <w:lang w:eastAsia="en-US"/>
              </w:rPr>
              <w:t xml:space="preserve">AMVV </w:t>
            </w:r>
            <w:r w:rsidRPr="00024D5A">
              <w:rPr>
                <w:rFonts w:ascii="Garamond" w:eastAsia="Times New Roman" w:hAnsi="Garamond" w:cs="Arial"/>
                <w:sz w:val="10"/>
                <w:szCs w:val="10"/>
                <w:lang w:eastAsia="en-US"/>
              </w:rPr>
              <w:br/>
            </w:r>
            <w:r w:rsidRPr="00024D5A">
              <w:rPr>
                <w:rFonts w:ascii="Garamond" w:eastAsia="Times New Roman" w:hAnsi="Garamond"/>
                <w:sz w:val="10"/>
                <w:szCs w:val="10"/>
                <w:lang w:eastAsia="en-US"/>
              </w:rPr>
              <w:t xml:space="preserve">Inventar infrastrukture; </w:t>
            </w:r>
            <w:r w:rsidRPr="00024D5A">
              <w:rPr>
                <w:rFonts w:ascii="Garamond" w:eastAsia="Times New Roman" w:hAnsi="Garamond"/>
                <w:sz w:val="10"/>
                <w:szCs w:val="10"/>
                <w:lang w:eastAsia="en-US"/>
              </w:rPr>
              <w:br/>
              <w:t xml:space="preserve">Auditime teknike; </w:t>
            </w:r>
            <w:r w:rsidRPr="00024D5A">
              <w:rPr>
                <w:rFonts w:ascii="Garamond" w:eastAsia="Times New Roman" w:hAnsi="Garamond"/>
                <w:sz w:val="10"/>
                <w:szCs w:val="10"/>
                <w:lang w:eastAsia="en-US"/>
              </w:rPr>
              <w:br/>
              <w:t>Raporte investimesh;</w:t>
            </w:r>
          </w:p>
        </w:tc>
        <w:tc>
          <w:tcPr>
            <w:tcW w:w="570" w:type="pct"/>
          </w:tcPr>
          <w:p w14:paraId="41C50367"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tc>
      </w:tr>
      <w:tr w:rsidR="003E1630" w:rsidRPr="00024D5A" w14:paraId="66CACD9F" w14:textId="77777777" w:rsidTr="003509EA">
        <w:trPr>
          <w:trHeight w:val="20"/>
        </w:trPr>
        <w:tc>
          <w:tcPr>
            <w:tcW w:w="430" w:type="pct"/>
            <w:vMerge/>
          </w:tcPr>
          <w:p w14:paraId="7C10CA86" w14:textId="77777777" w:rsidR="003E1630" w:rsidRPr="00024D5A" w:rsidRDefault="003E1630" w:rsidP="00791B1A">
            <w:pPr>
              <w:rPr>
                <w:rFonts w:ascii="Garamond" w:eastAsia="Times New Roman" w:hAnsi="Garamond"/>
                <w:b/>
                <w:bCs/>
                <w:sz w:val="10"/>
                <w:szCs w:val="10"/>
                <w:lang w:eastAsia="en-US"/>
              </w:rPr>
            </w:pPr>
          </w:p>
        </w:tc>
        <w:tc>
          <w:tcPr>
            <w:tcW w:w="611" w:type="pct"/>
          </w:tcPr>
          <w:p w14:paraId="2B366D4B"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Masa 1.3. Shërbime mbështetëse shumëdisiplinore dhe edukim i hershëm i individualizuar.</w:t>
            </w:r>
          </w:p>
        </w:tc>
        <w:tc>
          <w:tcPr>
            <w:tcW w:w="764" w:type="pct"/>
          </w:tcPr>
          <w:p w14:paraId="620B9E66"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tc>
        <w:tc>
          <w:tcPr>
            <w:tcW w:w="831" w:type="pct"/>
          </w:tcPr>
          <w:p w14:paraId="72C8AC2F" w14:textId="1F4F57FB"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Numri i fëmijëve të përfshirë në arsimin parashkollor</w:t>
            </w:r>
            <w:r w:rsidR="007675EC" w:rsidRPr="00024D5A">
              <w:rPr>
                <w:rFonts w:ascii="Garamond" w:eastAsia="Times New Roman" w:hAnsi="Garamond"/>
                <w:sz w:val="10"/>
                <w:szCs w:val="10"/>
                <w:lang w:eastAsia="en-US"/>
              </w:rPr>
              <w:t>/</w:t>
            </w:r>
            <w:r w:rsidRPr="00024D5A">
              <w:rPr>
                <w:rFonts w:ascii="Garamond" w:eastAsia="Times New Roman" w:hAnsi="Garamond"/>
                <w:sz w:val="10"/>
                <w:szCs w:val="10"/>
                <w:lang w:eastAsia="en-US"/>
              </w:rPr>
              <w:t>që përfitojnë nga ndërhyrja e hershme;</w:t>
            </w:r>
            <w:r w:rsidRPr="00024D5A">
              <w:rPr>
                <w:rFonts w:ascii="Garamond" w:eastAsia="Times New Roman" w:hAnsi="Garamond"/>
                <w:sz w:val="10"/>
                <w:szCs w:val="10"/>
                <w:lang w:eastAsia="en-US"/>
              </w:rPr>
              <w:br/>
              <w:t xml:space="preserve">% fëmijë me PIZH dhe PEI; </w:t>
            </w:r>
            <w:r w:rsidRPr="00024D5A">
              <w:rPr>
                <w:rFonts w:ascii="Garamond" w:eastAsia="Times New Roman" w:hAnsi="Garamond"/>
                <w:sz w:val="10"/>
                <w:szCs w:val="10"/>
                <w:lang w:eastAsia="en-US"/>
              </w:rPr>
              <w:br/>
              <w:t>Raporti mësues ndihmës</w:t>
            </w:r>
            <w:r w:rsidR="007675EC" w:rsidRPr="00024D5A">
              <w:rPr>
                <w:rFonts w:ascii="Garamond" w:eastAsia="Times New Roman" w:hAnsi="Garamond"/>
                <w:sz w:val="10"/>
                <w:szCs w:val="10"/>
                <w:lang w:eastAsia="en-US"/>
              </w:rPr>
              <w:t>/</w:t>
            </w:r>
            <w:r w:rsidRPr="00024D5A">
              <w:rPr>
                <w:rFonts w:ascii="Garamond" w:eastAsia="Times New Roman" w:hAnsi="Garamond"/>
                <w:sz w:val="10"/>
                <w:szCs w:val="10"/>
                <w:lang w:eastAsia="en-US"/>
              </w:rPr>
              <w:t>fëmijë</w:t>
            </w:r>
            <w:r w:rsidR="008A2939" w:rsidRPr="00024D5A">
              <w:rPr>
                <w:rFonts w:ascii="Garamond" w:eastAsia="Times New Roman" w:hAnsi="Garamond"/>
                <w:sz w:val="10"/>
                <w:szCs w:val="10"/>
                <w:lang w:eastAsia="en-US"/>
              </w:rPr>
              <w:t>.</w:t>
            </w:r>
          </w:p>
        </w:tc>
        <w:tc>
          <w:tcPr>
            <w:tcW w:w="388" w:type="pct"/>
          </w:tcPr>
          <w:p w14:paraId="17826DF4"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600</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N/A</w:t>
            </w:r>
            <w:r w:rsidRPr="00024D5A">
              <w:rPr>
                <w:rFonts w:ascii="Garamond" w:eastAsia="Times New Roman" w:hAnsi="Garamond"/>
                <w:sz w:val="10"/>
                <w:szCs w:val="10"/>
                <w:lang w:eastAsia="en-US"/>
              </w:rPr>
              <w:br/>
              <w:t>335</w:t>
            </w:r>
          </w:p>
        </w:tc>
        <w:tc>
          <w:tcPr>
            <w:tcW w:w="491" w:type="pct"/>
          </w:tcPr>
          <w:p w14:paraId="01C0EC42"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750</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750</w:t>
            </w:r>
            <w:r w:rsidRPr="00024D5A">
              <w:rPr>
                <w:rFonts w:ascii="Garamond" w:eastAsia="Times New Roman" w:hAnsi="Garamond"/>
                <w:sz w:val="10"/>
                <w:szCs w:val="10"/>
                <w:lang w:eastAsia="en-US"/>
              </w:rPr>
              <w:br/>
              <w:t>375</w:t>
            </w:r>
          </w:p>
        </w:tc>
        <w:tc>
          <w:tcPr>
            <w:tcW w:w="458" w:type="pct"/>
          </w:tcPr>
          <w:p w14:paraId="61343F72"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1000</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1000</w:t>
            </w:r>
            <w:r w:rsidRPr="00024D5A">
              <w:rPr>
                <w:rFonts w:ascii="Garamond" w:eastAsia="Times New Roman" w:hAnsi="Garamond"/>
                <w:sz w:val="10"/>
                <w:szCs w:val="10"/>
                <w:lang w:eastAsia="en-US"/>
              </w:rPr>
              <w:br/>
              <w:t>700</w:t>
            </w:r>
          </w:p>
        </w:tc>
        <w:tc>
          <w:tcPr>
            <w:tcW w:w="457" w:type="pct"/>
          </w:tcPr>
          <w:p w14:paraId="2C72DD59" w14:textId="77777777" w:rsidR="003E1630" w:rsidRPr="00024D5A" w:rsidRDefault="005743A8" w:rsidP="00791B1A">
            <w:pPr>
              <w:rPr>
                <w:rFonts w:ascii="Garamond" w:eastAsia="Times New Roman" w:hAnsi="Garamond" w:cs="Arial"/>
                <w:sz w:val="10"/>
                <w:szCs w:val="10"/>
                <w:lang w:eastAsia="en-US"/>
              </w:rPr>
            </w:pPr>
            <w:r w:rsidRPr="00024D5A">
              <w:rPr>
                <w:rFonts w:ascii="Garamond" w:eastAsia="Times New Roman" w:hAnsi="Garamond" w:cs="Arial"/>
                <w:sz w:val="10"/>
                <w:szCs w:val="10"/>
                <w:lang w:eastAsia="en-US"/>
              </w:rPr>
              <w:t>MSHPV</w:t>
            </w:r>
          </w:p>
          <w:p w14:paraId="4DA25D26" w14:textId="77777777" w:rsidR="003E1630" w:rsidRPr="00024D5A" w:rsidRDefault="005743A8" w:rsidP="00791B1A">
            <w:pPr>
              <w:rPr>
                <w:rFonts w:ascii="Garamond" w:eastAsia="Times New Roman" w:hAnsi="Garamond" w:cs="Arial"/>
                <w:sz w:val="10"/>
                <w:szCs w:val="10"/>
                <w:lang w:eastAsia="en-US"/>
              </w:rPr>
            </w:pPr>
            <w:r w:rsidRPr="00024D5A">
              <w:rPr>
                <w:rFonts w:ascii="Garamond" w:eastAsia="Times New Roman" w:hAnsi="Garamond" w:cs="Arial"/>
                <w:sz w:val="10"/>
                <w:szCs w:val="10"/>
                <w:lang w:eastAsia="en-US"/>
              </w:rPr>
              <w:t xml:space="preserve">AMVV </w:t>
            </w:r>
            <w:r w:rsidRPr="00024D5A">
              <w:rPr>
                <w:rFonts w:ascii="Garamond" w:eastAsia="Times New Roman" w:hAnsi="Garamond" w:cs="Arial"/>
                <w:sz w:val="10"/>
                <w:szCs w:val="10"/>
                <w:lang w:eastAsia="en-US"/>
              </w:rPr>
              <w:br/>
              <w:t>MSHPV</w:t>
            </w:r>
          </w:p>
          <w:p w14:paraId="68DC4F06"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cs="Arial"/>
                <w:sz w:val="10"/>
                <w:szCs w:val="10"/>
                <w:lang w:eastAsia="en-US"/>
              </w:rPr>
              <w:t xml:space="preserve">AMVV </w:t>
            </w:r>
            <w:r w:rsidRPr="00024D5A">
              <w:rPr>
                <w:rFonts w:ascii="Garamond" w:eastAsia="Times New Roman" w:hAnsi="Garamond" w:cs="Arial"/>
                <w:sz w:val="10"/>
                <w:szCs w:val="10"/>
                <w:lang w:eastAsia="en-US"/>
              </w:rPr>
              <w:br/>
            </w:r>
            <w:r w:rsidRPr="00024D5A">
              <w:rPr>
                <w:rFonts w:ascii="Garamond" w:eastAsia="Times New Roman" w:hAnsi="Garamond"/>
                <w:sz w:val="10"/>
                <w:szCs w:val="10"/>
                <w:lang w:eastAsia="en-US"/>
              </w:rPr>
              <w:t>SMIP;</w:t>
            </w:r>
            <w:r w:rsidRPr="00024D5A">
              <w:rPr>
                <w:rFonts w:ascii="Garamond" w:hAnsi="Garamond"/>
                <w:sz w:val="10"/>
                <w:szCs w:val="10"/>
              </w:rPr>
              <w:br/>
            </w:r>
            <w:r w:rsidRPr="00024D5A">
              <w:rPr>
                <w:rFonts w:ascii="Garamond" w:eastAsia="Times New Roman" w:hAnsi="Garamond"/>
                <w:sz w:val="10"/>
                <w:szCs w:val="10"/>
                <w:lang w:eastAsia="en-US"/>
              </w:rPr>
              <w:t xml:space="preserve">Dosje pedagogjike; </w:t>
            </w:r>
            <w:r w:rsidRPr="00024D5A">
              <w:rPr>
                <w:rFonts w:ascii="Garamond" w:hAnsi="Garamond"/>
                <w:sz w:val="10"/>
                <w:szCs w:val="10"/>
              </w:rPr>
              <w:br/>
            </w:r>
            <w:r w:rsidRPr="00024D5A">
              <w:rPr>
                <w:rFonts w:ascii="Garamond" w:eastAsia="Times New Roman" w:hAnsi="Garamond"/>
                <w:sz w:val="10"/>
                <w:szCs w:val="10"/>
                <w:lang w:eastAsia="en-US"/>
              </w:rPr>
              <w:t>Regjistra shërbimesh sociale të bashkisë;</w:t>
            </w:r>
          </w:p>
        </w:tc>
        <w:tc>
          <w:tcPr>
            <w:tcW w:w="570" w:type="pct"/>
          </w:tcPr>
          <w:p w14:paraId="66D07950"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tc>
      </w:tr>
      <w:tr w:rsidR="003E1630" w:rsidRPr="00024D5A" w14:paraId="59DD8F58" w14:textId="77777777" w:rsidTr="003509EA">
        <w:trPr>
          <w:trHeight w:val="20"/>
        </w:trPr>
        <w:tc>
          <w:tcPr>
            <w:tcW w:w="430" w:type="pct"/>
            <w:vMerge/>
          </w:tcPr>
          <w:p w14:paraId="0D3F4B9E" w14:textId="77777777" w:rsidR="003E1630" w:rsidRPr="00024D5A" w:rsidRDefault="003E1630" w:rsidP="00791B1A">
            <w:pPr>
              <w:rPr>
                <w:rFonts w:ascii="Garamond" w:eastAsia="Times New Roman" w:hAnsi="Garamond"/>
                <w:b/>
                <w:bCs/>
                <w:sz w:val="10"/>
                <w:szCs w:val="10"/>
                <w:lang w:eastAsia="en-US"/>
              </w:rPr>
            </w:pPr>
          </w:p>
        </w:tc>
        <w:tc>
          <w:tcPr>
            <w:tcW w:w="611" w:type="pct"/>
          </w:tcPr>
          <w:p w14:paraId="5044B3BB"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Masa 1.4. Zhvillimi i kapaciteteve profesionale dhe sigurimi i cilësisë së edukimit të hershëm gjithëpërfshirës për fëmijët me aftësi të kufizuara.</w:t>
            </w:r>
          </w:p>
        </w:tc>
        <w:tc>
          <w:tcPr>
            <w:tcW w:w="764" w:type="pct"/>
          </w:tcPr>
          <w:p w14:paraId="76AFE3C6"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tc>
        <w:tc>
          <w:tcPr>
            <w:tcW w:w="831" w:type="pct"/>
          </w:tcPr>
          <w:p w14:paraId="54C210C6" w14:textId="08E720A3" w:rsidR="003E1630" w:rsidRPr="00024D5A" w:rsidRDefault="00F03D39"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w:t>
            </w:r>
            <w:r w:rsidR="005743A8" w:rsidRPr="00024D5A">
              <w:rPr>
                <w:rFonts w:ascii="Garamond" w:eastAsia="Times New Roman" w:hAnsi="Garamond"/>
                <w:sz w:val="10"/>
                <w:szCs w:val="10"/>
                <w:lang w:eastAsia="en-US"/>
              </w:rPr>
              <w:t xml:space="preserve"> edukatorë të trajnuar; </w:t>
            </w:r>
            <w:r w:rsidR="005743A8" w:rsidRPr="00024D5A">
              <w:rPr>
                <w:rFonts w:ascii="Garamond" w:eastAsia="Times New Roman" w:hAnsi="Garamond"/>
                <w:sz w:val="10"/>
                <w:szCs w:val="10"/>
                <w:lang w:eastAsia="en-US"/>
              </w:rPr>
              <w:br/>
              <w:t>Nr. module të akredituara;</w:t>
            </w:r>
            <w:r w:rsidR="005743A8" w:rsidRPr="00024D5A">
              <w:rPr>
                <w:rFonts w:ascii="Garamond" w:eastAsia="Times New Roman" w:hAnsi="Garamond"/>
                <w:sz w:val="10"/>
                <w:szCs w:val="10"/>
                <w:lang w:eastAsia="en-US"/>
              </w:rPr>
              <w:br/>
              <w:t>Mekanizëm sigurimi cilësie funksional</w:t>
            </w:r>
            <w:r w:rsidR="008A2939" w:rsidRPr="00024D5A">
              <w:rPr>
                <w:rFonts w:ascii="Garamond" w:eastAsia="Times New Roman" w:hAnsi="Garamond"/>
                <w:sz w:val="10"/>
                <w:szCs w:val="10"/>
                <w:lang w:eastAsia="en-US"/>
              </w:rPr>
              <w:t>.</w:t>
            </w:r>
          </w:p>
        </w:tc>
        <w:tc>
          <w:tcPr>
            <w:tcW w:w="388" w:type="pct"/>
          </w:tcPr>
          <w:p w14:paraId="340A60DC"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N/A</w:t>
            </w:r>
            <w:r w:rsidRPr="00024D5A">
              <w:rPr>
                <w:rFonts w:ascii="Garamond" w:eastAsia="Times New Roman" w:hAnsi="Garamond"/>
                <w:sz w:val="10"/>
                <w:szCs w:val="10"/>
                <w:lang w:eastAsia="en-US"/>
              </w:rPr>
              <w:br/>
              <w:t>N/A</w:t>
            </w:r>
            <w:r w:rsidRPr="00024D5A">
              <w:rPr>
                <w:rFonts w:ascii="Garamond" w:eastAsia="Times New Roman" w:hAnsi="Garamond"/>
                <w:sz w:val="10"/>
                <w:szCs w:val="10"/>
                <w:lang w:eastAsia="en-US"/>
              </w:rPr>
              <w:br/>
              <w:t>N/A</w:t>
            </w:r>
          </w:p>
        </w:tc>
        <w:tc>
          <w:tcPr>
            <w:tcW w:w="491" w:type="pct"/>
          </w:tcPr>
          <w:p w14:paraId="0D32A51A" w14:textId="1D4B9BF3"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60</w:t>
            </w:r>
            <w:r w:rsidR="00F03D39" w:rsidRPr="00024D5A">
              <w:rPr>
                <w:rFonts w:ascii="Garamond" w:eastAsia="Times New Roman" w:hAnsi="Garamond"/>
                <w:sz w:val="10"/>
                <w:szCs w:val="10"/>
                <w:lang w:eastAsia="en-US"/>
              </w:rPr>
              <w:t>%</w:t>
            </w:r>
            <w:r w:rsidRPr="00024D5A">
              <w:rPr>
                <w:rFonts w:ascii="Garamond" w:eastAsia="Times New Roman" w:hAnsi="Garamond"/>
                <w:sz w:val="10"/>
                <w:szCs w:val="10"/>
                <w:lang w:eastAsia="en-US"/>
              </w:rPr>
              <w:t>;</w:t>
            </w:r>
            <w:r w:rsidRPr="00024D5A">
              <w:rPr>
                <w:rFonts w:ascii="Garamond" w:eastAsia="Times New Roman" w:hAnsi="Garamond"/>
                <w:sz w:val="10"/>
                <w:szCs w:val="10"/>
                <w:lang w:eastAsia="en-US"/>
              </w:rPr>
              <w:br/>
              <w:t>1 modul</w:t>
            </w:r>
            <w:r w:rsidRPr="00024D5A">
              <w:rPr>
                <w:rFonts w:ascii="Garamond" w:eastAsia="Times New Roman" w:hAnsi="Garamond"/>
                <w:sz w:val="10"/>
                <w:szCs w:val="10"/>
                <w:lang w:eastAsia="en-US"/>
              </w:rPr>
              <w:br/>
              <w:t>Mekanizëm me tregues vlerësimi i vlefshëm;</w:t>
            </w:r>
          </w:p>
        </w:tc>
        <w:tc>
          <w:tcPr>
            <w:tcW w:w="458" w:type="pct"/>
          </w:tcPr>
          <w:p w14:paraId="6AF48D5E"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80%</w:t>
            </w:r>
          </w:p>
        </w:tc>
        <w:tc>
          <w:tcPr>
            <w:tcW w:w="457" w:type="pct"/>
          </w:tcPr>
          <w:p w14:paraId="42E02E75" w14:textId="77777777" w:rsidR="003E1630" w:rsidRPr="00024D5A" w:rsidRDefault="005743A8" w:rsidP="00791B1A">
            <w:pPr>
              <w:rPr>
                <w:rFonts w:ascii="Garamond" w:eastAsia="Times New Roman" w:hAnsi="Garamond" w:cs="Arial"/>
                <w:sz w:val="10"/>
                <w:szCs w:val="10"/>
                <w:lang w:eastAsia="en-US"/>
              </w:rPr>
            </w:pPr>
            <w:r w:rsidRPr="00024D5A">
              <w:rPr>
                <w:rFonts w:ascii="Garamond" w:eastAsia="Times New Roman" w:hAnsi="Garamond" w:cs="Arial"/>
                <w:sz w:val="10"/>
                <w:szCs w:val="10"/>
                <w:lang w:eastAsia="en-US"/>
              </w:rPr>
              <w:t>MSHPV</w:t>
            </w:r>
          </w:p>
          <w:p w14:paraId="2D631A25"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cs="Arial"/>
                <w:sz w:val="10"/>
                <w:szCs w:val="10"/>
                <w:lang w:eastAsia="en-US"/>
              </w:rPr>
              <w:t xml:space="preserve">AMVV </w:t>
            </w:r>
            <w:r w:rsidRPr="00024D5A">
              <w:rPr>
                <w:rFonts w:ascii="Garamond" w:eastAsia="Times New Roman" w:hAnsi="Garamond" w:cs="Arial"/>
                <w:sz w:val="10"/>
                <w:szCs w:val="10"/>
                <w:lang w:eastAsia="en-US"/>
              </w:rPr>
              <w:br/>
            </w:r>
            <w:r w:rsidRPr="00024D5A">
              <w:rPr>
                <w:rFonts w:ascii="Garamond" w:eastAsia="Times New Roman" w:hAnsi="Garamond"/>
                <w:sz w:val="10"/>
                <w:szCs w:val="10"/>
                <w:lang w:eastAsia="en-US"/>
              </w:rPr>
              <w:t>Regjistri ASCAP;</w:t>
            </w:r>
            <w:r w:rsidRPr="00024D5A">
              <w:rPr>
                <w:rFonts w:ascii="Garamond" w:eastAsia="Times New Roman" w:hAnsi="Garamond"/>
                <w:sz w:val="10"/>
                <w:szCs w:val="10"/>
                <w:lang w:eastAsia="en-US"/>
              </w:rPr>
              <w:br/>
              <w:t xml:space="preserve">Certifikata trajnimi; </w:t>
            </w:r>
            <w:r w:rsidRPr="00024D5A">
              <w:rPr>
                <w:rFonts w:ascii="Garamond" w:eastAsia="Times New Roman" w:hAnsi="Garamond"/>
                <w:sz w:val="10"/>
                <w:szCs w:val="10"/>
                <w:lang w:eastAsia="en-US"/>
              </w:rPr>
              <w:br/>
              <w:t>Raporte vlerësimi;</w:t>
            </w:r>
          </w:p>
        </w:tc>
        <w:tc>
          <w:tcPr>
            <w:tcW w:w="570" w:type="pct"/>
          </w:tcPr>
          <w:p w14:paraId="4DEEB689"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tc>
      </w:tr>
      <w:tr w:rsidR="003E1630" w:rsidRPr="00024D5A" w14:paraId="5AF25313" w14:textId="77777777" w:rsidTr="003509EA">
        <w:trPr>
          <w:trHeight w:val="20"/>
        </w:trPr>
        <w:tc>
          <w:tcPr>
            <w:tcW w:w="430" w:type="pct"/>
            <w:vMerge/>
          </w:tcPr>
          <w:p w14:paraId="23D0FA30" w14:textId="77777777" w:rsidR="003E1630" w:rsidRPr="00024D5A" w:rsidRDefault="003E1630" w:rsidP="00791B1A">
            <w:pPr>
              <w:rPr>
                <w:rFonts w:ascii="Garamond" w:eastAsia="Times New Roman" w:hAnsi="Garamond"/>
                <w:b/>
                <w:bCs/>
                <w:sz w:val="10"/>
                <w:szCs w:val="10"/>
                <w:lang w:eastAsia="en-US"/>
              </w:rPr>
            </w:pPr>
          </w:p>
        </w:tc>
        <w:tc>
          <w:tcPr>
            <w:tcW w:w="611" w:type="pct"/>
          </w:tcPr>
          <w:p w14:paraId="231AC766"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Masa 2.1. Kuadër ligjor, institucional dhe mekanizma të qeverisjes për arsimin parauniversitar gjithëpërfshirës.</w:t>
            </w:r>
          </w:p>
        </w:tc>
        <w:tc>
          <w:tcPr>
            <w:tcW w:w="764" w:type="pct"/>
          </w:tcPr>
          <w:p w14:paraId="5560643A"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tc>
        <w:tc>
          <w:tcPr>
            <w:tcW w:w="831" w:type="pct"/>
          </w:tcPr>
          <w:p w14:paraId="6DF1EC8B" w14:textId="452DC39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Legjislacion i harmonizuar me Konventën për të Drejtat e PAK; Nr</w:t>
            </w:r>
            <w:r w:rsidR="008A2939" w:rsidRPr="00024D5A">
              <w:rPr>
                <w:rFonts w:ascii="Garamond" w:eastAsia="Times New Roman" w:hAnsi="Garamond"/>
                <w:sz w:val="10"/>
                <w:szCs w:val="10"/>
                <w:lang w:eastAsia="en-US"/>
              </w:rPr>
              <w:t>.</w:t>
            </w:r>
            <w:r w:rsidRPr="00024D5A">
              <w:rPr>
                <w:rFonts w:ascii="Garamond" w:eastAsia="Times New Roman" w:hAnsi="Garamond"/>
                <w:sz w:val="10"/>
                <w:szCs w:val="10"/>
                <w:lang w:eastAsia="en-US"/>
              </w:rPr>
              <w:t xml:space="preserve"> i </w:t>
            </w:r>
            <w:r w:rsidR="008A2939" w:rsidRPr="00024D5A">
              <w:rPr>
                <w:rFonts w:ascii="Garamond" w:eastAsia="Times New Roman" w:hAnsi="Garamond"/>
                <w:sz w:val="10"/>
                <w:szCs w:val="10"/>
                <w:lang w:eastAsia="en-US"/>
              </w:rPr>
              <w:t>ligjeve</w:t>
            </w:r>
            <w:r w:rsidRPr="00024D5A">
              <w:rPr>
                <w:rFonts w:ascii="Garamond" w:eastAsia="Times New Roman" w:hAnsi="Garamond"/>
                <w:sz w:val="10"/>
                <w:szCs w:val="10"/>
                <w:lang w:eastAsia="en-US"/>
              </w:rPr>
              <w:t>, akteve nënligjore:</w:t>
            </w:r>
            <w:r w:rsidRPr="00024D5A">
              <w:rPr>
                <w:rFonts w:ascii="Garamond" w:eastAsia="Times New Roman" w:hAnsi="Garamond"/>
                <w:sz w:val="10"/>
                <w:szCs w:val="10"/>
                <w:lang w:eastAsia="en-US"/>
              </w:rPr>
              <w:br/>
              <w:t>Strukturë koordinuese funksionale</w:t>
            </w:r>
            <w:r w:rsidR="008A2939" w:rsidRPr="00024D5A">
              <w:rPr>
                <w:rFonts w:ascii="Garamond" w:eastAsia="Times New Roman" w:hAnsi="Garamond"/>
                <w:sz w:val="10"/>
                <w:szCs w:val="10"/>
                <w:lang w:eastAsia="en-US"/>
              </w:rPr>
              <w:t>.</w:t>
            </w:r>
          </w:p>
        </w:tc>
        <w:tc>
          <w:tcPr>
            <w:tcW w:w="388" w:type="pct"/>
          </w:tcPr>
          <w:p w14:paraId="750C8AC7"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tc>
        <w:tc>
          <w:tcPr>
            <w:tcW w:w="491" w:type="pct"/>
          </w:tcPr>
          <w:p w14:paraId="7D34DEEA" w14:textId="2B9D4E44"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Të paktën 2 ligje (</w:t>
            </w:r>
            <w:r w:rsidR="00066584" w:rsidRPr="00024D5A">
              <w:rPr>
                <w:rFonts w:ascii="Garamond" w:eastAsia="Times New Roman" w:hAnsi="Garamond"/>
                <w:sz w:val="10"/>
                <w:szCs w:val="10"/>
                <w:lang w:eastAsia="en-US"/>
              </w:rPr>
              <w:t xml:space="preserve">ligji </w:t>
            </w:r>
            <w:r w:rsidRPr="00024D5A">
              <w:rPr>
                <w:rFonts w:ascii="Garamond" w:eastAsia="Times New Roman" w:hAnsi="Garamond"/>
                <w:sz w:val="10"/>
                <w:szCs w:val="10"/>
                <w:lang w:eastAsia="en-US"/>
              </w:rPr>
              <w:t xml:space="preserve">për arsimin parauniversitar, </w:t>
            </w:r>
            <w:r w:rsidR="00066584" w:rsidRPr="00024D5A">
              <w:rPr>
                <w:rFonts w:ascii="Garamond" w:eastAsia="Times New Roman" w:hAnsi="Garamond"/>
                <w:sz w:val="10"/>
                <w:szCs w:val="10"/>
                <w:lang w:eastAsia="en-US"/>
              </w:rPr>
              <w:t xml:space="preserve">ligji </w:t>
            </w:r>
            <w:r w:rsidRPr="00024D5A">
              <w:rPr>
                <w:rFonts w:ascii="Garamond" w:eastAsia="Times New Roman" w:hAnsi="Garamond"/>
                <w:sz w:val="10"/>
                <w:szCs w:val="10"/>
                <w:lang w:eastAsia="en-US"/>
              </w:rPr>
              <w:t>për arsimin profesional, SKA etj</w:t>
            </w:r>
            <w:r w:rsidR="00066584" w:rsidRPr="00024D5A">
              <w:rPr>
                <w:rFonts w:ascii="Garamond" w:eastAsia="Times New Roman" w:hAnsi="Garamond"/>
                <w:sz w:val="10"/>
                <w:szCs w:val="10"/>
                <w:lang w:eastAsia="en-US"/>
              </w:rPr>
              <w:t>.</w:t>
            </w:r>
            <w:r w:rsidRPr="00024D5A">
              <w:rPr>
                <w:rFonts w:ascii="Garamond" w:eastAsia="Times New Roman" w:hAnsi="Garamond"/>
                <w:sz w:val="10"/>
                <w:szCs w:val="10"/>
                <w:lang w:eastAsia="en-US"/>
              </w:rPr>
              <w:br/>
              <w:t>MoU NJVV, ZA, DrSHKSH</w:t>
            </w:r>
            <w:r w:rsidR="00066584" w:rsidRPr="00024D5A">
              <w:rPr>
                <w:rFonts w:ascii="Garamond" w:eastAsia="Times New Roman" w:hAnsi="Garamond"/>
                <w:sz w:val="10"/>
                <w:szCs w:val="10"/>
                <w:lang w:eastAsia="en-US"/>
              </w:rPr>
              <w:t>.</w:t>
            </w:r>
          </w:p>
        </w:tc>
        <w:tc>
          <w:tcPr>
            <w:tcW w:w="458" w:type="pct"/>
          </w:tcPr>
          <w:p w14:paraId="7058A320" w14:textId="3699C53D"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xml:space="preserve">Akte nënligjore, urdhra, </w:t>
            </w:r>
            <w:r w:rsidRPr="00024D5A">
              <w:rPr>
                <w:rFonts w:ascii="Garamond" w:eastAsia="Times New Roman" w:hAnsi="Garamond"/>
                <w:sz w:val="10"/>
                <w:szCs w:val="10"/>
                <w:lang w:eastAsia="en-US"/>
              </w:rPr>
              <w:br/>
            </w:r>
            <w:r w:rsidR="00066584" w:rsidRPr="00024D5A">
              <w:rPr>
                <w:rFonts w:ascii="Garamond" w:eastAsia="Times New Roman" w:hAnsi="Garamond"/>
                <w:sz w:val="10"/>
                <w:szCs w:val="10"/>
                <w:lang w:eastAsia="en-US"/>
              </w:rPr>
              <w:t>udhëzime.</w:t>
            </w:r>
          </w:p>
        </w:tc>
        <w:tc>
          <w:tcPr>
            <w:tcW w:w="457" w:type="pct"/>
          </w:tcPr>
          <w:p w14:paraId="13770707" w14:textId="15890912"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xml:space="preserve">Fletorja Zyrtare; </w:t>
            </w:r>
            <w:r w:rsidRPr="00024D5A">
              <w:rPr>
                <w:rFonts w:ascii="Garamond" w:eastAsia="Times New Roman" w:hAnsi="Garamond"/>
                <w:sz w:val="10"/>
                <w:szCs w:val="10"/>
                <w:lang w:eastAsia="en-US"/>
              </w:rPr>
              <w:br/>
              <w:t>Raporte MAS</w:t>
            </w:r>
            <w:r w:rsidR="00066584" w:rsidRPr="00024D5A">
              <w:rPr>
                <w:rFonts w:ascii="Garamond" w:eastAsia="Times New Roman" w:hAnsi="Garamond"/>
                <w:sz w:val="10"/>
                <w:szCs w:val="10"/>
                <w:lang w:eastAsia="en-US"/>
              </w:rPr>
              <w:t>.</w:t>
            </w:r>
            <w:r w:rsidRPr="00024D5A">
              <w:rPr>
                <w:rFonts w:ascii="Garamond" w:eastAsia="Times New Roman" w:hAnsi="Garamond"/>
                <w:sz w:val="10"/>
                <w:szCs w:val="10"/>
                <w:lang w:eastAsia="en-US"/>
              </w:rPr>
              <w:br/>
              <w:t>Auditime</w:t>
            </w:r>
          </w:p>
        </w:tc>
        <w:tc>
          <w:tcPr>
            <w:tcW w:w="570" w:type="pct"/>
          </w:tcPr>
          <w:p w14:paraId="58554985"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tc>
      </w:tr>
      <w:tr w:rsidR="003E1630" w:rsidRPr="00024D5A" w14:paraId="7244AC9D" w14:textId="77777777" w:rsidTr="003509EA">
        <w:trPr>
          <w:trHeight w:val="20"/>
        </w:trPr>
        <w:tc>
          <w:tcPr>
            <w:tcW w:w="430" w:type="pct"/>
            <w:vMerge/>
          </w:tcPr>
          <w:p w14:paraId="1D69DEFD" w14:textId="77777777" w:rsidR="003E1630" w:rsidRPr="00024D5A" w:rsidRDefault="003E1630" w:rsidP="00791B1A">
            <w:pPr>
              <w:rPr>
                <w:rFonts w:ascii="Garamond" w:eastAsia="Times New Roman" w:hAnsi="Garamond"/>
                <w:b/>
                <w:bCs/>
                <w:sz w:val="10"/>
                <w:szCs w:val="10"/>
                <w:lang w:eastAsia="en-US"/>
              </w:rPr>
            </w:pPr>
          </w:p>
        </w:tc>
        <w:tc>
          <w:tcPr>
            <w:tcW w:w="611" w:type="pct"/>
          </w:tcPr>
          <w:p w14:paraId="019C56A6"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Masa 2.2. Identifikim i hershëm, vlerësim ndërdisiplinor dhe planifikim arsimor i individualizuar për nxënësit me aftësi të kufizuara.</w:t>
            </w:r>
          </w:p>
        </w:tc>
        <w:tc>
          <w:tcPr>
            <w:tcW w:w="764" w:type="pct"/>
          </w:tcPr>
          <w:p w14:paraId="65B4BD66"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tc>
        <w:tc>
          <w:tcPr>
            <w:tcW w:w="831" w:type="pct"/>
          </w:tcPr>
          <w:p w14:paraId="61D2DA81" w14:textId="5425732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Nr. i nxënësve me AK;</w:t>
            </w:r>
            <w:r w:rsidRPr="00024D5A">
              <w:rPr>
                <w:rFonts w:ascii="Garamond" w:eastAsia="Times New Roman" w:hAnsi="Garamond"/>
                <w:sz w:val="10"/>
                <w:szCs w:val="10"/>
                <w:lang w:eastAsia="en-US"/>
              </w:rPr>
              <w:br/>
              <w:t>% nxënës me PEI;</w:t>
            </w:r>
            <w:r w:rsidRPr="00024D5A">
              <w:rPr>
                <w:rFonts w:ascii="Garamond" w:eastAsia="Times New Roman" w:hAnsi="Garamond"/>
                <w:sz w:val="10"/>
                <w:szCs w:val="10"/>
                <w:lang w:eastAsia="en-US"/>
              </w:rPr>
              <w:br/>
              <w:t>% e Planeve PEI të zbatuara;</w:t>
            </w:r>
            <w:r w:rsidRPr="00024D5A">
              <w:rPr>
                <w:rFonts w:ascii="Garamond" w:eastAsia="Times New Roman" w:hAnsi="Garamond"/>
                <w:sz w:val="10"/>
                <w:szCs w:val="10"/>
                <w:lang w:eastAsia="en-US"/>
              </w:rPr>
              <w:br/>
              <w:t>% e IAP të monitoruara</w:t>
            </w:r>
            <w:r w:rsidR="00066584" w:rsidRPr="00024D5A">
              <w:rPr>
                <w:rFonts w:ascii="Garamond" w:eastAsia="Times New Roman" w:hAnsi="Garamond"/>
                <w:sz w:val="10"/>
                <w:szCs w:val="10"/>
                <w:lang w:eastAsia="en-US"/>
              </w:rPr>
              <w:t>.</w:t>
            </w:r>
          </w:p>
        </w:tc>
        <w:tc>
          <w:tcPr>
            <w:tcW w:w="388" w:type="pct"/>
          </w:tcPr>
          <w:p w14:paraId="7115741B" w14:textId="79A60161"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4425</w:t>
            </w:r>
            <w:r w:rsidRPr="00024D5A">
              <w:rPr>
                <w:rFonts w:ascii="Garamond" w:eastAsia="Times New Roman" w:hAnsi="Garamond"/>
                <w:sz w:val="10"/>
                <w:szCs w:val="10"/>
                <w:lang w:eastAsia="en-US"/>
              </w:rPr>
              <w:br/>
              <w:t>100%</w:t>
            </w:r>
            <w:r w:rsidRPr="00024D5A">
              <w:rPr>
                <w:rFonts w:ascii="Garamond" w:eastAsia="Times New Roman" w:hAnsi="Garamond"/>
                <w:sz w:val="10"/>
                <w:szCs w:val="10"/>
                <w:lang w:eastAsia="en-US"/>
              </w:rPr>
              <w:br/>
              <w:t>N/A</w:t>
            </w:r>
          </w:p>
        </w:tc>
        <w:tc>
          <w:tcPr>
            <w:tcW w:w="491" w:type="pct"/>
          </w:tcPr>
          <w:p w14:paraId="5F142991" w14:textId="708FDEB8"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5000</w:t>
            </w:r>
            <w:r w:rsidRPr="00024D5A">
              <w:rPr>
                <w:rFonts w:ascii="Garamond" w:eastAsia="Times New Roman" w:hAnsi="Garamond"/>
                <w:sz w:val="10"/>
                <w:szCs w:val="10"/>
                <w:lang w:eastAsia="en-US"/>
              </w:rPr>
              <w:br/>
              <w:t>100%</w:t>
            </w:r>
            <w:r w:rsidRPr="00024D5A">
              <w:rPr>
                <w:rFonts w:ascii="Garamond" w:eastAsia="Times New Roman" w:hAnsi="Garamond"/>
                <w:sz w:val="10"/>
                <w:szCs w:val="10"/>
                <w:lang w:eastAsia="en-US"/>
              </w:rPr>
              <w:br/>
              <w:t>50%</w:t>
            </w:r>
          </w:p>
        </w:tc>
        <w:tc>
          <w:tcPr>
            <w:tcW w:w="458" w:type="pct"/>
          </w:tcPr>
          <w:p w14:paraId="238B7FF6" w14:textId="5C769ECB"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5500</w:t>
            </w:r>
            <w:r w:rsidRPr="00024D5A">
              <w:rPr>
                <w:rFonts w:ascii="Garamond" w:eastAsia="Times New Roman" w:hAnsi="Garamond"/>
                <w:sz w:val="10"/>
                <w:szCs w:val="10"/>
                <w:lang w:eastAsia="en-US"/>
              </w:rPr>
              <w:br/>
              <w:t>100%</w:t>
            </w:r>
            <w:r w:rsidRPr="00024D5A">
              <w:rPr>
                <w:rFonts w:ascii="Garamond" w:eastAsia="Times New Roman" w:hAnsi="Garamond"/>
                <w:sz w:val="10"/>
                <w:szCs w:val="10"/>
                <w:lang w:eastAsia="en-US"/>
              </w:rPr>
              <w:br/>
              <w:t>75%</w:t>
            </w:r>
          </w:p>
        </w:tc>
        <w:tc>
          <w:tcPr>
            <w:tcW w:w="457" w:type="pct"/>
          </w:tcPr>
          <w:p w14:paraId="39B8C381" w14:textId="70A72175"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xml:space="preserve">SMIP; </w:t>
            </w:r>
            <w:r w:rsidRPr="00024D5A">
              <w:rPr>
                <w:rFonts w:ascii="Garamond" w:hAnsi="Garamond"/>
                <w:sz w:val="10"/>
                <w:szCs w:val="10"/>
              </w:rPr>
              <w:br/>
            </w:r>
            <w:r w:rsidR="00066584" w:rsidRPr="00024D5A">
              <w:rPr>
                <w:rFonts w:ascii="Garamond" w:eastAsia="Times New Roman" w:hAnsi="Garamond"/>
                <w:sz w:val="10"/>
                <w:szCs w:val="10"/>
                <w:lang w:eastAsia="en-US"/>
              </w:rPr>
              <w:t xml:space="preserve">dokumentacion </w:t>
            </w:r>
            <w:r w:rsidRPr="00024D5A">
              <w:rPr>
                <w:rFonts w:ascii="Garamond" w:eastAsia="Times New Roman" w:hAnsi="Garamond"/>
                <w:sz w:val="10"/>
                <w:szCs w:val="10"/>
                <w:lang w:eastAsia="en-US"/>
              </w:rPr>
              <w:t xml:space="preserve">shkollor; </w:t>
            </w:r>
            <w:r w:rsidRPr="00024D5A">
              <w:rPr>
                <w:rFonts w:ascii="Garamond" w:hAnsi="Garamond"/>
                <w:sz w:val="10"/>
                <w:szCs w:val="10"/>
              </w:rPr>
              <w:br/>
            </w:r>
            <w:r w:rsidR="00066584" w:rsidRPr="00024D5A">
              <w:rPr>
                <w:rFonts w:ascii="Garamond" w:eastAsia="Times New Roman" w:hAnsi="Garamond"/>
                <w:sz w:val="10"/>
                <w:szCs w:val="10"/>
                <w:lang w:eastAsia="en-US"/>
              </w:rPr>
              <w:t xml:space="preserve">raporte </w:t>
            </w:r>
            <w:r w:rsidRPr="00024D5A">
              <w:rPr>
                <w:rFonts w:ascii="Garamond" w:eastAsia="Times New Roman" w:hAnsi="Garamond"/>
                <w:sz w:val="10"/>
                <w:szCs w:val="10"/>
                <w:lang w:eastAsia="en-US"/>
              </w:rPr>
              <w:t>ZVA</w:t>
            </w:r>
            <w:r w:rsidR="00066584" w:rsidRPr="00024D5A">
              <w:rPr>
                <w:rFonts w:ascii="Garamond" w:eastAsia="Times New Roman" w:hAnsi="Garamond"/>
                <w:sz w:val="10"/>
                <w:szCs w:val="10"/>
                <w:lang w:eastAsia="en-US"/>
              </w:rPr>
              <w:t>.</w:t>
            </w:r>
          </w:p>
        </w:tc>
        <w:tc>
          <w:tcPr>
            <w:tcW w:w="570" w:type="pct"/>
          </w:tcPr>
          <w:p w14:paraId="0030FC1E"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tc>
      </w:tr>
      <w:tr w:rsidR="003E1630" w:rsidRPr="00024D5A" w14:paraId="4925B38D" w14:textId="77777777" w:rsidTr="003509EA">
        <w:trPr>
          <w:trHeight w:val="20"/>
        </w:trPr>
        <w:tc>
          <w:tcPr>
            <w:tcW w:w="430" w:type="pct"/>
            <w:vMerge/>
          </w:tcPr>
          <w:p w14:paraId="4F9EF933" w14:textId="77777777" w:rsidR="003E1630" w:rsidRPr="00024D5A" w:rsidRDefault="003E1630" w:rsidP="00791B1A">
            <w:pPr>
              <w:rPr>
                <w:rFonts w:ascii="Garamond" w:eastAsia="Times New Roman" w:hAnsi="Garamond"/>
                <w:b/>
                <w:bCs/>
                <w:sz w:val="10"/>
                <w:szCs w:val="10"/>
                <w:lang w:eastAsia="en-US"/>
              </w:rPr>
            </w:pPr>
          </w:p>
        </w:tc>
        <w:tc>
          <w:tcPr>
            <w:tcW w:w="611" w:type="pct"/>
          </w:tcPr>
          <w:p w14:paraId="20CAECA0"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Masa 2.3. Mbështetje profesionale, kurrikulare dhe mjedisore për nxënie gjithëpërfshirëse për nxënësit me aftësi të kufizuara.</w:t>
            </w:r>
          </w:p>
        </w:tc>
        <w:tc>
          <w:tcPr>
            <w:tcW w:w="764" w:type="pct"/>
          </w:tcPr>
          <w:p w14:paraId="23E47A76"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tc>
        <w:tc>
          <w:tcPr>
            <w:tcW w:w="831" w:type="pct"/>
          </w:tcPr>
          <w:p w14:paraId="0F3ACD86" w14:textId="53409706"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Raporti mësues ndihmës</w:t>
            </w:r>
            <w:r w:rsidR="007675EC" w:rsidRPr="00024D5A">
              <w:rPr>
                <w:rFonts w:ascii="Garamond" w:eastAsia="Times New Roman" w:hAnsi="Garamond"/>
                <w:sz w:val="10"/>
                <w:szCs w:val="10"/>
                <w:lang w:eastAsia="en-US"/>
              </w:rPr>
              <w:t>/</w:t>
            </w:r>
            <w:r w:rsidRPr="00024D5A">
              <w:rPr>
                <w:rFonts w:ascii="Garamond" w:eastAsia="Times New Roman" w:hAnsi="Garamond"/>
                <w:sz w:val="10"/>
                <w:szCs w:val="10"/>
                <w:lang w:eastAsia="en-US"/>
              </w:rPr>
              <w:t>nxënës;</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r>
          </w:p>
          <w:p w14:paraId="5DEB3A30" w14:textId="77777777" w:rsidR="003E1630" w:rsidRPr="00024D5A" w:rsidRDefault="003E1630" w:rsidP="00791B1A">
            <w:pPr>
              <w:rPr>
                <w:rFonts w:ascii="Garamond" w:eastAsia="Times New Roman" w:hAnsi="Garamond"/>
                <w:sz w:val="10"/>
                <w:szCs w:val="10"/>
                <w:lang w:eastAsia="en-US"/>
              </w:rPr>
            </w:pPr>
          </w:p>
          <w:p w14:paraId="2424193B" w14:textId="77777777" w:rsidR="003E1630" w:rsidRPr="00024D5A" w:rsidRDefault="003E1630" w:rsidP="00791B1A">
            <w:pPr>
              <w:rPr>
                <w:rFonts w:ascii="Garamond" w:eastAsia="Times New Roman" w:hAnsi="Garamond"/>
                <w:sz w:val="10"/>
                <w:szCs w:val="10"/>
                <w:lang w:eastAsia="en-US"/>
              </w:rPr>
            </w:pPr>
          </w:p>
          <w:p w14:paraId="17E8C574" w14:textId="77777777" w:rsidR="003E1630" w:rsidRPr="00024D5A" w:rsidRDefault="003E1630" w:rsidP="00791B1A">
            <w:pPr>
              <w:rPr>
                <w:rFonts w:ascii="Garamond" w:eastAsia="Times New Roman" w:hAnsi="Garamond"/>
                <w:sz w:val="10"/>
                <w:szCs w:val="10"/>
                <w:lang w:eastAsia="en-US"/>
              </w:rPr>
            </w:pPr>
          </w:p>
          <w:p w14:paraId="57EB9E86" w14:textId="77777777" w:rsidR="003E1630" w:rsidRPr="00024D5A" w:rsidRDefault="003E1630" w:rsidP="00791B1A">
            <w:pPr>
              <w:rPr>
                <w:rFonts w:ascii="Garamond" w:eastAsia="Times New Roman" w:hAnsi="Garamond"/>
                <w:sz w:val="10"/>
                <w:szCs w:val="10"/>
                <w:lang w:eastAsia="en-US"/>
              </w:rPr>
            </w:pPr>
          </w:p>
          <w:p w14:paraId="052D5B0B"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materialeve kurrikulare, didaktike të përshtatura;</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 xml:space="preserve"> </w:t>
            </w:r>
          </w:p>
          <w:p w14:paraId="380A58BD" w14:textId="77777777" w:rsidR="003E1630" w:rsidRPr="00024D5A" w:rsidRDefault="003E1630" w:rsidP="00791B1A">
            <w:pPr>
              <w:rPr>
                <w:rFonts w:ascii="Garamond" w:eastAsia="Times New Roman" w:hAnsi="Garamond"/>
                <w:sz w:val="10"/>
                <w:szCs w:val="10"/>
                <w:lang w:eastAsia="en-US"/>
              </w:rPr>
            </w:pPr>
          </w:p>
          <w:p w14:paraId="7FFB16C9" w14:textId="77777777" w:rsidR="003E1630" w:rsidRPr="00024D5A" w:rsidRDefault="003E1630" w:rsidP="00791B1A">
            <w:pPr>
              <w:rPr>
                <w:rFonts w:ascii="Garamond" w:eastAsia="Times New Roman" w:hAnsi="Garamond"/>
                <w:sz w:val="10"/>
                <w:szCs w:val="10"/>
                <w:lang w:eastAsia="en-US"/>
              </w:rPr>
            </w:pPr>
          </w:p>
          <w:p w14:paraId="5EA60BD6" w14:textId="77777777" w:rsidR="003E1630" w:rsidRPr="00024D5A" w:rsidRDefault="003E1630" w:rsidP="00791B1A">
            <w:pPr>
              <w:rPr>
                <w:rFonts w:ascii="Garamond" w:eastAsia="Times New Roman" w:hAnsi="Garamond"/>
                <w:sz w:val="10"/>
                <w:szCs w:val="10"/>
                <w:lang w:eastAsia="en-US"/>
              </w:rPr>
            </w:pPr>
          </w:p>
          <w:p w14:paraId="23210376" w14:textId="77777777" w:rsidR="003E1630" w:rsidRPr="00024D5A" w:rsidRDefault="003E1630" w:rsidP="00791B1A">
            <w:pPr>
              <w:rPr>
                <w:rFonts w:ascii="Garamond" w:eastAsia="Times New Roman" w:hAnsi="Garamond"/>
                <w:sz w:val="10"/>
                <w:szCs w:val="10"/>
                <w:lang w:eastAsia="en-US"/>
              </w:rPr>
            </w:pPr>
          </w:p>
          <w:p w14:paraId="448E7CDD" w14:textId="77777777" w:rsidR="003E1630" w:rsidRPr="00024D5A" w:rsidRDefault="003E1630" w:rsidP="00791B1A">
            <w:pPr>
              <w:rPr>
                <w:rFonts w:ascii="Garamond" w:eastAsia="Times New Roman" w:hAnsi="Garamond"/>
                <w:sz w:val="10"/>
                <w:szCs w:val="10"/>
                <w:lang w:eastAsia="en-US"/>
              </w:rPr>
            </w:pPr>
          </w:p>
          <w:p w14:paraId="29591090" w14:textId="77777777" w:rsidR="003E1630" w:rsidRPr="00024D5A" w:rsidRDefault="003E1630" w:rsidP="00791B1A">
            <w:pPr>
              <w:rPr>
                <w:rFonts w:ascii="Garamond" w:eastAsia="Times New Roman" w:hAnsi="Garamond"/>
                <w:sz w:val="10"/>
                <w:szCs w:val="10"/>
                <w:lang w:eastAsia="en-US"/>
              </w:rPr>
            </w:pPr>
          </w:p>
          <w:p w14:paraId="58DD3BD4" w14:textId="77777777" w:rsidR="003E1630" w:rsidRPr="00024D5A" w:rsidRDefault="003E1630" w:rsidP="00791B1A">
            <w:pPr>
              <w:rPr>
                <w:rFonts w:ascii="Garamond" w:eastAsia="Times New Roman" w:hAnsi="Garamond"/>
                <w:sz w:val="10"/>
                <w:szCs w:val="10"/>
                <w:lang w:eastAsia="en-US"/>
              </w:rPr>
            </w:pPr>
          </w:p>
          <w:p w14:paraId="3A4D13D9" w14:textId="77777777" w:rsidR="003E1630" w:rsidRPr="00024D5A" w:rsidRDefault="003E1630" w:rsidP="00791B1A">
            <w:pPr>
              <w:rPr>
                <w:rFonts w:ascii="Garamond" w:eastAsia="Times New Roman" w:hAnsi="Garamond"/>
                <w:sz w:val="10"/>
                <w:szCs w:val="10"/>
                <w:lang w:eastAsia="en-US"/>
              </w:rPr>
            </w:pPr>
          </w:p>
          <w:p w14:paraId="39FF51E3" w14:textId="6030DD88"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shkolla me aksesueshmëri të plotë</w:t>
            </w:r>
            <w:r w:rsidR="00A57B9B" w:rsidRPr="00024D5A">
              <w:rPr>
                <w:rFonts w:ascii="Garamond" w:eastAsia="Times New Roman" w:hAnsi="Garamond"/>
                <w:sz w:val="10"/>
                <w:szCs w:val="10"/>
                <w:lang w:eastAsia="en-US"/>
              </w:rPr>
              <w:t>.</w:t>
            </w:r>
          </w:p>
        </w:tc>
        <w:tc>
          <w:tcPr>
            <w:tcW w:w="388" w:type="pct"/>
          </w:tcPr>
          <w:p w14:paraId="12F53414" w14:textId="7A631A7F"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1 mësues ndihmës për 2.3 nxënës me aftësi të kufizuara në 2024</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N/A</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N/A</w:t>
            </w:r>
            <w:r w:rsidR="00A57B9B" w:rsidRPr="00024D5A">
              <w:rPr>
                <w:rFonts w:ascii="Garamond" w:eastAsia="Times New Roman" w:hAnsi="Garamond"/>
                <w:sz w:val="10"/>
                <w:szCs w:val="10"/>
                <w:lang w:eastAsia="en-US"/>
              </w:rPr>
              <w:t>.</w:t>
            </w:r>
          </w:p>
        </w:tc>
        <w:tc>
          <w:tcPr>
            <w:tcW w:w="491" w:type="pct"/>
          </w:tcPr>
          <w:p w14:paraId="63DBA919" w14:textId="67BEC1D8"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xml:space="preserve">Raporti </w:t>
            </w:r>
            <w:r w:rsidR="00A57B9B" w:rsidRPr="00024D5A">
              <w:rPr>
                <w:rFonts w:ascii="Garamond" w:eastAsia="Times New Roman" w:hAnsi="Garamond"/>
                <w:sz w:val="10"/>
                <w:szCs w:val="10"/>
                <w:lang w:eastAsia="en-US"/>
              </w:rPr>
              <w:t xml:space="preserve">mësues </w:t>
            </w:r>
            <w:r w:rsidRPr="00024D5A">
              <w:rPr>
                <w:rFonts w:ascii="Garamond" w:eastAsia="Times New Roman" w:hAnsi="Garamond"/>
                <w:sz w:val="10"/>
                <w:szCs w:val="10"/>
                <w:lang w:eastAsia="en-US"/>
              </w:rPr>
              <w:t>ndihmës</w:t>
            </w:r>
            <w:r w:rsidR="007675EC" w:rsidRPr="00024D5A">
              <w:rPr>
                <w:rFonts w:ascii="Garamond" w:eastAsia="Times New Roman" w:hAnsi="Garamond"/>
                <w:sz w:val="10"/>
                <w:szCs w:val="10"/>
                <w:lang w:eastAsia="en-US"/>
              </w:rPr>
              <w:t>/</w:t>
            </w:r>
            <w:r w:rsidR="00A57B9B" w:rsidRPr="00024D5A">
              <w:rPr>
                <w:rFonts w:ascii="Garamond" w:eastAsia="Times New Roman" w:hAnsi="Garamond"/>
                <w:sz w:val="10"/>
                <w:szCs w:val="10"/>
                <w:lang w:eastAsia="en-US"/>
              </w:rPr>
              <w:t xml:space="preserve">nxënës </w:t>
            </w:r>
            <w:r w:rsidRPr="00024D5A">
              <w:rPr>
                <w:rFonts w:ascii="Garamond" w:eastAsia="Times New Roman" w:hAnsi="Garamond"/>
                <w:sz w:val="10"/>
                <w:szCs w:val="10"/>
                <w:lang w:eastAsia="en-US"/>
              </w:rPr>
              <w:t>me aftësi të kufizuara zvogëlohet në 1 me 1.8</w:t>
            </w:r>
            <w:r w:rsidR="00A57B9B" w:rsidRPr="00024D5A">
              <w:rPr>
                <w:rFonts w:ascii="Garamond" w:eastAsia="Times New Roman" w:hAnsi="Garamond"/>
                <w:sz w:val="10"/>
                <w:szCs w:val="10"/>
                <w:lang w:eastAsia="en-US"/>
              </w:rPr>
              <w:t>,</w:t>
            </w:r>
            <w:r w:rsidRPr="00024D5A">
              <w:rPr>
                <w:rFonts w:ascii="Garamond" w:eastAsia="Times New Roman" w:hAnsi="Garamond"/>
                <w:sz w:val="10"/>
                <w:szCs w:val="10"/>
                <w:lang w:eastAsia="en-US"/>
              </w:rPr>
              <w:t xml:space="preserve"> afërsisht 200</w:t>
            </w:r>
            <w:r w:rsidRPr="00024D5A">
              <w:rPr>
                <w:rFonts w:ascii="Garamond" w:eastAsia="Times New Roman" w:hAnsi="Garamond"/>
                <w:sz w:val="10"/>
                <w:szCs w:val="10"/>
                <w:lang w:eastAsia="en-US"/>
              </w:rPr>
              <w:br/>
              <w:t>40%</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r>
          </w:p>
          <w:p w14:paraId="7CF30902" w14:textId="77777777" w:rsidR="003E1630" w:rsidRPr="00024D5A" w:rsidRDefault="003E1630" w:rsidP="00791B1A">
            <w:pPr>
              <w:rPr>
                <w:rFonts w:ascii="Garamond" w:eastAsia="Times New Roman" w:hAnsi="Garamond"/>
                <w:sz w:val="10"/>
                <w:szCs w:val="10"/>
                <w:lang w:eastAsia="en-US"/>
              </w:rPr>
            </w:pPr>
          </w:p>
          <w:p w14:paraId="12AD8545" w14:textId="77777777" w:rsidR="003E1630" w:rsidRPr="00024D5A" w:rsidRDefault="003E1630" w:rsidP="00791B1A">
            <w:pPr>
              <w:rPr>
                <w:rFonts w:ascii="Garamond" w:eastAsia="Times New Roman" w:hAnsi="Garamond"/>
                <w:sz w:val="10"/>
                <w:szCs w:val="10"/>
                <w:lang w:eastAsia="en-US"/>
              </w:rPr>
            </w:pPr>
          </w:p>
          <w:p w14:paraId="25DE5F24" w14:textId="77777777" w:rsidR="003E1630" w:rsidRPr="00024D5A" w:rsidRDefault="003E1630" w:rsidP="00791B1A">
            <w:pPr>
              <w:rPr>
                <w:rFonts w:ascii="Garamond" w:eastAsia="Times New Roman" w:hAnsi="Garamond"/>
                <w:sz w:val="10"/>
                <w:szCs w:val="10"/>
                <w:lang w:eastAsia="en-US"/>
              </w:rPr>
            </w:pPr>
          </w:p>
          <w:p w14:paraId="5EF4AEF5" w14:textId="77777777" w:rsidR="003E1630" w:rsidRPr="00024D5A" w:rsidRDefault="003E1630" w:rsidP="00791B1A">
            <w:pPr>
              <w:rPr>
                <w:rFonts w:ascii="Garamond" w:eastAsia="Times New Roman" w:hAnsi="Garamond"/>
                <w:sz w:val="10"/>
                <w:szCs w:val="10"/>
                <w:lang w:eastAsia="en-US"/>
              </w:rPr>
            </w:pPr>
          </w:p>
          <w:p w14:paraId="6BE8E6C3" w14:textId="77777777" w:rsidR="003E1630" w:rsidRPr="00024D5A" w:rsidRDefault="003E1630" w:rsidP="00791B1A">
            <w:pPr>
              <w:rPr>
                <w:rFonts w:ascii="Garamond" w:eastAsia="Times New Roman" w:hAnsi="Garamond"/>
                <w:sz w:val="10"/>
                <w:szCs w:val="10"/>
                <w:lang w:eastAsia="en-US"/>
              </w:rPr>
            </w:pPr>
          </w:p>
          <w:p w14:paraId="60E9A70C" w14:textId="77777777" w:rsidR="003E1630" w:rsidRPr="00024D5A" w:rsidRDefault="003E1630" w:rsidP="00791B1A">
            <w:pPr>
              <w:rPr>
                <w:rFonts w:ascii="Garamond" w:eastAsia="Times New Roman" w:hAnsi="Garamond"/>
                <w:sz w:val="10"/>
                <w:szCs w:val="10"/>
                <w:lang w:eastAsia="en-US"/>
              </w:rPr>
            </w:pPr>
          </w:p>
          <w:p w14:paraId="7EBA59E3" w14:textId="77777777" w:rsidR="003E1630" w:rsidRPr="00024D5A" w:rsidRDefault="003E1630" w:rsidP="00791B1A">
            <w:pPr>
              <w:rPr>
                <w:rFonts w:ascii="Garamond" w:eastAsia="Times New Roman" w:hAnsi="Garamond"/>
                <w:sz w:val="10"/>
                <w:szCs w:val="10"/>
                <w:lang w:eastAsia="en-US"/>
              </w:rPr>
            </w:pPr>
          </w:p>
          <w:p w14:paraId="4E175432" w14:textId="77777777" w:rsidR="003E1630" w:rsidRPr="00024D5A" w:rsidRDefault="003E1630" w:rsidP="00791B1A">
            <w:pPr>
              <w:rPr>
                <w:rFonts w:ascii="Garamond" w:eastAsia="Times New Roman" w:hAnsi="Garamond"/>
                <w:sz w:val="10"/>
                <w:szCs w:val="10"/>
                <w:lang w:eastAsia="en-US"/>
              </w:rPr>
            </w:pPr>
          </w:p>
          <w:p w14:paraId="7005F062" w14:textId="77777777" w:rsidR="003E1630" w:rsidRPr="00024D5A" w:rsidRDefault="003E1630" w:rsidP="00791B1A">
            <w:pPr>
              <w:rPr>
                <w:rFonts w:ascii="Garamond" w:eastAsia="Times New Roman" w:hAnsi="Garamond"/>
                <w:sz w:val="10"/>
                <w:szCs w:val="10"/>
                <w:lang w:eastAsia="en-US"/>
              </w:rPr>
            </w:pPr>
          </w:p>
          <w:p w14:paraId="2EE3C0DC" w14:textId="77777777" w:rsidR="003E1630" w:rsidRPr="00024D5A" w:rsidRDefault="003E1630" w:rsidP="00791B1A">
            <w:pPr>
              <w:rPr>
                <w:rFonts w:ascii="Garamond" w:eastAsia="Times New Roman" w:hAnsi="Garamond"/>
                <w:sz w:val="10"/>
                <w:szCs w:val="10"/>
                <w:lang w:eastAsia="en-US"/>
              </w:rPr>
            </w:pPr>
          </w:p>
          <w:p w14:paraId="726A8911"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60%</w:t>
            </w:r>
          </w:p>
          <w:p w14:paraId="7C194683" w14:textId="77777777" w:rsidR="003E1630" w:rsidRPr="00024D5A" w:rsidRDefault="003E1630" w:rsidP="00791B1A">
            <w:pPr>
              <w:rPr>
                <w:rFonts w:ascii="Garamond" w:eastAsia="Times New Roman" w:hAnsi="Garamond"/>
                <w:sz w:val="10"/>
                <w:szCs w:val="10"/>
                <w:lang w:eastAsia="en-US"/>
              </w:rPr>
            </w:pPr>
          </w:p>
        </w:tc>
        <w:tc>
          <w:tcPr>
            <w:tcW w:w="458" w:type="pct"/>
          </w:tcPr>
          <w:p w14:paraId="70B2FACF" w14:textId="03543722"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xml:space="preserve">Raporti </w:t>
            </w:r>
            <w:r w:rsidR="00A57B9B" w:rsidRPr="00024D5A">
              <w:rPr>
                <w:rFonts w:ascii="Garamond" w:eastAsia="Times New Roman" w:hAnsi="Garamond"/>
                <w:sz w:val="10"/>
                <w:szCs w:val="10"/>
                <w:lang w:eastAsia="en-US"/>
              </w:rPr>
              <w:t xml:space="preserve">mësues ndihmës/nxënës </w:t>
            </w:r>
            <w:r w:rsidRPr="00024D5A">
              <w:rPr>
                <w:rFonts w:ascii="Garamond" w:eastAsia="Times New Roman" w:hAnsi="Garamond"/>
                <w:sz w:val="10"/>
                <w:szCs w:val="10"/>
                <w:lang w:eastAsia="en-US"/>
              </w:rPr>
              <w:t>me aftësi të kufizuar</w:t>
            </w:r>
            <w:r w:rsidR="00170447" w:rsidRPr="00024D5A">
              <w:rPr>
                <w:rFonts w:ascii="Garamond" w:eastAsia="Times New Roman" w:hAnsi="Garamond"/>
                <w:sz w:val="10"/>
                <w:szCs w:val="10"/>
                <w:lang w:eastAsia="en-US"/>
              </w:rPr>
              <w:t>a</w:t>
            </w:r>
            <w:r w:rsidRPr="00024D5A">
              <w:rPr>
                <w:rFonts w:ascii="Garamond" w:eastAsia="Times New Roman" w:hAnsi="Garamond"/>
                <w:sz w:val="10"/>
                <w:szCs w:val="10"/>
                <w:lang w:eastAsia="en-US"/>
              </w:rPr>
              <w:t xml:space="preserve"> zvogëlohet në 1 me 1; </w:t>
            </w:r>
            <w:r w:rsidR="00A57B9B" w:rsidRPr="00024D5A">
              <w:rPr>
                <w:rFonts w:ascii="Garamond" w:eastAsia="Times New Roman" w:hAnsi="Garamond"/>
                <w:sz w:val="10"/>
                <w:szCs w:val="10"/>
                <w:lang w:eastAsia="en-US"/>
              </w:rPr>
              <w:t xml:space="preserve">raporti </w:t>
            </w:r>
            <w:r w:rsidRPr="00024D5A">
              <w:rPr>
                <w:rFonts w:ascii="Garamond" w:eastAsia="Times New Roman" w:hAnsi="Garamond"/>
                <w:sz w:val="10"/>
                <w:szCs w:val="10"/>
                <w:lang w:eastAsia="en-US"/>
              </w:rPr>
              <w:t>mësues ndihmës për nxënës do të jetë në raport me nevojat e nxënësve, në bazë të vlerësimit të Komisionit Multidisiplinar (KMD)</w:t>
            </w:r>
            <w:r w:rsidR="00A57B9B" w:rsidRPr="00024D5A">
              <w:rPr>
                <w:rFonts w:ascii="Garamond" w:eastAsia="Times New Roman" w:hAnsi="Garamond"/>
                <w:sz w:val="10"/>
                <w:szCs w:val="10"/>
                <w:lang w:eastAsia="en-US"/>
              </w:rPr>
              <w:t>;</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60%</w:t>
            </w:r>
            <w:r w:rsidR="00A57B9B" w:rsidRPr="00024D5A">
              <w:rPr>
                <w:rFonts w:ascii="Garamond" w:eastAsia="Times New Roman" w:hAnsi="Garamond"/>
                <w:sz w:val="10"/>
                <w:szCs w:val="10"/>
                <w:lang w:eastAsia="en-US"/>
              </w:rPr>
              <w:t>;</w:t>
            </w:r>
            <w:r w:rsidRPr="00024D5A">
              <w:rPr>
                <w:rFonts w:ascii="Garamond" w:eastAsia="Times New Roman" w:hAnsi="Garamond"/>
                <w:sz w:val="10"/>
                <w:szCs w:val="10"/>
                <w:lang w:eastAsia="en-US"/>
              </w:rPr>
              <w:br/>
              <w:t>70%</w:t>
            </w:r>
          </w:p>
        </w:tc>
        <w:tc>
          <w:tcPr>
            <w:tcW w:w="457" w:type="pct"/>
          </w:tcPr>
          <w:p w14:paraId="1D4CD4B5" w14:textId="5CD4A576"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xml:space="preserve">Regjistër HR; </w:t>
            </w:r>
            <w:r w:rsidRPr="00024D5A">
              <w:rPr>
                <w:rFonts w:ascii="Garamond" w:eastAsia="Times New Roman" w:hAnsi="Garamond"/>
                <w:sz w:val="10"/>
                <w:szCs w:val="10"/>
                <w:lang w:eastAsia="en-US"/>
              </w:rPr>
              <w:br/>
              <w:t xml:space="preserve">Auditime; </w:t>
            </w:r>
            <w:r w:rsidRPr="00024D5A">
              <w:rPr>
                <w:rFonts w:ascii="Garamond" w:eastAsia="Times New Roman" w:hAnsi="Garamond"/>
                <w:sz w:val="10"/>
                <w:szCs w:val="10"/>
                <w:lang w:eastAsia="en-US"/>
              </w:rPr>
              <w:br/>
              <w:t xml:space="preserve">Inventar tekstesh; </w:t>
            </w:r>
            <w:r w:rsidRPr="00024D5A">
              <w:rPr>
                <w:rFonts w:ascii="Garamond" w:eastAsia="Times New Roman" w:hAnsi="Garamond"/>
                <w:sz w:val="10"/>
                <w:szCs w:val="10"/>
                <w:lang w:eastAsia="en-US"/>
              </w:rPr>
              <w:br/>
              <w:t>Materialesh didaktike</w:t>
            </w:r>
            <w:r w:rsidR="00A57B9B" w:rsidRPr="00024D5A">
              <w:rPr>
                <w:rFonts w:ascii="Garamond" w:eastAsia="Times New Roman" w:hAnsi="Garamond"/>
                <w:sz w:val="10"/>
                <w:szCs w:val="10"/>
                <w:lang w:eastAsia="en-US"/>
              </w:rPr>
              <w:t>.</w:t>
            </w:r>
          </w:p>
        </w:tc>
        <w:tc>
          <w:tcPr>
            <w:tcW w:w="570" w:type="pct"/>
          </w:tcPr>
          <w:p w14:paraId="2788E0D3"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tc>
      </w:tr>
      <w:tr w:rsidR="003E1630" w:rsidRPr="00024D5A" w14:paraId="6F371FDB" w14:textId="77777777" w:rsidTr="003509EA">
        <w:trPr>
          <w:trHeight w:val="20"/>
        </w:trPr>
        <w:tc>
          <w:tcPr>
            <w:tcW w:w="430" w:type="pct"/>
            <w:vMerge/>
          </w:tcPr>
          <w:p w14:paraId="46660B34" w14:textId="77777777" w:rsidR="003E1630" w:rsidRPr="00024D5A" w:rsidRDefault="003E1630" w:rsidP="00791B1A">
            <w:pPr>
              <w:rPr>
                <w:rFonts w:ascii="Garamond" w:eastAsia="Times New Roman" w:hAnsi="Garamond"/>
                <w:b/>
                <w:bCs/>
                <w:sz w:val="10"/>
                <w:szCs w:val="10"/>
                <w:lang w:eastAsia="en-US"/>
              </w:rPr>
            </w:pPr>
          </w:p>
        </w:tc>
        <w:tc>
          <w:tcPr>
            <w:tcW w:w="611" w:type="pct"/>
          </w:tcPr>
          <w:p w14:paraId="53C8A1B5"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Masa 2.4. Zhvillimi i kapaciteteve njerëzore dhe përfshirja e prindërve dhe komunitetit.</w:t>
            </w:r>
          </w:p>
        </w:tc>
        <w:tc>
          <w:tcPr>
            <w:tcW w:w="764" w:type="pct"/>
          </w:tcPr>
          <w:p w14:paraId="52F07219"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tc>
        <w:tc>
          <w:tcPr>
            <w:tcW w:w="831" w:type="pct"/>
          </w:tcPr>
          <w:p w14:paraId="6D55FEA6"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xml:space="preserve">% e mësuesve/prindërve pjesëmarrës në trajnime për arsimin gjithëpërfshirës; </w:t>
            </w:r>
            <w:r w:rsidRPr="00024D5A">
              <w:rPr>
                <w:rFonts w:ascii="Garamond" w:eastAsia="Times New Roman" w:hAnsi="Garamond"/>
                <w:sz w:val="10"/>
                <w:szCs w:val="10"/>
                <w:lang w:eastAsia="en-US"/>
              </w:rPr>
              <w:br/>
              <w:t>% e përfshirjes së prindërve të fëmijëve me aftësi të kufizuara në borde prindërish funksionale;</w:t>
            </w:r>
            <w:r w:rsidRPr="00024D5A">
              <w:rPr>
                <w:rFonts w:ascii="Garamond" w:eastAsia="Times New Roman" w:hAnsi="Garamond"/>
                <w:sz w:val="10"/>
                <w:szCs w:val="10"/>
                <w:lang w:eastAsia="en-US"/>
              </w:rPr>
              <w:br/>
              <w:t>% e nxënësve më aftësi të kufizuara të përfshirë në qeverinë e nxënësve;</w:t>
            </w:r>
          </w:p>
        </w:tc>
        <w:tc>
          <w:tcPr>
            <w:tcW w:w="388" w:type="pct"/>
          </w:tcPr>
          <w:p w14:paraId="171710C8"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N/A</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N/A</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N/A</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r>
          </w:p>
        </w:tc>
        <w:tc>
          <w:tcPr>
            <w:tcW w:w="491" w:type="pct"/>
          </w:tcPr>
          <w:p w14:paraId="6AEB807A"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60%</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10%</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10%</w:t>
            </w:r>
          </w:p>
        </w:tc>
        <w:tc>
          <w:tcPr>
            <w:tcW w:w="458" w:type="pct"/>
          </w:tcPr>
          <w:p w14:paraId="67ACAE85"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80%</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15%</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15%</w:t>
            </w:r>
          </w:p>
        </w:tc>
        <w:tc>
          <w:tcPr>
            <w:tcW w:w="457" w:type="pct"/>
          </w:tcPr>
          <w:p w14:paraId="66B01B3A"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xml:space="preserve">Raporte shkollore; </w:t>
            </w:r>
            <w:r w:rsidRPr="00024D5A">
              <w:rPr>
                <w:rFonts w:ascii="Garamond" w:eastAsia="Times New Roman" w:hAnsi="Garamond"/>
                <w:sz w:val="10"/>
                <w:szCs w:val="10"/>
                <w:lang w:eastAsia="en-US"/>
              </w:rPr>
              <w:br/>
              <w:t xml:space="preserve">Anketa; </w:t>
            </w:r>
            <w:r w:rsidRPr="00024D5A">
              <w:rPr>
                <w:rFonts w:ascii="Garamond" w:eastAsia="Times New Roman" w:hAnsi="Garamond"/>
                <w:sz w:val="10"/>
                <w:szCs w:val="10"/>
                <w:lang w:eastAsia="en-US"/>
              </w:rPr>
              <w:br/>
              <w:t>ASCAP;</w:t>
            </w:r>
          </w:p>
        </w:tc>
        <w:tc>
          <w:tcPr>
            <w:tcW w:w="570" w:type="pct"/>
          </w:tcPr>
          <w:p w14:paraId="0D116407"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tc>
      </w:tr>
      <w:tr w:rsidR="003E1630" w:rsidRPr="00024D5A" w14:paraId="69E42EDB" w14:textId="77777777" w:rsidTr="003509EA">
        <w:trPr>
          <w:trHeight w:val="20"/>
        </w:trPr>
        <w:tc>
          <w:tcPr>
            <w:tcW w:w="430" w:type="pct"/>
            <w:vMerge/>
          </w:tcPr>
          <w:p w14:paraId="30CE010E" w14:textId="77777777" w:rsidR="003E1630" w:rsidRPr="00024D5A" w:rsidRDefault="003E1630" w:rsidP="00791B1A">
            <w:pPr>
              <w:rPr>
                <w:rFonts w:ascii="Garamond" w:eastAsia="Times New Roman" w:hAnsi="Garamond"/>
                <w:b/>
                <w:bCs/>
                <w:sz w:val="10"/>
                <w:szCs w:val="10"/>
                <w:lang w:eastAsia="en-US"/>
              </w:rPr>
            </w:pPr>
          </w:p>
        </w:tc>
        <w:tc>
          <w:tcPr>
            <w:tcW w:w="611" w:type="pct"/>
          </w:tcPr>
          <w:p w14:paraId="6A0B5086"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xml:space="preserve">Masa 3.1. Konsolidimi i kuadrit rregullator. </w:t>
            </w:r>
          </w:p>
        </w:tc>
        <w:tc>
          <w:tcPr>
            <w:tcW w:w="764" w:type="pct"/>
          </w:tcPr>
          <w:p w14:paraId="4F1D07BC"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tc>
        <w:tc>
          <w:tcPr>
            <w:tcW w:w="831" w:type="pct"/>
          </w:tcPr>
          <w:p w14:paraId="27BE9615" w14:textId="5B18E0BD"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Nr</w:t>
            </w:r>
            <w:r w:rsidR="00A57B9B" w:rsidRPr="00024D5A">
              <w:rPr>
                <w:rFonts w:ascii="Garamond" w:eastAsia="Times New Roman" w:hAnsi="Garamond"/>
                <w:sz w:val="10"/>
                <w:szCs w:val="10"/>
                <w:lang w:eastAsia="en-US"/>
              </w:rPr>
              <w:t>.</w:t>
            </w:r>
            <w:r w:rsidRPr="00024D5A">
              <w:rPr>
                <w:rFonts w:ascii="Garamond" w:eastAsia="Times New Roman" w:hAnsi="Garamond"/>
                <w:sz w:val="10"/>
                <w:szCs w:val="10"/>
                <w:lang w:eastAsia="en-US"/>
              </w:rPr>
              <w:t xml:space="preserve"> i akteve ligjore/nënligjore të aprovuara; </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 shkollave speciale të transformuara në qendra burimore</w:t>
            </w:r>
            <w:r w:rsidR="00A57B9B" w:rsidRPr="00024D5A">
              <w:rPr>
                <w:rFonts w:ascii="Garamond" w:eastAsia="Times New Roman" w:hAnsi="Garamond"/>
                <w:sz w:val="10"/>
                <w:szCs w:val="10"/>
                <w:lang w:eastAsia="en-US"/>
              </w:rPr>
              <w:t>.</w:t>
            </w:r>
          </w:p>
        </w:tc>
        <w:tc>
          <w:tcPr>
            <w:tcW w:w="388" w:type="pct"/>
          </w:tcPr>
          <w:p w14:paraId="559074DA"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30%</w:t>
            </w:r>
          </w:p>
        </w:tc>
        <w:tc>
          <w:tcPr>
            <w:tcW w:w="491" w:type="pct"/>
          </w:tcPr>
          <w:p w14:paraId="21DFA524"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2 akte nënligjore (Kodi Braille)</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70%</w:t>
            </w:r>
          </w:p>
        </w:tc>
        <w:tc>
          <w:tcPr>
            <w:tcW w:w="458" w:type="pct"/>
          </w:tcPr>
          <w:p w14:paraId="1BCF16AB"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xml:space="preserve">1 akt nënligjor (rishikim i VKM për njohjen e gjuhës së shenjave shqipe) </w:t>
            </w:r>
            <w:r w:rsidRPr="00024D5A">
              <w:rPr>
                <w:rFonts w:ascii="Garamond" w:eastAsia="Times New Roman" w:hAnsi="Garamond"/>
                <w:sz w:val="10"/>
                <w:szCs w:val="10"/>
                <w:lang w:eastAsia="en-US"/>
              </w:rPr>
              <w:br/>
              <w:t>100%</w:t>
            </w:r>
          </w:p>
        </w:tc>
        <w:tc>
          <w:tcPr>
            <w:tcW w:w="457" w:type="pct"/>
          </w:tcPr>
          <w:p w14:paraId="72A5679F"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xml:space="preserve">Vendime MAS; </w:t>
            </w:r>
            <w:r w:rsidRPr="00024D5A">
              <w:rPr>
                <w:rFonts w:ascii="Garamond" w:eastAsia="Times New Roman" w:hAnsi="Garamond"/>
                <w:sz w:val="10"/>
                <w:szCs w:val="10"/>
                <w:lang w:eastAsia="en-US"/>
              </w:rPr>
              <w:br/>
              <w:t>MSHMS;</w:t>
            </w:r>
            <w:r w:rsidRPr="00024D5A">
              <w:rPr>
                <w:rFonts w:ascii="Garamond" w:eastAsia="Times New Roman" w:hAnsi="Garamond"/>
                <w:sz w:val="10"/>
                <w:szCs w:val="10"/>
                <w:lang w:eastAsia="en-US"/>
              </w:rPr>
              <w:br/>
              <w:t>Raporte QB;</w:t>
            </w:r>
            <w:r w:rsidRPr="00024D5A">
              <w:rPr>
                <w:rFonts w:ascii="Garamond" w:eastAsia="Times New Roman" w:hAnsi="Garamond"/>
                <w:sz w:val="10"/>
                <w:szCs w:val="10"/>
                <w:lang w:eastAsia="en-US"/>
              </w:rPr>
              <w:br/>
              <w:t>Raporte MAS;</w:t>
            </w:r>
          </w:p>
        </w:tc>
        <w:tc>
          <w:tcPr>
            <w:tcW w:w="570" w:type="pct"/>
          </w:tcPr>
          <w:p w14:paraId="4E85463B"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tc>
      </w:tr>
      <w:tr w:rsidR="003E1630" w:rsidRPr="00024D5A" w14:paraId="153B8ED3" w14:textId="77777777" w:rsidTr="003509EA">
        <w:trPr>
          <w:trHeight w:val="20"/>
        </w:trPr>
        <w:tc>
          <w:tcPr>
            <w:tcW w:w="430" w:type="pct"/>
            <w:vMerge/>
          </w:tcPr>
          <w:p w14:paraId="71E67733" w14:textId="77777777" w:rsidR="003E1630" w:rsidRPr="00024D5A" w:rsidRDefault="003E1630" w:rsidP="00791B1A">
            <w:pPr>
              <w:rPr>
                <w:rFonts w:ascii="Garamond" w:eastAsia="Times New Roman" w:hAnsi="Garamond"/>
                <w:b/>
                <w:bCs/>
                <w:sz w:val="10"/>
                <w:szCs w:val="10"/>
                <w:lang w:eastAsia="en-US"/>
              </w:rPr>
            </w:pPr>
          </w:p>
        </w:tc>
        <w:tc>
          <w:tcPr>
            <w:tcW w:w="611" w:type="pct"/>
          </w:tcPr>
          <w:p w14:paraId="3177D218"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Masa 3.2. Akreditimi dhe integrimi i moduleve të trajnimit të hartuara nga Qendrat Burimore në programet kombëtare të zhvillimit.</w:t>
            </w:r>
          </w:p>
        </w:tc>
        <w:tc>
          <w:tcPr>
            <w:tcW w:w="764" w:type="pct"/>
          </w:tcPr>
          <w:p w14:paraId="5CC3B237"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tc>
        <w:tc>
          <w:tcPr>
            <w:tcW w:w="831" w:type="pct"/>
          </w:tcPr>
          <w:p w14:paraId="5A98DD77" w14:textId="1CFA3458"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xml:space="preserve">Nr. moduleve të akredituara; </w:t>
            </w:r>
            <w:r w:rsidRPr="00024D5A">
              <w:rPr>
                <w:rFonts w:ascii="Garamond" w:eastAsia="Times New Roman" w:hAnsi="Garamond"/>
                <w:sz w:val="10"/>
                <w:szCs w:val="10"/>
                <w:lang w:eastAsia="en-US"/>
              </w:rPr>
              <w:br/>
              <w:t>% moduleve të integruara në programin kombëtar të kualifikimit të mësuesve e mësuesve ndihmës</w:t>
            </w:r>
            <w:r w:rsidR="00A57B9B" w:rsidRPr="00024D5A">
              <w:rPr>
                <w:rFonts w:ascii="Garamond" w:eastAsia="Times New Roman" w:hAnsi="Garamond"/>
                <w:sz w:val="10"/>
                <w:szCs w:val="10"/>
                <w:lang w:eastAsia="en-US"/>
              </w:rPr>
              <w:t>.</w:t>
            </w:r>
          </w:p>
        </w:tc>
        <w:tc>
          <w:tcPr>
            <w:tcW w:w="388" w:type="pct"/>
          </w:tcPr>
          <w:p w14:paraId="3575173E"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0</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0</w:t>
            </w:r>
          </w:p>
        </w:tc>
        <w:tc>
          <w:tcPr>
            <w:tcW w:w="491" w:type="pct"/>
          </w:tcPr>
          <w:p w14:paraId="68096669"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2</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2</w:t>
            </w:r>
          </w:p>
        </w:tc>
        <w:tc>
          <w:tcPr>
            <w:tcW w:w="458" w:type="pct"/>
          </w:tcPr>
          <w:p w14:paraId="4BAAAF86"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1</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1</w:t>
            </w:r>
          </w:p>
        </w:tc>
        <w:tc>
          <w:tcPr>
            <w:tcW w:w="457" w:type="pct"/>
          </w:tcPr>
          <w:p w14:paraId="6E1C784D"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xml:space="preserve">Vendime akreditimi; </w:t>
            </w:r>
            <w:r w:rsidRPr="00024D5A">
              <w:rPr>
                <w:rFonts w:ascii="Garamond" w:eastAsia="Times New Roman" w:hAnsi="Garamond"/>
                <w:sz w:val="10"/>
                <w:szCs w:val="10"/>
                <w:lang w:eastAsia="en-US"/>
              </w:rPr>
              <w:br/>
              <w:t xml:space="preserve">Programe; </w:t>
            </w:r>
            <w:r w:rsidRPr="00024D5A">
              <w:rPr>
                <w:rFonts w:ascii="Garamond" w:eastAsia="Times New Roman" w:hAnsi="Garamond"/>
                <w:sz w:val="10"/>
                <w:szCs w:val="10"/>
                <w:lang w:eastAsia="en-US"/>
              </w:rPr>
              <w:br/>
              <w:t>ASCAP;</w:t>
            </w:r>
          </w:p>
        </w:tc>
        <w:tc>
          <w:tcPr>
            <w:tcW w:w="570" w:type="pct"/>
          </w:tcPr>
          <w:p w14:paraId="55400CE5"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tc>
      </w:tr>
      <w:tr w:rsidR="003E1630" w:rsidRPr="00024D5A" w14:paraId="6822BDF5" w14:textId="77777777" w:rsidTr="003509EA">
        <w:trPr>
          <w:trHeight w:val="20"/>
        </w:trPr>
        <w:tc>
          <w:tcPr>
            <w:tcW w:w="430" w:type="pct"/>
            <w:vMerge/>
          </w:tcPr>
          <w:p w14:paraId="28E30221" w14:textId="77777777" w:rsidR="003E1630" w:rsidRPr="00024D5A" w:rsidRDefault="003E1630" w:rsidP="00791B1A">
            <w:pPr>
              <w:rPr>
                <w:rFonts w:ascii="Garamond" w:eastAsia="Times New Roman" w:hAnsi="Garamond"/>
                <w:b/>
                <w:bCs/>
                <w:sz w:val="10"/>
                <w:szCs w:val="10"/>
                <w:lang w:eastAsia="en-US"/>
              </w:rPr>
            </w:pPr>
          </w:p>
        </w:tc>
        <w:tc>
          <w:tcPr>
            <w:tcW w:w="611" w:type="pct"/>
          </w:tcPr>
          <w:p w14:paraId="27D57EC9"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Masa 3.3. Zgjerimi territorial dhe funksional i shërbimeve të qendrave burimore.</w:t>
            </w:r>
          </w:p>
        </w:tc>
        <w:tc>
          <w:tcPr>
            <w:tcW w:w="764" w:type="pct"/>
          </w:tcPr>
          <w:p w14:paraId="446DB3D8"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tc>
        <w:tc>
          <w:tcPr>
            <w:tcW w:w="831" w:type="pct"/>
          </w:tcPr>
          <w:p w14:paraId="3F99429B" w14:textId="554D6F4B"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IAP të mbuluara me shërbime të ofruara nga QB</w:t>
            </w:r>
            <w:r w:rsidR="00A57B9B" w:rsidRPr="00024D5A">
              <w:rPr>
                <w:rFonts w:ascii="Garamond" w:eastAsia="Times New Roman" w:hAnsi="Garamond"/>
                <w:sz w:val="10"/>
                <w:szCs w:val="10"/>
                <w:lang w:eastAsia="en-US"/>
              </w:rPr>
              <w:t>-ja</w:t>
            </w:r>
            <w:r w:rsidR="005709DB" w:rsidRPr="00024D5A">
              <w:rPr>
                <w:rFonts w:ascii="Garamond" w:eastAsia="Times New Roman" w:hAnsi="Garamond"/>
                <w:sz w:val="10"/>
                <w:szCs w:val="10"/>
                <w:lang w:eastAsia="en-US"/>
              </w:rPr>
              <w:t>.</w:t>
            </w:r>
          </w:p>
        </w:tc>
        <w:tc>
          <w:tcPr>
            <w:tcW w:w="388" w:type="pct"/>
          </w:tcPr>
          <w:p w14:paraId="759D05AE"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N/A</w:t>
            </w:r>
          </w:p>
        </w:tc>
        <w:tc>
          <w:tcPr>
            <w:tcW w:w="491" w:type="pct"/>
          </w:tcPr>
          <w:p w14:paraId="23EFC818"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45%</w:t>
            </w:r>
          </w:p>
        </w:tc>
        <w:tc>
          <w:tcPr>
            <w:tcW w:w="458" w:type="pct"/>
          </w:tcPr>
          <w:p w14:paraId="40DBF924"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60%</w:t>
            </w:r>
          </w:p>
        </w:tc>
        <w:tc>
          <w:tcPr>
            <w:tcW w:w="457" w:type="pct"/>
          </w:tcPr>
          <w:p w14:paraId="51F1AB4D"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xml:space="preserve">Raporte operative të QB; </w:t>
            </w:r>
            <w:r w:rsidRPr="00024D5A">
              <w:rPr>
                <w:rFonts w:ascii="Garamond" w:eastAsia="Times New Roman" w:hAnsi="Garamond"/>
                <w:sz w:val="10"/>
                <w:szCs w:val="10"/>
                <w:lang w:eastAsia="en-US"/>
              </w:rPr>
              <w:br/>
              <w:t xml:space="preserve">Raporte DRAP, ZVAP, MA; </w:t>
            </w:r>
            <w:r w:rsidRPr="00024D5A">
              <w:rPr>
                <w:rFonts w:ascii="Garamond" w:eastAsia="Times New Roman" w:hAnsi="Garamond"/>
                <w:sz w:val="10"/>
                <w:szCs w:val="10"/>
                <w:lang w:eastAsia="en-US"/>
              </w:rPr>
              <w:br/>
              <w:t>Plane buxhetore;</w:t>
            </w:r>
          </w:p>
        </w:tc>
        <w:tc>
          <w:tcPr>
            <w:tcW w:w="570" w:type="pct"/>
          </w:tcPr>
          <w:p w14:paraId="3F457EEA"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tc>
      </w:tr>
      <w:tr w:rsidR="003E1630" w:rsidRPr="00024D5A" w14:paraId="4C595CE0" w14:textId="77777777" w:rsidTr="003509EA">
        <w:trPr>
          <w:trHeight w:val="20"/>
        </w:trPr>
        <w:tc>
          <w:tcPr>
            <w:tcW w:w="430" w:type="pct"/>
            <w:vMerge/>
          </w:tcPr>
          <w:p w14:paraId="17DE4FE0" w14:textId="77777777" w:rsidR="003E1630" w:rsidRPr="00024D5A" w:rsidRDefault="003E1630" w:rsidP="00791B1A">
            <w:pPr>
              <w:rPr>
                <w:rFonts w:ascii="Garamond" w:eastAsia="Times New Roman" w:hAnsi="Garamond"/>
                <w:b/>
                <w:bCs/>
                <w:sz w:val="10"/>
                <w:szCs w:val="10"/>
                <w:lang w:eastAsia="en-US"/>
              </w:rPr>
            </w:pPr>
          </w:p>
        </w:tc>
        <w:tc>
          <w:tcPr>
            <w:tcW w:w="611" w:type="pct"/>
          </w:tcPr>
          <w:p w14:paraId="46AAFF1E"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Masa 3.4. Monitorimi, vlerësimi dhe sigurimi i cilësisë së funksionimit të qendrave burimore.</w:t>
            </w:r>
          </w:p>
        </w:tc>
        <w:tc>
          <w:tcPr>
            <w:tcW w:w="764" w:type="pct"/>
          </w:tcPr>
          <w:p w14:paraId="290A0B53"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tc>
        <w:tc>
          <w:tcPr>
            <w:tcW w:w="831" w:type="pct"/>
          </w:tcPr>
          <w:p w14:paraId="01613870" w14:textId="0DF5EA40"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Kornizë monitorimi për QB</w:t>
            </w:r>
            <w:r w:rsidR="005709DB" w:rsidRPr="00024D5A">
              <w:rPr>
                <w:rFonts w:ascii="Garamond" w:eastAsia="Times New Roman" w:hAnsi="Garamond"/>
                <w:sz w:val="10"/>
                <w:szCs w:val="10"/>
                <w:lang w:eastAsia="en-US"/>
              </w:rPr>
              <w:t>-n</w:t>
            </w:r>
            <w:r w:rsidRPr="00024D5A">
              <w:rPr>
                <w:rFonts w:ascii="Garamond" w:eastAsia="Times New Roman" w:hAnsi="Garamond"/>
                <w:sz w:val="10"/>
                <w:szCs w:val="10"/>
                <w:lang w:eastAsia="en-US"/>
              </w:rPr>
              <w:t xml:space="preserve"> e </w:t>
            </w:r>
            <w:r w:rsidR="005709DB" w:rsidRPr="00024D5A">
              <w:rPr>
                <w:rFonts w:ascii="Garamond" w:eastAsia="Times New Roman" w:hAnsi="Garamond"/>
                <w:sz w:val="10"/>
                <w:szCs w:val="10"/>
                <w:lang w:eastAsia="en-US"/>
              </w:rPr>
              <w:t>miratuare.</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Nr.</w:t>
            </w:r>
            <w:r w:rsidR="000C2D3A" w:rsidRPr="00024D5A">
              <w:rPr>
                <w:rFonts w:ascii="Garamond" w:eastAsia="Times New Roman" w:hAnsi="Garamond"/>
                <w:sz w:val="10"/>
                <w:szCs w:val="10"/>
                <w:lang w:eastAsia="en-US"/>
              </w:rPr>
              <w:t>: vlerësime</w:t>
            </w:r>
            <w:r w:rsidRPr="00024D5A">
              <w:rPr>
                <w:rFonts w:ascii="Garamond" w:eastAsia="Times New Roman" w:hAnsi="Garamond"/>
                <w:sz w:val="10"/>
                <w:szCs w:val="10"/>
                <w:lang w:eastAsia="en-US"/>
              </w:rPr>
              <w:t>/raporteve vjetore</w:t>
            </w:r>
            <w:r w:rsidR="000C2D3A" w:rsidRPr="00024D5A">
              <w:rPr>
                <w:rFonts w:ascii="Garamond" w:eastAsia="Times New Roman" w:hAnsi="Garamond"/>
                <w:sz w:val="10"/>
                <w:szCs w:val="10"/>
                <w:lang w:eastAsia="en-US"/>
              </w:rPr>
              <w:t>.</w:t>
            </w:r>
          </w:p>
        </w:tc>
        <w:tc>
          <w:tcPr>
            <w:tcW w:w="388" w:type="pct"/>
          </w:tcPr>
          <w:p w14:paraId="09BEC688"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N/A</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N/A</w:t>
            </w:r>
          </w:p>
        </w:tc>
        <w:tc>
          <w:tcPr>
            <w:tcW w:w="491" w:type="pct"/>
          </w:tcPr>
          <w:p w14:paraId="76D2F877"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1 kornizë monitorimi e hartuar/aprovuar;</w:t>
            </w:r>
            <w:r w:rsidRPr="00024D5A">
              <w:rPr>
                <w:rFonts w:ascii="Garamond" w:eastAsia="Times New Roman" w:hAnsi="Garamond"/>
                <w:sz w:val="10"/>
                <w:szCs w:val="10"/>
                <w:lang w:eastAsia="en-US"/>
              </w:rPr>
              <w:br/>
              <w:t>2 raporte vjetore;</w:t>
            </w:r>
          </w:p>
        </w:tc>
        <w:tc>
          <w:tcPr>
            <w:tcW w:w="458" w:type="pct"/>
          </w:tcPr>
          <w:p w14:paraId="1692E741"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2 raporte vjetore monitorimi për rolin e funksionimin e QB;</w:t>
            </w:r>
          </w:p>
        </w:tc>
        <w:tc>
          <w:tcPr>
            <w:tcW w:w="457" w:type="pct"/>
          </w:tcPr>
          <w:p w14:paraId="1CBE67C8"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xml:space="preserve">Raporte MAS; </w:t>
            </w:r>
            <w:r w:rsidRPr="00024D5A">
              <w:rPr>
                <w:rFonts w:ascii="Garamond" w:eastAsia="Times New Roman" w:hAnsi="Garamond"/>
                <w:sz w:val="10"/>
                <w:szCs w:val="10"/>
                <w:lang w:eastAsia="en-US"/>
              </w:rPr>
              <w:br/>
              <w:t>Auditime;</w:t>
            </w:r>
          </w:p>
        </w:tc>
        <w:tc>
          <w:tcPr>
            <w:tcW w:w="570" w:type="pct"/>
          </w:tcPr>
          <w:p w14:paraId="4FA01BDA"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tc>
      </w:tr>
      <w:tr w:rsidR="003E1630" w:rsidRPr="00024D5A" w14:paraId="578424C3" w14:textId="77777777" w:rsidTr="003509EA">
        <w:trPr>
          <w:trHeight w:val="20"/>
        </w:trPr>
        <w:tc>
          <w:tcPr>
            <w:tcW w:w="430" w:type="pct"/>
            <w:vMerge/>
          </w:tcPr>
          <w:p w14:paraId="1B4CDFAF" w14:textId="77777777" w:rsidR="003E1630" w:rsidRPr="00024D5A" w:rsidRDefault="003E1630" w:rsidP="00791B1A">
            <w:pPr>
              <w:rPr>
                <w:rFonts w:ascii="Garamond" w:eastAsia="Times New Roman" w:hAnsi="Garamond"/>
                <w:b/>
                <w:bCs/>
                <w:sz w:val="10"/>
                <w:szCs w:val="10"/>
                <w:lang w:eastAsia="en-US"/>
              </w:rPr>
            </w:pPr>
          </w:p>
        </w:tc>
        <w:tc>
          <w:tcPr>
            <w:tcW w:w="611" w:type="pct"/>
          </w:tcPr>
          <w:p w14:paraId="6F2DFC09" w14:textId="29180744"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Masa 4.1. Rishikimi dhe forcimi i një kuadri të qëndrueshëm ligjor dhe institucional që garanton mosdiskriminimin, aksesin e barabartë dhe respektimin e standardeve ndërkombëtare të gjithëpërfshirjes së studentëve me aftësi të kufizuara në arsimin e lartë, i integruar me mekanizma të monitorimit dhe sigurimit të cilësisë.</w:t>
            </w:r>
          </w:p>
        </w:tc>
        <w:tc>
          <w:tcPr>
            <w:tcW w:w="764" w:type="pct"/>
          </w:tcPr>
          <w:p w14:paraId="522ADFB4"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tc>
        <w:tc>
          <w:tcPr>
            <w:tcW w:w="831" w:type="pct"/>
          </w:tcPr>
          <w:p w14:paraId="51D4CEBC" w14:textId="2E28447C"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Amendime ligjore të miratuara (nr</w:t>
            </w:r>
            <w:r w:rsidR="005709DB" w:rsidRPr="00024D5A">
              <w:rPr>
                <w:rFonts w:ascii="Garamond" w:eastAsia="Times New Roman" w:hAnsi="Garamond"/>
                <w:sz w:val="10"/>
                <w:szCs w:val="10"/>
                <w:lang w:eastAsia="en-US"/>
              </w:rPr>
              <w:t>.</w:t>
            </w:r>
            <w:r w:rsidRPr="00024D5A">
              <w:rPr>
                <w:rFonts w:ascii="Garamond" w:eastAsia="Times New Roman" w:hAnsi="Garamond"/>
                <w:sz w:val="10"/>
                <w:szCs w:val="10"/>
                <w:lang w:eastAsia="en-US"/>
              </w:rPr>
              <w:t xml:space="preserve">); </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 xml:space="preserve">Mekanizëm monitorimi në IAL për plotësim të indikatorëve të aksesueshmërisë dhe gjithëpërfshirjes Kodi i Cilësisë i rishikuar; </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 IAL me politika mosdiskriminim</w:t>
            </w:r>
            <w:r w:rsidR="000C2D3A" w:rsidRPr="00024D5A">
              <w:rPr>
                <w:rFonts w:ascii="Garamond" w:eastAsia="Times New Roman" w:hAnsi="Garamond"/>
                <w:sz w:val="10"/>
                <w:szCs w:val="10"/>
                <w:lang w:eastAsia="en-US"/>
              </w:rPr>
              <w:t>.</w:t>
            </w:r>
          </w:p>
        </w:tc>
        <w:tc>
          <w:tcPr>
            <w:tcW w:w="388" w:type="pct"/>
          </w:tcPr>
          <w:p w14:paraId="6C0BF409"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tc>
        <w:tc>
          <w:tcPr>
            <w:tcW w:w="491" w:type="pct"/>
          </w:tcPr>
          <w:p w14:paraId="219DF322" w14:textId="3BB12265"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1 akt ligjor i ndryshuar (</w:t>
            </w:r>
            <w:r w:rsidR="005709DB" w:rsidRPr="00024D5A">
              <w:rPr>
                <w:rFonts w:ascii="Garamond" w:eastAsia="Times New Roman" w:hAnsi="Garamond"/>
                <w:sz w:val="10"/>
                <w:szCs w:val="10"/>
                <w:lang w:eastAsia="en-US"/>
              </w:rPr>
              <w:t xml:space="preserve">ligji </w:t>
            </w:r>
            <w:r w:rsidRPr="00024D5A">
              <w:rPr>
                <w:rFonts w:ascii="Garamond" w:eastAsia="Times New Roman" w:hAnsi="Garamond"/>
                <w:sz w:val="10"/>
                <w:szCs w:val="10"/>
                <w:lang w:eastAsia="en-US"/>
              </w:rPr>
              <w:t>për arsimin universitar gjithë</w:t>
            </w:r>
            <w:r w:rsidR="00015096" w:rsidRPr="00024D5A">
              <w:rPr>
                <w:rFonts w:ascii="Garamond" w:eastAsia="Times New Roman" w:hAnsi="Garamond"/>
                <w:sz w:val="10"/>
                <w:szCs w:val="10"/>
                <w:lang w:eastAsia="en-US"/>
              </w:rPr>
              <w:t>-</w:t>
            </w:r>
            <w:r w:rsidRPr="00024D5A">
              <w:rPr>
                <w:rFonts w:ascii="Garamond" w:eastAsia="Times New Roman" w:hAnsi="Garamond"/>
                <w:sz w:val="10"/>
                <w:szCs w:val="10"/>
                <w:lang w:eastAsia="en-US"/>
              </w:rPr>
              <w:t>përfshirës)</w:t>
            </w:r>
            <w:r w:rsidR="005709DB" w:rsidRPr="00024D5A">
              <w:rPr>
                <w:rFonts w:ascii="Garamond" w:eastAsia="Times New Roman" w:hAnsi="Garamond"/>
                <w:sz w:val="10"/>
                <w:szCs w:val="10"/>
                <w:lang w:eastAsia="en-US"/>
              </w:rPr>
              <w:t>.</w:t>
            </w:r>
          </w:p>
        </w:tc>
        <w:tc>
          <w:tcPr>
            <w:tcW w:w="458" w:type="pct"/>
          </w:tcPr>
          <w:p w14:paraId="43852E8D" w14:textId="30E21783"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1 akt ligjor i ndryshuar (Kodi i cilësisë së arsimit të lartë me tregues të aksesueshmërisë dhe gjithë</w:t>
            </w:r>
            <w:r w:rsidR="00015096" w:rsidRPr="00024D5A">
              <w:rPr>
                <w:rFonts w:ascii="Garamond" w:eastAsia="Times New Roman" w:hAnsi="Garamond"/>
                <w:sz w:val="10"/>
                <w:szCs w:val="10"/>
                <w:lang w:eastAsia="en-US"/>
              </w:rPr>
              <w:t>-</w:t>
            </w:r>
            <w:r w:rsidRPr="00024D5A">
              <w:rPr>
                <w:rFonts w:ascii="Garamond" w:eastAsia="Times New Roman" w:hAnsi="Garamond"/>
                <w:sz w:val="10"/>
                <w:szCs w:val="10"/>
                <w:lang w:eastAsia="en-US"/>
              </w:rPr>
              <w:t>përfshirjes)</w:t>
            </w:r>
            <w:r w:rsidR="005709DB" w:rsidRPr="00024D5A">
              <w:rPr>
                <w:rFonts w:ascii="Garamond" w:eastAsia="Times New Roman" w:hAnsi="Garamond"/>
                <w:sz w:val="10"/>
                <w:szCs w:val="10"/>
                <w:lang w:eastAsia="en-US"/>
              </w:rPr>
              <w:t>.</w:t>
            </w:r>
          </w:p>
        </w:tc>
        <w:tc>
          <w:tcPr>
            <w:tcW w:w="457" w:type="pct"/>
          </w:tcPr>
          <w:p w14:paraId="6757B0D6" w14:textId="1DD1156C"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xml:space="preserve">Fletorja Zyrtare; </w:t>
            </w:r>
            <w:r w:rsidRPr="00024D5A">
              <w:rPr>
                <w:rFonts w:ascii="Garamond" w:eastAsia="Times New Roman" w:hAnsi="Garamond"/>
                <w:sz w:val="10"/>
                <w:szCs w:val="10"/>
                <w:lang w:eastAsia="en-US"/>
              </w:rPr>
              <w:br/>
              <w:t xml:space="preserve">Raporte ASCAL; </w:t>
            </w:r>
            <w:r w:rsidRPr="00024D5A">
              <w:rPr>
                <w:rFonts w:ascii="Garamond" w:eastAsia="Times New Roman" w:hAnsi="Garamond"/>
                <w:sz w:val="10"/>
                <w:szCs w:val="10"/>
                <w:lang w:eastAsia="en-US"/>
              </w:rPr>
              <w:br/>
              <w:t>Statute universitare</w:t>
            </w:r>
            <w:r w:rsidR="005709DB" w:rsidRPr="00024D5A">
              <w:rPr>
                <w:rFonts w:ascii="Garamond" w:eastAsia="Times New Roman" w:hAnsi="Garamond"/>
                <w:sz w:val="10"/>
                <w:szCs w:val="10"/>
                <w:lang w:eastAsia="en-US"/>
              </w:rPr>
              <w:t>.</w:t>
            </w:r>
          </w:p>
        </w:tc>
        <w:tc>
          <w:tcPr>
            <w:tcW w:w="570" w:type="pct"/>
          </w:tcPr>
          <w:p w14:paraId="2A27E4E0"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tc>
      </w:tr>
      <w:tr w:rsidR="003E1630" w:rsidRPr="00024D5A" w14:paraId="2689380B" w14:textId="77777777" w:rsidTr="003509EA">
        <w:trPr>
          <w:trHeight w:val="20"/>
        </w:trPr>
        <w:tc>
          <w:tcPr>
            <w:tcW w:w="430" w:type="pct"/>
            <w:vMerge/>
          </w:tcPr>
          <w:p w14:paraId="0383404F" w14:textId="77777777" w:rsidR="003E1630" w:rsidRPr="00024D5A" w:rsidRDefault="003E1630" w:rsidP="00791B1A">
            <w:pPr>
              <w:rPr>
                <w:rFonts w:ascii="Garamond" w:eastAsia="Times New Roman" w:hAnsi="Garamond"/>
                <w:b/>
                <w:bCs/>
                <w:sz w:val="10"/>
                <w:szCs w:val="10"/>
                <w:lang w:eastAsia="en-US"/>
              </w:rPr>
            </w:pPr>
          </w:p>
        </w:tc>
        <w:tc>
          <w:tcPr>
            <w:tcW w:w="611" w:type="pct"/>
          </w:tcPr>
          <w:p w14:paraId="5D46C6A7"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Masa 4.2. Aksesueshmëri e plotë fizike, digjitale dhe akademike në institucionet e arsimit të lartë. Sigurimi i një mjedisi universitar të aksesueshëm për të gjithë studentët, përmes përshtatjes së infrastrukturës, teknologjisë, komunikimit dhe proceseve akademike, në përputhje me parimet e dizajnit universal.</w:t>
            </w:r>
          </w:p>
        </w:tc>
        <w:tc>
          <w:tcPr>
            <w:tcW w:w="764" w:type="pct"/>
          </w:tcPr>
          <w:p w14:paraId="7F3FD818"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tc>
        <w:tc>
          <w:tcPr>
            <w:tcW w:w="831" w:type="pct"/>
          </w:tcPr>
          <w:p w14:paraId="4F521258"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Nr. njësive mbështetëse të ngritura në IAL;</w:t>
            </w:r>
            <w:r w:rsidRPr="00024D5A">
              <w:rPr>
                <w:rFonts w:ascii="Garamond" w:eastAsia="Times New Roman" w:hAnsi="Garamond"/>
                <w:sz w:val="10"/>
                <w:szCs w:val="10"/>
                <w:lang w:eastAsia="en-US"/>
              </w:rPr>
              <w:br/>
            </w:r>
          </w:p>
        </w:tc>
        <w:tc>
          <w:tcPr>
            <w:tcW w:w="388" w:type="pct"/>
          </w:tcPr>
          <w:p w14:paraId="1A969D1A"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N/A</w:t>
            </w:r>
          </w:p>
        </w:tc>
        <w:tc>
          <w:tcPr>
            <w:tcW w:w="491" w:type="pct"/>
          </w:tcPr>
          <w:p w14:paraId="1F15ADD6"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5</w:t>
            </w:r>
          </w:p>
        </w:tc>
        <w:tc>
          <w:tcPr>
            <w:tcW w:w="458" w:type="pct"/>
          </w:tcPr>
          <w:p w14:paraId="1DBAB7D9"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10</w:t>
            </w:r>
          </w:p>
        </w:tc>
        <w:tc>
          <w:tcPr>
            <w:tcW w:w="457" w:type="pct"/>
          </w:tcPr>
          <w:p w14:paraId="1F2BAFCA" w14:textId="7A0373E4"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Audit infra</w:t>
            </w:r>
            <w:r w:rsidR="008973C3" w:rsidRPr="00024D5A">
              <w:rPr>
                <w:rFonts w:ascii="Garamond" w:eastAsia="Times New Roman" w:hAnsi="Garamond"/>
                <w:sz w:val="10"/>
                <w:szCs w:val="10"/>
                <w:lang w:eastAsia="en-US"/>
              </w:rPr>
              <w:t>-</w:t>
            </w:r>
            <w:r w:rsidRPr="00024D5A">
              <w:rPr>
                <w:rFonts w:ascii="Garamond" w:eastAsia="Times New Roman" w:hAnsi="Garamond"/>
                <w:sz w:val="10"/>
                <w:szCs w:val="10"/>
                <w:lang w:eastAsia="en-US"/>
              </w:rPr>
              <w:t>struktur</w:t>
            </w:r>
            <w:r w:rsidR="00015096" w:rsidRPr="00024D5A">
              <w:rPr>
                <w:rFonts w:ascii="Garamond" w:eastAsia="Times New Roman" w:hAnsi="Garamond"/>
                <w:sz w:val="10"/>
                <w:szCs w:val="10"/>
                <w:lang w:eastAsia="en-US"/>
              </w:rPr>
              <w:t>ë</w:t>
            </w:r>
            <w:r w:rsidRPr="00024D5A">
              <w:rPr>
                <w:rFonts w:ascii="Garamond" w:eastAsia="Times New Roman" w:hAnsi="Garamond"/>
                <w:sz w:val="10"/>
                <w:szCs w:val="10"/>
                <w:lang w:eastAsia="en-US"/>
              </w:rPr>
              <w:t xml:space="preserve">; </w:t>
            </w:r>
            <w:r w:rsidRPr="00024D5A">
              <w:rPr>
                <w:rFonts w:ascii="Garamond" w:eastAsia="Times New Roman" w:hAnsi="Garamond"/>
                <w:sz w:val="10"/>
                <w:szCs w:val="10"/>
                <w:lang w:eastAsia="en-US"/>
              </w:rPr>
              <w:br/>
              <w:t xml:space="preserve">Raporte të universiteteve; Raporte ASCAL, </w:t>
            </w:r>
            <w:r w:rsidRPr="00024D5A">
              <w:rPr>
                <w:rFonts w:ascii="Garamond" w:eastAsia="Times New Roman" w:hAnsi="Garamond"/>
                <w:sz w:val="10"/>
                <w:szCs w:val="10"/>
                <w:lang w:eastAsia="en-US"/>
              </w:rPr>
              <w:br/>
              <w:t xml:space="preserve">Raporte MAS; </w:t>
            </w:r>
            <w:r w:rsidRPr="00024D5A">
              <w:rPr>
                <w:rFonts w:ascii="Garamond" w:eastAsia="Times New Roman" w:hAnsi="Garamond"/>
                <w:sz w:val="10"/>
                <w:szCs w:val="10"/>
                <w:lang w:eastAsia="en-US"/>
              </w:rPr>
              <w:br/>
              <w:t>Akreditime</w:t>
            </w:r>
            <w:r w:rsidR="009C3CEC" w:rsidRPr="00024D5A">
              <w:rPr>
                <w:rFonts w:ascii="Garamond" w:eastAsia="Times New Roman" w:hAnsi="Garamond"/>
                <w:sz w:val="10"/>
                <w:szCs w:val="10"/>
                <w:lang w:eastAsia="en-US"/>
              </w:rPr>
              <w:t>.</w:t>
            </w:r>
          </w:p>
        </w:tc>
        <w:tc>
          <w:tcPr>
            <w:tcW w:w="570" w:type="pct"/>
          </w:tcPr>
          <w:p w14:paraId="6A039572"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tc>
      </w:tr>
      <w:tr w:rsidR="003E1630" w:rsidRPr="00024D5A" w14:paraId="49C76CFA" w14:textId="77777777" w:rsidTr="003509EA">
        <w:trPr>
          <w:trHeight w:val="20"/>
        </w:trPr>
        <w:tc>
          <w:tcPr>
            <w:tcW w:w="430" w:type="pct"/>
            <w:vMerge/>
          </w:tcPr>
          <w:p w14:paraId="7937BA9C" w14:textId="77777777" w:rsidR="003E1630" w:rsidRPr="00024D5A" w:rsidRDefault="003E1630" w:rsidP="00791B1A">
            <w:pPr>
              <w:rPr>
                <w:rFonts w:ascii="Garamond" w:eastAsia="Times New Roman" w:hAnsi="Garamond"/>
                <w:b/>
                <w:bCs/>
                <w:sz w:val="10"/>
                <w:szCs w:val="10"/>
                <w:lang w:eastAsia="en-US"/>
              </w:rPr>
            </w:pPr>
          </w:p>
        </w:tc>
        <w:tc>
          <w:tcPr>
            <w:tcW w:w="611" w:type="pct"/>
          </w:tcPr>
          <w:p w14:paraId="69FEF0D9"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Masa 4.3. Shërbime mbështetëse dhe zhvillim kapacitetesh për arsimin e lartë gjithëpërfshirës. Forcimi i mbështetjes institucionale dhe profesionale për studentët me aftësi të kufizuara, përmes shërbimeve të specializuara dhe rritjes së kapaciteteve të stafit akademik dhe administrativ.</w:t>
            </w:r>
          </w:p>
        </w:tc>
        <w:tc>
          <w:tcPr>
            <w:tcW w:w="764" w:type="pct"/>
          </w:tcPr>
          <w:p w14:paraId="746AB089"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tc>
        <w:tc>
          <w:tcPr>
            <w:tcW w:w="831" w:type="pct"/>
          </w:tcPr>
          <w:p w14:paraId="3C0373B4" w14:textId="413CCA32" w:rsidR="003E1630" w:rsidRPr="00024D5A" w:rsidRDefault="00F03D39"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w:t>
            </w:r>
            <w:r w:rsidR="005743A8" w:rsidRPr="00024D5A">
              <w:rPr>
                <w:rFonts w:ascii="Garamond" w:eastAsia="Times New Roman" w:hAnsi="Garamond"/>
                <w:sz w:val="10"/>
                <w:szCs w:val="10"/>
                <w:lang w:eastAsia="en-US"/>
              </w:rPr>
              <w:t xml:space="preserve"> stafit të trajnuar;</w:t>
            </w:r>
            <w:r w:rsidR="005743A8" w:rsidRPr="00024D5A">
              <w:rPr>
                <w:rFonts w:ascii="Garamond" w:eastAsia="Times New Roman" w:hAnsi="Garamond"/>
                <w:sz w:val="10"/>
                <w:szCs w:val="10"/>
                <w:lang w:eastAsia="en-US"/>
              </w:rPr>
              <w:br/>
            </w:r>
            <w:r w:rsidR="005743A8" w:rsidRPr="00024D5A">
              <w:rPr>
                <w:rFonts w:ascii="Garamond" w:eastAsia="Times New Roman" w:hAnsi="Garamond"/>
                <w:sz w:val="10"/>
                <w:szCs w:val="10"/>
                <w:lang w:eastAsia="en-US"/>
              </w:rPr>
              <w:br/>
              <w:t xml:space="preserve">Nr. </w:t>
            </w:r>
            <w:r w:rsidR="009C3CEC" w:rsidRPr="00024D5A">
              <w:rPr>
                <w:rFonts w:ascii="Garamond" w:eastAsia="Times New Roman" w:hAnsi="Garamond"/>
                <w:sz w:val="10"/>
                <w:szCs w:val="10"/>
                <w:lang w:eastAsia="en-US"/>
              </w:rPr>
              <w:t xml:space="preserve">i </w:t>
            </w:r>
            <w:r w:rsidR="005743A8" w:rsidRPr="00024D5A">
              <w:rPr>
                <w:rFonts w:ascii="Garamond" w:eastAsia="Times New Roman" w:hAnsi="Garamond"/>
                <w:sz w:val="10"/>
                <w:szCs w:val="10"/>
                <w:lang w:eastAsia="en-US"/>
              </w:rPr>
              <w:t>mentorimeve individuale</w:t>
            </w:r>
            <w:r w:rsidR="005743A8" w:rsidRPr="00024D5A">
              <w:rPr>
                <w:rFonts w:ascii="Garamond" w:eastAsia="Times New Roman" w:hAnsi="Garamond"/>
                <w:sz w:val="10"/>
                <w:szCs w:val="10"/>
                <w:lang w:eastAsia="en-US"/>
              </w:rPr>
              <w:br/>
              <w:t>% e studentëve që ndjekin arsimin e lartë në të gjitha nivelet</w:t>
            </w:r>
            <w:r w:rsidR="00AD1D65" w:rsidRPr="00024D5A">
              <w:rPr>
                <w:rFonts w:ascii="Garamond" w:eastAsia="Times New Roman" w:hAnsi="Garamond"/>
                <w:sz w:val="10"/>
                <w:szCs w:val="10"/>
                <w:lang w:eastAsia="en-US"/>
              </w:rPr>
              <w:t>.</w:t>
            </w:r>
          </w:p>
        </w:tc>
        <w:tc>
          <w:tcPr>
            <w:tcW w:w="388" w:type="pct"/>
          </w:tcPr>
          <w:p w14:paraId="6B7A84A6"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N/A</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N/A</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N/A</w:t>
            </w:r>
          </w:p>
        </w:tc>
        <w:tc>
          <w:tcPr>
            <w:tcW w:w="491" w:type="pct"/>
          </w:tcPr>
          <w:p w14:paraId="563FC05A"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10%</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40% (50% femra)</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20%</w:t>
            </w:r>
          </w:p>
        </w:tc>
        <w:tc>
          <w:tcPr>
            <w:tcW w:w="458" w:type="pct"/>
          </w:tcPr>
          <w:p w14:paraId="66C313D6"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20%</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50% (50% femra)</w:t>
            </w:r>
            <w:r w:rsidRPr="00024D5A">
              <w:rPr>
                <w:rFonts w:ascii="Garamond" w:eastAsia="Times New Roman" w:hAnsi="Garamond"/>
                <w:sz w:val="10"/>
                <w:szCs w:val="10"/>
                <w:lang w:eastAsia="en-US"/>
              </w:rPr>
              <w:br/>
            </w:r>
            <w:r w:rsidRPr="00024D5A">
              <w:rPr>
                <w:rFonts w:ascii="Garamond" w:eastAsia="Times New Roman" w:hAnsi="Garamond"/>
                <w:sz w:val="10"/>
                <w:szCs w:val="10"/>
                <w:lang w:eastAsia="en-US"/>
              </w:rPr>
              <w:br/>
              <w:t>30%</w:t>
            </w:r>
          </w:p>
        </w:tc>
        <w:tc>
          <w:tcPr>
            <w:tcW w:w="457" w:type="pct"/>
          </w:tcPr>
          <w:p w14:paraId="64DCDC18" w14:textId="1F91014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xml:space="preserve">Raporte universitare; </w:t>
            </w:r>
            <w:r w:rsidRPr="00024D5A">
              <w:rPr>
                <w:rFonts w:ascii="Garamond" w:eastAsia="Times New Roman" w:hAnsi="Garamond"/>
                <w:sz w:val="10"/>
                <w:szCs w:val="10"/>
                <w:lang w:eastAsia="en-US"/>
              </w:rPr>
              <w:br/>
              <w:t xml:space="preserve">Regjistra trajnimesh; </w:t>
            </w:r>
            <w:r w:rsidRPr="00024D5A">
              <w:rPr>
                <w:rFonts w:ascii="Garamond" w:eastAsia="Times New Roman" w:hAnsi="Garamond"/>
                <w:sz w:val="10"/>
                <w:szCs w:val="10"/>
                <w:lang w:eastAsia="en-US"/>
              </w:rPr>
              <w:br/>
              <w:t>Raporte MA</w:t>
            </w:r>
            <w:r w:rsidR="009C3CEC" w:rsidRPr="00024D5A">
              <w:rPr>
                <w:rFonts w:ascii="Garamond" w:eastAsia="Times New Roman" w:hAnsi="Garamond"/>
                <w:sz w:val="10"/>
                <w:szCs w:val="10"/>
                <w:lang w:eastAsia="en-US"/>
              </w:rPr>
              <w:t>.</w:t>
            </w:r>
          </w:p>
        </w:tc>
        <w:tc>
          <w:tcPr>
            <w:tcW w:w="570" w:type="pct"/>
          </w:tcPr>
          <w:p w14:paraId="07F47F61" w14:textId="77777777" w:rsidR="003E1630" w:rsidRPr="00024D5A" w:rsidRDefault="005743A8" w:rsidP="00791B1A">
            <w:pPr>
              <w:rPr>
                <w:rFonts w:ascii="Garamond" w:eastAsia="Times New Roman" w:hAnsi="Garamond"/>
                <w:sz w:val="10"/>
                <w:szCs w:val="10"/>
                <w:lang w:eastAsia="en-US"/>
              </w:rPr>
            </w:pPr>
            <w:r w:rsidRPr="00024D5A">
              <w:rPr>
                <w:rFonts w:ascii="Garamond" w:eastAsia="Times New Roman" w:hAnsi="Garamond"/>
                <w:sz w:val="10"/>
                <w:szCs w:val="10"/>
                <w:lang w:eastAsia="en-US"/>
              </w:rPr>
              <w:t> </w:t>
            </w:r>
          </w:p>
        </w:tc>
      </w:tr>
    </w:tbl>
    <w:p w14:paraId="49718611" w14:textId="77777777" w:rsidR="003E1630" w:rsidRPr="00024D5A" w:rsidRDefault="003E1630" w:rsidP="00791B1A">
      <w:pPr>
        <w:rPr>
          <w:rFonts w:ascii="Garamond" w:eastAsia="MS Mincho" w:hAnsi="Garamond"/>
          <w:lang w:eastAsia="en-US"/>
        </w:rPr>
      </w:pPr>
    </w:p>
    <w:p w14:paraId="2331136B" w14:textId="472C95DA" w:rsidR="003E1630" w:rsidRPr="00024D5A" w:rsidRDefault="0058487E" w:rsidP="00791B1A">
      <w:pPr>
        <w:pStyle w:val="Heading2"/>
        <w:spacing w:before="0"/>
        <w:rPr>
          <w:rFonts w:ascii="Garamond" w:hAnsi="Garamond"/>
          <w:color w:val="auto"/>
          <w:sz w:val="24"/>
          <w:lang w:eastAsia="en-US"/>
        </w:rPr>
      </w:pPr>
      <w:bookmarkStart w:id="63" w:name="_Toc231489661"/>
      <w:r w:rsidRPr="00024D5A">
        <w:rPr>
          <w:rFonts w:ascii="Garamond" w:hAnsi="Garamond"/>
          <w:color w:val="auto"/>
          <w:sz w:val="24"/>
          <w:lang w:eastAsia="en-US"/>
        </w:rPr>
        <w:t>5</w:t>
      </w:r>
      <w:r w:rsidR="005743A8" w:rsidRPr="00024D5A">
        <w:rPr>
          <w:rFonts w:ascii="Garamond" w:hAnsi="Garamond"/>
          <w:color w:val="auto"/>
          <w:sz w:val="24"/>
          <w:lang w:eastAsia="en-US"/>
        </w:rPr>
        <w:t>.5 Mbrojtja Sociale</w:t>
      </w:r>
      <w:bookmarkEnd w:id="63"/>
    </w:p>
    <w:p w14:paraId="2CC2B029" w14:textId="77777777" w:rsidR="003E1630" w:rsidRPr="00024D5A" w:rsidRDefault="003E1630" w:rsidP="00791B1A">
      <w:pPr>
        <w:rPr>
          <w:rFonts w:ascii="Garamond" w:eastAsia="MS Mincho" w:hAnsi="Garamond"/>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9"/>
        <w:gridCol w:w="1179"/>
        <w:gridCol w:w="1234"/>
        <w:gridCol w:w="1145"/>
        <w:gridCol w:w="1373"/>
        <w:gridCol w:w="1152"/>
        <w:gridCol w:w="1134"/>
        <w:gridCol w:w="1444"/>
      </w:tblGrid>
      <w:tr w:rsidR="003E1630" w:rsidRPr="00024D5A" w14:paraId="2EEFC756" w14:textId="77777777" w:rsidTr="00EE0000">
        <w:trPr>
          <w:trHeight w:val="20"/>
        </w:trPr>
        <w:tc>
          <w:tcPr>
            <w:tcW w:w="368" w:type="pct"/>
            <w:shd w:val="clear" w:color="auto" w:fill="C0E5F3"/>
            <w:vAlign w:val="center"/>
          </w:tcPr>
          <w:p w14:paraId="43ECE8E4" w14:textId="53D44013" w:rsidR="003E1630" w:rsidRPr="00024D5A" w:rsidRDefault="003E1630" w:rsidP="00657405">
            <w:pPr>
              <w:jc w:val="center"/>
              <w:rPr>
                <w:rFonts w:ascii="Garamond" w:eastAsia="Times New Roman" w:hAnsi="Garamond"/>
                <w:sz w:val="12"/>
                <w:szCs w:val="16"/>
                <w:lang w:eastAsia="en-US"/>
              </w:rPr>
            </w:pPr>
          </w:p>
        </w:tc>
        <w:tc>
          <w:tcPr>
            <w:tcW w:w="630" w:type="pct"/>
            <w:shd w:val="clear" w:color="auto" w:fill="C0E5F3"/>
            <w:vAlign w:val="center"/>
          </w:tcPr>
          <w:p w14:paraId="72AF3E0E" w14:textId="77777777" w:rsidR="003E1630" w:rsidRPr="00024D5A" w:rsidRDefault="005743A8" w:rsidP="00657405">
            <w:pPr>
              <w:jc w:val="center"/>
              <w:rPr>
                <w:rFonts w:ascii="Garamond" w:eastAsia="Times New Roman" w:hAnsi="Garamond"/>
                <w:b/>
                <w:bCs/>
                <w:sz w:val="12"/>
                <w:szCs w:val="16"/>
                <w:lang w:eastAsia="en-US"/>
              </w:rPr>
            </w:pPr>
            <w:r w:rsidRPr="00024D5A">
              <w:rPr>
                <w:rFonts w:ascii="Garamond" w:eastAsia="Times New Roman" w:hAnsi="Garamond"/>
                <w:b/>
                <w:bCs/>
                <w:sz w:val="12"/>
                <w:szCs w:val="16"/>
                <w:lang w:eastAsia="en-US"/>
              </w:rPr>
              <w:t>Objektivat</w:t>
            </w:r>
          </w:p>
        </w:tc>
        <w:tc>
          <w:tcPr>
            <w:tcW w:w="660" w:type="pct"/>
            <w:shd w:val="clear" w:color="auto" w:fill="C0E5F3"/>
            <w:vAlign w:val="center"/>
          </w:tcPr>
          <w:p w14:paraId="47EC8703" w14:textId="77777777" w:rsidR="003E1630" w:rsidRPr="00024D5A" w:rsidRDefault="005743A8" w:rsidP="00657405">
            <w:pPr>
              <w:jc w:val="center"/>
              <w:rPr>
                <w:rFonts w:ascii="Garamond" w:eastAsia="Times New Roman" w:hAnsi="Garamond"/>
                <w:b/>
                <w:bCs/>
                <w:sz w:val="12"/>
                <w:szCs w:val="16"/>
                <w:lang w:eastAsia="en-US"/>
              </w:rPr>
            </w:pPr>
            <w:r w:rsidRPr="00024D5A">
              <w:rPr>
                <w:rFonts w:ascii="Garamond" w:eastAsia="Times New Roman" w:hAnsi="Garamond"/>
                <w:b/>
                <w:bCs/>
                <w:sz w:val="12"/>
                <w:szCs w:val="16"/>
                <w:lang w:eastAsia="en-US"/>
              </w:rPr>
              <w:t>Treguesi</w:t>
            </w:r>
          </w:p>
        </w:tc>
        <w:tc>
          <w:tcPr>
            <w:tcW w:w="613" w:type="pct"/>
            <w:shd w:val="clear" w:color="auto" w:fill="C0E5F3"/>
            <w:vAlign w:val="center"/>
          </w:tcPr>
          <w:p w14:paraId="58045588" w14:textId="77777777" w:rsidR="003E1630" w:rsidRPr="00024D5A" w:rsidRDefault="005743A8" w:rsidP="00657405">
            <w:pPr>
              <w:jc w:val="center"/>
              <w:rPr>
                <w:rFonts w:ascii="Garamond" w:eastAsia="Times New Roman" w:hAnsi="Garamond"/>
                <w:b/>
                <w:bCs/>
                <w:sz w:val="12"/>
                <w:szCs w:val="16"/>
                <w:lang w:eastAsia="en-US"/>
              </w:rPr>
            </w:pPr>
            <w:r w:rsidRPr="00024D5A">
              <w:rPr>
                <w:rFonts w:ascii="Garamond" w:eastAsia="Times New Roman" w:hAnsi="Garamond"/>
                <w:b/>
                <w:bCs/>
                <w:sz w:val="12"/>
                <w:szCs w:val="16"/>
                <w:lang w:eastAsia="en-US"/>
              </w:rPr>
              <w:t>Vlera bazë</w:t>
            </w:r>
          </w:p>
        </w:tc>
        <w:tc>
          <w:tcPr>
            <w:tcW w:w="734" w:type="pct"/>
            <w:shd w:val="clear" w:color="auto" w:fill="C0E5F3"/>
            <w:vAlign w:val="center"/>
          </w:tcPr>
          <w:p w14:paraId="39521B46" w14:textId="77777777" w:rsidR="003E1630" w:rsidRPr="00024D5A" w:rsidRDefault="005743A8" w:rsidP="00657405">
            <w:pPr>
              <w:jc w:val="center"/>
              <w:rPr>
                <w:rFonts w:ascii="Garamond" w:eastAsia="Times New Roman" w:hAnsi="Garamond"/>
                <w:b/>
                <w:bCs/>
                <w:sz w:val="12"/>
                <w:szCs w:val="16"/>
                <w:lang w:eastAsia="en-US"/>
              </w:rPr>
            </w:pPr>
            <w:r w:rsidRPr="00024D5A">
              <w:rPr>
                <w:rFonts w:ascii="Garamond" w:eastAsia="Times New Roman" w:hAnsi="Garamond"/>
                <w:b/>
                <w:bCs/>
                <w:sz w:val="12"/>
                <w:szCs w:val="16"/>
                <w:lang w:eastAsia="en-US"/>
              </w:rPr>
              <w:t>Synimi 2028</w:t>
            </w:r>
          </w:p>
        </w:tc>
        <w:tc>
          <w:tcPr>
            <w:tcW w:w="616" w:type="pct"/>
            <w:shd w:val="clear" w:color="auto" w:fill="C0E5F3"/>
            <w:vAlign w:val="center"/>
          </w:tcPr>
          <w:p w14:paraId="1DED103E" w14:textId="77777777" w:rsidR="003E1630" w:rsidRPr="00024D5A" w:rsidRDefault="005743A8" w:rsidP="00657405">
            <w:pPr>
              <w:jc w:val="center"/>
              <w:rPr>
                <w:rFonts w:ascii="Garamond" w:eastAsia="Times New Roman" w:hAnsi="Garamond"/>
                <w:b/>
                <w:bCs/>
                <w:sz w:val="12"/>
                <w:szCs w:val="16"/>
                <w:lang w:eastAsia="en-US"/>
              </w:rPr>
            </w:pPr>
            <w:r w:rsidRPr="00024D5A">
              <w:rPr>
                <w:rFonts w:ascii="Garamond" w:eastAsia="Times New Roman" w:hAnsi="Garamond"/>
                <w:b/>
                <w:bCs/>
                <w:sz w:val="12"/>
                <w:szCs w:val="16"/>
                <w:lang w:eastAsia="en-US"/>
              </w:rPr>
              <w:t>Synimi 2030</w:t>
            </w:r>
          </w:p>
        </w:tc>
        <w:tc>
          <w:tcPr>
            <w:tcW w:w="606" w:type="pct"/>
            <w:shd w:val="clear" w:color="auto" w:fill="C0E5F3"/>
            <w:vAlign w:val="center"/>
          </w:tcPr>
          <w:p w14:paraId="2A94DCC3" w14:textId="77777777" w:rsidR="003E1630" w:rsidRPr="00024D5A" w:rsidRDefault="005743A8" w:rsidP="00657405">
            <w:pPr>
              <w:jc w:val="center"/>
              <w:rPr>
                <w:rFonts w:ascii="Garamond" w:eastAsia="Times New Roman" w:hAnsi="Garamond"/>
                <w:b/>
                <w:bCs/>
                <w:sz w:val="12"/>
                <w:szCs w:val="16"/>
                <w:lang w:eastAsia="en-US"/>
              </w:rPr>
            </w:pPr>
            <w:r w:rsidRPr="00024D5A">
              <w:rPr>
                <w:rFonts w:ascii="Garamond" w:eastAsia="Times New Roman" w:hAnsi="Garamond"/>
                <w:b/>
                <w:bCs/>
                <w:sz w:val="12"/>
                <w:szCs w:val="16"/>
                <w:lang w:eastAsia="en-US"/>
              </w:rPr>
              <w:t>Burimet dhe mjetet e verifikimit</w:t>
            </w:r>
          </w:p>
        </w:tc>
        <w:tc>
          <w:tcPr>
            <w:tcW w:w="772" w:type="pct"/>
            <w:shd w:val="clear" w:color="auto" w:fill="C0E5F3"/>
            <w:vAlign w:val="center"/>
          </w:tcPr>
          <w:p w14:paraId="2BE5EE32" w14:textId="77777777" w:rsidR="003E1630" w:rsidRPr="00024D5A" w:rsidRDefault="005743A8" w:rsidP="00657405">
            <w:pPr>
              <w:jc w:val="center"/>
              <w:rPr>
                <w:rFonts w:ascii="Garamond" w:eastAsia="Times New Roman" w:hAnsi="Garamond"/>
                <w:b/>
                <w:bCs/>
                <w:sz w:val="12"/>
                <w:szCs w:val="16"/>
                <w:lang w:eastAsia="en-US"/>
              </w:rPr>
            </w:pPr>
            <w:r w:rsidRPr="00024D5A">
              <w:rPr>
                <w:rFonts w:ascii="Garamond" w:eastAsia="Times New Roman" w:hAnsi="Garamond"/>
                <w:b/>
                <w:bCs/>
                <w:sz w:val="12"/>
                <w:szCs w:val="16"/>
                <w:lang w:eastAsia="en-US"/>
              </w:rPr>
              <w:t>Referenca në dok. të tjera</w:t>
            </w:r>
          </w:p>
        </w:tc>
      </w:tr>
      <w:tr w:rsidR="003E1630" w:rsidRPr="00024D5A" w14:paraId="1E9E6A90" w14:textId="77777777" w:rsidTr="00EE0000">
        <w:trPr>
          <w:trHeight w:val="20"/>
        </w:trPr>
        <w:tc>
          <w:tcPr>
            <w:tcW w:w="368" w:type="pct"/>
            <w:shd w:val="clear" w:color="auto" w:fill="D8F1D0"/>
          </w:tcPr>
          <w:p w14:paraId="3FBEF98C" w14:textId="77777777" w:rsidR="003E1630" w:rsidRPr="00024D5A" w:rsidRDefault="005743A8" w:rsidP="001464FD">
            <w:pPr>
              <w:rPr>
                <w:rFonts w:ascii="Garamond" w:eastAsia="Times New Roman" w:hAnsi="Garamond"/>
                <w:b/>
                <w:bCs/>
                <w:sz w:val="12"/>
                <w:szCs w:val="16"/>
                <w:lang w:eastAsia="en-US"/>
              </w:rPr>
            </w:pPr>
            <w:r w:rsidRPr="00024D5A">
              <w:rPr>
                <w:rFonts w:ascii="Garamond" w:eastAsia="Times New Roman" w:hAnsi="Garamond"/>
                <w:b/>
                <w:bCs/>
                <w:sz w:val="12"/>
                <w:szCs w:val="16"/>
                <w:lang w:eastAsia="en-US"/>
              </w:rPr>
              <w:t xml:space="preserve">Qëllimi i politikës </w:t>
            </w:r>
          </w:p>
        </w:tc>
        <w:tc>
          <w:tcPr>
            <w:tcW w:w="630" w:type="pct"/>
            <w:shd w:val="clear" w:color="auto" w:fill="D8F1D0"/>
          </w:tcPr>
          <w:p w14:paraId="1C783864"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Të gjithë personat me aftësi të kufizuara në Shqipëri duhet të kenë mundësi reale dhe të barabarta për të jetuar në komunitet, me zgjedhje dhe kontroll mbi jetën e tyre, përmes strehimit të aksesueshëm, mbështetjes individuale, shërbimeve të bazuara në komunitet dhe njohjes së plotë të kapacitetit ligjor, në përputhje me Konventën e OKB për të Drejtat e Personave me Aftësi të Kufizuara.</w:t>
            </w:r>
          </w:p>
          <w:p w14:paraId="4B182793" w14:textId="77777777" w:rsidR="003E1630" w:rsidRPr="00024D5A" w:rsidRDefault="003E1630" w:rsidP="001464FD">
            <w:pPr>
              <w:rPr>
                <w:rFonts w:ascii="Garamond" w:eastAsia="Times New Roman" w:hAnsi="Garamond"/>
                <w:sz w:val="12"/>
                <w:szCs w:val="16"/>
                <w:lang w:eastAsia="en-US"/>
              </w:rPr>
            </w:pPr>
          </w:p>
        </w:tc>
        <w:tc>
          <w:tcPr>
            <w:tcW w:w="660" w:type="pct"/>
            <w:shd w:val="clear" w:color="auto" w:fill="D8F1D0"/>
          </w:tcPr>
          <w:p w14:paraId="78B304AC" w14:textId="17A1DFBD"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Raporti i personave me aftësi t</w:t>
            </w:r>
            <w:r w:rsidR="00070BC1" w:rsidRPr="00024D5A">
              <w:rPr>
                <w:rFonts w:ascii="Garamond" w:eastAsia="Times New Roman" w:hAnsi="Garamond"/>
                <w:sz w:val="12"/>
                <w:szCs w:val="16"/>
                <w:lang w:eastAsia="en-US"/>
              </w:rPr>
              <w:t>ë</w:t>
            </w:r>
            <w:r w:rsidRPr="00024D5A">
              <w:rPr>
                <w:rFonts w:ascii="Garamond" w:eastAsia="Times New Roman" w:hAnsi="Garamond"/>
                <w:sz w:val="12"/>
                <w:szCs w:val="16"/>
                <w:lang w:eastAsia="en-US"/>
              </w:rPr>
              <w:t xml:space="preserve"> kufizuar</w:t>
            </w:r>
            <w:r w:rsidR="00070BC1" w:rsidRPr="00024D5A">
              <w:rPr>
                <w:rFonts w:ascii="Garamond" w:eastAsia="Times New Roman" w:hAnsi="Garamond"/>
                <w:sz w:val="12"/>
                <w:szCs w:val="16"/>
                <w:lang w:eastAsia="en-US"/>
              </w:rPr>
              <w:t>a,</w:t>
            </w:r>
            <w:r w:rsidRPr="00024D5A">
              <w:rPr>
                <w:rFonts w:ascii="Garamond" w:eastAsia="Times New Roman" w:hAnsi="Garamond"/>
                <w:sz w:val="12"/>
                <w:szCs w:val="16"/>
                <w:lang w:eastAsia="en-US"/>
              </w:rPr>
              <w:t xml:space="preserve"> që komisionohen dhe përfitojnë nga programi i aftësisë së kufizuar (sa femra; sa meshkuj).</w:t>
            </w:r>
            <w:r w:rsidRPr="00024D5A">
              <w:rPr>
                <w:rFonts w:ascii="Garamond" w:hAnsi="Garamond"/>
                <w:sz w:val="12"/>
              </w:rPr>
              <w:br/>
            </w:r>
          </w:p>
          <w:p w14:paraId="06C72543" w14:textId="77777777" w:rsidR="003E1630" w:rsidRPr="00024D5A" w:rsidRDefault="003E1630" w:rsidP="001464FD">
            <w:pPr>
              <w:rPr>
                <w:rFonts w:ascii="Garamond" w:eastAsia="Times New Roman" w:hAnsi="Garamond"/>
                <w:sz w:val="12"/>
                <w:szCs w:val="16"/>
                <w:lang w:eastAsia="en-US"/>
              </w:rPr>
            </w:pPr>
          </w:p>
          <w:p w14:paraId="20ED28AC" w14:textId="3510EC8B"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Përqindja e personave me aftësi të kufizuara që përfitojnë të paktën një shërbim komunitar</w:t>
            </w:r>
            <w:r w:rsidR="006E53E5"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ose mbështetje individuale ndaj totalit të personave të regjistruar me aftësi të kufizuara (sa femra; sa meshkuj). </w:t>
            </w:r>
            <w:r w:rsidRPr="00024D5A">
              <w:rPr>
                <w:rFonts w:ascii="Garamond" w:hAnsi="Garamond"/>
                <w:sz w:val="12"/>
              </w:rPr>
              <w:br/>
            </w:r>
            <w:r w:rsidRPr="00024D5A">
              <w:rPr>
                <w:rFonts w:ascii="Garamond" w:hAnsi="Garamond"/>
                <w:sz w:val="12"/>
              </w:rPr>
              <w:br/>
            </w:r>
            <w:r w:rsidRPr="00024D5A">
              <w:rPr>
                <w:rFonts w:ascii="Garamond" w:eastAsia="Times New Roman" w:hAnsi="Garamond"/>
                <w:sz w:val="12"/>
                <w:szCs w:val="16"/>
                <w:lang w:eastAsia="en-US"/>
              </w:rPr>
              <w:t>Përqindja e personave me aftësi të kufizuara që marrin shërbime në komunitet krahasuar me ata që jetojnë në institucione rezidenciale.</w:t>
            </w:r>
          </w:p>
        </w:tc>
        <w:tc>
          <w:tcPr>
            <w:tcW w:w="613" w:type="pct"/>
            <w:shd w:val="clear" w:color="auto" w:fill="D8F1D0"/>
          </w:tcPr>
          <w:p w14:paraId="453E2434" w14:textId="22084FB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xml:space="preserve">87%; </w:t>
            </w:r>
            <w:r w:rsidR="00170447" w:rsidRPr="00024D5A">
              <w:rPr>
                <w:rFonts w:ascii="Garamond" w:eastAsia="Times New Roman" w:hAnsi="Garamond"/>
                <w:sz w:val="12"/>
                <w:szCs w:val="16"/>
                <w:lang w:eastAsia="en-US"/>
              </w:rPr>
              <w:t>(% burra;</w:t>
            </w:r>
            <w:r w:rsidR="00F03D39" w:rsidRPr="00024D5A">
              <w:rPr>
                <w:rFonts w:ascii="Garamond" w:eastAsia="Times New Roman" w:hAnsi="Garamond"/>
                <w:sz w:val="12"/>
                <w:szCs w:val="16"/>
                <w:lang w:eastAsia="en-US"/>
              </w:rPr>
              <w:t>%</w:t>
            </w:r>
            <w:r w:rsidR="00170447" w:rsidRPr="00024D5A">
              <w:rPr>
                <w:rFonts w:ascii="Garamond" w:eastAsia="Times New Roman" w:hAnsi="Garamond"/>
                <w:sz w:val="12"/>
                <w:szCs w:val="16"/>
                <w:lang w:eastAsia="en-US"/>
              </w:rPr>
              <w:t xml:space="preserve"> gra;</w:t>
            </w:r>
            <w:r w:rsidR="00F03D39" w:rsidRPr="00024D5A">
              <w:rPr>
                <w:rFonts w:ascii="Garamond" w:eastAsia="Times New Roman" w:hAnsi="Garamond"/>
                <w:sz w:val="12"/>
                <w:szCs w:val="16"/>
                <w:lang w:eastAsia="en-US"/>
              </w:rPr>
              <w:t>%</w:t>
            </w:r>
            <w:r w:rsidR="00170447" w:rsidRPr="00024D5A">
              <w:rPr>
                <w:rFonts w:ascii="Garamond" w:eastAsia="Times New Roman" w:hAnsi="Garamond"/>
                <w:sz w:val="12"/>
                <w:szCs w:val="16"/>
                <w:lang w:eastAsia="en-US"/>
              </w:rPr>
              <w:t xml:space="preserve"> fëmijë)</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 xml:space="preserve">14.8%; </w:t>
            </w:r>
            <w:r w:rsidR="00170447" w:rsidRPr="00024D5A">
              <w:rPr>
                <w:rFonts w:ascii="Garamond" w:eastAsia="Times New Roman" w:hAnsi="Garamond"/>
                <w:sz w:val="12"/>
                <w:szCs w:val="16"/>
                <w:lang w:eastAsia="en-US"/>
              </w:rPr>
              <w:t>(% burra;</w:t>
            </w:r>
            <w:r w:rsidR="00F03D39" w:rsidRPr="00024D5A">
              <w:rPr>
                <w:rFonts w:ascii="Garamond" w:eastAsia="Times New Roman" w:hAnsi="Garamond"/>
                <w:sz w:val="12"/>
                <w:szCs w:val="16"/>
                <w:lang w:eastAsia="en-US"/>
              </w:rPr>
              <w:t>%</w:t>
            </w:r>
            <w:r w:rsidR="00170447" w:rsidRPr="00024D5A">
              <w:rPr>
                <w:rFonts w:ascii="Garamond" w:eastAsia="Times New Roman" w:hAnsi="Garamond"/>
                <w:sz w:val="12"/>
                <w:szCs w:val="16"/>
                <w:lang w:eastAsia="en-US"/>
              </w:rPr>
              <w:t xml:space="preserve"> gra;</w:t>
            </w:r>
            <w:r w:rsidR="00F03D39" w:rsidRPr="00024D5A">
              <w:rPr>
                <w:rFonts w:ascii="Garamond" w:eastAsia="Times New Roman" w:hAnsi="Garamond"/>
                <w:sz w:val="12"/>
                <w:szCs w:val="16"/>
                <w:lang w:eastAsia="en-US"/>
              </w:rPr>
              <w:t>%</w:t>
            </w:r>
            <w:r w:rsidR="00170447" w:rsidRPr="00024D5A">
              <w:rPr>
                <w:rFonts w:ascii="Garamond" w:eastAsia="Times New Roman" w:hAnsi="Garamond"/>
                <w:sz w:val="12"/>
                <w:szCs w:val="16"/>
                <w:lang w:eastAsia="en-US"/>
              </w:rPr>
              <w:t xml:space="preserve"> fëmijë)</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p>
          <w:p w14:paraId="7BFFB0EF" w14:textId="77777777" w:rsidR="003E1630" w:rsidRPr="00024D5A" w:rsidRDefault="003E1630" w:rsidP="001464FD">
            <w:pPr>
              <w:rPr>
                <w:rFonts w:ascii="Garamond" w:eastAsia="Times New Roman" w:hAnsi="Garamond"/>
                <w:sz w:val="12"/>
                <w:szCs w:val="16"/>
                <w:lang w:eastAsia="en-US"/>
              </w:rPr>
            </w:pPr>
          </w:p>
          <w:p w14:paraId="1B33BD0F"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br/>
              <w:t>1000/11000</w:t>
            </w:r>
          </w:p>
        </w:tc>
        <w:tc>
          <w:tcPr>
            <w:tcW w:w="734" w:type="pct"/>
            <w:shd w:val="clear" w:color="auto" w:fill="D8F1D0"/>
          </w:tcPr>
          <w:p w14:paraId="2AE8A238" w14:textId="54111E8F"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95%; (%burra;</w:t>
            </w:r>
            <w:r w:rsidR="006E53E5" w:rsidRPr="00024D5A">
              <w:rPr>
                <w:rFonts w:ascii="Garamond" w:eastAsia="Times New Roman" w:hAnsi="Garamond"/>
                <w:sz w:val="12"/>
                <w:szCs w:val="16"/>
                <w:lang w:eastAsia="en-US"/>
              </w:rPr>
              <w:t xml:space="preserve"> </w:t>
            </w:r>
            <w:r w:rsidR="00F03D39"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gra;</w:t>
            </w:r>
            <w:r w:rsidR="006E53E5" w:rsidRPr="00024D5A">
              <w:rPr>
                <w:rFonts w:ascii="Garamond" w:eastAsia="Times New Roman" w:hAnsi="Garamond"/>
                <w:sz w:val="12"/>
                <w:szCs w:val="16"/>
                <w:lang w:eastAsia="en-US"/>
              </w:rPr>
              <w:t xml:space="preserve"> </w:t>
            </w:r>
            <w:r w:rsidR="00F03D39" w:rsidRPr="00024D5A">
              <w:rPr>
                <w:rFonts w:ascii="Garamond" w:eastAsia="Times New Roman" w:hAnsi="Garamond"/>
                <w:sz w:val="12"/>
                <w:szCs w:val="16"/>
                <w:lang w:eastAsia="en-US"/>
              </w:rPr>
              <w:t>%</w:t>
            </w:r>
            <w:r w:rsidR="006E53E5" w:rsidRPr="00024D5A">
              <w:rPr>
                <w:rFonts w:ascii="Garamond" w:eastAsia="Times New Roman" w:hAnsi="Garamond"/>
                <w:sz w:val="12"/>
                <w:szCs w:val="16"/>
                <w:lang w:eastAsia="en-US"/>
              </w:rPr>
              <w:t xml:space="preserve"> </w:t>
            </w:r>
            <w:r w:rsidRPr="00024D5A">
              <w:rPr>
                <w:rFonts w:ascii="Garamond" w:eastAsia="Times New Roman" w:hAnsi="Garamond"/>
                <w:sz w:val="12"/>
                <w:szCs w:val="16"/>
                <w:lang w:eastAsia="en-US"/>
              </w:rPr>
              <w:t>fëmijë)</w:t>
            </w:r>
            <w:r w:rsidRPr="00024D5A">
              <w:rPr>
                <w:rFonts w:ascii="Garamond" w:hAnsi="Garamond"/>
                <w:sz w:val="12"/>
              </w:rPr>
              <w:br/>
            </w:r>
            <w:r w:rsidRPr="00024D5A">
              <w:rPr>
                <w:rFonts w:ascii="Garamond" w:hAnsi="Garamond"/>
                <w:sz w:val="12"/>
              </w:rPr>
              <w:br/>
            </w:r>
          </w:p>
          <w:p w14:paraId="39A419E8" w14:textId="77777777" w:rsidR="003E1630" w:rsidRPr="00024D5A" w:rsidRDefault="003E1630" w:rsidP="001464FD">
            <w:pPr>
              <w:rPr>
                <w:rFonts w:ascii="Garamond" w:hAnsi="Garamond"/>
                <w:sz w:val="12"/>
              </w:rPr>
            </w:pPr>
          </w:p>
          <w:p w14:paraId="6782B1C5" w14:textId="16D8CC5D" w:rsidR="003E1630" w:rsidRPr="00024D5A" w:rsidRDefault="005743A8" w:rsidP="001464FD">
            <w:pPr>
              <w:rPr>
                <w:rFonts w:ascii="Garamond" w:eastAsia="Times New Roman" w:hAnsi="Garamond"/>
                <w:sz w:val="12"/>
                <w:szCs w:val="16"/>
                <w:lang w:eastAsia="en-US"/>
              </w:rPr>
            </w:pPr>
            <w:r w:rsidRPr="00024D5A">
              <w:rPr>
                <w:rFonts w:ascii="Garamond" w:hAnsi="Garamond"/>
                <w:sz w:val="12"/>
              </w:rPr>
              <w:br/>
            </w:r>
            <w:r w:rsidRPr="00024D5A">
              <w:rPr>
                <w:rFonts w:ascii="Garamond" w:eastAsia="Times New Roman" w:hAnsi="Garamond"/>
                <w:sz w:val="12"/>
                <w:szCs w:val="16"/>
                <w:lang w:eastAsia="en-US"/>
              </w:rPr>
              <w:t>16%;</w:t>
            </w:r>
            <w:r w:rsidR="00170447" w:rsidRPr="00024D5A">
              <w:rPr>
                <w:rFonts w:ascii="Garamond" w:eastAsia="Times New Roman" w:hAnsi="Garamond"/>
                <w:sz w:val="12"/>
                <w:szCs w:val="16"/>
                <w:lang w:eastAsia="en-US"/>
              </w:rPr>
              <w:t>(% burra;</w:t>
            </w:r>
            <w:r w:rsidR="006E53E5" w:rsidRPr="00024D5A">
              <w:rPr>
                <w:rFonts w:ascii="Garamond" w:eastAsia="Times New Roman" w:hAnsi="Garamond"/>
                <w:sz w:val="12"/>
                <w:szCs w:val="16"/>
                <w:lang w:eastAsia="en-US"/>
              </w:rPr>
              <w:t xml:space="preserve"> </w:t>
            </w:r>
            <w:r w:rsidR="00F03D39" w:rsidRPr="00024D5A">
              <w:rPr>
                <w:rFonts w:ascii="Garamond" w:eastAsia="Times New Roman" w:hAnsi="Garamond"/>
                <w:sz w:val="12"/>
                <w:szCs w:val="16"/>
                <w:lang w:eastAsia="en-US"/>
              </w:rPr>
              <w:t>%</w:t>
            </w:r>
            <w:r w:rsidR="00170447" w:rsidRPr="00024D5A">
              <w:rPr>
                <w:rFonts w:ascii="Garamond" w:eastAsia="Times New Roman" w:hAnsi="Garamond"/>
                <w:sz w:val="12"/>
                <w:szCs w:val="16"/>
                <w:lang w:eastAsia="en-US"/>
              </w:rPr>
              <w:t xml:space="preserve"> gra;</w:t>
            </w:r>
            <w:r w:rsidR="006E53E5" w:rsidRPr="00024D5A">
              <w:rPr>
                <w:rFonts w:ascii="Garamond" w:eastAsia="Times New Roman" w:hAnsi="Garamond"/>
                <w:sz w:val="12"/>
                <w:szCs w:val="16"/>
                <w:lang w:eastAsia="en-US"/>
              </w:rPr>
              <w:t xml:space="preserve"> </w:t>
            </w:r>
            <w:r w:rsidR="00F03D39" w:rsidRPr="00024D5A">
              <w:rPr>
                <w:rFonts w:ascii="Garamond" w:eastAsia="Times New Roman" w:hAnsi="Garamond"/>
                <w:sz w:val="12"/>
                <w:szCs w:val="16"/>
                <w:lang w:eastAsia="en-US"/>
              </w:rPr>
              <w:t>%</w:t>
            </w:r>
            <w:r w:rsidR="00170447" w:rsidRPr="00024D5A">
              <w:rPr>
                <w:rFonts w:ascii="Garamond" w:eastAsia="Times New Roman" w:hAnsi="Garamond"/>
                <w:sz w:val="12"/>
                <w:szCs w:val="16"/>
                <w:lang w:eastAsia="en-US"/>
              </w:rPr>
              <w:t xml:space="preserve"> fëmijë)</w:t>
            </w:r>
            <w:r w:rsidRPr="00024D5A">
              <w:rPr>
                <w:rFonts w:ascii="Garamond" w:hAnsi="Garamond"/>
                <w:sz w:val="12"/>
              </w:rPr>
              <w:br/>
            </w:r>
            <w:r w:rsidRPr="00024D5A">
              <w:rPr>
                <w:rFonts w:ascii="Garamond" w:hAnsi="Garamond"/>
                <w:sz w:val="12"/>
              </w:rPr>
              <w:br/>
            </w:r>
            <w:r w:rsidRPr="00024D5A">
              <w:rPr>
                <w:rFonts w:ascii="Garamond" w:hAnsi="Garamond"/>
                <w:sz w:val="12"/>
              </w:rPr>
              <w:br/>
            </w:r>
            <w:r w:rsidRPr="00024D5A">
              <w:rPr>
                <w:rFonts w:ascii="Garamond" w:hAnsi="Garamond"/>
                <w:sz w:val="12"/>
              </w:rPr>
              <w:br/>
            </w:r>
            <w:r w:rsidRPr="00024D5A">
              <w:rPr>
                <w:rFonts w:ascii="Garamond" w:eastAsia="Times New Roman" w:hAnsi="Garamond"/>
                <w:sz w:val="12"/>
                <w:szCs w:val="16"/>
                <w:lang w:eastAsia="en-US"/>
              </w:rPr>
              <w:t>800/11750</w:t>
            </w:r>
          </w:p>
        </w:tc>
        <w:tc>
          <w:tcPr>
            <w:tcW w:w="616" w:type="pct"/>
            <w:shd w:val="clear" w:color="auto" w:fill="D8F1D0"/>
          </w:tcPr>
          <w:p w14:paraId="1BEAC044" w14:textId="1CBE6883"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xml:space="preserve">97%; </w:t>
            </w:r>
            <w:r w:rsidR="00170447" w:rsidRPr="00024D5A">
              <w:rPr>
                <w:rFonts w:ascii="Garamond" w:eastAsia="Times New Roman" w:hAnsi="Garamond"/>
                <w:sz w:val="12"/>
                <w:szCs w:val="16"/>
                <w:lang w:eastAsia="en-US"/>
              </w:rPr>
              <w:t>(% burra;</w:t>
            </w:r>
            <w:r w:rsidR="006E53E5" w:rsidRPr="00024D5A">
              <w:rPr>
                <w:rFonts w:ascii="Garamond" w:eastAsia="Times New Roman" w:hAnsi="Garamond"/>
                <w:sz w:val="12"/>
                <w:szCs w:val="16"/>
                <w:lang w:eastAsia="en-US"/>
              </w:rPr>
              <w:t xml:space="preserve"> </w:t>
            </w:r>
            <w:r w:rsidR="00F03D39" w:rsidRPr="00024D5A">
              <w:rPr>
                <w:rFonts w:ascii="Garamond" w:eastAsia="Times New Roman" w:hAnsi="Garamond"/>
                <w:sz w:val="12"/>
                <w:szCs w:val="16"/>
                <w:lang w:eastAsia="en-US"/>
              </w:rPr>
              <w:t>%</w:t>
            </w:r>
            <w:r w:rsidR="00170447" w:rsidRPr="00024D5A">
              <w:rPr>
                <w:rFonts w:ascii="Garamond" w:eastAsia="Times New Roman" w:hAnsi="Garamond"/>
                <w:sz w:val="12"/>
                <w:szCs w:val="16"/>
                <w:lang w:eastAsia="en-US"/>
              </w:rPr>
              <w:t xml:space="preserve"> gra;</w:t>
            </w:r>
            <w:r w:rsidR="006E53E5" w:rsidRPr="00024D5A">
              <w:rPr>
                <w:rFonts w:ascii="Garamond" w:eastAsia="Times New Roman" w:hAnsi="Garamond"/>
                <w:sz w:val="12"/>
                <w:szCs w:val="16"/>
                <w:lang w:eastAsia="en-US"/>
              </w:rPr>
              <w:t xml:space="preserve"> </w:t>
            </w:r>
            <w:r w:rsidR="00F03D39" w:rsidRPr="00024D5A">
              <w:rPr>
                <w:rFonts w:ascii="Garamond" w:eastAsia="Times New Roman" w:hAnsi="Garamond"/>
                <w:sz w:val="12"/>
                <w:szCs w:val="16"/>
                <w:lang w:eastAsia="en-US"/>
              </w:rPr>
              <w:t>%</w:t>
            </w:r>
            <w:r w:rsidR="00170447" w:rsidRPr="00024D5A">
              <w:rPr>
                <w:rFonts w:ascii="Garamond" w:eastAsia="Times New Roman" w:hAnsi="Garamond"/>
                <w:sz w:val="12"/>
                <w:szCs w:val="16"/>
                <w:lang w:eastAsia="en-US"/>
              </w:rPr>
              <w:t xml:space="preserve"> fëmijë)</w:t>
            </w:r>
            <w:r w:rsidRPr="00024D5A">
              <w:rPr>
                <w:rFonts w:ascii="Garamond" w:hAnsi="Garamond"/>
                <w:sz w:val="12"/>
              </w:rPr>
              <w:br/>
            </w:r>
          </w:p>
          <w:p w14:paraId="17DEA12F" w14:textId="77777777" w:rsidR="003E1630" w:rsidRPr="00024D5A" w:rsidRDefault="003E1630" w:rsidP="001464FD">
            <w:pPr>
              <w:rPr>
                <w:rFonts w:ascii="Garamond" w:hAnsi="Garamond"/>
                <w:sz w:val="12"/>
              </w:rPr>
            </w:pPr>
          </w:p>
          <w:p w14:paraId="52DA4F8E" w14:textId="77777777" w:rsidR="003E1630" w:rsidRPr="00024D5A" w:rsidRDefault="003E1630" w:rsidP="001464FD">
            <w:pPr>
              <w:rPr>
                <w:rFonts w:ascii="Garamond" w:hAnsi="Garamond"/>
                <w:sz w:val="12"/>
              </w:rPr>
            </w:pPr>
          </w:p>
          <w:p w14:paraId="1C2ADF5E" w14:textId="0068D332"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xml:space="preserve">18%; </w:t>
            </w:r>
            <w:r w:rsidR="00170447" w:rsidRPr="00024D5A">
              <w:rPr>
                <w:rFonts w:ascii="Garamond" w:eastAsia="Times New Roman" w:hAnsi="Garamond"/>
                <w:sz w:val="12"/>
                <w:szCs w:val="16"/>
                <w:lang w:eastAsia="en-US"/>
              </w:rPr>
              <w:t>(% burra;</w:t>
            </w:r>
            <w:r w:rsidR="006E53E5" w:rsidRPr="00024D5A">
              <w:rPr>
                <w:rFonts w:ascii="Garamond" w:eastAsia="Times New Roman" w:hAnsi="Garamond"/>
                <w:sz w:val="12"/>
                <w:szCs w:val="16"/>
                <w:lang w:eastAsia="en-US"/>
              </w:rPr>
              <w:t xml:space="preserve"> </w:t>
            </w:r>
            <w:r w:rsidR="00F03D39" w:rsidRPr="00024D5A">
              <w:rPr>
                <w:rFonts w:ascii="Garamond" w:eastAsia="Times New Roman" w:hAnsi="Garamond"/>
                <w:sz w:val="12"/>
                <w:szCs w:val="16"/>
                <w:lang w:eastAsia="en-US"/>
              </w:rPr>
              <w:t>%</w:t>
            </w:r>
            <w:r w:rsidR="00170447" w:rsidRPr="00024D5A">
              <w:rPr>
                <w:rFonts w:ascii="Garamond" w:eastAsia="Times New Roman" w:hAnsi="Garamond"/>
                <w:sz w:val="12"/>
                <w:szCs w:val="16"/>
                <w:lang w:eastAsia="en-US"/>
              </w:rPr>
              <w:t xml:space="preserve"> gra;</w:t>
            </w:r>
            <w:r w:rsidR="006E53E5" w:rsidRPr="00024D5A">
              <w:rPr>
                <w:rFonts w:ascii="Garamond" w:eastAsia="Times New Roman" w:hAnsi="Garamond"/>
                <w:sz w:val="12"/>
                <w:szCs w:val="16"/>
                <w:lang w:eastAsia="en-US"/>
              </w:rPr>
              <w:t xml:space="preserve"> </w:t>
            </w:r>
            <w:r w:rsidR="00F03D39" w:rsidRPr="00024D5A">
              <w:rPr>
                <w:rFonts w:ascii="Garamond" w:eastAsia="Times New Roman" w:hAnsi="Garamond"/>
                <w:sz w:val="12"/>
                <w:szCs w:val="16"/>
                <w:lang w:eastAsia="en-US"/>
              </w:rPr>
              <w:t>%</w:t>
            </w:r>
            <w:r w:rsidR="00170447" w:rsidRPr="00024D5A">
              <w:rPr>
                <w:rFonts w:ascii="Garamond" w:eastAsia="Times New Roman" w:hAnsi="Garamond"/>
                <w:sz w:val="12"/>
                <w:szCs w:val="16"/>
                <w:lang w:eastAsia="en-US"/>
              </w:rPr>
              <w:t xml:space="preserve"> fëmijë)</w:t>
            </w:r>
            <w:r w:rsidRPr="00024D5A">
              <w:rPr>
                <w:rFonts w:ascii="Garamond" w:hAnsi="Garamond"/>
                <w:sz w:val="12"/>
              </w:rPr>
              <w:br/>
            </w:r>
            <w:r w:rsidRPr="00024D5A">
              <w:rPr>
                <w:rFonts w:ascii="Garamond" w:hAnsi="Garamond"/>
                <w:sz w:val="12"/>
              </w:rPr>
              <w:br/>
            </w:r>
            <w:r w:rsidRPr="00024D5A">
              <w:rPr>
                <w:rFonts w:ascii="Garamond" w:hAnsi="Garamond"/>
                <w:sz w:val="12"/>
              </w:rPr>
              <w:br/>
            </w:r>
            <w:r w:rsidRPr="00024D5A">
              <w:rPr>
                <w:rFonts w:ascii="Garamond" w:hAnsi="Garamond"/>
                <w:sz w:val="12"/>
              </w:rPr>
              <w:br/>
            </w:r>
            <w:r w:rsidRPr="00024D5A">
              <w:rPr>
                <w:rFonts w:ascii="Garamond" w:eastAsia="Times New Roman" w:hAnsi="Garamond"/>
                <w:sz w:val="12"/>
                <w:szCs w:val="16"/>
                <w:lang w:eastAsia="en-US"/>
              </w:rPr>
              <w:t>600/12000</w:t>
            </w:r>
          </w:p>
        </w:tc>
        <w:tc>
          <w:tcPr>
            <w:tcW w:w="606" w:type="pct"/>
            <w:shd w:val="clear" w:color="auto" w:fill="D8F1D0"/>
          </w:tcPr>
          <w:p w14:paraId="33C7D864"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tc>
        <w:tc>
          <w:tcPr>
            <w:tcW w:w="772" w:type="pct"/>
            <w:shd w:val="clear" w:color="auto" w:fill="D8F1D0"/>
          </w:tcPr>
          <w:p w14:paraId="14C5337F" w14:textId="13F276E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xml:space="preserve">Dokumenti Udhëzues i BE për Jetesën e Pavarur; Strategjia e BE për Personat me Aftësi të Kufizuara </w:t>
            </w:r>
            <w:r w:rsidR="008639DB" w:rsidRPr="00024D5A">
              <w:rPr>
                <w:rFonts w:ascii="Garamond" w:eastAsia="Times New Roman" w:hAnsi="Garamond"/>
                <w:sz w:val="12"/>
                <w:szCs w:val="16"/>
                <w:lang w:eastAsia="en-US"/>
              </w:rPr>
              <w:t>2021–2030</w:t>
            </w:r>
            <w:r w:rsidRPr="00024D5A">
              <w:rPr>
                <w:rFonts w:ascii="Garamond" w:eastAsia="Times New Roman" w:hAnsi="Garamond"/>
                <w:sz w:val="12"/>
                <w:szCs w:val="16"/>
                <w:lang w:eastAsia="en-US"/>
              </w:rPr>
              <w:t xml:space="preserve">; Shtylla Evropiane e të Drejtave Sociale, Parimi 17; </w:t>
            </w:r>
          </w:p>
          <w:p w14:paraId="6C554755" w14:textId="520EA521"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SKZHIE 2022</w:t>
            </w:r>
            <w:r w:rsidR="006E53E5"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2030; </w:t>
            </w:r>
            <w:r w:rsidRPr="00024D5A">
              <w:rPr>
                <w:rFonts w:ascii="Garamond" w:eastAsia="Times New Roman" w:hAnsi="Garamond"/>
                <w:sz w:val="12"/>
                <w:szCs w:val="16"/>
                <w:lang w:eastAsia="en-US"/>
              </w:rPr>
              <w:br/>
              <w:t>Strategjia e Mbrojtjes Sociale 2023</w:t>
            </w:r>
            <w:r w:rsidR="006E53E5"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2030;</w:t>
            </w:r>
          </w:p>
        </w:tc>
      </w:tr>
      <w:tr w:rsidR="00170447" w:rsidRPr="00024D5A" w14:paraId="6A6611B6" w14:textId="77777777" w:rsidTr="00EE0000">
        <w:trPr>
          <w:trHeight w:val="20"/>
        </w:trPr>
        <w:tc>
          <w:tcPr>
            <w:tcW w:w="368" w:type="pct"/>
            <w:vMerge w:val="restart"/>
            <w:tcBorders>
              <w:bottom w:val="single" w:sz="4" w:space="0" w:color="auto"/>
            </w:tcBorders>
            <w:shd w:val="clear" w:color="auto" w:fill="CAEDFA"/>
          </w:tcPr>
          <w:p w14:paraId="44657FAE" w14:textId="77777777" w:rsidR="00170447" w:rsidRPr="00024D5A" w:rsidRDefault="00170447" w:rsidP="001464FD">
            <w:pPr>
              <w:rPr>
                <w:rFonts w:ascii="Garamond" w:eastAsia="Times New Roman" w:hAnsi="Garamond"/>
                <w:b/>
                <w:bCs/>
                <w:sz w:val="12"/>
                <w:szCs w:val="16"/>
                <w:lang w:eastAsia="en-US"/>
              </w:rPr>
            </w:pPr>
            <w:r w:rsidRPr="00024D5A">
              <w:rPr>
                <w:rFonts w:ascii="Garamond" w:eastAsia="Times New Roman" w:hAnsi="Garamond"/>
                <w:b/>
                <w:bCs/>
                <w:sz w:val="12"/>
                <w:szCs w:val="16"/>
                <w:lang w:eastAsia="en-US"/>
              </w:rPr>
              <w:t> </w:t>
            </w:r>
          </w:p>
          <w:p w14:paraId="04E002CB" w14:textId="77777777" w:rsidR="00170447" w:rsidRPr="00024D5A" w:rsidRDefault="00170447" w:rsidP="001464FD">
            <w:pPr>
              <w:rPr>
                <w:rFonts w:ascii="Garamond" w:eastAsia="Times New Roman" w:hAnsi="Garamond"/>
                <w:b/>
                <w:bCs/>
                <w:sz w:val="12"/>
                <w:szCs w:val="16"/>
                <w:lang w:eastAsia="en-US"/>
              </w:rPr>
            </w:pPr>
            <w:r w:rsidRPr="00024D5A">
              <w:rPr>
                <w:rFonts w:ascii="Garamond" w:eastAsia="Times New Roman" w:hAnsi="Garamond"/>
                <w:b/>
                <w:bCs/>
                <w:sz w:val="12"/>
                <w:szCs w:val="16"/>
                <w:lang w:eastAsia="en-US"/>
              </w:rPr>
              <w:t> </w:t>
            </w:r>
          </w:p>
          <w:p w14:paraId="20D7CB4A" w14:textId="77777777" w:rsidR="00170447" w:rsidRPr="00024D5A" w:rsidRDefault="00170447" w:rsidP="001464FD">
            <w:pPr>
              <w:rPr>
                <w:rFonts w:ascii="Garamond" w:eastAsia="Times New Roman" w:hAnsi="Garamond"/>
                <w:b/>
                <w:bCs/>
                <w:sz w:val="12"/>
                <w:szCs w:val="16"/>
                <w:lang w:eastAsia="en-US"/>
              </w:rPr>
            </w:pPr>
            <w:r w:rsidRPr="00024D5A">
              <w:rPr>
                <w:rFonts w:ascii="Garamond" w:eastAsia="Times New Roman" w:hAnsi="Garamond"/>
                <w:b/>
                <w:bCs/>
                <w:sz w:val="12"/>
                <w:szCs w:val="16"/>
                <w:lang w:eastAsia="en-US"/>
              </w:rPr>
              <w:t> </w:t>
            </w:r>
          </w:p>
          <w:p w14:paraId="119E8970" w14:textId="77777777" w:rsidR="00170447" w:rsidRPr="00024D5A" w:rsidRDefault="00170447"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p w14:paraId="3E6AD255" w14:textId="0A0B3FF8" w:rsidR="00170447" w:rsidRPr="00024D5A" w:rsidRDefault="00170447" w:rsidP="001464FD">
            <w:pPr>
              <w:rPr>
                <w:rFonts w:ascii="Garamond" w:eastAsia="Times New Roman" w:hAnsi="Garamond"/>
                <w:b/>
                <w:bCs/>
                <w:sz w:val="12"/>
                <w:szCs w:val="16"/>
                <w:lang w:eastAsia="en-US"/>
              </w:rPr>
            </w:pPr>
            <w:r w:rsidRPr="00024D5A">
              <w:rPr>
                <w:rFonts w:ascii="Garamond" w:eastAsia="Times New Roman" w:hAnsi="Garamond"/>
                <w:sz w:val="12"/>
                <w:szCs w:val="16"/>
                <w:lang w:eastAsia="en-US"/>
              </w:rPr>
              <w:t> </w:t>
            </w:r>
          </w:p>
        </w:tc>
        <w:tc>
          <w:tcPr>
            <w:tcW w:w="630" w:type="pct"/>
            <w:tcBorders>
              <w:bottom w:val="single" w:sz="4" w:space="0" w:color="auto"/>
            </w:tcBorders>
            <w:shd w:val="clear" w:color="auto" w:fill="CAEDFA"/>
          </w:tcPr>
          <w:p w14:paraId="2313CD50" w14:textId="0B4113C8" w:rsidR="00170447" w:rsidRPr="00024D5A" w:rsidRDefault="00170447"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xml:space="preserve">Objektivi </w:t>
            </w:r>
            <w:r w:rsidR="00AC5DA9" w:rsidRPr="00024D5A">
              <w:rPr>
                <w:rFonts w:ascii="Garamond" w:eastAsia="Times New Roman" w:hAnsi="Garamond"/>
                <w:sz w:val="12"/>
                <w:szCs w:val="16"/>
                <w:lang w:eastAsia="en-US"/>
              </w:rPr>
              <w:t xml:space="preserve">specifik </w:t>
            </w:r>
            <w:r w:rsidRPr="00024D5A">
              <w:rPr>
                <w:rFonts w:ascii="Garamond" w:eastAsia="Times New Roman" w:hAnsi="Garamond"/>
                <w:sz w:val="12"/>
                <w:szCs w:val="16"/>
                <w:lang w:eastAsia="en-US"/>
              </w:rPr>
              <w:t>1</w:t>
            </w:r>
            <w:r w:rsidR="00AC5DA9">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Përmirësimi i jetesës për </w:t>
            </w:r>
            <w:r w:rsidR="007010AF" w:rsidRPr="00024D5A">
              <w:rPr>
                <w:rFonts w:ascii="Garamond" w:eastAsia="Times New Roman" w:hAnsi="Garamond"/>
                <w:sz w:val="12"/>
                <w:szCs w:val="16"/>
                <w:lang w:eastAsia="en-US"/>
              </w:rPr>
              <w:t xml:space="preserve">personat me aftësi të kufizuara </w:t>
            </w:r>
            <w:r w:rsidRPr="00024D5A">
              <w:rPr>
                <w:rFonts w:ascii="Garamond" w:eastAsia="Times New Roman" w:hAnsi="Garamond"/>
                <w:sz w:val="12"/>
                <w:szCs w:val="16"/>
                <w:lang w:eastAsia="en-US"/>
              </w:rPr>
              <w:t>nëpërmjet skemave financiare të përshtatshme, të mirë shënjestruara, transparente dhe të afta për të përballuar rreziqet e ndryshme.</w:t>
            </w:r>
          </w:p>
        </w:tc>
        <w:tc>
          <w:tcPr>
            <w:tcW w:w="660" w:type="pct"/>
            <w:tcBorders>
              <w:bottom w:val="single" w:sz="4" w:space="0" w:color="auto"/>
            </w:tcBorders>
            <w:shd w:val="clear" w:color="auto" w:fill="CAEDFA"/>
          </w:tcPr>
          <w:p w14:paraId="49B84603" w14:textId="60BA25ED" w:rsidR="00170447" w:rsidRPr="00024D5A" w:rsidRDefault="00170447"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e personave me aftësi të kufizuara, që janë komisionuar përmes sistemimit të menaxhimit të informacionit</w:t>
            </w:r>
            <w:r w:rsidR="007010AF" w:rsidRPr="00024D5A">
              <w:rPr>
                <w:rFonts w:ascii="Garamond" w:eastAsia="Times New Roman" w:hAnsi="Garamond"/>
                <w:sz w:val="12"/>
                <w:szCs w:val="16"/>
                <w:lang w:eastAsia="en-US"/>
              </w:rPr>
              <w:t>.</w:t>
            </w:r>
          </w:p>
        </w:tc>
        <w:tc>
          <w:tcPr>
            <w:tcW w:w="613" w:type="pct"/>
            <w:tcBorders>
              <w:bottom w:val="single" w:sz="4" w:space="0" w:color="auto"/>
            </w:tcBorders>
            <w:shd w:val="clear" w:color="auto" w:fill="CAEDFA"/>
          </w:tcPr>
          <w:p w14:paraId="3D62B3A9" w14:textId="2544D0A3" w:rsidR="00170447" w:rsidRPr="00024D5A" w:rsidRDefault="00170447"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87% (% burra;</w:t>
            </w:r>
            <w:r w:rsidR="007010AF" w:rsidRPr="00024D5A">
              <w:rPr>
                <w:rFonts w:ascii="Garamond" w:eastAsia="Times New Roman" w:hAnsi="Garamond"/>
                <w:sz w:val="12"/>
                <w:szCs w:val="16"/>
                <w:lang w:eastAsia="en-US"/>
              </w:rPr>
              <w:t xml:space="preserve"> </w:t>
            </w:r>
            <w:r w:rsidR="00F03D39"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gra;</w:t>
            </w:r>
            <w:r w:rsidR="007010AF" w:rsidRPr="00024D5A">
              <w:rPr>
                <w:rFonts w:ascii="Garamond" w:eastAsia="Times New Roman" w:hAnsi="Garamond"/>
                <w:sz w:val="12"/>
                <w:szCs w:val="16"/>
                <w:lang w:eastAsia="en-US"/>
              </w:rPr>
              <w:t xml:space="preserve"> </w:t>
            </w:r>
            <w:r w:rsidR="00F03D39"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fëmijë)</w:t>
            </w:r>
          </w:p>
          <w:p w14:paraId="0E933AAE" w14:textId="77777777" w:rsidR="00170447" w:rsidRPr="00024D5A" w:rsidRDefault="00170447" w:rsidP="001464FD">
            <w:pPr>
              <w:rPr>
                <w:rFonts w:ascii="Garamond" w:eastAsia="Times New Roman" w:hAnsi="Garamond"/>
                <w:sz w:val="12"/>
                <w:szCs w:val="16"/>
                <w:lang w:eastAsia="en-US"/>
              </w:rPr>
            </w:pPr>
          </w:p>
          <w:p w14:paraId="413EE859" w14:textId="77777777" w:rsidR="00170447" w:rsidRPr="00024D5A" w:rsidRDefault="00170447" w:rsidP="001464FD">
            <w:pPr>
              <w:rPr>
                <w:rFonts w:ascii="Garamond" w:eastAsia="Times New Roman" w:hAnsi="Garamond"/>
                <w:sz w:val="12"/>
                <w:szCs w:val="16"/>
                <w:lang w:eastAsia="en-US"/>
              </w:rPr>
            </w:pPr>
          </w:p>
          <w:p w14:paraId="25646E95" w14:textId="77777777" w:rsidR="00170447" w:rsidRPr="00024D5A" w:rsidRDefault="00170447" w:rsidP="001464FD">
            <w:pPr>
              <w:rPr>
                <w:rFonts w:ascii="Garamond" w:eastAsia="Times New Roman" w:hAnsi="Garamond"/>
                <w:sz w:val="12"/>
                <w:szCs w:val="16"/>
                <w:lang w:eastAsia="en-US"/>
              </w:rPr>
            </w:pPr>
          </w:p>
        </w:tc>
        <w:tc>
          <w:tcPr>
            <w:tcW w:w="734" w:type="pct"/>
            <w:tcBorders>
              <w:bottom w:val="single" w:sz="4" w:space="0" w:color="auto"/>
            </w:tcBorders>
            <w:shd w:val="clear" w:color="auto" w:fill="CAEDFA"/>
          </w:tcPr>
          <w:p w14:paraId="18F31236" w14:textId="3BF83C98" w:rsidR="00170447" w:rsidRPr="00024D5A" w:rsidRDefault="00170447"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95% (% burra;</w:t>
            </w:r>
            <w:r w:rsidR="007010AF" w:rsidRPr="00024D5A">
              <w:rPr>
                <w:rFonts w:ascii="Garamond" w:eastAsia="Times New Roman" w:hAnsi="Garamond"/>
                <w:sz w:val="12"/>
                <w:szCs w:val="16"/>
                <w:lang w:eastAsia="en-US"/>
              </w:rPr>
              <w:t xml:space="preserve"> </w:t>
            </w:r>
            <w:r w:rsidR="00F03D39"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gra;</w:t>
            </w:r>
            <w:r w:rsidR="007010AF" w:rsidRPr="00024D5A">
              <w:rPr>
                <w:rFonts w:ascii="Garamond" w:eastAsia="Times New Roman" w:hAnsi="Garamond"/>
                <w:sz w:val="12"/>
                <w:szCs w:val="16"/>
                <w:lang w:eastAsia="en-US"/>
              </w:rPr>
              <w:t xml:space="preserve"> </w:t>
            </w:r>
            <w:r w:rsidR="00F03D39"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fëmijë)</w:t>
            </w:r>
          </w:p>
        </w:tc>
        <w:tc>
          <w:tcPr>
            <w:tcW w:w="616" w:type="pct"/>
            <w:tcBorders>
              <w:bottom w:val="single" w:sz="4" w:space="0" w:color="auto"/>
            </w:tcBorders>
            <w:shd w:val="clear" w:color="auto" w:fill="CAEDFA"/>
          </w:tcPr>
          <w:p w14:paraId="400E716B" w14:textId="3D395B3A" w:rsidR="00170447" w:rsidRPr="00024D5A" w:rsidRDefault="00170447"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97% (% burra;</w:t>
            </w:r>
            <w:r w:rsidR="00F03D39"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gra;</w:t>
            </w:r>
            <w:r w:rsidR="007010AF" w:rsidRPr="00024D5A">
              <w:rPr>
                <w:rFonts w:ascii="Garamond" w:eastAsia="Times New Roman" w:hAnsi="Garamond"/>
                <w:sz w:val="12"/>
                <w:szCs w:val="16"/>
                <w:lang w:eastAsia="en-US"/>
              </w:rPr>
              <w:t xml:space="preserve"> </w:t>
            </w:r>
            <w:r w:rsidR="00F03D39"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fëmijë)</w:t>
            </w:r>
          </w:p>
        </w:tc>
        <w:tc>
          <w:tcPr>
            <w:tcW w:w="606" w:type="pct"/>
            <w:tcBorders>
              <w:bottom w:val="single" w:sz="4" w:space="0" w:color="auto"/>
            </w:tcBorders>
            <w:shd w:val="clear" w:color="auto" w:fill="CAEDFA"/>
          </w:tcPr>
          <w:p w14:paraId="0521DA82" w14:textId="7129CEAC" w:rsidR="00170447" w:rsidRPr="00024D5A" w:rsidRDefault="00170447"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xml:space="preserve">Regjistri i vlerësimit biopsikosocial; </w:t>
            </w:r>
            <w:r w:rsidRPr="00024D5A">
              <w:rPr>
                <w:rFonts w:ascii="Garamond" w:eastAsia="Times New Roman" w:hAnsi="Garamond"/>
                <w:sz w:val="12"/>
                <w:szCs w:val="16"/>
                <w:lang w:eastAsia="en-US"/>
              </w:rPr>
              <w:br/>
              <w:t>KVAK;</w:t>
            </w:r>
            <w:r w:rsidRPr="00024D5A">
              <w:rPr>
                <w:rFonts w:ascii="Garamond" w:eastAsia="Times New Roman" w:hAnsi="Garamond"/>
                <w:sz w:val="12"/>
                <w:szCs w:val="16"/>
                <w:lang w:eastAsia="en-US"/>
              </w:rPr>
              <w:br/>
              <w:t>Raporte të MSHMS;</w:t>
            </w:r>
            <w:r w:rsidRPr="00024D5A">
              <w:rPr>
                <w:rFonts w:ascii="Garamond" w:eastAsia="Times New Roman" w:hAnsi="Garamond"/>
                <w:sz w:val="12"/>
                <w:szCs w:val="16"/>
                <w:lang w:eastAsia="en-US"/>
              </w:rPr>
              <w:br/>
              <w:t>SHSSH</w:t>
            </w:r>
            <w:r w:rsidR="007010AF" w:rsidRPr="00024D5A">
              <w:rPr>
                <w:rFonts w:ascii="Garamond" w:eastAsia="Times New Roman" w:hAnsi="Garamond"/>
                <w:sz w:val="12"/>
                <w:szCs w:val="16"/>
                <w:lang w:eastAsia="en-US"/>
              </w:rPr>
              <w:t>.</w:t>
            </w:r>
          </w:p>
        </w:tc>
        <w:tc>
          <w:tcPr>
            <w:tcW w:w="772" w:type="pct"/>
            <w:tcBorders>
              <w:bottom w:val="single" w:sz="4" w:space="0" w:color="auto"/>
            </w:tcBorders>
            <w:shd w:val="clear" w:color="auto" w:fill="CAEDFA"/>
          </w:tcPr>
          <w:p w14:paraId="7EC86F62" w14:textId="615525B3" w:rsidR="00170447" w:rsidRPr="00024D5A" w:rsidRDefault="00170447" w:rsidP="001464FD">
            <w:pPr>
              <w:rPr>
                <w:rFonts w:ascii="Garamond" w:eastAsia="Times New Roman" w:hAnsi="Garamond"/>
                <w:sz w:val="12"/>
                <w:szCs w:val="16"/>
                <w:lang w:eastAsia="en-US"/>
              </w:rPr>
            </w:pPr>
            <w:r w:rsidRPr="00024D5A">
              <w:rPr>
                <w:rFonts w:ascii="Garamond" w:eastAsia="Times New Roman" w:hAnsi="Garamond"/>
                <w:sz w:val="12"/>
              </w:rPr>
              <w:t xml:space="preserve"> </w:t>
            </w:r>
            <w:r w:rsidRPr="00024D5A">
              <w:rPr>
                <w:rFonts w:ascii="Garamond" w:eastAsia="Times New Roman" w:hAnsi="Garamond"/>
                <w:sz w:val="12"/>
                <w:szCs w:val="16"/>
              </w:rPr>
              <w:t>KDPAK</w:t>
            </w:r>
            <w:r w:rsidRPr="00024D5A">
              <w:rPr>
                <w:rFonts w:ascii="Garamond" w:eastAsia="Times New Roman" w:hAnsi="Garamond"/>
                <w:sz w:val="12"/>
                <w:szCs w:val="16"/>
                <w:lang w:eastAsia="en-US"/>
              </w:rPr>
              <w:t xml:space="preserve"> (</w:t>
            </w:r>
            <w:r w:rsidR="007010AF" w:rsidRPr="00024D5A">
              <w:rPr>
                <w:rFonts w:ascii="Garamond" w:eastAsia="Times New Roman" w:hAnsi="Garamond"/>
                <w:sz w:val="12"/>
                <w:szCs w:val="16"/>
                <w:lang w:eastAsia="en-US"/>
              </w:rPr>
              <w:t xml:space="preserve">neni </w:t>
            </w:r>
            <w:r w:rsidRPr="00024D5A">
              <w:rPr>
                <w:rFonts w:ascii="Garamond" w:eastAsia="Times New Roman" w:hAnsi="Garamond"/>
                <w:sz w:val="12"/>
                <w:szCs w:val="16"/>
                <w:lang w:eastAsia="en-US"/>
              </w:rPr>
              <w:t xml:space="preserve">28, </w:t>
            </w:r>
            <w:r w:rsidR="007010AF" w:rsidRPr="00024D5A">
              <w:rPr>
                <w:rFonts w:ascii="Garamond" w:eastAsia="Times New Roman" w:hAnsi="Garamond"/>
                <w:sz w:val="12"/>
                <w:szCs w:val="16"/>
                <w:lang w:eastAsia="en-US"/>
              </w:rPr>
              <w:t xml:space="preserve">neni </w:t>
            </w:r>
            <w:r w:rsidRPr="00024D5A">
              <w:rPr>
                <w:rFonts w:ascii="Garamond" w:eastAsia="Times New Roman" w:hAnsi="Garamond"/>
                <w:sz w:val="12"/>
                <w:szCs w:val="16"/>
                <w:lang w:eastAsia="en-US"/>
              </w:rPr>
              <w:t xml:space="preserve">31, </w:t>
            </w:r>
            <w:r w:rsidR="007010AF" w:rsidRPr="00024D5A">
              <w:rPr>
                <w:rFonts w:ascii="Garamond" w:eastAsia="Times New Roman" w:hAnsi="Garamond"/>
                <w:sz w:val="12"/>
                <w:szCs w:val="16"/>
                <w:lang w:eastAsia="en-US"/>
              </w:rPr>
              <w:t xml:space="preserve">neni </w:t>
            </w:r>
            <w:r w:rsidRPr="00024D5A">
              <w:rPr>
                <w:rFonts w:ascii="Garamond" w:eastAsia="Times New Roman" w:hAnsi="Garamond"/>
                <w:sz w:val="12"/>
                <w:szCs w:val="16"/>
                <w:lang w:eastAsia="en-US"/>
              </w:rPr>
              <w:t>11)</w:t>
            </w:r>
            <w:r w:rsidRPr="00024D5A">
              <w:rPr>
                <w:rFonts w:ascii="Garamond" w:hAnsi="Garamond"/>
                <w:sz w:val="12"/>
              </w:rPr>
              <w:br/>
            </w:r>
            <w:r w:rsidRPr="00024D5A">
              <w:rPr>
                <w:rFonts w:ascii="Garamond" w:eastAsia="Times New Roman" w:hAnsi="Garamond"/>
                <w:sz w:val="12"/>
                <w:szCs w:val="16"/>
                <w:lang w:eastAsia="en-US"/>
              </w:rPr>
              <w:t xml:space="preserve">OZHQ1; </w:t>
            </w:r>
            <w:r w:rsidRPr="00024D5A">
              <w:rPr>
                <w:rFonts w:ascii="Garamond" w:hAnsi="Garamond"/>
                <w:sz w:val="12"/>
              </w:rPr>
              <w:br/>
            </w:r>
            <w:r w:rsidRPr="00024D5A">
              <w:rPr>
                <w:rFonts w:ascii="Garamond" w:eastAsia="Times New Roman" w:hAnsi="Garamond"/>
                <w:sz w:val="12"/>
                <w:szCs w:val="16"/>
                <w:lang w:eastAsia="en-US"/>
              </w:rPr>
              <w:t>OZHQ 10;</w:t>
            </w:r>
            <w:r w:rsidRPr="00024D5A">
              <w:rPr>
                <w:rFonts w:ascii="Garamond" w:hAnsi="Garamond"/>
                <w:sz w:val="12"/>
              </w:rPr>
              <w:br/>
            </w:r>
            <w:r w:rsidRPr="00024D5A">
              <w:rPr>
                <w:rFonts w:ascii="Garamond" w:eastAsia="Times New Roman" w:hAnsi="Garamond"/>
                <w:i/>
                <w:iCs/>
                <w:sz w:val="12"/>
                <w:szCs w:val="16"/>
                <w:lang w:eastAsia="en-US"/>
              </w:rPr>
              <w:t xml:space="preserve">EU Strategy for the Rights of Persons ëith Disabilities </w:t>
            </w:r>
            <w:r w:rsidR="008639DB" w:rsidRPr="00024D5A">
              <w:rPr>
                <w:rFonts w:ascii="Garamond" w:eastAsia="Times New Roman" w:hAnsi="Garamond"/>
                <w:i/>
                <w:iCs/>
                <w:sz w:val="12"/>
                <w:szCs w:val="16"/>
                <w:lang w:eastAsia="en-US"/>
              </w:rPr>
              <w:t>2021–2030</w:t>
            </w:r>
            <w:r w:rsidRPr="00024D5A">
              <w:rPr>
                <w:rFonts w:ascii="Garamond" w:eastAsia="Times New Roman" w:hAnsi="Garamond"/>
                <w:i/>
                <w:iCs/>
                <w:sz w:val="12"/>
                <w:szCs w:val="16"/>
                <w:lang w:eastAsia="en-US"/>
              </w:rPr>
              <w:t xml:space="preserve">; </w:t>
            </w:r>
            <w:r w:rsidRPr="00024D5A">
              <w:rPr>
                <w:rFonts w:ascii="Garamond" w:hAnsi="Garamond"/>
                <w:i/>
                <w:iCs/>
                <w:sz w:val="12"/>
              </w:rPr>
              <w:br/>
            </w:r>
            <w:r w:rsidRPr="00024D5A">
              <w:rPr>
                <w:rFonts w:ascii="Garamond" w:eastAsia="Times New Roman" w:hAnsi="Garamond"/>
                <w:i/>
                <w:iCs/>
                <w:sz w:val="12"/>
                <w:szCs w:val="16"/>
                <w:lang w:eastAsia="en-US"/>
              </w:rPr>
              <w:t>Employment Equality Directive 2000/78/EC;</w:t>
            </w:r>
            <w:r w:rsidRPr="00024D5A">
              <w:rPr>
                <w:rFonts w:ascii="Garamond" w:eastAsia="Times New Roman" w:hAnsi="Garamond"/>
                <w:sz w:val="12"/>
                <w:szCs w:val="16"/>
                <w:lang w:eastAsia="en-US"/>
              </w:rPr>
              <w:t xml:space="preserve"> </w:t>
            </w:r>
            <w:r w:rsidRPr="00024D5A">
              <w:rPr>
                <w:rFonts w:ascii="Garamond" w:hAnsi="Garamond"/>
                <w:sz w:val="12"/>
              </w:rPr>
              <w:br/>
            </w:r>
            <w:r w:rsidRPr="00024D5A">
              <w:rPr>
                <w:rFonts w:ascii="Garamond" w:eastAsia="Times New Roman" w:hAnsi="Garamond"/>
                <w:sz w:val="12"/>
                <w:szCs w:val="16"/>
                <w:lang w:eastAsia="en-US"/>
              </w:rPr>
              <w:t xml:space="preserve">Shtylla Evropiane e të Drejtave Sociale (EPSR); </w:t>
            </w:r>
            <w:r w:rsidR="007010AF" w:rsidRPr="00024D5A">
              <w:rPr>
                <w:rFonts w:ascii="Garamond" w:eastAsia="Times New Roman" w:hAnsi="Garamond"/>
                <w:sz w:val="12"/>
                <w:szCs w:val="16"/>
                <w:lang w:eastAsia="en-US"/>
              </w:rPr>
              <w:t xml:space="preserve">parimi </w:t>
            </w:r>
            <w:r w:rsidRPr="00024D5A">
              <w:rPr>
                <w:rFonts w:ascii="Garamond" w:eastAsia="Times New Roman" w:hAnsi="Garamond"/>
                <w:sz w:val="12"/>
                <w:szCs w:val="16"/>
                <w:lang w:eastAsia="en-US"/>
              </w:rPr>
              <w:t xml:space="preserve">17; </w:t>
            </w:r>
            <w:r w:rsidR="007010AF" w:rsidRPr="00024D5A">
              <w:rPr>
                <w:rFonts w:ascii="Garamond" w:eastAsia="Times New Roman" w:hAnsi="Garamond"/>
                <w:sz w:val="12"/>
                <w:szCs w:val="16"/>
                <w:lang w:eastAsia="en-US"/>
              </w:rPr>
              <w:t xml:space="preserve">parimi </w:t>
            </w:r>
            <w:r w:rsidRPr="00024D5A">
              <w:rPr>
                <w:rFonts w:ascii="Garamond" w:eastAsia="Times New Roman" w:hAnsi="Garamond"/>
                <w:sz w:val="12"/>
                <w:szCs w:val="16"/>
                <w:lang w:eastAsia="en-US"/>
              </w:rPr>
              <w:t xml:space="preserve">12; </w:t>
            </w:r>
            <w:r w:rsidR="007010AF" w:rsidRPr="00024D5A">
              <w:rPr>
                <w:rFonts w:ascii="Garamond" w:eastAsia="Times New Roman" w:hAnsi="Garamond"/>
                <w:sz w:val="12"/>
                <w:szCs w:val="16"/>
                <w:lang w:eastAsia="en-US"/>
              </w:rPr>
              <w:t xml:space="preserve">parimi </w:t>
            </w:r>
            <w:r w:rsidRPr="00024D5A">
              <w:rPr>
                <w:rFonts w:ascii="Garamond" w:eastAsia="Times New Roman" w:hAnsi="Garamond"/>
                <w:sz w:val="12"/>
                <w:szCs w:val="16"/>
                <w:lang w:eastAsia="en-US"/>
              </w:rPr>
              <w:t xml:space="preserve">19 </w:t>
            </w:r>
            <w:r w:rsidRPr="00024D5A">
              <w:rPr>
                <w:rFonts w:ascii="Garamond" w:hAnsi="Garamond"/>
                <w:sz w:val="12"/>
              </w:rPr>
              <w:br/>
            </w:r>
            <w:r w:rsidRPr="00024D5A">
              <w:rPr>
                <w:rFonts w:ascii="Garamond" w:eastAsia="Times New Roman" w:hAnsi="Garamond"/>
                <w:sz w:val="12"/>
                <w:szCs w:val="16"/>
                <w:lang w:eastAsia="en-US"/>
              </w:rPr>
              <w:t>SKZHIE 2022</w:t>
            </w:r>
            <w:r w:rsidR="007010AF"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2030 (SKZHIE);</w:t>
            </w:r>
            <w:r w:rsidRPr="00024D5A">
              <w:rPr>
                <w:rFonts w:ascii="Garamond" w:hAnsi="Garamond"/>
                <w:sz w:val="12"/>
              </w:rPr>
              <w:br/>
            </w:r>
            <w:r w:rsidRPr="00024D5A">
              <w:rPr>
                <w:rFonts w:ascii="Garamond" w:eastAsia="Times New Roman" w:hAnsi="Garamond"/>
                <w:sz w:val="12"/>
                <w:szCs w:val="16"/>
                <w:lang w:eastAsia="en-US"/>
              </w:rPr>
              <w:t>Strategjia Kombëtare e Mbrojtjes Sociale 2024</w:t>
            </w:r>
            <w:r w:rsidR="00D05F1B"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2030;</w:t>
            </w:r>
            <w:r w:rsidRPr="00024D5A">
              <w:rPr>
                <w:rFonts w:ascii="Garamond" w:hAnsi="Garamond"/>
                <w:sz w:val="12"/>
              </w:rPr>
              <w:br/>
            </w:r>
            <w:r w:rsidRPr="00024D5A">
              <w:rPr>
                <w:rFonts w:ascii="Garamond" w:eastAsia="Times New Roman" w:hAnsi="Garamond"/>
                <w:sz w:val="12"/>
                <w:szCs w:val="16"/>
                <w:lang w:eastAsia="en-US"/>
              </w:rPr>
              <w:t xml:space="preserve">Kapituj të </w:t>
            </w:r>
            <w:r w:rsidRPr="00024D5A">
              <w:rPr>
                <w:rFonts w:ascii="Garamond" w:eastAsia="Times New Roman" w:hAnsi="Garamond"/>
                <w:i/>
                <w:iCs/>
                <w:sz w:val="12"/>
                <w:szCs w:val="16"/>
                <w:lang w:eastAsia="en-US"/>
              </w:rPr>
              <w:t>acquis</w:t>
            </w:r>
            <w:r w:rsidRPr="00024D5A">
              <w:rPr>
                <w:rFonts w:ascii="Garamond" w:eastAsia="Times New Roman" w:hAnsi="Garamond"/>
                <w:sz w:val="12"/>
                <w:szCs w:val="16"/>
                <w:lang w:eastAsia="en-US"/>
              </w:rPr>
              <w:t xml:space="preserve">; Kapitulli 19 </w:t>
            </w:r>
            <w:r w:rsidR="00D05F1B" w:rsidRPr="00024D5A">
              <w:rPr>
                <w:rFonts w:ascii="Garamond" w:eastAsia="Times New Roman" w:hAnsi="Garamond"/>
                <w:sz w:val="12"/>
                <w:szCs w:val="16"/>
                <w:lang w:eastAsia="en-US"/>
              </w:rPr>
              <w:t xml:space="preserve">– politikat </w:t>
            </w:r>
            <w:r w:rsidRPr="00024D5A">
              <w:rPr>
                <w:rFonts w:ascii="Garamond" w:eastAsia="Times New Roman" w:hAnsi="Garamond"/>
                <w:sz w:val="12"/>
                <w:szCs w:val="16"/>
                <w:lang w:eastAsia="en-US"/>
              </w:rPr>
              <w:t xml:space="preserve">sociale </w:t>
            </w:r>
            <w:r w:rsidR="00D05F1B" w:rsidRPr="00024D5A">
              <w:rPr>
                <w:rFonts w:ascii="Garamond" w:eastAsia="Times New Roman" w:hAnsi="Garamond"/>
                <w:sz w:val="12"/>
                <w:szCs w:val="16"/>
                <w:lang w:eastAsia="en-US"/>
              </w:rPr>
              <w:t>dhe</w:t>
            </w:r>
            <w:r w:rsidRPr="00024D5A">
              <w:rPr>
                <w:rFonts w:ascii="Garamond" w:eastAsia="Times New Roman" w:hAnsi="Garamond"/>
                <w:sz w:val="12"/>
                <w:szCs w:val="16"/>
                <w:lang w:eastAsia="en-US"/>
              </w:rPr>
              <w:t xml:space="preserve"> punësimi</w:t>
            </w:r>
            <w:r w:rsidR="00D05F1B"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w:t>
            </w:r>
          </w:p>
        </w:tc>
      </w:tr>
      <w:tr w:rsidR="00170447" w:rsidRPr="00024D5A" w14:paraId="55B4F639" w14:textId="77777777" w:rsidTr="00EE0000">
        <w:trPr>
          <w:trHeight w:val="20"/>
        </w:trPr>
        <w:tc>
          <w:tcPr>
            <w:tcW w:w="368" w:type="pct"/>
            <w:vMerge/>
            <w:tcBorders>
              <w:bottom w:val="single" w:sz="4" w:space="0" w:color="auto"/>
            </w:tcBorders>
          </w:tcPr>
          <w:p w14:paraId="78367BF4" w14:textId="47D7FE3F" w:rsidR="00170447" w:rsidRPr="00024D5A" w:rsidRDefault="00170447" w:rsidP="001464FD">
            <w:pPr>
              <w:rPr>
                <w:rFonts w:ascii="Garamond" w:eastAsia="Times New Roman" w:hAnsi="Garamond"/>
                <w:b/>
                <w:bCs/>
                <w:sz w:val="12"/>
                <w:szCs w:val="16"/>
                <w:lang w:eastAsia="en-US"/>
              </w:rPr>
            </w:pPr>
          </w:p>
        </w:tc>
        <w:tc>
          <w:tcPr>
            <w:tcW w:w="630" w:type="pct"/>
            <w:tcBorders>
              <w:bottom w:val="single" w:sz="4" w:space="0" w:color="auto"/>
            </w:tcBorders>
            <w:shd w:val="clear" w:color="auto" w:fill="CAEDFA"/>
          </w:tcPr>
          <w:p w14:paraId="5D3E49F5" w14:textId="5CC65632" w:rsidR="00170447" w:rsidRPr="00024D5A" w:rsidRDefault="00170447"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xml:space="preserve">Objektivi </w:t>
            </w:r>
            <w:r w:rsidR="001049A4" w:rsidRPr="00024D5A">
              <w:rPr>
                <w:rFonts w:ascii="Garamond" w:eastAsia="Times New Roman" w:hAnsi="Garamond"/>
                <w:sz w:val="12"/>
                <w:szCs w:val="16"/>
                <w:lang w:eastAsia="en-US"/>
              </w:rPr>
              <w:t xml:space="preserve">specifik </w:t>
            </w:r>
            <w:r w:rsidRPr="00024D5A">
              <w:rPr>
                <w:rFonts w:ascii="Garamond" w:eastAsia="Times New Roman" w:hAnsi="Garamond"/>
                <w:sz w:val="12"/>
                <w:szCs w:val="16"/>
                <w:lang w:eastAsia="en-US"/>
              </w:rPr>
              <w:t>2</w:t>
            </w:r>
            <w:r w:rsidR="00AC5DA9">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Zgjerimi i shërbimeve sociale të integruara, të aksesueshme e cilësore</w:t>
            </w:r>
            <w:r w:rsidR="00382508"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si dhe avancimi i deinstitucionalizimit, në partneritet me pushtetin vendor dhe aktorët e tjerë.</w:t>
            </w:r>
          </w:p>
        </w:tc>
        <w:tc>
          <w:tcPr>
            <w:tcW w:w="660" w:type="pct"/>
            <w:tcBorders>
              <w:bottom w:val="single" w:sz="4" w:space="0" w:color="auto"/>
            </w:tcBorders>
            <w:shd w:val="clear" w:color="auto" w:fill="CAEDFA"/>
          </w:tcPr>
          <w:p w14:paraId="39A821D5" w14:textId="77777777" w:rsidR="00170447" w:rsidRPr="00024D5A" w:rsidRDefault="00170447"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xml:space="preserve">Përqindja e personave me aftësi të kufizuara që marrin shërbime komunitare (jo rezidenciale) ndaj totalit të përfituesve të shërbimeve të kujdesit social. </w:t>
            </w:r>
            <w:r w:rsidRPr="00024D5A">
              <w:rPr>
                <w:rFonts w:ascii="Garamond" w:hAnsi="Garamond"/>
                <w:sz w:val="12"/>
              </w:rPr>
              <w:br/>
            </w:r>
            <w:r w:rsidRPr="00024D5A">
              <w:rPr>
                <w:rFonts w:ascii="Garamond" w:eastAsia="Times New Roman" w:hAnsi="Garamond"/>
                <w:sz w:val="12"/>
                <w:szCs w:val="16"/>
                <w:lang w:eastAsia="en-US"/>
              </w:rPr>
              <w:t xml:space="preserve"> </w:t>
            </w:r>
          </w:p>
          <w:p w14:paraId="0226BC74" w14:textId="77777777" w:rsidR="00170447" w:rsidRPr="00024D5A" w:rsidRDefault="00170447" w:rsidP="001464FD">
            <w:pPr>
              <w:rPr>
                <w:rFonts w:ascii="Garamond" w:hAnsi="Garamond"/>
                <w:sz w:val="12"/>
              </w:rPr>
            </w:pPr>
          </w:p>
          <w:p w14:paraId="231859FA" w14:textId="319DC989" w:rsidR="00170447" w:rsidRPr="00024D5A" w:rsidRDefault="00170447" w:rsidP="001464FD">
            <w:pPr>
              <w:rPr>
                <w:rFonts w:ascii="Garamond" w:eastAsia="Times New Roman" w:hAnsi="Garamond"/>
                <w:sz w:val="12"/>
                <w:szCs w:val="16"/>
                <w:lang w:eastAsia="en-US"/>
              </w:rPr>
            </w:pPr>
            <w:r w:rsidRPr="00024D5A">
              <w:rPr>
                <w:rFonts w:ascii="Garamond" w:hAnsi="Garamond"/>
                <w:sz w:val="12"/>
              </w:rPr>
              <w:br/>
            </w:r>
            <w:r w:rsidRPr="00024D5A">
              <w:rPr>
                <w:rFonts w:ascii="Garamond" w:eastAsia="Times New Roman" w:hAnsi="Garamond"/>
                <w:sz w:val="12"/>
                <w:szCs w:val="16"/>
                <w:lang w:eastAsia="en-US"/>
              </w:rPr>
              <w:t>Numri i personave me aftësi të</w:t>
            </w:r>
            <w:r w:rsidR="00382508" w:rsidRPr="00024D5A">
              <w:rPr>
                <w:rFonts w:ascii="Garamond" w:eastAsia="Times New Roman" w:hAnsi="Garamond"/>
                <w:sz w:val="12"/>
                <w:szCs w:val="16"/>
                <w:lang w:eastAsia="en-US"/>
              </w:rPr>
              <w:t xml:space="preserve"> </w:t>
            </w:r>
            <w:r w:rsidRPr="00024D5A">
              <w:rPr>
                <w:rFonts w:ascii="Garamond" w:eastAsia="Times New Roman" w:hAnsi="Garamond"/>
                <w:sz w:val="12"/>
                <w:szCs w:val="16"/>
                <w:lang w:eastAsia="en-US"/>
              </w:rPr>
              <w:t>kufizuara, që përfitojnë shërbime sociale në qendrat e përkujdesjes sociale.</w:t>
            </w:r>
          </w:p>
        </w:tc>
        <w:tc>
          <w:tcPr>
            <w:tcW w:w="613" w:type="pct"/>
            <w:tcBorders>
              <w:bottom w:val="single" w:sz="4" w:space="0" w:color="auto"/>
            </w:tcBorders>
            <w:shd w:val="clear" w:color="auto" w:fill="CAEDFA"/>
          </w:tcPr>
          <w:p w14:paraId="78408943" w14:textId="0C6AB529" w:rsidR="00170447" w:rsidRPr="00024D5A" w:rsidRDefault="00170447"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22%</w:t>
            </w:r>
            <w:r w:rsidR="00D05F1B" w:rsidRPr="00024D5A">
              <w:rPr>
                <w:rFonts w:ascii="Garamond" w:eastAsia="Times New Roman" w:hAnsi="Garamond"/>
                <w:sz w:val="12"/>
                <w:szCs w:val="16"/>
                <w:lang w:eastAsia="en-US"/>
              </w:rPr>
              <w:t xml:space="preserve"> </w:t>
            </w:r>
            <w:r w:rsidRPr="00024D5A">
              <w:rPr>
                <w:rFonts w:ascii="Garamond" w:eastAsia="Times New Roman" w:hAnsi="Garamond"/>
                <w:sz w:val="12"/>
                <w:szCs w:val="16"/>
                <w:lang w:eastAsia="en-US"/>
              </w:rPr>
              <w:t>(% burra;</w:t>
            </w:r>
            <w:r w:rsidR="00D05F1B" w:rsidRPr="00024D5A">
              <w:rPr>
                <w:rFonts w:ascii="Garamond" w:eastAsia="Times New Roman" w:hAnsi="Garamond"/>
                <w:sz w:val="12"/>
                <w:szCs w:val="16"/>
                <w:lang w:eastAsia="en-US"/>
              </w:rPr>
              <w:t xml:space="preserve"> </w:t>
            </w:r>
            <w:r w:rsidR="00F03D39"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gra;</w:t>
            </w:r>
            <w:r w:rsidR="00D05F1B" w:rsidRPr="00024D5A">
              <w:rPr>
                <w:rFonts w:ascii="Garamond" w:eastAsia="Times New Roman" w:hAnsi="Garamond"/>
                <w:sz w:val="12"/>
                <w:szCs w:val="16"/>
                <w:lang w:eastAsia="en-US"/>
              </w:rPr>
              <w:t xml:space="preserve"> </w:t>
            </w:r>
            <w:r w:rsidR="00F03D39"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fëmijë)</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11000</w:t>
            </w:r>
          </w:p>
        </w:tc>
        <w:tc>
          <w:tcPr>
            <w:tcW w:w="734" w:type="pct"/>
            <w:tcBorders>
              <w:bottom w:val="single" w:sz="4" w:space="0" w:color="auto"/>
            </w:tcBorders>
            <w:shd w:val="clear" w:color="auto" w:fill="CAEDFA"/>
          </w:tcPr>
          <w:p w14:paraId="5EDEBE15" w14:textId="40AA6F41" w:rsidR="00170447" w:rsidRPr="00024D5A" w:rsidRDefault="00170447"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30% (% burra;</w:t>
            </w:r>
            <w:r w:rsidR="00D05F1B" w:rsidRPr="00024D5A">
              <w:rPr>
                <w:rFonts w:ascii="Garamond" w:eastAsia="Times New Roman" w:hAnsi="Garamond"/>
                <w:sz w:val="12"/>
                <w:szCs w:val="16"/>
                <w:lang w:eastAsia="en-US"/>
              </w:rPr>
              <w:t xml:space="preserve"> </w:t>
            </w:r>
            <w:r w:rsidR="00F03D39"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gra;</w:t>
            </w:r>
            <w:r w:rsidR="00D05F1B" w:rsidRPr="00024D5A">
              <w:rPr>
                <w:rFonts w:ascii="Garamond" w:eastAsia="Times New Roman" w:hAnsi="Garamond"/>
                <w:sz w:val="12"/>
                <w:szCs w:val="16"/>
                <w:lang w:eastAsia="en-US"/>
              </w:rPr>
              <w:t xml:space="preserve"> </w:t>
            </w:r>
            <w:r w:rsidR="00F03D39"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fëmijë)</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11750</w:t>
            </w:r>
          </w:p>
        </w:tc>
        <w:tc>
          <w:tcPr>
            <w:tcW w:w="616" w:type="pct"/>
            <w:tcBorders>
              <w:bottom w:val="single" w:sz="4" w:space="0" w:color="auto"/>
            </w:tcBorders>
            <w:shd w:val="clear" w:color="auto" w:fill="CAEDFA"/>
          </w:tcPr>
          <w:p w14:paraId="222F1774" w14:textId="3D6D4CA8" w:rsidR="00170447" w:rsidRPr="00024D5A" w:rsidRDefault="00170447"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40% (% burra;</w:t>
            </w:r>
            <w:r w:rsidR="00F03D39"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gra;</w:t>
            </w:r>
            <w:r w:rsidR="00D05F1B" w:rsidRPr="00024D5A">
              <w:rPr>
                <w:rFonts w:ascii="Garamond" w:eastAsia="Times New Roman" w:hAnsi="Garamond"/>
                <w:sz w:val="12"/>
                <w:szCs w:val="16"/>
                <w:lang w:eastAsia="en-US"/>
              </w:rPr>
              <w:t xml:space="preserve"> </w:t>
            </w:r>
            <w:r w:rsidR="00F03D39"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fëmijë)</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12000</w:t>
            </w:r>
          </w:p>
        </w:tc>
        <w:tc>
          <w:tcPr>
            <w:tcW w:w="606" w:type="pct"/>
            <w:tcBorders>
              <w:bottom w:val="single" w:sz="4" w:space="0" w:color="auto"/>
            </w:tcBorders>
            <w:shd w:val="clear" w:color="auto" w:fill="CAEDFA"/>
          </w:tcPr>
          <w:p w14:paraId="03A37F3B" w14:textId="77777777" w:rsidR="00170447" w:rsidRPr="00024D5A" w:rsidRDefault="00170447" w:rsidP="001464FD">
            <w:pPr>
              <w:rPr>
                <w:rFonts w:ascii="Garamond" w:eastAsia="Times New Roman" w:hAnsi="Garamond" w:cs="Arial"/>
                <w:sz w:val="12"/>
                <w:szCs w:val="16"/>
                <w:lang w:eastAsia="en-US"/>
              </w:rPr>
            </w:pPr>
            <w:r w:rsidRPr="00024D5A">
              <w:rPr>
                <w:rFonts w:ascii="Garamond" w:eastAsia="Times New Roman" w:hAnsi="Garamond" w:cs="Arial"/>
                <w:sz w:val="12"/>
                <w:szCs w:val="16"/>
                <w:lang w:eastAsia="en-US"/>
              </w:rPr>
              <w:t>MSHPV</w:t>
            </w:r>
          </w:p>
          <w:p w14:paraId="3254B5DA" w14:textId="77777777" w:rsidR="00170447" w:rsidRPr="00024D5A" w:rsidRDefault="00170447" w:rsidP="001464FD">
            <w:pPr>
              <w:rPr>
                <w:rFonts w:ascii="Garamond" w:eastAsia="Times New Roman" w:hAnsi="Garamond"/>
                <w:sz w:val="12"/>
                <w:szCs w:val="16"/>
                <w:lang w:eastAsia="en-US"/>
              </w:rPr>
            </w:pPr>
            <w:r w:rsidRPr="00024D5A">
              <w:rPr>
                <w:rFonts w:ascii="Garamond" w:eastAsia="Times New Roman" w:hAnsi="Garamond" w:cs="Arial"/>
                <w:sz w:val="12"/>
                <w:szCs w:val="16"/>
                <w:lang w:eastAsia="en-US"/>
              </w:rPr>
              <w:t xml:space="preserve">AMVV </w:t>
            </w:r>
            <w:r w:rsidRPr="00024D5A">
              <w:rPr>
                <w:rFonts w:ascii="Garamond" w:eastAsia="Times New Roman" w:hAnsi="Garamond" w:cs="Arial"/>
                <w:sz w:val="12"/>
                <w:szCs w:val="16"/>
                <w:lang w:eastAsia="en-US"/>
              </w:rPr>
              <w:br/>
            </w:r>
            <w:r w:rsidRPr="00024D5A">
              <w:rPr>
                <w:rFonts w:ascii="Garamond" w:eastAsia="Times New Roman" w:hAnsi="Garamond"/>
                <w:sz w:val="12"/>
                <w:szCs w:val="16"/>
                <w:lang w:eastAsia="en-US"/>
              </w:rPr>
              <w:t>SHSSH;</w:t>
            </w:r>
            <w:r w:rsidRPr="00024D5A">
              <w:rPr>
                <w:rFonts w:ascii="Garamond" w:eastAsia="Times New Roman" w:hAnsi="Garamond"/>
                <w:sz w:val="12"/>
                <w:szCs w:val="16"/>
                <w:lang w:eastAsia="en-US"/>
              </w:rPr>
              <w:br/>
              <w:t>NJVV;</w:t>
            </w:r>
            <w:r w:rsidRPr="00024D5A">
              <w:rPr>
                <w:rFonts w:ascii="Garamond" w:eastAsia="Times New Roman" w:hAnsi="Garamond"/>
                <w:sz w:val="12"/>
                <w:szCs w:val="16"/>
                <w:lang w:eastAsia="en-US"/>
              </w:rPr>
              <w:br/>
              <w:t>Regjistri i shërbimeve sociale;</w:t>
            </w:r>
          </w:p>
        </w:tc>
        <w:tc>
          <w:tcPr>
            <w:tcW w:w="772" w:type="pct"/>
            <w:tcBorders>
              <w:bottom w:val="single" w:sz="4" w:space="0" w:color="auto"/>
            </w:tcBorders>
            <w:shd w:val="clear" w:color="auto" w:fill="CAEDFA"/>
          </w:tcPr>
          <w:p w14:paraId="76D1479B" w14:textId="0B77CCD2" w:rsidR="00170447" w:rsidRPr="00024D5A" w:rsidRDefault="00170447" w:rsidP="001464FD">
            <w:pPr>
              <w:rPr>
                <w:rFonts w:ascii="Garamond" w:eastAsia="Times New Roman" w:hAnsi="Garamond"/>
                <w:sz w:val="12"/>
                <w:szCs w:val="16"/>
                <w:lang w:eastAsia="en-US"/>
              </w:rPr>
            </w:pPr>
            <w:r w:rsidRPr="00024D5A">
              <w:rPr>
                <w:rFonts w:ascii="Garamond" w:eastAsia="Times New Roman" w:hAnsi="Garamond"/>
                <w:sz w:val="12"/>
              </w:rPr>
              <w:t xml:space="preserve"> </w:t>
            </w:r>
            <w:r w:rsidRPr="00024D5A">
              <w:rPr>
                <w:rFonts w:ascii="Garamond" w:eastAsia="Times New Roman" w:hAnsi="Garamond"/>
                <w:sz w:val="12"/>
                <w:szCs w:val="16"/>
              </w:rPr>
              <w:t>KDPAK</w:t>
            </w:r>
            <w:r w:rsidRPr="00024D5A">
              <w:rPr>
                <w:rFonts w:ascii="Garamond" w:eastAsia="Times New Roman" w:hAnsi="Garamond"/>
                <w:sz w:val="12"/>
                <w:szCs w:val="16"/>
                <w:lang w:eastAsia="en-US"/>
              </w:rPr>
              <w:t xml:space="preserve"> (</w:t>
            </w:r>
            <w:r w:rsidR="00D05F1B" w:rsidRPr="00024D5A">
              <w:rPr>
                <w:rFonts w:ascii="Garamond" w:eastAsia="Times New Roman" w:hAnsi="Garamond"/>
                <w:sz w:val="12"/>
                <w:szCs w:val="16"/>
                <w:lang w:eastAsia="en-US"/>
              </w:rPr>
              <w:t xml:space="preserve">neni </w:t>
            </w:r>
            <w:r w:rsidRPr="00024D5A">
              <w:rPr>
                <w:rFonts w:ascii="Garamond" w:eastAsia="Times New Roman" w:hAnsi="Garamond"/>
                <w:sz w:val="12"/>
                <w:szCs w:val="16"/>
                <w:lang w:eastAsia="en-US"/>
              </w:rPr>
              <w:t xml:space="preserve">19; </w:t>
            </w:r>
            <w:r w:rsidR="00D05F1B" w:rsidRPr="00024D5A">
              <w:rPr>
                <w:rFonts w:ascii="Garamond" w:eastAsia="Times New Roman" w:hAnsi="Garamond"/>
                <w:sz w:val="12"/>
                <w:szCs w:val="16"/>
                <w:lang w:eastAsia="en-US"/>
              </w:rPr>
              <w:t xml:space="preserve">neni </w:t>
            </w:r>
            <w:r w:rsidRPr="00024D5A">
              <w:rPr>
                <w:rFonts w:ascii="Garamond" w:eastAsia="Times New Roman" w:hAnsi="Garamond"/>
                <w:sz w:val="12"/>
                <w:szCs w:val="16"/>
                <w:lang w:eastAsia="en-US"/>
              </w:rPr>
              <w:t xml:space="preserve">26; </w:t>
            </w:r>
            <w:r w:rsidR="00D05F1B" w:rsidRPr="00024D5A">
              <w:rPr>
                <w:rFonts w:ascii="Garamond" w:eastAsia="Times New Roman" w:hAnsi="Garamond"/>
                <w:sz w:val="12"/>
                <w:szCs w:val="16"/>
                <w:lang w:eastAsia="en-US"/>
              </w:rPr>
              <w:t xml:space="preserve">neni </w:t>
            </w:r>
            <w:r w:rsidRPr="00024D5A">
              <w:rPr>
                <w:rFonts w:ascii="Garamond" w:eastAsia="Times New Roman" w:hAnsi="Garamond"/>
                <w:sz w:val="12"/>
                <w:szCs w:val="16"/>
                <w:lang w:eastAsia="en-US"/>
              </w:rPr>
              <w:t xml:space="preserve">9 </w:t>
            </w:r>
            <w:r w:rsidRPr="00024D5A">
              <w:rPr>
                <w:rFonts w:ascii="Garamond" w:hAnsi="Garamond"/>
                <w:sz w:val="12"/>
              </w:rPr>
              <w:br/>
            </w:r>
            <w:r w:rsidRPr="00024D5A">
              <w:rPr>
                <w:rFonts w:ascii="Garamond" w:eastAsia="Times New Roman" w:hAnsi="Garamond"/>
                <w:sz w:val="12"/>
                <w:szCs w:val="16"/>
                <w:lang w:eastAsia="en-US"/>
              </w:rPr>
              <w:t xml:space="preserve">OZHQ 3; </w:t>
            </w:r>
            <w:r w:rsidRPr="00024D5A">
              <w:rPr>
                <w:rFonts w:ascii="Garamond" w:hAnsi="Garamond"/>
                <w:sz w:val="12"/>
              </w:rPr>
              <w:br/>
            </w:r>
            <w:r w:rsidRPr="00024D5A">
              <w:rPr>
                <w:rFonts w:ascii="Garamond" w:eastAsia="Times New Roman" w:hAnsi="Garamond"/>
                <w:sz w:val="12"/>
                <w:szCs w:val="16"/>
                <w:lang w:eastAsia="en-US"/>
              </w:rPr>
              <w:t xml:space="preserve">OZHQ 10; </w:t>
            </w:r>
            <w:r w:rsidRPr="00024D5A">
              <w:rPr>
                <w:rFonts w:ascii="Garamond" w:hAnsi="Garamond"/>
                <w:sz w:val="12"/>
              </w:rPr>
              <w:br/>
            </w:r>
            <w:r w:rsidRPr="00024D5A">
              <w:rPr>
                <w:rFonts w:ascii="Garamond" w:eastAsia="Times New Roman" w:hAnsi="Garamond"/>
                <w:i/>
                <w:iCs/>
                <w:sz w:val="12"/>
                <w:szCs w:val="16"/>
                <w:lang w:eastAsia="en-US"/>
              </w:rPr>
              <w:t>EU Disability Strategy</w:t>
            </w:r>
            <w:r w:rsidRPr="00024D5A">
              <w:rPr>
                <w:rFonts w:ascii="Garamond" w:eastAsia="Times New Roman" w:hAnsi="Garamond"/>
                <w:sz w:val="12"/>
                <w:szCs w:val="16"/>
                <w:lang w:eastAsia="en-US"/>
              </w:rPr>
              <w:t xml:space="preserve"> </w:t>
            </w:r>
            <w:r w:rsidR="008639DB" w:rsidRPr="00024D5A">
              <w:rPr>
                <w:rFonts w:ascii="Garamond" w:eastAsia="Times New Roman" w:hAnsi="Garamond"/>
                <w:sz w:val="12"/>
                <w:szCs w:val="16"/>
                <w:lang w:eastAsia="en-US"/>
              </w:rPr>
              <w:t>2021–2030</w:t>
            </w:r>
            <w:r w:rsidRPr="00024D5A">
              <w:rPr>
                <w:rFonts w:ascii="Garamond" w:eastAsia="Times New Roman" w:hAnsi="Garamond"/>
                <w:sz w:val="12"/>
                <w:szCs w:val="16"/>
                <w:lang w:eastAsia="en-US"/>
              </w:rPr>
              <w:t xml:space="preserve">; Aksesueshmëria e informacionit/shërbimeve digjitale: </w:t>
            </w:r>
            <w:r w:rsidR="00382508" w:rsidRPr="00024D5A">
              <w:rPr>
                <w:rFonts w:ascii="Garamond" w:eastAsia="Times New Roman" w:hAnsi="Garamond"/>
                <w:sz w:val="12"/>
                <w:szCs w:val="16"/>
                <w:lang w:eastAsia="en-US"/>
              </w:rPr>
              <w:t>w</w:t>
            </w:r>
            <w:r w:rsidRPr="00024D5A">
              <w:rPr>
                <w:rFonts w:ascii="Garamond" w:eastAsia="Times New Roman" w:hAnsi="Garamond"/>
                <w:sz w:val="12"/>
                <w:szCs w:val="16"/>
                <w:lang w:eastAsia="en-US"/>
              </w:rPr>
              <w:t xml:space="preserve">eb Accessibility Directive 2016/2102. </w:t>
            </w:r>
            <w:r w:rsidRPr="00024D5A">
              <w:rPr>
                <w:rFonts w:ascii="Garamond" w:hAnsi="Garamond"/>
                <w:sz w:val="12"/>
              </w:rPr>
              <w:br/>
            </w:r>
            <w:r w:rsidRPr="00024D5A">
              <w:rPr>
                <w:rFonts w:ascii="Garamond" w:eastAsia="Times New Roman" w:hAnsi="Garamond"/>
                <w:sz w:val="12"/>
                <w:szCs w:val="16"/>
                <w:lang w:eastAsia="en-US"/>
              </w:rPr>
              <w:t xml:space="preserve">European Accessibility Act - Directive (EU) 2019/882; </w:t>
            </w:r>
            <w:r w:rsidRPr="00024D5A">
              <w:rPr>
                <w:rFonts w:ascii="Garamond" w:hAnsi="Garamond"/>
                <w:sz w:val="12"/>
              </w:rPr>
              <w:br/>
            </w:r>
            <w:r w:rsidRPr="00024D5A">
              <w:rPr>
                <w:rFonts w:ascii="Garamond" w:eastAsia="Times New Roman" w:hAnsi="Garamond"/>
                <w:sz w:val="12"/>
                <w:szCs w:val="16"/>
                <w:lang w:eastAsia="en-US"/>
              </w:rPr>
              <w:t xml:space="preserve">EPSR; </w:t>
            </w:r>
            <w:r w:rsidRPr="00024D5A">
              <w:rPr>
                <w:rFonts w:ascii="Garamond" w:hAnsi="Garamond"/>
                <w:sz w:val="12"/>
              </w:rPr>
              <w:br/>
            </w:r>
            <w:r w:rsidRPr="00024D5A">
              <w:rPr>
                <w:rFonts w:ascii="Garamond" w:eastAsia="Times New Roman" w:hAnsi="Garamond"/>
                <w:sz w:val="12"/>
                <w:szCs w:val="16"/>
                <w:lang w:eastAsia="en-US"/>
              </w:rPr>
              <w:t xml:space="preserve">Parimi 17; Parimi 16; Parimi 20 </w:t>
            </w:r>
            <w:r w:rsidRPr="00024D5A">
              <w:rPr>
                <w:rFonts w:ascii="Garamond" w:hAnsi="Garamond"/>
                <w:sz w:val="12"/>
              </w:rPr>
              <w:br/>
            </w:r>
            <w:r w:rsidRPr="00024D5A">
              <w:rPr>
                <w:rFonts w:ascii="Garamond" w:eastAsia="Times New Roman" w:hAnsi="Garamond"/>
                <w:sz w:val="12"/>
                <w:szCs w:val="16"/>
                <w:lang w:eastAsia="en-US"/>
              </w:rPr>
              <w:t>SKZHIE 2022</w:t>
            </w:r>
            <w:r w:rsidR="00382508"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2030;</w:t>
            </w:r>
            <w:r w:rsidRPr="00024D5A">
              <w:rPr>
                <w:rFonts w:ascii="Garamond" w:hAnsi="Garamond"/>
                <w:sz w:val="12"/>
              </w:rPr>
              <w:br/>
            </w:r>
            <w:r w:rsidRPr="00024D5A">
              <w:rPr>
                <w:rFonts w:ascii="Garamond" w:eastAsia="Times New Roman" w:hAnsi="Garamond"/>
                <w:sz w:val="12"/>
                <w:szCs w:val="16"/>
                <w:lang w:eastAsia="en-US"/>
              </w:rPr>
              <w:t>Strategjia Kombëtare e Mbrojtjes Sociale 2024</w:t>
            </w:r>
            <w:r w:rsidR="00117EC6"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2030;</w:t>
            </w:r>
            <w:r w:rsidRPr="00024D5A">
              <w:rPr>
                <w:rFonts w:ascii="Garamond" w:hAnsi="Garamond"/>
                <w:sz w:val="12"/>
              </w:rPr>
              <w:br/>
            </w:r>
            <w:r w:rsidRPr="00024D5A">
              <w:rPr>
                <w:rFonts w:ascii="Garamond" w:eastAsia="Times New Roman" w:hAnsi="Garamond"/>
                <w:sz w:val="12"/>
                <w:szCs w:val="16"/>
                <w:lang w:eastAsia="en-US"/>
              </w:rPr>
              <w:t>Kapituj acquis:</w:t>
            </w:r>
            <w:r w:rsidR="00117EC6" w:rsidRPr="00024D5A">
              <w:rPr>
                <w:rFonts w:ascii="Garamond" w:eastAsia="Times New Roman" w:hAnsi="Garamond"/>
                <w:sz w:val="12"/>
                <w:szCs w:val="16"/>
                <w:lang w:eastAsia="en-US"/>
              </w:rPr>
              <w:t xml:space="preserve"> </w:t>
            </w:r>
            <w:r w:rsidRPr="00024D5A">
              <w:rPr>
                <w:rFonts w:ascii="Garamond" w:eastAsia="Times New Roman" w:hAnsi="Garamond"/>
                <w:sz w:val="12"/>
                <w:szCs w:val="16"/>
                <w:lang w:eastAsia="en-US"/>
              </w:rPr>
              <w:t>Kapitulli 19 (shërbime sociale, përfshirje/punësim), Kapitulli 23 (të drejta themelore)</w:t>
            </w:r>
            <w:r w:rsidR="00117EC6" w:rsidRPr="00024D5A">
              <w:rPr>
                <w:rFonts w:ascii="Garamond" w:eastAsia="Times New Roman" w:hAnsi="Garamond"/>
                <w:sz w:val="12"/>
                <w:szCs w:val="16"/>
                <w:lang w:eastAsia="en-US"/>
              </w:rPr>
              <w:t>.</w:t>
            </w:r>
          </w:p>
        </w:tc>
      </w:tr>
      <w:tr w:rsidR="00657405" w:rsidRPr="00024D5A" w14:paraId="3E29D039" w14:textId="77777777" w:rsidTr="00EE0000">
        <w:trPr>
          <w:trHeight w:val="20"/>
        </w:trPr>
        <w:tc>
          <w:tcPr>
            <w:tcW w:w="368" w:type="pct"/>
            <w:vMerge w:val="restart"/>
            <w:tcBorders>
              <w:bottom w:val="single" w:sz="4" w:space="0" w:color="auto"/>
            </w:tcBorders>
            <w:shd w:val="clear" w:color="auto" w:fill="CAEDFA"/>
          </w:tcPr>
          <w:p w14:paraId="6B5CB29E" w14:textId="77777777"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p w14:paraId="5E3D5534" w14:textId="77777777"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p w14:paraId="71FA84D4" w14:textId="77777777"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p w14:paraId="32C6AA29" w14:textId="77777777"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p w14:paraId="716411FF" w14:textId="0A7AA52A"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b/>
                <w:bCs/>
                <w:sz w:val="12"/>
                <w:szCs w:val="16"/>
                <w:lang w:eastAsia="en-US"/>
              </w:rPr>
              <w:t xml:space="preserve">Objektivi Specifik </w:t>
            </w:r>
          </w:p>
        </w:tc>
        <w:tc>
          <w:tcPr>
            <w:tcW w:w="630" w:type="pct"/>
            <w:tcBorders>
              <w:bottom w:val="single" w:sz="4" w:space="0" w:color="auto"/>
            </w:tcBorders>
            <w:shd w:val="clear" w:color="auto" w:fill="CAEDFA"/>
          </w:tcPr>
          <w:p w14:paraId="271349FE" w14:textId="675C2327" w:rsidR="00657405" w:rsidRPr="00024D5A" w:rsidRDefault="00657405" w:rsidP="006E424B">
            <w:pPr>
              <w:rPr>
                <w:rFonts w:ascii="Garamond" w:eastAsia="Times New Roman" w:hAnsi="Garamond"/>
                <w:sz w:val="12"/>
                <w:szCs w:val="16"/>
                <w:lang w:eastAsia="en-US"/>
              </w:rPr>
            </w:pPr>
            <w:r w:rsidRPr="00024D5A">
              <w:rPr>
                <w:rFonts w:ascii="Garamond" w:eastAsia="Times New Roman" w:hAnsi="Garamond"/>
                <w:sz w:val="12"/>
                <w:szCs w:val="16"/>
                <w:lang w:eastAsia="en-US"/>
              </w:rPr>
              <w:t xml:space="preserve">Objektivi </w:t>
            </w:r>
            <w:r w:rsidR="006E424B" w:rsidRPr="00024D5A">
              <w:rPr>
                <w:rFonts w:ascii="Garamond" w:eastAsia="Times New Roman" w:hAnsi="Garamond"/>
                <w:sz w:val="12"/>
                <w:szCs w:val="16"/>
                <w:lang w:eastAsia="en-US"/>
              </w:rPr>
              <w:t xml:space="preserve">specifik </w:t>
            </w:r>
            <w:r w:rsidRPr="00024D5A">
              <w:rPr>
                <w:rFonts w:ascii="Garamond" w:eastAsia="Times New Roman" w:hAnsi="Garamond"/>
                <w:sz w:val="12"/>
                <w:szCs w:val="16"/>
                <w:lang w:eastAsia="en-US"/>
              </w:rPr>
              <w:t>3</w:t>
            </w:r>
            <w:r w:rsidR="00AC5DA9">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Të mundësohet që të gjithë personat me aftësi të kufizuara në Shqipëri të kenë mundësi reale dhe të barabarta për të jetuar në komunitet, me zgjedhje dhe kontroll mbi jetën e tyre, përmes strehimit të aksesueshëm, mbështetjes individuale, shërbimeve të bazuara në komunitet dhe njohjes së plotë të kapacitetit ligjor, në përputhje me Konventën e OKB për të Drejtat e Personave me Aftësi të Kufizuara. </w:t>
            </w:r>
          </w:p>
        </w:tc>
        <w:tc>
          <w:tcPr>
            <w:tcW w:w="660" w:type="pct"/>
            <w:tcBorders>
              <w:bottom w:val="single" w:sz="4" w:space="0" w:color="auto"/>
            </w:tcBorders>
            <w:shd w:val="clear" w:color="auto" w:fill="CAEDFA"/>
          </w:tcPr>
          <w:p w14:paraId="2A0A4D8C" w14:textId="77777777"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Numri i personave me aftësi të kufizuara që përfitojnë shërbime komunitare për jetesë të pavarur (shtëpi të mbështetura, banesë sociale e përshtatur, ose ndihmës personal).</w:t>
            </w:r>
          </w:p>
        </w:tc>
        <w:tc>
          <w:tcPr>
            <w:tcW w:w="613" w:type="pct"/>
            <w:tcBorders>
              <w:bottom w:val="single" w:sz="4" w:space="0" w:color="auto"/>
            </w:tcBorders>
            <w:shd w:val="clear" w:color="auto" w:fill="CAEDFA"/>
          </w:tcPr>
          <w:p w14:paraId="6647BC27" w14:textId="77777777"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557</w:t>
            </w:r>
          </w:p>
          <w:p w14:paraId="690A0952" w14:textId="77777777"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p w14:paraId="411470DF" w14:textId="77777777"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p w14:paraId="483AEBEF" w14:textId="77777777"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p w14:paraId="177A1042" w14:textId="77777777"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p w14:paraId="684DB725" w14:textId="40CE850D"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tc>
        <w:tc>
          <w:tcPr>
            <w:tcW w:w="734" w:type="pct"/>
            <w:tcBorders>
              <w:bottom w:val="single" w:sz="4" w:space="0" w:color="auto"/>
            </w:tcBorders>
            <w:shd w:val="clear" w:color="auto" w:fill="CAEDFA"/>
            <w:noWrap/>
          </w:tcPr>
          <w:p w14:paraId="6F9218C2" w14:textId="2B681CFC"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20</w:t>
            </w:r>
            <w:r w:rsidR="00F03D39"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(950)</w:t>
            </w:r>
          </w:p>
          <w:p w14:paraId="52CCC7AE" w14:textId="77777777"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p w14:paraId="15154C22" w14:textId="77777777"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p w14:paraId="6D1679BC" w14:textId="77777777"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p w14:paraId="124902C8" w14:textId="77777777"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p w14:paraId="0877E4A1" w14:textId="15FC7246"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tc>
        <w:tc>
          <w:tcPr>
            <w:tcW w:w="616" w:type="pct"/>
            <w:tcBorders>
              <w:bottom w:val="single" w:sz="4" w:space="0" w:color="auto"/>
            </w:tcBorders>
            <w:shd w:val="clear" w:color="auto" w:fill="CAEDFA"/>
            <w:noWrap/>
          </w:tcPr>
          <w:p w14:paraId="60E93493" w14:textId="77777777"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45% (1450)</w:t>
            </w:r>
          </w:p>
          <w:p w14:paraId="6D92C2C4" w14:textId="77777777"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p w14:paraId="3246D177" w14:textId="77777777"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p w14:paraId="61DE8A3C" w14:textId="77777777"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p w14:paraId="316A0EFE" w14:textId="77777777"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p w14:paraId="7A8AB453" w14:textId="4CCDEF07"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tc>
        <w:tc>
          <w:tcPr>
            <w:tcW w:w="606" w:type="pct"/>
            <w:tcBorders>
              <w:bottom w:val="single" w:sz="4" w:space="0" w:color="auto"/>
            </w:tcBorders>
            <w:shd w:val="clear" w:color="auto" w:fill="CAEDFA"/>
          </w:tcPr>
          <w:p w14:paraId="3634CB11" w14:textId="77777777" w:rsidR="00657405" w:rsidRPr="00024D5A" w:rsidRDefault="00657405" w:rsidP="001464FD">
            <w:pPr>
              <w:rPr>
                <w:rFonts w:ascii="Garamond" w:eastAsia="Times New Roman" w:hAnsi="Garamond" w:cs="Arial"/>
                <w:sz w:val="12"/>
                <w:szCs w:val="16"/>
                <w:lang w:eastAsia="en-US"/>
              </w:rPr>
            </w:pPr>
            <w:r w:rsidRPr="00024D5A">
              <w:rPr>
                <w:rFonts w:ascii="Garamond" w:eastAsia="Times New Roman" w:hAnsi="Garamond" w:cs="Arial"/>
                <w:sz w:val="12"/>
                <w:szCs w:val="16"/>
                <w:lang w:eastAsia="en-US"/>
              </w:rPr>
              <w:t>MSHMS</w:t>
            </w:r>
          </w:p>
          <w:p w14:paraId="225F08D8" w14:textId="77777777" w:rsidR="00657405" w:rsidRPr="00024D5A" w:rsidRDefault="00657405" w:rsidP="001464FD">
            <w:pPr>
              <w:rPr>
                <w:rFonts w:ascii="Garamond" w:eastAsia="Times New Roman" w:hAnsi="Garamond" w:cs="Arial"/>
                <w:sz w:val="12"/>
                <w:szCs w:val="16"/>
                <w:lang w:eastAsia="en-US"/>
              </w:rPr>
            </w:pPr>
            <w:r w:rsidRPr="00024D5A">
              <w:rPr>
                <w:rFonts w:ascii="Garamond" w:eastAsia="Times New Roman" w:hAnsi="Garamond" w:cs="Arial"/>
                <w:sz w:val="12"/>
                <w:szCs w:val="16"/>
                <w:lang w:eastAsia="en-US"/>
              </w:rPr>
              <w:t>MSHPV</w:t>
            </w:r>
          </w:p>
          <w:p w14:paraId="32E30CC1" w14:textId="77777777" w:rsidR="00657405" w:rsidRPr="00024D5A" w:rsidRDefault="00657405" w:rsidP="001464FD">
            <w:pPr>
              <w:rPr>
                <w:rFonts w:ascii="Garamond" w:eastAsia="Times New Roman" w:hAnsi="Garamond" w:cs="Arial"/>
                <w:sz w:val="12"/>
                <w:szCs w:val="16"/>
                <w:lang w:eastAsia="en-US"/>
              </w:rPr>
            </w:pPr>
            <w:r w:rsidRPr="00024D5A">
              <w:rPr>
                <w:rFonts w:ascii="Garamond" w:eastAsia="Times New Roman" w:hAnsi="Garamond" w:cs="Arial"/>
                <w:sz w:val="12"/>
                <w:szCs w:val="16"/>
                <w:lang w:eastAsia="en-US"/>
              </w:rPr>
              <w:t>MEI</w:t>
            </w:r>
          </w:p>
          <w:p w14:paraId="434F4D1C" w14:textId="7B21B20E"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cs="Arial"/>
                <w:sz w:val="12"/>
                <w:szCs w:val="16"/>
                <w:lang w:eastAsia="en-US"/>
              </w:rPr>
              <w:t xml:space="preserve">AMVV </w:t>
            </w:r>
            <w:r w:rsidRPr="00024D5A">
              <w:rPr>
                <w:rFonts w:ascii="Garamond" w:eastAsia="Times New Roman" w:hAnsi="Garamond" w:cs="Arial"/>
                <w:sz w:val="12"/>
                <w:szCs w:val="16"/>
                <w:lang w:eastAsia="en-US"/>
              </w:rPr>
              <w:br/>
            </w:r>
            <w:r w:rsidRPr="00024D5A">
              <w:rPr>
                <w:rFonts w:ascii="Garamond" w:eastAsia="Times New Roman" w:hAnsi="Garamond"/>
                <w:sz w:val="12"/>
                <w:szCs w:val="16"/>
                <w:lang w:eastAsia="en-US"/>
              </w:rPr>
              <w:t>SHSSH;</w:t>
            </w:r>
            <w:r w:rsidRPr="00024D5A">
              <w:rPr>
                <w:rFonts w:ascii="Garamond" w:eastAsia="Times New Roman" w:hAnsi="Garamond"/>
                <w:sz w:val="12"/>
                <w:szCs w:val="16"/>
                <w:lang w:eastAsia="en-US"/>
              </w:rPr>
              <w:br/>
              <w:t>Bashkitë;</w:t>
            </w:r>
            <w:r w:rsidRPr="00024D5A">
              <w:rPr>
                <w:rFonts w:ascii="Garamond" w:eastAsia="Times New Roman" w:hAnsi="Garamond"/>
                <w:sz w:val="12"/>
                <w:szCs w:val="16"/>
                <w:lang w:eastAsia="en-US"/>
              </w:rPr>
              <w:br/>
              <w:t>Fondi Social</w:t>
            </w:r>
            <w:r w:rsidR="00117EC6" w:rsidRPr="00024D5A">
              <w:rPr>
                <w:rFonts w:ascii="Garamond" w:eastAsia="Times New Roman" w:hAnsi="Garamond"/>
                <w:sz w:val="12"/>
                <w:szCs w:val="16"/>
                <w:lang w:eastAsia="en-US"/>
              </w:rPr>
              <w:t>.</w:t>
            </w:r>
          </w:p>
          <w:p w14:paraId="544DFF2A" w14:textId="77777777"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p w14:paraId="4F42DFD9" w14:textId="77777777"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p w14:paraId="53926FC2" w14:textId="77777777"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p w14:paraId="33D63CD8" w14:textId="77777777"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p w14:paraId="4B6D0A20" w14:textId="3CE8FC5E"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tc>
        <w:tc>
          <w:tcPr>
            <w:tcW w:w="772" w:type="pct"/>
            <w:tcBorders>
              <w:bottom w:val="single" w:sz="4" w:space="0" w:color="auto"/>
            </w:tcBorders>
            <w:shd w:val="clear" w:color="auto" w:fill="CAEDFA"/>
          </w:tcPr>
          <w:p w14:paraId="312A4870" w14:textId="01A9DD47"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rPr>
              <w:t xml:space="preserve"> </w:t>
            </w:r>
            <w:r w:rsidRPr="00024D5A">
              <w:rPr>
                <w:rFonts w:ascii="Garamond" w:eastAsia="Times New Roman" w:hAnsi="Garamond"/>
                <w:sz w:val="12"/>
                <w:szCs w:val="16"/>
              </w:rPr>
              <w:t>KDPAK</w:t>
            </w:r>
            <w:r w:rsidRPr="00024D5A">
              <w:rPr>
                <w:rFonts w:ascii="Garamond" w:eastAsia="Times New Roman" w:hAnsi="Garamond"/>
                <w:sz w:val="12"/>
                <w:szCs w:val="16"/>
                <w:lang w:eastAsia="en-US"/>
              </w:rPr>
              <w:t xml:space="preserve"> (</w:t>
            </w:r>
            <w:r w:rsidR="00117EC6" w:rsidRPr="00024D5A">
              <w:rPr>
                <w:rFonts w:ascii="Garamond" w:eastAsia="Times New Roman" w:hAnsi="Garamond"/>
                <w:sz w:val="12"/>
                <w:szCs w:val="16"/>
                <w:lang w:eastAsia="en-US"/>
              </w:rPr>
              <w:t xml:space="preserve">neni </w:t>
            </w:r>
            <w:r w:rsidRPr="00024D5A">
              <w:rPr>
                <w:rFonts w:ascii="Garamond" w:eastAsia="Times New Roman" w:hAnsi="Garamond"/>
                <w:sz w:val="12"/>
                <w:szCs w:val="16"/>
                <w:lang w:eastAsia="en-US"/>
              </w:rPr>
              <w:t xml:space="preserve">19; </w:t>
            </w:r>
            <w:r w:rsidR="00117EC6" w:rsidRPr="00024D5A">
              <w:rPr>
                <w:rFonts w:ascii="Garamond" w:eastAsia="Times New Roman" w:hAnsi="Garamond"/>
                <w:sz w:val="12"/>
                <w:szCs w:val="16"/>
                <w:lang w:eastAsia="en-US"/>
              </w:rPr>
              <w:t xml:space="preserve">neni </w:t>
            </w:r>
            <w:r w:rsidRPr="00024D5A">
              <w:rPr>
                <w:rFonts w:ascii="Garamond" w:eastAsia="Times New Roman" w:hAnsi="Garamond"/>
                <w:sz w:val="12"/>
                <w:szCs w:val="16"/>
                <w:lang w:eastAsia="en-US"/>
              </w:rPr>
              <w:t xml:space="preserve">12; </w:t>
            </w:r>
            <w:r w:rsidR="00117EC6" w:rsidRPr="00024D5A">
              <w:rPr>
                <w:rFonts w:ascii="Garamond" w:eastAsia="Times New Roman" w:hAnsi="Garamond"/>
                <w:sz w:val="12"/>
                <w:szCs w:val="16"/>
                <w:lang w:eastAsia="en-US"/>
              </w:rPr>
              <w:t xml:space="preserve">neni </w:t>
            </w:r>
            <w:r w:rsidRPr="00024D5A">
              <w:rPr>
                <w:rFonts w:ascii="Garamond" w:eastAsia="Times New Roman" w:hAnsi="Garamond"/>
                <w:sz w:val="12"/>
                <w:szCs w:val="16"/>
                <w:lang w:eastAsia="en-US"/>
              </w:rPr>
              <w:t>9)</w:t>
            </w:r>
            <w:r w:rsidR="00117EC6" w:rsidRPr="00024D5A">
              <w:rPr>
                <w:rFonts w:ascii="Garamond" w:eastAsia="Times New Roman" w:hAnsi="Garamond"/>
                <w:sz w:val="12"/>
                <w:szCs w:val="16"/>
                <w:lang w:eastAsia="en-US"/>
              </w:rPr>
              <w:t>;</w:t>
            </w:r>
            <w:r w:rsidRPr="00024D5A">
              <w:rPr>
                <w:rFonts w:ascii="Garamond" w:hAnsi="Garamond"/>
                <w:sz w:val="12"/>
              </w:rPr>
              <w:br/>
            </w:r>
            <w:r w:rsidRPr="00024D5A">
              <w:rPr>
                <w:rFonts w:ascii="Garamond" w:eastAsia="Times New Roman" w:hAnsi="Garamond"/>
                <w:sz w:val="12"/>
                <w:szCs w:val="16"/>
                <w:lang w:eastAsia="en-US"/>
              </w:rPr>
              <w:t xml:space="preserve">OZHQ 11, OZHQ 10 </w:t>
            </w:r>
            <w:r w:rsidRPr="00024D5A">
              <w:rPr>
                <w:rFonts w:ascii="Garamond" w:hAnsi="Garamond"/>
                <w:sz w:val="12"/>
              </w:rPr>
              <w:br/>
            </w:r>
            <w:r w:rsidRPr="00024D5A">
              <w:rPr>
                <w:rFonts w:ascii="Garamond" w:eastAsia="Times New Roman" w:hAnsi="Garamond"/>
                <w:sz w:val="12"/>
                <w:szCs w:val="16"/>
                <w:lang w:eastAsia="en-US"/>
              </w:rPr>
              <w:t xml:space="preserve">EU Disability Strategy </w:t>
            </w:r>
            <w:r w:rsidR="008639DB" w:rsidRPr="00024D5A">
              <w:rPr>
                <w:rFonts w:ascii="Garamond" w:eastAsia="Times New Roman" w:hAnsi="Garamond"/>
                <w:sz w:val="12"/>
                <w:szCs w:val="16"/>
                <w:lang w:eastAsia="en-US"/>
              </w:rPr>
              <w:t>2021–2030</w:t>
            </w:r>
            <w:r w:rsidR="00117EC6"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w:t>
            </w:r>
            <w:r w:rsidRPr="00024D5A">
              <w:rPr>
                <w:rFonts w:ascii="Garamond" w:hAnsi="Garamond"/>
                <w:sz w:val="12"/>
              </w:rPr>
              <w:br/>
            </w:r>
            <w:r w:rsidR="00117EC6" w:rsidRPr="00024D5A">
              <w:rPr>
                <w:rFonts w:ascii="Garamond" w:eastAsia="Times New Roman" w:hAnsi="Garamond"/>
                <w:sz w:val="12"/>
                <w:szCs w:val="16"/>
                <w:lang w:eastAsia="en-US"/>
              </w:rPr>
              <w:t>W</w:t>
            </w:r>
            <w:r w:rsidRPr="00024D5A">
              <w:rPr>
                <w:rFonts w:ascii="Garamond" w:eastAsia="Times New Roman" w:hAnsi="Garamond"/>
                <w:sz w:val="12"/>
                <w:szCs w:val="16"/>
                <w:lang w:eastAsia="en-US"/>
              </w:rPr>
              <w:t>eb Accessibility Directive 2016/2102 Dokumenti i BE për Jetesën e Pavarur dhe Përfshirjen në Komunitet</w:t>
            </w:r>
            <w:r w:rsidRPr="00024D5A">
              <w:rPr>
                <w:rFonts w:ascii="Garamond" w:hAnsi="Garamond"/>
                <w:sz w:val="12"/>
              </w:rPr>
              <w:br/>
            </w:r>
            <w:r w:rsidRPr="00024D5A">
              <w:rPr>
                <w:rFonts w:ascii="Garamond" w:eastAsia="Times New Roman" w:hAnsi="Garamond"/>
                <w:sz w:val="12"/>
                <w:szCs w:val="16"/>
                <w:lang w:eastAsia="en-US"/>
              </w:rPr>
              <w:t>European Accessibility Act 2019/882</w:t>
            </w:r>
            <w:r w:rsidR="006E424B"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w:t>
            </w:r>
            <w:r w:rsidRPr="00024D5A">
              <w:rPr>
                <w:rFonts w:ascii="Garamond" w:hAnsi="Garamond"/>
                <w:sz w:val="12"/>
              </w:rPr>
              <w:br/>
            </w:r>
            <w:r w:rsidRPr="00024D5A">
              <w:rPr>
                <w:rFonts w:ascii="Garamond" w:eastAsia="Times New Roman" w:hAnsi="Garamond"/>
                <w:sz w:val="12"/>
                <w:szCs w:val="16"/>
                <w:lang w:eastAsia="en-US"/>
              </w:rPr>
              <w:t xml:space="preserve">EPSR; Parimi 17; </w:t>
            </w:r>
            <w:r w:rsidR="006E424B" w:rsidRPr="00024D5A">
              <w:rPr>
                <w:rFonts w:ascii="Garamond" w:eastAsia="Times New Roman" w:hAnsi="Garamond"/>
                <w:sz w:val="12"/>
                <w:szCs w:val="16"/>
                <w:lang w:eastAsia="en-US"/>
              </w:rPr>
              <w:t xml:space="preserve">parimi </w:t>
            </w:r>
            <w:r w:rsidRPr="00024D5A">
              <w:rPr>
                <w:rFonts w:ascii="Garamond" w:eastAsia="Times New Roman" w:hAnsi="Garamond"/>
                <w:sz w:val="12"/>
                <w:szCs w:val="16"/>
                <w:lang w:eastAsia="en-US"/>
              </w:rPr>
              <w:t>19</w:t>
            </w:r>
            <w:r w:rsidR="006E424B"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w:t>
            </w:r>
            <w:r w:rsidRPr="00024D5A">
              <w:rPr>
                <w:rFonts w:ascii="Garamond" w:hAnsi="Garamond"/>
                <w:sz w:val="12"/>
              </w:rPr>
              <w:br/>
            </w:r>
            <w:r w:rsidRPr="00024D5A">
              <w:rPr>
                <w:rFonts w:ascii="Garamond" w:eastAsia="Times New Roman" w:hAnsi="Garamond"/>
                <w:sz w:val="12"/>
                <w:szCs w:val="16"/>
                <w:lang w:eastAsia="en-US"/>
              </w:rPr>
              <w:t>SKZHIE 2022</w:t>
            </w:r>
            <w:r w:rsidR="00117EC6"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2030. </w:t>
            </w:r>
            <w:r w:rsidRPr="00024D5A">
              <w:rPr>
                <w:rFonts w:ascii="Garamond" w:hAnsi="Garamond"/>
                <w:sz w:val="12"/>
              </w:rPr>
              <w:br/>
            </w:r>
            <w:r w:rsidRPr="00024D5A">
              <w:rPr>
                <w:rFonts w:ascii="Garamond" w:eastAsia="Times New Roman" w:hAnsi="Garamond"/>
                <w:sz w:val="12"/>
                <w:szCs w:val="16"/>
                <w:lang w:eastAsia="en-US"/>
              </w:rPr>
              <w:t>Strategjia Kombëtare e Mbrojtjes Sociale 2024-2030</w:t>
            </w:r>
            <w:r w:rsidR="006E424B"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w:t>
            </w:r>
            <w:r w:rsidRPr="00024D5A">
              <w:rPr>
                <w:rFonts w:ascii="Garamond" w:hAnsi="Garamond"/>
                <w:sz w:val="12"/>
              </w:rPr>
              <w:br/>
            </w:r>
            <w:r w:rsidRPr="00024D5A">
              <w:rPr>
                <w:rFonts w:ascii="Garamond" w:eastAsia="Times New Roman" w:hAnsi="Garamond"/>
                <w:sz w:val="12"/>
                <w:szCs w:val="16"/>
                <w:lang w:eastAsia="en-US"/>
              </w:rPr>
              <w:t xml:space="preserve">Kapituj acquis; </w:t>
            </w:r>
            <w:r w:rsidR="00B73A9F" w:rsidRPr="00024D5A">
              <w:rPr>
                <w:rFonts w:ascii="Garamond" w:eastAsia="Times New Roman" w:hAnsi="Garamond"/>
                <w:sz w:val="12"/>
                <w:szCs w:val="16"/>
                <w:lang w:eastAsia="en-US"/>
              </w:rPr>
              <w:t xml:space="preserve">kapitulli </w:t>
            </w:r>
            <w:r w:rsidRPr="00024D5A">
              <w:rPr>
                <w:rFonts w:ascii="Garamond" w:eastAsia="Times New Roman" w:hAnsi="Garamond"/>
                <w:sz w:val="12"/>
                <w:szCs w:val="16"/>
                <w:lang w:eastAsia="en-US"/>
              </w:rPr>
              <w:t xml:space="preserve">19, </w:t>
            </w:r>
            <w:r w:rsidR="00B73A9F" w:rsidRPr="00024D5A">
              <w:rPr>
                <w:rFonts w:ascii="Garamond" w:eastAsia="Times New Roman" w:hAnsi="Garamond"/>
                <w:sz w:val="12"/>
                <w:szCs w:val="16"/>
                <w:lang w:eastAsia="en-US"/>
              </w:rPr>
              <w:t xml:space="preserve">kapitulli </w:t>
            </w:r>
            <w:r w:rsidRPr="00024D5A">
              <w:rPr>
                <w:rFonts w:ascii="Garamond" w:eastAsia="Times New Roman" w:hAnsi="Garamond"/>
                <w:sz w:val="12"/>
                <w:szCs w:val="16"/>
                <w:lang w:eastAsia="en-US"/>
              </w:rPr>
              <w:t>23</w:t>
            </w:r>
            <w:r w:rsidR="00B73A9F"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w:t>
            </w:r>
          </w:p>
        </w:tc>
      </w:tr>
      <w:tr w:rsidR="00657405" w:rsidRPr="00024D5A" w14:paraId="64A2E757" w14:textId="77777777" w:rsidTr="00EE0000">
        <w:trPr>
          <w:trHeight w:val="20"/>
        </w:trPr>
        <w:tc>
          <w:tcPr>
            <w:tcW w:w="368" w:type="pct"/>
            <w:vMerge/>
          </w:tcPr>
          <w:p w14:paraId="41476FDA" w14:textId="77777777" w:rsidR="00657405" w:rsidRPr="00024D5A" w:rsidRDefault="00657405" w:rsidP="001464FD">
            <w:pPr>
              <w:rPr>
                <w:rFonts w:ascii="Garamond" w:eastAsia="Times New Roman" w:hAnsi="Garamond"/>
                <w:b/>
                <w:bCs/>
                <w:sz w:val="12"/>
                <w:szCs w:val="16"/>
                <w:lang w:eastAsia="en-US"/>
              </w:rPr>
            </w:pPr>
          </w:p>
        </w:tc>
        <w:tc>
          <w:tcPr>
            <w:tcW w:w="630" w:type="pct"/>
            <w:shd w:val="clear" w:color="auto" w:fill="CAEDFA"/>
          </w:tcPr>
          <w:p w14:paraId="6C9AD197" w14:textId="77777777"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Objektivi specifik 4: Të garantohet mbrojtja efektive e të drejtave, dinjitetit dhe barazisë së grave dhe vajzave me aftësi të kufizuara nga të gjitha format e dhunës, duke adresuar diskriminimin e shumëfishtë dhe duke siguruar akses të plotë dhe të përshtatur në shërbime, mekanizma mbrojtës dhe drejtësi.</w:t>
            </w:r>
          </w:p>
        </w:tc>
        <w:tc>
          <w:tcPr>
            <w:tcW w:w="660" w:type="pct"/>
            <w:shd w:val="clear" w:color="auto" w:fill="CAEDFA"/>
          </w:tcPr>
          <w:p w14:paraId="0A676E11" w14:textId="7E80D30F"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Numri i grave dhe vajzave me aftësi të kufizuara viktima të dhunës që kanë përfituar shërbime mbrojtëse të specializuara (strehim emergjent, qendër krize, ndihmë juridike falas, shërbim psikosocial).</w:t>
            </w:r>
            <w:r w:rsidRPr="00024D5A">
              <w:rPr>
                <w:rFonts w:ascii="Garamond" w:eastAsia="Times New Roman" w:hAnsi="Garamond"/>
                <w:sz w:val="12"/>
                <w:szCs w:val="16"/>
                <w:lang w:eastAsia="en-US"/>
              </w:rPr>
              <w:br/>
            </w:r>
            <w:r w:rsidRPr="00024D5A">
              <w:rPr>
                <w:rFonts w:ascii="Garamond" w:eastAsia="Times New Roman" w:hAnsi="Garamond"/>
                <w:sz w:val="12"/>
                <w:szCs w:val="16"/>
                <w:lang w:eastAsia="en-US"/>
              </w:rPr>
              <w:br/>
              <w:t>Numri i grave dhe vajzave me aftësi të kufizuara që kane raportuar dhunën.</w:t>
            </w:r>
          </w:p>
        </w:tc>
        <w:tc>
          <w:tcPr>
            <w:tcW w:w="613" w:type="pct"/>
            <w:shd w:val="clear" w:color="auto" w:fill="CAEDFA"/>
          </w:tcPr>
          <w:p w14:paraId="3CF63E58" w14:textId="77777777"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N/a</w:t>
            </w:r>
          </w:p>
        </w:tc>
        <w:tc>
          <w:tcPr>
            <w:tcW w:w="734" w:type="pct"/>
            <w:shd w:val="clear" w:color="auto" w:fill="CAEDFA"/>
          </w:tcPr>
          <w:p w14:paraId="4DC28A56" w14:textId="77777777"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10%</w:t>
            </w:r>
          </w:p>
        </w:tc>
        <w:tc>
          <w:tcPr>
            <w:tcW w:w="616" w:type="pct"/>
            <w:shd w:val="clear" w:color="auto" w:fill="CAEDFA"/>
          </w:tcPr>
          <w:p w14:paraId="3B41F350" w14:textId="77777777"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15%</w:t>
            </w:r>
          </w:p>
        </w:tc>
        <w:tc>
          <w:tcPr>
            <w:tcW w:w="606" w:type="pct"/>
            <w:shd w:val="clear" w:color="auto" w:fill="CAEDFA"/>
          </w:tcPr>
          <w:p w14:paraId="6C201761" w14:textId="0C52E4BC"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MSHMS; Bashkitë (MKR) Qendrat për viktimat e dhunës</w:t>
            </w:r>
            <w:r w:rsidRPr="00024D5A">
              <w:rPr>
                <w:rFonts w:ascii="Garamond" w:hAnsi="Garamond"/>
                <w:sz w:val="12"/>
              </w:rPr>
              <w:br/>
            </w:r>
            <w:r w:rsidRPr="00024D5A">
              <w:rPr>
                <w:rFonts w:ascii="Garamond" w:eastAsia="Times New Roman" w:hAnsi="Garamond"/>
                <w:sz w:val="12"/>
                <w:szCs w:val="16"/>
                <w:lang w:eastAsia="en-US"/>
              </w:rPr>
              <w:t>Ndihma Juridike Falas;</w:t>
            </w:r>
            <w:r w:rsidRPr="00024D5A">
              <w:rPr>
                <w:rFonts w:ascii="Garamond" w:hAnsi="Garamond"/>
                <w:sz w:val="12"/>
              </w:rPr>
              <w:br/>
            </w:r>
            <w:r w:rsidRPr="00024D5A">
              <w:rPr>
                <w:rFonts w:ascii="Garamond" w:eastAsia="Times New Roman" w:hAnsi="Garamond"/>
                <w:sz w:val="12"/>
                <w:szCs w:val="16"/>
                <w:lang w:eastAsia="en-US"/>
              </w:rPr>
              <w:t>Policia e Shtetit</w:t>
            </w:r>
            <w:r w:rsidR="006E424B" w:rsidRPr="00024D5A">
              <w:rPr>
                <w:rFonts w:ascii="Garamond" w:eastAsia="Times New Roman" w:hAnsi="Garamond"/>
                <w:sz w:val="12"/>
                <w:szCs w:val="16"/>
                <w:lang w:eastAsia="en-US"/>
              </w:rPr>
              <w:t>.</w:t>
            </w:r>
          </w:p>
        </w:tc>
        <w:tc>
          <w:tcPr>
            <w:tcW w:w="772" w:type="pct"/>
            <w:shd w:val="clear" w:color="auto" w:fill="CAEDFA"/>
          </w:tcPr>
          <w:p w14:paraId="262DE3D8" w14:textId="2DF83BE0"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rPr>
              <w:t xml:space="preserve"> </w:t>
            </w:r>
            <w:r w:rsidRPr="00024D5A">
              <w:rPr>
                <w:rFonts w:ascii="Garamond" w:eastAsia="Times New Roman" w:hAnsi="Garamond"/>
                <w:sz w:val="12"/>
                <w:szCs w:val="16"/>
              </w:rPr>
              <w:t>KDPAK</w:t>
            </w:r>
            <w:r w:rsidRPr="00024D5A">
              <w:rPr>
                <w:rFonts w:ascii="Garamond" w:eastAsia="Times New Roman" w:hAnsi="Garamond"/>
                <w:sz w:val="12"/>
                <w:szCs w:val="16"/>
                <w:lang w:eastAsia="en-US"/>
              </w:rPr>
              <w:t xml:space="preserve"> (</w:t>
            </w:r>
            <w:r w:rsidR="006E424B" w:rsidRPr="00024D5A">
              <w:rPr>
                <w:rFonts w:ascii="Garamond" w:eastAsia="Times New Roman" w:hAnsi="Garamond"/>
                <w:sz w:val="12"/>
                <w:szCs w:val="16"/>
                <w:lang w:eastAsia="en-US"/>
              </w:rPr>
              <w:t xml:space="preserve">neni </w:t>
            </w:r>
            <w:r w:rsidRPr="00024D5A">
              <w:rPr>
                <w:rFonts w:ascii="Garamond" w:eastAsia="Times New Roman" w:hAnsi="Garamond"/>
                <w:sz w:val="12"/>
                <w:szCs w:val="16"/>
                <w:lang w:eastAsia="en-US"/>
              </w:rPr>
              <w:t xml:space="preserve">6, </w:t>
            </w:r>
            <w:r w:rsidR="006E424B" w:rsidRPr="00024D5A">
              <w:rPr>
                <w:rFonts w:ascii="Garamond" w:eastAsia="Times New Roman" w:hAnsi="Garamond"/>
                <w:sz w:val="12"/>
                <w:szCs w:val="16"/>
                <w:lang w:eastAsia="en-US"/>
              </w:rPr>
              <w:t>neni 16, neni 9, neni 13, neni 25, neni 31);</w:t>
            </w:r>
            <w:r w:rsidR="006E424B" w:rsidRPr="00024D5A">
              <w:rPr>
                <w:rFonts w:ascii="Garamond" w:hAnsi="Garamond"/>
                <w:sz w:val="12"/>
              </w:rPr>
              <w:br/>
            </w:r>
            <w:r w:rsidRPr="00024D5A">
              <w:rPr>
                <w:rFonts w:ascii="Garamond" w:eastAsia="Times New Roman" w:hAnsi="Garamond"/>
                <w:sz w:val="12"/>
                <w:szCs w:val="16"/>
                <w:lang w:eastAsia="en-US"/>
              </w:rPr>
              <w:t>OZHQ5, OZHQ16, OZHQ10;</w:t>
            </w:r>
            <w:r w:rsidRPr="00024D5A">
              <w:rPr>
                <w:rFonts w:ascii="Garamond" w:hAnsi="Garamond"/>
                <w:sz w:val="12"/>
              </w:rPr>
              <w:br/>
            </w:r>
            <w:r w:rsidRPr="00024D5A">
              <w:rPr>
                <w:rFonts w:ascii="Garamond" w:eastAsia="Times New Roman" w:hAnsi="Garamond"/>
                <w:sz w:val="12"/>
                <w:szCs w:val="16"/>
                <w:lang w:eastAsia="en-US"/>
              </w:rPr>
              <w:t xml:space="preserve">Directive (EU) 2024/1385 </w:t>
            </w:r>
            <w:r w:rsidRPr="00024D5A">
              <w:rPr>
                <w:rFonts w:ascii="Garamond" w:hAnsi="Garamond"/>
                <w:sz w:val="12"/>
              </w:rPr>
              <w:br/>
            </w:r>
            <w:r w:rsidRPr="00024D5A">
              <w:rPr>
                <w:rFonts w:ascii="Garamond" w:eastAsia="Times New Roman" w:hAnsi="Garamond"/>
                <w:sz w:val="12"/>
                <w:szCs w:val="16"/>
                <w:lang w:eastAsia="en-US"/>
              </w:rPr>
              <w:t xml:space="preserve">EU Disability Strategy </w:t>
            </w:r>
            <w:r w:rsidR="008639DB" w:rsidRPr="00024D5A">
              <w:rPr>
                <w:rFonts w:ascii="Garamond" w:eastAsia="Times New Roman" w:hAnsi="Garamond"/>
                <w:sz w:val="12"/>
                <w:szCs w:val="16"/>
                <w:lang w:eastAsia="en-US"/>
              </w:rPr>
              <w:t>2021–2030</w:t>
            </w:r>
            <w:r w:rsidRPr="00024D5A">
              <w:rPr>
                <w:rFonts w:ascii="Garamond" w:eastAsia="Times New Roman" w:hAnsi="Garamond"/>
                <w:sz w:val="12"/>
                <w:szCs w:val="16"/>
                <w:lang w:eastAsia="en-US"/>
              </w:rPr>
              <w:t xml:space="preserve">; </w:t>
            </w:r>
            <w:r w:rsidRPr="00024D5A">
              <w:rPr>
                <w:rFonts w:ascii="Garamond" w:hAnsi="Garamond"/>
                <w:sz w:val="12"/>
              </w:rPr>
              <w:br/>
            </w:r>
            <w:r w:rsidRPr="00024D5A">
              <w:rPr>
                <w:rFonts w:ascii="Garamond" w:eastAsia="Times New Roman" w:hAnsi="Garamond"/>
                <w:sz w:val="12"/>
                <w:szCs w:val="16"/>
                <w:lang w:eastAsia="en-US"/>
              </w:rPr>
              <w:t>Konventa e Stambollit;</w:t>
            </w:r>
            <w:r w:rsidRPr="00024D5A">
              <w:rPr>
                <w:rFonts w:ascii="Garamond" w:hAnsi="Garamond"/>
                <w:sz w:val="12"/>
              </w:rPr>
              <w:br/>
            </w:r>
            <w:r w:rsidRPr="00024D5A">
              <w:rPr>
                <w:rFonts w:ascii="Garamond" w:eastAsia="Times New Roman" w:hAnsi="Garamond"/>
                <w:sz w:val="12"/>
                <w:szCs w:val="16"/>
                <w:lang w:eastAsia="en-US"/>
              </w:rPr>
              <w:t xml:space="preserve">EPSR; </w:t>
            </w:r>
            <w:r w:rsidRPr="00024D5A">
              <w:rPr>
                <w:rFonts w:ascii="Garamond" w:hAnsi="Garamond"/>
                <w:sz w:val="12"/>
              </w:rPr>
              <w:br/>
            </w:r>
            <w:r w:rsidRPr="00024D5A">
              <w:rPr>
                <w:rFonts w:ascii="Garamond" w:eastAsia="Times New Roman" w:hAnsi="Garamond"/>
                <w:sz w:val="12"/>
                <w:szCs w:val="16"/>
                <w:lang w:eastAsia="en-US"/>
              </w:rPr>
              <w:t xml:space="preserve">Parimi 17 </w:t>
            </w:r>
            <w:r w:rsidRPr="00024D5A">
              <w:rPr>
                <w:rFonts w:ascii="Garamond" w:hAnsi="Garamond"/>
                <w:sz w:val="12"/>
              </w:rPr>
              <w:br/>
            </w:r>
            <w:r w:rsidRPr="00024D5A">
              <w:rPr>
                <w:rFonts w:ascii="Garamond" w:hAnsi="Garamond"/>
                <w:sz w:val="12"/>
              </w:rPr>
              <w:br/>
            </w:r>
            <w:r w:rsidRPr="00024D5A">
              <w:rPr>
                <w:rFonts w:ascii="Garamond" w:eastAsia="Times New Roman" w:hAnsi="Garamond"/>
                <w:sz w:val="12"/>
                <w:szCs w:val="16"/>
                <w:lang w:eastAsia="en-US"/>
              </w:rPr>
              <w:t>SKZHIE 2022</w:t>
            </w:r>
            <w:r w:rsidR="006E424B"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2030;</w:t>
            </w:r>
            <w:r w:rsidRPr="00024D5A">
              <w:rPr>
                <w:rFonts w:ascii="Garamond" w:hAnsi="Garamond"/>
                <w:sz w:val="12"/>
              </w:rPr>
              <w:br/>
            </w:r>
            <w:r w:rsidRPr="00024D5A">
              <w:rPr>
                <w:rFonts w:ascii="Garamond" w:eastAsia="Times New Roman" w:hAnsi="Garamond"/>
                <w:sz w:val="12"/>
                <w:szCs w:val="16"/>
                <w:lang w:eastAsia="en-US"/>
              </w:rPr>
              <w:t>Strategjia e Mbrojtjes Sociale 2023</w:t>
            </w:r>
            <w:r w:rsidR="006E424B"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2020</w:t>
            </w:r>
            <w:r w:rsidRPr="00024D5A">
              <w:rPr>
                <w:rFonts w:ascii="Garamond" w:hAnsi="Garamond"/>
                <w:sz w:val="12"/>
              </w:rPr>
              <w:br/>
            </w:r>
            <w:r w:rsidRPr="00024D5A">
              <w:rPr>
                <w:rFonts w:ascii="Garamond" w:eastAsia="Times New Roman" w:hAnsi="Garamond"/>
                <w:sz w:val="12"/>
                <w:szCs w:val="16"/>
                <w:lang w:eastAsia="en-US"/>
              </w:rPr>
              <w:t xml:space="preserve">Strategjia Kombëtare për Barazinë Gjinore </w:t>
            </w:r>
            <w:r w:rsidR="008639DB" w:rsidRPr="00024D5A">
              <w:rPr>
                <w:rFonts w:ascii="Garamond" w:eastAsia="Times New Roman" w:hAnsi="Garamond"/>
                <w:sz w:val="12"/>
                <w:szCs w:val="16"/>
                <w:lang w:eastAsia="en-US"/>
              </w:rPr>
              <w:t>2021–2030</w:t>
            </w:r>
            <w:r w:rsidRPr="00024D5A">
              <w:rPr>
                <w:rFonts w:ascii="Garamond" w:eastAsia="Times New Roman" w:hAnsi="Garamond"/>
                <w:sz w:val="12"/>
                <w:szCs w:val="16"/>
                <w:lang w:eastAsia="en-US"/>
              </w:rPr>
              <w:t xml:space="preserve">; </w:t>
            </w:r>
          </w:p>
          <w:p w14:paraId="498A95D5" w14:textId="69FD0BCF"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xml:space="preserve">Kapituj </w:t>
            </w:r>
            <w:r w:rsidRPr="00024D5A">
              <w:rPr>
                <w:rFonts w:ascii="Garamond" w:eastAsia="Times New Roman" w:hAnsi="Garamond"/>
                <w:i/>
                <w:iCs/>
                <w:sz w:val="12"/>
                <w:szCs w:val="16"/>
                <w:lang w:eastAsia="en-US"/>
              </w:rPr>
              <w:t>acquis</w:t>
            </w:r>
            <w:r w:rsidR="003818FA"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w:t>
            </w:r>
            <w:r w:rsidR="003818FA" w:rsidRPr="00024D5A">
              <w:rPr>
                <w:rFonts w:ascii="Garamond" w:eastAsia="Times New Roman" w:hAnsi="Garamond"/>
                <w:sz w:val="12"/>
                <w:szCs w:val="16"/>
                <w:lang w:eastAsia="en-US"/>
              </w:rPr>
              <w:t xml:space="preserve">kapitulli </w:t>
            </w:r>
            <w:r w:rsidRPr="00024D5A">
              <w:rPr>
                <w:rFonts w:ascii="Garamond" w:eastAsia="Times New Roman" w:hAnsi="Garamond"/>
                <w:sz w:val="12"/>
                <w:szCs w:val="16"/>
                <w:lang w:eastAsia="en-US"/>
              </w:rPr>
              <w:t xml:space="preserve">23 dhe </w:t>
            </w:r>
            <w:r w:rsidR="006E424B" w:rsidRPr="00024D5A">
              <w:rPr>
                <w:rFonts w:ascii="Garamond" w:eastAsia="Times New Roman" w:hAnsi="Garamond"/>
                <w:sz w:val="12"/>
                <w:szCs w:val="16"/>
                <w:lang w:eastAsia="en-US"/>
              </w:rPr>
              <w:t xml:space="preserve">kapitulli </w:t>
            </w:r>
            <w:r w:rsidRPr="00024D5A">
              <w:rPr>
                <w:rFonts w:ascii="Garamond" w:eastAsia="Times New Roman" w:hAnsi="Garamond"/>
                <w:sz w:val="12"/>
                <w:szCs w:val="16"/>
                <w:lang w:eastAsia="en-US"/>
              </w:rPr>
              <w:t>19</w:t>
            </w:r>
            <w:r w:rsidR="006E424B" w:rsidRPr="00024D5A">
              <w:rPr>
                <w:rFonts w:ascii="Garamond" w:eastAsia="Times New Roman" w:hAnsi="Garamond"/>
                <w:sz w:val="12"/>
                <w:szCs w:val="16"/>
                <w:lang w:eastAsia="en-US"/>
              </w:rPr>
              <w:t>.</w:t>
            </w:r>
          </w:p>
        </w:tc>
      </w:tr>
      <w:tr w:rsidR="00657405" w:rsidRPr="00024D5A" w14:paraId="4451D734" w14:textId="77777777" w:rsidTr="00EE0000">
        <w:trPr>
          <w:trHeight w:val="20"/>
        </w:trPr>
        <w:tc>
          <w:tcPr>
            <w:tcW w:w="368" w:type="pct"/>
            <w:vMerge/>
          </w:tcPr>
          <w:p w14:paraId="5891E213" w14:textId="77777777" w:rsidR="00657405" w:rsidRPr="00024D5A" w:rsidRDefault="00657405" w:rsidP="001464FD">
            <w:pPr>
              <w:rPr>
                <w:rFonts w:ascii="Garamond" w:eastAsia="Times New Roman" w:hAnsi="Garamond"/>
                <w:b/>
                <w:bCs/>
                <w:sz w:val="12"/>
                <w:szCs w:val="16"/>
                <w:lang w:eastAsia="en-US"/>
              </w:rPr>
            </w:pPr>
          </w:p>
        </w:tc>
        <w:tc>
          <w:tcPr>
            <w:tcW w:w="630" w:type="pct"/>
            <w:vMerge w:val="restart"/>
            <w:shd w:val="clear" w:color="auto" w:fill="CAEDFA"/>
          </w:tcPr>
          <w:p w14:paraId="6F9ADB33" w14:textId="77777777"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Objektivi 5: Fëmijët me aftësi të kufizuara gëzojnë plotësisht të drejtat dhe liritë e tyre themelore në baza të barabarta me fëmijët e tjerë, duke pasur gjithmonë parasysh interesin më të lartë të tyre, me fokus mbështetjen e përshtatshme sipas moshës dhe nevojave individuale.</w:t>
            </w:r>
          </w:p>
        </w:tc>
        <w:tc>
          <w:tcPr>
            <w:tcW w:w="660" w:type="pct"/>
            <w:vMerge w:val="restart"/>
            <w:shd w:val="clear" w:color="auto" w:fill="CAEDFA"/>
          </w:tcPr>
          <w:p w14:paraId="22D82DBD" w14:textId="77777777"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Përqindja e fëmijëve me aftësi të kufizuara të identifikuar në rrezik ose viktima dhune që trajtohen nga Njësitë e Mbrojtjes së Fëmijëve (NJMF) me plan individual mbrojtjeje dhe ndjekje rasti.</w:t>
            </w:r>
          </w:p>
        </w:tc>
        <w:tc>
          <w:tcPr>
            <w:tcW w:w="613" w:type="pct"/>
            <w:shd w:val="clear" w:color="auto" w:fill="CAEDFA"/>
          </w:tcPr>
          <w:p w14:paraId="5A5F6906" w14:textId="77777777"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N/A</w:t>
            </w:r>
          </w:p>
        </w:tc>
        <w:tc>
          <w:tcPr>
            <w:tcW w:w="734" w:type="pct"/>
            <w:shd w:val="clear" w:color="auto" w:fill="CAEDFA"/>
          </w:tcPr>
          <w:p w14:paraId="194D0251" w14:textId="77777777"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15%</w:t>
            </w:r>
          </w:p>
        </w:tc>
        <w:tc>
          <w:tcPr>
            <w:tcW w:w="616" w:type="pct"/>
            <w:shd w:val="clear" w:color="auto" w:fill="CAEDFA"/>
          </w:tcPr>
          <w:p w14:paraId="3A5EAFEC" w14:textId="77777777"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25%</w:t>
            </w:r>
          </w:p>
        </w:tc>
        <w:tc>
          <w:tcPr>
            <w:tcW w:w="606" w:type="pct"/>
            <w:shd w:val="clear" w:color="auto" w:fill="CAEDFA"/>
          </w:tcPr>
          <w:p w14:paraId="5D8FCA0C" w14:textId="77777777"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ASHDMF</w:t>
            </w:r>
          </w:p>
          <w:p w14:paraId="70471BFA" w14:textId="3404CBD1"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NJMF (</w:t>
            </w:r>
            <w:r w:rsidR="006E424B" w:rsidRPr="00024D5A">
              <w:rPr>
                <w:rFonts w:ascii="Garamond" w:eastAsia="Times New Roman" w:hAnsi="Garamond"/>
                <w:sz w:val="12"/>
                <w:szCs w:val="16"/>
                <w:lang w:eastAsia="en-US"/>
              </w:rPr>
              <w:t>bashkitë</w:t>
            </w:r>
            <w:r w:rsidRPr="00024D5A">
              <w:rPr>
                <w:rFonts w:ascii="Garamond" w:eastAsia="Times New Roman" w:hAnsi="Garamond"/>
                <w:sz w:val="12"/>
                <w:szCs w:val="16"/>
                <w:lang w:eastAsia="en-US"/>
              </w:rPr>
              <w:t>);</w:t>
            </w:r>
            <w:r w:rsidRPr="00024D5A">
              <w:rPr>
                <w:rFonts w:ascii="Garamond" w:hAnsi="Garamond"/>
                <w:sz w:val="12"/>
              </w:rPr>
              <w:br/>
            </w:r>
            <w:r w:rsidRPr="00024D5A">
              <w:rPr>
                <w:rFonts w:ascii="Garamond" w:eastAsia="Times New Roman" w:hAnsi="Garamond"/>
                <w:sz w:val="12"/>
                <w:szCs w:val="16"/>
                <w:lang w:eastAsia="en-US"/>
              </w:rPr>
              <w:t>SHSSH;</w:t>
            </w:r>
            <w:r w:rsidRPr="00024D5A">
              <w:rPr>
                <w:rFonts w:ascii="Garamond" w:hAnsi="Garamond"/>
                <w:sz w:val="12"/>
              </w:rPr>
              <w:br/>
            </w:r>
            <w:r w:rsidRPr="00024D5A">
              <w:rPr>
                <w:rFonts w:ascii="Garamond" w:eastAsia="Times New Roman" w:hAnsi="Garamond"/>
                <w:sz w:val="12"/>
                <w:szCs w:val="16"/>
                <w:lang w:eastAsia="en-US"/>
              </w:rPr>
              <w:t>Policia;</w:t>
            </w:r>
            <w:r w:rsidRPr="00024D5A">
              <w:rPr>
                <w:rFonts w:ascii="Garamond" w:hAnsi="Garamond"/>
                <w:sz w:val="12"/>
              </w:rPr>
              <w:br/>
            </w:r>
            <w:r w:rsidRPr="00024D5A">
              <w:rPr>
                <w:rFonts w:ascii="Garamond" w:eastAsia="Times New Roman" w:hAnsi="Garamond"/>
                <w:sz w:val="12"/>
                <w:szCs w:val="16"/>
                <w:lang w:eastAsia="en-US"/>
              </w:rPr>
              <w:t>Prokuroria;</w:t>
            </w:r>
            <w:r w:rsidRPr="00024D5A">
              <w:rPr>
                <w:rFonts w:ascii="Garamond" w:hAnsi="Garamond"/>
                <w:sz w:val="12"/>
              </w:rPr>
              <w:br/>
            </w:r>
            <w:r w:rsidRPr="00024D5A">
              <w:rPr>
                <w:rFonts w:ascii="Garamond" w:eastAsia="Times New Roman" w:hAnsi="Garamond"/>
                <w:sz w:val="12"/>
                <w:szCs w:val="16"/>
                <w:lang w:eastAsia="en-US"/>
              </w:rPr>
              <w:t>Shërbimet sociale</w:t>
            </w:r>
            <w:r w:rsidR="006E424B" w:rsidRPr="00024D5A">
              <w:rPr>
                <w:rFonts w:ascii="Garamond" w:eastAsia="Times New Roman" w:hAnsi="Garamond"/>
                <w:sz w:val="12"/>
                <w:szCs w:val="16"/>
                <w:lang w:eastAsia="en-US"/>
              </w:rPr>
              <w:t>.</w:t>
            </w:r>
          </w:p>
        </w:tc>
        <w:tc>
          <w:tcPr>
            <w:tcW w:w="772" w:type="pct"/>
            <w:vMerge w:val="restart"/>
            <w:shd w:val="clear" w:color="auto" w:fill="B6DDE8" w:themeFill="accent5" w:themeFillTint="66"/>
          </w:tcPr>
          <w:p w14:paraId="73093C0E" w14:textId="22FA3FB4"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rPr>
              <w:t xml:space="preserve"> </w:t>
            </w:r>
            <w:r w:rsidRPr="00024D5A">
              <w:rPr>
                <w:rFonts w:ascii="Garamond" w:eastAsia="Times New Roman" w:hAnsi="Garamond"/>
                <w:sz w:val="12"/>
                <w:szCs w:val="16"/>
              </w:rPr>
              <w:t>KDPAK</w:t>
            </w:r>
            <w:r w:rsidRPr="00024D5A">
              <w:rPr>
                <w:rFonts w:ascii="Garamond" w:eastAsia="Times New Roman" w:hAnsi="Garamond"/>
                <w:sz w:val="12"/>
                <w:szCs w:val="16"/>
                <w:lang w:eastAsia="en-US"/>
              </w:rPr>
              <w:t xml:space="preserve"> (</w:t>
            </w:r>
            <w:r w:rsidR="006E424B" w:rsidRPr="00024D5A">
              <w:rPr>
                <w:rFonts w:ascii="Garamond" w:eastAsia="Times New Roman" w:hAnsi="Garamond"/>
                <w:sz w:val="12"/>
                <w:szCs w:val="16"/>
                <w:lang w:eastAsia="en-US"/>
              </w:rPr>
              <w:t xml:space="preserve">neni 7; neni 16 neni 31); </w:t>
            </w:r>
            <w:r w:rsidR="006E424B" w:rsidRPr="00024D5A">
              <w:rPr>
                <w:rFonts w:ascii="Garamond" w:hAnsi="Garamond"/>
                <w:sz w:val="12"/>
              </w:rPr>
              <w:br/>
            </w:r>
            <w:r w:rsidRPr="00024D5A">
              <w:rPr>
                <w:rFonts w:ascii="Garamond" w:eastAsia="Times New Roman" w:hAnsi="Garamond"/>
                <w:sz w:val="12"/>
                <w:szCs w:val="16"/>
                <w:lang w:eastAsia="en-US"/>
              </w:rPr>
              <w:t xml:space="preserve">OZHQ16 (mbrojtje nga dhuna), OZHQ10; </w:t>
            </w:r>
            <w:r w:rsidRPr="00024D5A">
              <w:rPr>
                <w:rFonts w:ascii="Garamond" w:hAnsi="Garamond"/>
                <w:sz w:val="12"/>
              </w:rPr>
              <w:br/>
            </w:r>
            <w:r w:rsidRPr="00024D5A">
              <w:rPr>
                <w:rFonts w:ascii="Garamond" w:eastAsia="Times New Roman" w:hAnsi="Garamond"/>
                <w:sz w:val="12"/>
                <w:szCs w:val="16"/>
                <w:lang w:eastAsia="en-US"/>
              </w:rPr>
              <w:t xml:space="preserve">European Child Guarantee - Council Recommendation (EU) 2021/1004; </w:t>
            </w:r>
            <w:r w:rsidRPr="00024D5A">
              <w:rPr>
                <w:rFonts w:ascii="Garamond" w:hAnsi="Garamond"/>
                <w:sz w:val="12"/>
              </w:rPr>
              <w:br/>
            </w:r>
            <w:r w:rsidRPr="00024D5A">
              <w:rPr>
                <w:rFonts w:ascii="Garamond" w:eastAsia="Times New Roman" w:hAnsi="Garamond"/>
                <w:sz w:val="12"/>
                <w:szCs w:val="16"/>
                <w:lang w:eastAsia="en-US"/>
              </w:rPr>
              <w:t xml:space="preserve">EPSR: </w:t>
            </w:r>
            <w:r w:rsidR="006E424B" w:rsidRPr="00024D5A">
              <w:rPr>
                <w:rFonts w:ascii="Garamond" w:eastAsia="Times New Roman" w:hAnsi="Garamond"/>
                <w:sz w:val="12"/>
                <w:szCs w:val="16"/>
                <w:lang w:eastAsia="en-US"/>
              </w:rPr>
              <w:t xml:space="preserve">parimi 11; parimi 17; </w:t>
            </w:r>
            <w:r w:rsidR="006E424B" w:rsidRPr="00024D5A">
              <w:rPr>
                <w:rFonts w:ascii="Garamond" w:hAnsi="Garamond"/>
                <w:sz w:val="12"/>
              </w:rPr>
              <w:br/>
            </w:r>
            <w:r w:rsidRPr="00024D5A">
              <w:rPr>
                <w:rFonts w:ascii="Garamond" w:eastAsia="Times New Roman" w:hAnsi="Garamond"/>
                <w:sz w:val="12"/>
                <w:szCs w:val="16"/>
                <w:lang w:eastAsia="en-US"/>
              </w:rPr>
              <w:t>SKZHIE 2022-2030;</w:t>
            </w:r>
            <w:r w:rsidRPr="00024D5A">
              <w:rPr>
                <w:rFonts w:ascii="Garamond" w:hAnsi="Garamond"/>
                <w:sz w:val="12"/>
              </w:rPr>
              <w:br/>
            </w:r>
            <w:r w:rsidRPr="00024D5A">
              <w:rPr>
                <w:rFonts w:ascii="Garamond" w:eastAsia="Times New Roman" w:hAnsi="Garamond"/>
                <w:sz w:val="12"/>
                <w:szCs w:val="16"/>
                <w:lang w:eastAsia="en-US"/>
              </w:rPr>
              <w:t xml:space="preserve">Agjenda Kombëtare për të Drejtat e Fëmijëve </w:t>
            </w:r>
            <w:r w:rsidRPr="00024D5A">
              <w:rPr>
                <w:rFonts w:ascii="Garamond" w:hAnsi="Garamond"/>
                <w:sz w:val="12"/>
              </w:rPr>
              <w:br/>
            </w:r>
            <w:r w:rsidRPr="00024D5A">
              <w:rPr>
                <w:rFonts w:ascii="Garamond" w:eastAsia="Times New Roman" w:hAnsi="Garamond"/>
                <w:sz w:val="12"/>
                <w:szCs w:val="16"/>
                <w:lang w:eastAsia="en-US"/>
              </w:rPr>
              <w:t xml:space="preserve">Kapituj </w:t>
            </w:r>
            <w:r w:rsidRPr="00024D5A">
              <w:rPr>
                <w:rFonts w:ascii="Garamond" w:eastAsia="Times New Roman" w:hAnsi="Garamond"/>
                <w:i/>
                <w:iCs/>
                <w:sz w:val="12"/>
                <w:szCs w:val="16"/>
                <w:lang w:eastAsia="en-US"/>
              </w:rPr>
              <w:t>acquis</w:t>
            </w:r>
            <w:r w:rsidR="006E424B" w:rsidRPr="00024D5A">
              <w:rPr>
                <w:rFonts w:ascii="Garamond" w:eastAsia="Times New Roman" w:hAnsi="Garamond"/>
                <w:sz w:val="12"/>
                <w:szCs w:val="16"/>
                <w:lang w:eastAsia="en-US"/>
              </w:rPr>
              <w:t xml:space="preserve">; kapitulli </w:t>
            </w:r>
            <w:r w:rsidRPr="00024D5A">
              <w:rPr>
                <w:rFonts w:ascii="Garamond" w:eastAsia="Times New Roman" w:hAnsi="Garamond"/>
                <w:sz w:val="12"/>
                <w:szCs w:val="16"/>
                <w:lang w:eastAsia="en-US"/>
              </w:rPr>
              <w:t xml:space="preserve">23; </w:t>
            </w:r>
            <w:r w:rsidR="006E424B" w:rsidRPr="00024D5A">
              <w:rPr>
                <w:rFonts w:ascii="Garamond" w:eastAsia="Times New Roman" w:hAnsi="Garamond"/>
                <w:sz w:val="12"/>
                <w:szCs w:val="16"/>
                <w:lang w:eastAsia="en-US"/>
              </w:rPr>
              <w:t xml:space="preserve">kapitulli </w:t>
            </w:r>
            <w:r w:rsidRPr="00024D5A">
              <w:rPr>
                <w:rFonts w:ascii="Garamond" w:eastAsia="Times New Roman" w:hAnsi="Garamond"/>
                <w:sz w:val="12"/>
                <w:szCs w:val="16"/>
                <w:lang w:eastAsia="en-US"/>
              </w:rPr>
              <w:t>19</w:t>
            </w:r>
            <w:r w:rsidR="006E424B" w:rsidRPr="00024D5A">
              <w:rPr>
                <w:rFonts w:ascii="Garamond" w:eastAsia="Times New Roman" w:hAnsi="Garamond"/>
                <w:sz w:val="12"/>
                <w:szCs w:val="16"/>
                <w:lang w:eastAsia="en-US"/>
              </w:rPr>
              <w:t>.</w:t>
            </w:r>
          </w:p>
        </w:tc>
      </w:tr>
      <w:tr w:rsidR="00657405" w:rsidRPr="00024D5A" w14:paraId="01463924" w14:textId="77777777" w:rsidTr="00EE0000">
        <w:trPr>
          <w:trHeight w:val="20"/>
        </w:trPr>
        <w:tc>
          <w:tcPr>
            <w:tcW w:w="368" w:type="pct"/>
            <w:vMerge/>
          </w:tcPr>
          <w:p w14:paraId="12B9B1F2" w14:textId="77777777" w:rsidR="00657405" w:rsidRPr="00024D5A" w:rsidRDefault="00657405" w:rsidP="001464FD">
            <w:pPr>
              <w:rPr>
                <w:rFonts w:ascii="Garamond" w:eastAsia="Times New Roman" w:hAnsi="Garamond"/>
                <w:b/>
                <w:bCs/>
                <w:sz w:val="12"/>
                <w:szCs w:val="16"/>
                <w:lang w:eastAsia="en-US"/>
              </w:rPr>
            </w:pPr>
          </w:p>
        </w:tc>
        <w:tc>
          <w:tcPr>
            <w:tcW w:w="630" w:type="pct"/>
            <w:vMerge/>
          </w:tcPr>
          <w:p w14:paraId="78EC5266" w14:textId="77777777" w:rsidR="00657405" w:rsidRPr="00024D5A" w:rsidRDefault="00657405" w:rsidP="001464FD">
            <w:pPr>
              <w:rPr>
                <w:rFonts w:ascii="Garamond" w:eastAsia="Times New Roman" w:hAnsi="Garamond"/>
                <w:sz w:val="12"/>
                <w:szCs w:val="16"/>
                <w:lang w:eastAsia="en-US"/>
              </w:rPr>
            </w:pPr>
          </w:p>
        </w:tc>
        <w:tc>
          <w:tcPr>
            <w:tcW w:w="660" w:type="pct"/>
            <w:vMerge/>
          </w:tcPr>
          <w:p w14:paraId="1D2209D2" w14:textId="77777777" w:rsidR="00657405" w:rsidRPr="00024D5A" w:rsidRDefault="00657405" w:rsidP="001464FD">
            <w:pPr>
              <w:rPr>
                <w:rFonts w:ascii="Garamond" w:eastAsia="Times New Roman" w:hAnsi="Garamond"/>
                <w:sz w:val="12"/>
                <w:szCs w:val="16"/>
                <w:lang w:eastAsia="en-US"/>
              </w:rPr>
            </w:pPr>
          </w:p>
        </w:tc>
        <w:tc>
          <w:tcPr>
            <w:tcW w:w="613" w:type="pct"/>
            <w:shd w:val="clear" w:color="auto" w:fill="CAEDFA"/>
          </w:tcPr>
          <w:p w14:paraId="3DDF6D05" w14:textId="77777777"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tc>
        <w:tc>
          <w:tcPr>
            <w:tcW w:w="734" w:type="pct"/>
            <w:shd w:val="clear" w:color="auto" w:fill="CAEDFA"/>
          </w:tcPr>
          <w:p w14:paraId="3F662757" w14:textId="77777777"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tc>
        <w:tc>
          <w:tcPr>
            <w:tcW w:w="616" w:type="pct"/>
            <w:shd w:val="clear" w:color="auto" w:fill="CAEDFA"/>
          </w:tcPr>
          <w:p w14:paraId="4D001C3B" w14:textId="77777777"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tc>
        <w:tc>
          <w:tcPr>
            <w:tcW w:w="606" w:type="pct"/>
            <w:shd w:val="clear" w:color="auto" w:fill="CAEDFA"/>
          </w:tcPr>
          <w:p w14:paraId="1847E54B" w14:textId="77777777" w:rsidR="00657405" w:rsidRPr="00024D5A" w:rsidRDefault="00657405"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tc>
        <w:tc>
          <w:tcPr>
            <w:tcW w:w="772" w:type="pct"/>
            <w:vMerge/>
          </w:tcPr>
          <w:p w14:paraId="19342A44" w14:textId="77777777" w:rsidR="00657405" w:rsidRPr="00024D5A" w:rsidRDefault="00657405" w:rsidP="001464FD">
            <w:pPr>
              <w:rPr>
                <w:rFonts w:ascii="Garamond" w:eastAsia="Times New Roman" w:hAnsi="Garamond"/>
                <w:sz w:val="12"/>
                <w:szCs w:val="16"/>
                <w:lang w:eastAsia="en-US"/>
              </w:rPr>
            </w:pPr>
          </w:p>
        </w:tc>
      </w:tr>
      <w:tr w:rsidR="003E1630" w:rsidRPr="00024D5A" w14:paraId="3B9F381C" w14:textId="77777777" w:rsidTr="00EE0000">
        <w:trPr>
          <w:trHeight w:val="20"/>
        </w:trPr>
        <w:tc>
          <w:tcPr>
            <w:tcW w:w="368" w:type="pct"/>
            <w:shd w:val="clear" w:color="auto" w:fill="CAEDFA"/>
          </w:tcPr>
          <w:p w14:paraId="7E0AC3A9"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tc>
        <w:tc>
          <w:tcPr>
            <w:tcW w:w="630" w:type="pct"/>
            <w:shd w:val="clear" w:color="auto" w:fill="CAEDFA"/>
          </w:tcPr>
          <w:p w14:paraId="7E012354"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xml:space="preserve">Objektivi specifik 6: Forcimi i një sistemi gjithëpërfshirës për menaxhimin dhe reagimin ndaj ndryshimeve klimatike, fatkeqësive dhe krizave në Shqipëri, në nivel qendror dhe lokal, me fokus të veçantë te personat me aftësi të kufizuara, për të garantuar sigurinë e jetës dhe mbrojtjen e tyre. </w:t>
            </w:r>
          </w:p>
        </w:tc>
        <w:tc>
          <w:tcPr>
            <w:tcW w:w="660" w:type="pct"/>
            <w:shd w:val="clear" w:color="auto" w:fill="CAEDFA"/>
          </w:tcPr>
          <w:p w14:paraId="0CB53957"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Numri i akteve ligjore dhe nënligjore, udhëzimeve, planeve dhe protokolleve të menaxhimit të emergjencave të miratuara ose të rishikuara që përfshijnë dispozita për personat me aftësi të kufizuara.</w:t>
            </w:r>
          </w:p>
        </w:tc>
        <w:tc>
          <w:tcPr>
            <w:tcW w:w="613" w:type="pct"/>
            <w:shd w:val="clear" w:color="auto" w:fill="CAEDFA"/>
          </w:tcPr>
          <w:p w14:paraId="1F6580C5"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N/A</w:t>
            </w:r>
          </w:p>
        </w:tc>
        <w:tc>
          <w:tcPr>
            <w:tcW w:w="734" w:type="pct"/>
            <w:shd w:val="clear" w:color="auto" w:fill="CAEDFA"/>
          </w:tcPr>
          <w:p w14:paraId="1409C7F5"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2 akte rregullatore të miratuara</w:t>
            </w:r>
          </w:p>
        </w:tc>
        <w:tc>
          <w:tcPr>
            <w:tcW w:w="616" w:type="pct"/>
            <w:shd w:val="clear" w:color="auto" w:fill="CAEDFA"/>
          </w:tcPr>
          <w:p w14:paraId="5648B2EE"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3 akte rregullatore të miratuara</w:t>
            </w:r>
          </w:p>
        </w:tc>
        <w:tc>
          <w:tcPr>
            <w:tcW w:w="606" w:type="pct"/>
            <w:shd w:val="clear" w:color="auto" w:fill="CAEDFA"/>
          </w:tcPr>
          <w:p w14:paraId="3E0545C1"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AKMC;</w:t>
            </w:r>
            <w:r w:rsidRPr="00024D5A">
              <w:rPr>
                <w:rFonts w:ascii="Garamond" w:eastAsia="Times New Roman" w:hAnsi="Garamond"/>
                <w:sz w:val="12"/>
                <w:szCs w:val="16"/>
                <w:lang w:eastAsia="en-US"/>
              </w:rPr>
              <w:br/>
              <w:t>MSHMS;</w:t>
            </w:r>
          </w:p>
        </w:tc>
        <w:tc>
          <w:tcPr>
            <w:tcW w:w="772" w:type="pct"/>
            <w:shd w:val="clear" w:color="auto" w:fill="CAEDFA"/>
          </w:tcPr>
          <w:p w14:paraId="6B51C92A" w14:textId="4500E74A"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KDPAK (</w:t>
            </w:r>
            <w:r w:rsidR="003818FA" w:rsidRPr="00024D5A">
              <w:rPr>
                <w:rFonts w:ascii="Garamond" w:eastAsia="Times New Roman" w:hAnsi="Garamond"/>
                <w:sz w:val="12"/>
                <w:szCs w:val="16"/>
                <w:lang w:eastAsia="en-US"/>
              </w:rPr>
              <w:t>neni 11; neni 31);</w:t>
            </w:r>
            <w:r w:rsidR="003818FA" w:rsidRPr="00024D5A">
              <w:rPr>
                <w:rFonts w:ascii="Garamond" w:hAnsi="Garamond"/>
                <w:sz w:val="12"/>
              </w:rPr>
              <w:br/>
            </w:r>
            <w:r w:rsidRPr="00024D5A">
              <w:rPr>
                <w:rFonts w:ascii="Garamond" w:eastAsia="Times New Roman" w:hAnsi="Garamond"/>
                <w:sz w:val="12"/>
                <w:szCs w:val="16"/>
                <w:lang w:eastAsia="en-US"/>
              </w:rPr>
              <w:t xml:space="preserve">OZHQ11; </w:t>
            </w:r>
            <w:r w:rsidRPr="00024D5A">
              <w:rPr>
                <w:rFonts w:ascii="Garamond" w:hAnsi="Garamond"/>
                <w:sz w:val="12"/>
              </w:rPr>
              <w:br/>
            </w:r>
            <w:r w:rsidRPr="00024D5A">
              <w:rPr>
                <w:rFonts w:ascii="Garamond" w:eastAsia="Times New Roman" w:hAnsi="Garamond"/>
                <w:sz w:val="12"/>
                <w:szCs w:val="16"/>
                <w:lang w:eastAsia="en-US"/>
              </w:rPr>
              <w:t>OZHQ13;</w:t>
            </w:r>
            <w:r w:rsidRPr="00024D5A">
              <w:rPr>
                <w:rFonts w:ascii="Garamond" w:hAnsi="Garamond"/>
                <w:sz w:val="12"/>
              </w:rPr>
              <w:br/>
            </w:r>
            <w:r w:rsidRPr="00024D5A">
              <w:rPr>
                <w:rFonts w:ascii="Garamond" w:eastAsia="Times New Roman" w:hAnsi="Garamond"/>
                <w:i/>
                <w:iCs/>
                <w:sz w:val="12"/>
                <w:szCs w:val="16"/>
                <w:lang w:eastAsia="en-US"/>
              </w:rPr>
              <w:t>Sendai Frame</w:t>
            </w:r>
            <w:r w:rsidR="006E424B" w:rsidRPr="00024D5A">
              <w:rPr>
                <w:rFonts w:ascii="Garamond" w:eastAsia="Times New Roman" w:hAnsi="Garamond"/>
                <w:i/>
                <w:iCs/>
                <w:sz w:val="12"/>
                <w:szCs w:val="16"/>
                <w:lang w:eastAsia="en-US"/>
              </w:rPr>
              <w:t>w</w:t>
            </w:r>
            <w:r w:rsidRPr="00024D5A">
              <w:rPr>
                <w:rFonts w:ascii="Garamond" w:eastAsia="Times New Roman" w:hAnsi="Garamond"/>
                <w:i/>
                <w:iCs/>
                <w:sz w:val="12"/>
                <w:szCs w:val="16"/>
                <w:lang w:eastAsia="en-US"/>
              </w:rPr>
              <w:t>ork for Disaster Risk Reduction 2015</w:t>
            </w:r>
            <w:r w:rsidR="006E424B" w:rsidRPr="00024D5A">
              <w:rPr>
                <w:rFonts w:ascii="Garamond" w:eastAsia="Times New Roman" w:hAnsi="Garamond"/>
                <w:i/>
                <w:iCs/>
                <w:sz w:val="12"/>
                <w:szCs w:val="16"/>
                <w:lang w:eastAsia="en-US"/>
              </w:rPr>
              <w:t>–</w:t>
            </w:r>
            <w:r w:rsidRPr="00024D5A">
              <w:rPr>
                <w:rFonts w:ascii="Garamond" w:eastAsia="Times New Roman" w:hAnsi="Garamond"/>
                <w:i/>
                <w:iCs/>
                <w:sz w:val="12"/>
                <w:szCs w:val="16"/>
                <w:lang w:eastAsia="en-US"/>
              </w:rPr>
              <w:t xml:space="preserve">2030; </w:t>
            </w:r>
            <w:r w:rsidRPr="00024D5A">
              <w:rPr>
                <w:rFonts w:ascii="Garamond" w:hAnsi="Garamond"/>
                <w:i/>
                <w:iCs/>
                <w:sz w:val="12"/>
              </w:rPr>
              <w:br/>
            </w:r>
            <w:r w:rsidRPr="00024D5A">
              <w:rPr>
                <w:rFonts w:ascii="Garamond" w:eastAsia="Times New Roman" w:hAnsi="Garamond"/>
                <w:i/>
                <w:iCs/>
                <w:sz w:val="12"/>
                <w:szCs w:val="16"/>
                <w:lang w:eastAsia="en-US"/>
              </w:rPr>
              <w:t xml:space="preserve">EU Disability Strategy </w:t>
            </w:r>
            <w:r w:rsidR="008639DB" w:rsidRPr="00024D5A">
              <w:rPr>
                <w:rFonts w:ascii="Garamond" w:eastAsia="Times New Roman" w:hAnsi="Garamond"/>
                <w:i/>
                <w:iCs/>
                <w:sz w:val="12"/>
                <w:szCs w:val="16"/>
                <w:lang w:eastAsia="en-US"/>
              </w:rPr>
              <w:t>2021–2030</w:t>
            </w:r>
            <w:r w:rsidRPr="00024D5A">
              <w:rPr>
                <w:rFonts w:ascii="Garamond" w:eastAsia="Times New Roman" w:hAnsi="Garamond"/>
                <w:i/>
                <w:iCs/>
                <w:sz w:val="12"/>
                <w:szCs w:val="16"/>
                <w:lang w:eastAsia="en-US"/>
              </w:rPr>
              <w:t>;</w:t>
            </w:r>
            <w:r w:rsidRPr="00024D5A">
              <w:rPr>
                <w:rFonts w:ascii="Garamond" w:eastAsia="Times New Roman" w:hAnsi="Garamond"/>
                <w:sz w:val="12"/>
                <w:szCs w:val="16"/>
                <w:lang w:eastAsia="en-US"/>
              </w:rPr>
              <w:t xml:space="preserve"> </w:t>
            </w:r>
            <w:r w:rsidRPr="00024D5A">
              <w:rPr>
                <w:rFonts w:ascii="Garamond" w:hAnsi="Garamond"/>
                <w:sz w:val="12"/>
              </w:rPr>
              <w:br/>
            </w:r>
            <w:r w:rsidRPr="00024D5A">
              <w:rPr>
                <w:rFonts w:ascii="Garamond" w:eastAsia="Times New Roman" w:hAnsi="Garamond"/>
                <w:sz w:val="12"/>
                <w:szCs w:val="16"/>
                <w:lang w:eastAsia="en-US"/>
              </w:rPr>
              <w:t>SKZHIE 2022</w:t>
            </w:r>
            <w:r w:rsidR="003818FA"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2030; </w:t>
            </w:r>
            <w:r w:rsidRPr="00024D5A">
              <w:rPr>
                <w:rFonts w:ascii="Garamond" w:hAnsi="Garamond"/>
                <w:sz w:val="12"/>
              </w:rPr>
              <w:br/>
            </w:r>
            <w:r w:rsidRPr="00024D5A">
              <w:rPr>
                <w:rFonts w:ascii="Garamond" w:eastAsia="Times New Roman" w:hAnsi="Garamond"/>
                <w:sz w:val="12"/>
                <w:szCs w:val="16"/>
                <w:lang w:eastAsia="en-US"/>
              </w:rPr>
              <w:t>Strategjia Kombëtare e Mbrojtjes Sociale 2024</w:t>
            </w:r>
            <w:r w:rsidR="00395C87"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2030; </w:t>
            </w:r>
            <w:r w:rsidRPr="00024D5A">
              <w:rPr>
                <w:rFonts w:ascii="Garamond" w:hAnsi="Garamond"/>
                <w:sz w:val="12"/>
              </w:rPr>
              <w:br/>
            </w:r>
            <w:r w:rsidRPr="00024D5A">
              <w:rPr>
                <w:rFonts w:ascii="Garamond" w:eastAsia="Times New Roman" w:hAnsi="Garamond"/>
                <w:sz w:val="12"/>
                <w:szCs w:val="16"/>
                <w:lang w:eastAsia="en-US"/>
              </w:rPr>
              <w:t xml:space="preserve">Kapituj acquis: </w:t>
            </w:r>
            <w:r w:rsidR="00395C87" w:rsidRPr="00024D5A">
              <w:rPr>
                <w:rFonts w:ascii="Garamond" w:eastAsia="Times New Roman" w:hAnsi="Garamond"/>
                <w:sz w:val="12"/>
                <w:szCs w:val="16"/>
                <w:lang w:eastAsia="en-US"/>
              </w:rPr>
              <w:t xml:space="preserve">kapitulli </w:t>
            </w:r>
            <w:r w:rsidRPr="00024D5A">
              <w:rPr>
                <w:rFonts w:ascii="Garamond" w:eastAsia="Times New Roman" w:hAnsi="Garamond"/>
                <w:sz w:val="12"/>
                <w:szCs w:val="16"/>
                <w:lang w:eastAsia="en-US"/>
              </w:rPr>
              <w:t xml:space="preserve">27; </w:t>
            </w:r>
            <w:r w:rsidR="00395C87" w:rsidRPr="00024D5A">
              <w:rPr>
                <w:rFonts w:ascii="Garamond" w:eastAsia="Times New Roman" w:hAnsi="Garamond"/>
                <w:sz w:val="12"/>
                <w:szCs w:val="16"/>
                <w:lang w:eastAsia="en-US"/>
              </w:rPr>
              <w:t xml:space="preserve">kapitulli </w:t>
            </w:r>
            <w:r w:rsidRPr="00024D5A">
              <w:rPr>
                <w:rFonts w:ascii="Garamond" w:eastAsia="Times New Roman" w:hAnsi="Garamond"/>
                <w:sz w:val="12"/>
                <w:szCs w:val="16"/>
                <w:lang w:eastAsia="en-US"/>
              </w:rPr>
              <w:t xml:space="preserve">23; </w:t>
            </w:r>
            <w:r w:rsidRPr="00024D5A">
              <w:rPr>
                <w:rFonts w:ascii="Garamond" w:hAnsi="Garamond"/>
                <w:sz w:val="12"/>
              </w:rPr>
              <w:br/>
            </w:r>
            <w:r w:rsidRPr="00024D5A">
              <w:rPr>
                <w:rFonts w:ascii="Garamond" w:eastAsia="Times New Roman" w:hAnsi="Garamond"/>
                <w:sz w:val="12"/>
                <w:szCs w:val="16"/>
                <w:lang w:eastAsia="en-US"/>
              </w:rPr>
              <w:t>Strategjia Kombëtare për Reduktimin e Rrezikut nga Fatkeqësitë 2023</w:t>
            </w:r>
            <w:r w:rsidR="00395C87"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2030</w:t>
            </w:r>
            <w:r w:rsidR="00395C87" w:rsidRPr="00024D5A">
              <w:rPr>
                <w:rFonts w:ascii="Garamond" w:eastAsia="Times New Roman" w:hAnsi="Garamond"/>
                <w:sz w:val="12"/>
                <w:szCs w:val="16"/>
                <w:lang w:eastAsia="en-US"/>
              </w:rPr>
              <w:t>.</w:t>
            </w:r>
          </w:p>
        </w:tc>
      </w:tr>
      <w:tr w:rsidR="003E1630" w:rsidRPr="00024D5A" w14:paraId="2DF2E731" w14:textId="77777777" w:rsidTr="00EE0000">
        <w:trPr>
          <w:trHeight w:val="20"/>
        </w:trPr>
        <w:tc>
          <w:tcPr>
            <w:tcW w:w="368" w:type="pct"/>
          </w:tcPr>
          <w:p w14:paraId="66385AB8"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tc>
        <w:tc>
          <w:tcPr>
            <w:tcW w:w="630" w:type="pct"/>
          </w:tcPr>
          <w:p w14:paraId="1AFD28CD" w14:textId="1F10B847" w:rsidR="003E1630" w:rsidRPr="00024D5A" w:rsidRDefault="005743A8" w:rsidP="001464FD">
            <w:pPr>
              <w:rPr>
                <w:rFonts w:ascii="Garamond" w:eastAsia="Times New Roman" w:hAnsi="Garamond"/>
                <w:sz w:val="12"/>
                <w:lang w:eastAsia="en-US"/>
              </w:rPr>
            </w:pPr>
            <w:r w:rsidRPr="00024D5A">
              <w:rPr>
                <w:rFonts w:ascii="Garamond" w:eastAsia="Times New Roman" w:hAnsi="Garamond"/>
                <w:sz w:val="12"/>
                <w:szCs w:val="16"/>
                <w:lang w:eastAsia="en-US"/>
              </w:rPr>
              <w:t xml:space="preserve"> 1.1 Konsolidimi dhe përmirësimi i skemës së pagesave të aftësisë së kufizuar, për të garantuar rritjen e masës së përfitimit, për të mbuluar kostot që lidhen me aftësinë e kufizuar, por edhe skemave të tjera mbështetëse financiare (NE etj</w:t>
            </w:r>
            <w:r w:rsidR="00395C87"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për të garantuar akses, mbështetje për personat me aftësi të kufizuara dhe familjarët e tyre me ndikim zbutjen e varfërisë dhe pabarazisë.</w:t>
            </w:r>
          </w:p>
          <w:p w14:paraId="7D12FFC9" w14:textId="77777777" w:rsidR="003E1630" w:rsidRPr="00024D5A" w:rsidRDefault="003E1630" w:rsidP="001464FD">
            <w:pPr>
              <w:rPr>
                <w:rFonts w:ascii="Garamond" w:eastAsia="Times New Roman" w:hAnsi="Garamond"/>
                <w:sz w:val="12"/>
                <w:szCs w:val="16"/>
                <w:lang w:eastAsia="en-US"/>
              </w:rPr>
            </w:pPr>
          </w:p>
        </w:tc>
        <w:tc>
          <w:tcPr>
            <w:tcW w:w="660" w:type="pct"/>
          </w:tcPr>
          <w:p w14:paraId="5CEBAE84"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Numri i personave me aftësi të kufizuara të regjistruar që përfitojnë pagesë të aftësisë së kufizuar nga skema kombëtare e mbështetjes financiare.</w:t>
            </w:r>
          </w:p>
        </w:tc>
        <w:tc>
          <w:tcPr>
            <w:tcW w:w="613" w:type="pct"/>
            <w:noWrap/>
          </w:tcPr>
          <w:p w14:paraId="5892D864"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87%</w:t>
            </w:r>
          </w:p>
        </w:tc>
        <w:tc>
          <w:tcPr>
            <w:tcW w:w="734" w:type="pct"/>
            <w:noWrap/>
          </w:tcPr>
          <w:p w14:paraId="14845763"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95%</w:t>
            </w:r>
          </w:p>
        </w:tc>
        <w:tc>
          <w:tcPr>
            <w:tcW w:w="616" w:type="pct"/>
            <w:noWrap/>
          </w:tcPr>
          <w:p w14:paraId="34192963"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97%</w:t>
            </w:r>
          </w:p>
        </w:tc>
        <w:tc>
          <w:tcPr>
            <w:tcW w:w="606" w:type="pct"/>
          </w:tcPr>
          <w:p w14:paraId="44558C30" w14:textId="3205D684"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Të dhëna administrative të SHSSH;</w:t>
            </w:r>
            <w:r w:rsidRPr="00024D5A">
              <w:rPr>
                <w:rFonts w:ascii="Garamond" w:eastAsia="Times New Roman" w:hAnsi="Garamond"/>
                <w:sz w:val="12"/>
                <w:szCs w:val="16"/>
                <w:lang w:eastAsia="en-US"/>
              </w:rPr>
              <w:br/>
              <w:t>Raporte të MSHMS</w:t>
            </w:r>
            <w:r w:rsidR="00395C87" w:rsidRPr="00024D5A">
              <w:rPr>
                <w:rFonts w:ascii="Garamond" w:eastAsia="Times New Roman" w:hAnsi="Garamond"/>
                <w:sz w:val="12"/>
                <w:szCs w:val="16"/>
                <w:lang w:eastAsia="en-US"/>
              </w:rPr>
              <w:t>.</w:t>
            </w:r>
          </w:p>
        </w:tc>
        <w:tc>
          <w:tcPr>
            <w:tcW w:w="772" w:type="pct"/>
          </w:tcPr>
          <w:p w14:paraId="20EFE362"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tc>
      </w:tr>
      <w:tr w:rsidR="003E1630" w:rsidRPr="00024D5A" w14:paraId="4E39911D" w14:textId="77777777" w:rsidTr="00EE0000">
        <w:trPr>
          <w:trHeight w:val="20"/>
        </w:trPr>
        <w:tc>
          <w:tcPr>
            <w:tcW w:w="368" w:type="pct"/>
            <w:noWrap/>
          </w:tcPr>
          <w:p w14:paraId="5A9C0C4E" w14:textId="77777777" w:rsidR="003E1630" w:rsidRPr="00024D5A" w:rsidRDefault="003E1630" w:rsidP="001464FD">
            <w:pPr>
              <w:rPr>
                <w:rFonts w:ascii="Garamond" w:eastAsia="Times New Roman" w:hAnsi="Garamond"/>
                <w:sz w:val="12"/>
                <w:szCs w:val="16"/>
                <w:lang w:eastAsia="en-US"/>
              </w:rPr>
            </w:pPr>
          </w:p>
        </w:tc>
        <w:tc>
          <w:tcPr>
            <w:tcW w:w="630" w:type="pct"/>
          </w:tcPr>
          <w:p w14:paraId="2F90ED72" w14:textId="4A790063" w:rsidR="003E1630" w:rsidRPr="00024D5A" w:rsidRDefault="005743A8" w:rsidP="001464FD">
            <w:pPr>
              <w:rPr>
                <w:rFonts w:ascii="Garamond" w:eastAsia="Times New Roman" w:hAnsi="Garamond"/>
                <w:sz w:val="12"/>
                <w:lang w:eastAsia="en-US"/>
              </w:rPr>
            </w:pPr>
            <w:r w:rsidRPr="00024D5A">
              <w:rPr>
                <w:rFonts w:ascii="Garamond" w:eastAsia="Times New Roman" w:hAnsi="Garamond"/>
                <w:sz w:val="12"/>
                <w:szCs w:val="16"/>
                <w:lang w:eastAsia="en-US"/>
              </w:rPr>
              <w:t>1.2 Konsolidimi i vlerësimit biopsikosocial të aftësisë së kufizuar me qëllim adresimin efektiv dhe të përgjegjshëm gjinor të nevojave individuale të tyre.</w:t>
            </w:r>
          </w:p>
          <w:p w14:paraId="65F1F179" w14:textId="77777777" w:rsidR="003E1630" w:rsidRPr="00024D5A" w:rsidRDefault="003E1630" w:rsidP="001464FD">
            <w:pPr>
              <w:rPr>
                <w:rFonts w:ascii="Garamond" w:eastAsia="Times New Roman" w:hAnsi="Garamond"/>
                <w:sz w:val="12"/>
                <w:szCs w:val="16"/>
                <w:lang w:eastAsia="en-US"/>
              </w:rPr>
            </w:pPr>
          </w:p>
        </w:tc>
        <w:tc>
          <w:tcPr>
            <w:tcW w:w="660" w:type="pct"/>
          </w:tcPr>
          <w:p w14:paraId="0DC99E9B"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Përqindja e personave të vlerësuar me aftësi të kufizuara që referohen të paktën në një shërbim mbështetës (shëndetësor, social, arsimor, punësim, formimi profesional ose pajisje ndihmëse) pas përfundimit të vlerësimit.</w:t>
            </w:r>
          </w:p>
        </w:tc>
        <w:tc>
          <w:tcPr>
            <w:tcW w:w="613" w:type="pct"/>
          </w:tcPr>
          <w:p w14:paraId="0AD64627" w14:textId="6629FF53"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13763</w:t>
            </w:r>
            <w:r w:rsidRPr="00024D5A">
              <w:rPr>
                <w:rFonts w:ascii="Garamond" w:eastAsia="Times New Roman" w:hAnsi="Garamond"/>
                <w:sz w:val="12"/>
                <w:szCs w:val="16"/>
                <w:lang w:eastAsia="en-US"/>
              </w:rPr>
              <w:br/>
              <w:t>Nr</w:t>
            </w:r>
            <w:r w:rsidR="00395C87"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i grave dhe vajzave</w:t>
            </w:r>
            <w:r w:rsidR="00395C87"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w:t>
            </w:r>
          </w:p>
        </w:tc>
        <w:tc>
          <w:tcPr>
            <w:tcW w:w="734" w:type="pct"/>
          </w:tcPr>
          <w:p w14:paraId="594DEF3A" w14:textId="31545154"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20</w:t>
            </w:r>
            <w:r w:rsidR="00F03D39"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br/>
              <w:t>Nr</w:t>
            </w:r>
            <w:r w:rsidR="00395C87"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i grave dhe vajzave</w:t>
            </w:r>
            <w:r w:rsidR="00395C87" w:rsidRPr="00024D5A">
              <w:rPr>
                <w:rFonts w:ascii="Garamond" w:eastAsia="Times New Roman" w:hAnsi="Garamond"/>
                <w:sz w:val="12"/>
                <w:szCs w:val="16"/>
                <w:lang w:eastAsia="en-US"/>
              </w:rPr>
              <w:t>.</w:t>
            </w:r>
          </w:p>
        </w:tc>
        <w:tc>
          <w:tcPr>
            <w:tcW w:w="616" w:type="pct"/>
          </w:tcPr>
          <w:p w14:paraId="1DDF7298" w14:textId="23914263"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40%</w:t>
            </w:r>
            <w:r w:rsidRPr="00024D5A">
              <w:rPr>
                <w:rFonts w:ascii="Garamond" w:eastAsia="Times New Roman" w:hAnsi="Garamond"/>
                <w:sz w:val="12"/>
                <w:szCs w:val="16"/>
                <w:lang w:eastAsia="en-US"/>
              </w:rPr>
              <w:br/>
              <w:t>Nr</w:t>
            </w:r>
            <w:r w:rsidR="00395C87"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i grave dhe vajzave</w:t>
            </w:r>
            <w:r w:rsidR="00395C87" w:rsidRPr="00024D5A">
              <w:rPr>
                <w:rFonts w:ascii="Garamond" w:eastAsia="Times New Roman" w:hAnsi="Garamond"/>
                <w:sz w:val="12"/>
                <w:szCs w:val="16"/>
                <w:lang w:eastAsia="en-US"/>
              </w:rPr>
              <w:t>.</w:t>
            </w:r>
          </w:p>
        </w:tc>
        <w:tc>
          <w:tcPr>
            <w:tcW w:w="606" w:type="pct"/>
          </w:tcPr>
          <w:p w14:paraId="203BE1A0" w14:textId="1EB20C38"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Të dhëna administrative SHSSH;</w:t>
            </w:r>
            <w:r w:rsidRPr="00024D5A">
              <w:rPr>
                <w:rFonts w:ascii="Garamond" w:eastAsia="Times New Roman" w:hAnsi="Garamond"/>
                <w:sz w:val="12"/>
                <w:szCs w:val="16"/>
                <w:lang w:eastAsia="en-US"/>
              </w:rPr>
              <w:br/>
            </w:r>
            <w:r w:rsidR="00395C87" w:rsidRPr="00024D5A">
              <w:rPr>
                <w:rFonts w:ascii="Garamond" w:eastAsia="Times New Roman" w:hAnsi="Garamond"/>
                <w:sz w:val="12"/>
                <w:szCs w:val="16"/>
                <w:lang w:eastAsia="en-US"/>
              </w:rPr>
              <w:t xml:space="preserve">raporte </w:t>
            </w:r>
            <w:r w:rsidRPr="00024D5A">
              <w:rPr>
                <w:rFonts w:ascii="Garamond" w:eastAsia="Times New Roman" w:hAnsi="Garamond"/>
                <w:sz w:val="12"/>
                <w:szCs w:val="16"/>
                <w:lang w:eastAsia="en-US"/>
              </w:rPr>
              <w:t>të MSHMS</w:t>
            </w:r>
            <w:r w:rsidR="00395C87" w:rsidRPr="00024D5A">
              <w:rPr>
                <w:rFonts w:ascii="Garamond" w:eastAsia="Times New Roman" w:hAnsi="Garamond"/>
                <w:sz w:val="12"/>
                <w:szCs w:val="16"/>
                <w:lang w:eastAsia="en-US"/>
              </w:rPr>
              <w:t>-së.</w:t>
            </w:r>
          </w:p>
        </w:tc>
        <w:tc>
          <w:tcPr>
            <w:tcW w:w="772" w:type="pct"/>
            <w:noWrap/>
          </w:tcPr>
          <w:p w14:paraId="344B77A4"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tc>
      </w:tr>
      <w:tr w:rsidR="003E1630" w:rsidRPr="00024D5A" w14:paraId="6F650145" w14:textId="77777777" w:rsidTr="00EE0000">
        <w:trPr>
          <w:trHeight w:val="20"/>
        </w:trPr>
        <w:tc>
          <w:tcPr>
            <w:tcW w:w="368" w:type="pct"/>
            <w:noWrap/>
          </w:tcPr>
          <w:p w14:paraId="1180EAC4" w14:textId="77777777" w:rsidR="003E1630" w:rsidRPr="00024D5A" w:rsidRDefault="003E1630" w:rsidP="001464FD">
            <w:pPr>
              <w:rPr>
                <w:rFonts w:ascii="Garamond" w:eastAsia="Times New Roman" w:hAnsi="Garamond"/>
                <w:sz w:val="12"/>
                <w:szCs w:val="16"/>
                <w:lang w:eastAsia="en-US"/>
              </w:rPr>
            </w:pPr>
          </w:p>
        </w:tc>
        <w:tc>
          <w:tcPr>
            <w:tcW w:w="630" w:type="pct"/>
          </w:tcPr>
          <w:p w14:paraId="19BB23E4"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tc>
        <w:tc>
          <w:tcPr>
            <w:tcW w:w="660" w:type="pct"/>
          </w:tcPr>
          <w:p w14:paraId="3B5CAEA1" w14:textId="04DA6EDE"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Përqindja e përfituesve dhe familjarëve të tyre që deklarojnë kënaqësi me procesin e vlerësimit biopsikosocial.</w:t>
            </w:r>
          </w:p>
        </w:tc>
        <w:tc>
          <w:tcPr>
            <w:tcW w:w="613" w:type="pct"/>
          </w:tcPr>
          <w:p w14:paraId="6DA4374B"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Na</w:t>
            </w:r>
          </w:p>
        </w:tc>
        <w:tc>
          <w:tcPr>
            <w:tcW w:w="734" w:type="pct"/>
            <w:noWrap/>
          </w:tcPr>
          <w:p w14:paraId="4FEA2C29"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60%</w:t>
            </w:r>
          </w:p>
        </w:tc>
        <w:tc>
          <w:tcPr>
            <w:tcW w:w="616" w:type="pct"/>
            <w:noWrap/>
          </w:tcPr>
          <w:p w14:paraId="65ACFABB"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80%</w:t>
            </w:r>
          </w:p>
        </w:tc>
        <w:tc>
          <w:tcPr>
            <w:tcW w:w="606" w:type="pct"/>
          </w:tcPr>
          <w:p w14:paraId="381BCFF8"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Anketat periodike të kënaqësisë së përfituesve (MSHMS/SHSSH);</w:t>
            </w:r>
          </w:p>
        </w:tc>
        <w:tc>
          <w:tcPr>
            <w:tcW w:w="772" w:type="pct"/>
          </w:tcPr>
          <w:p w14:paraId="1E06367C"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tc>
      </w:tr>
      <w:tr w:rsidR="003E1630" w:rsidRPr="00024D5A" w14:paraId="19C72976" w14:textId="77777777" w:rsidTr="00EE0000">
        <w:trPr>
          <w:trHeight w:val="20"/>
        </w:trPr>
        <w:tc>
          <w:tcPr>
            <w:tcW w:w="368" w:type="pct"/>
            <w:vMerge w:val="restart"/>
          </w:tcPr>
          <w:p w14:paraId="10EEA62F"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tc>
        <w:tc>
          <w:tcPr>
            <w:tcW w:w="630" w:type="pct"/>
            <w:vMerge w:val="restart"/>
          </w:tcPr>
          <w:p w14:paraId="2E6A2521" w14:textId="54BD74B2"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2.1 Rishikimi dhe konsolidimi i kuadrit rregullator ligjor dhe institucional për mundësimin e shërbimeve të përkujdes</w:t>
            </w:r>
            <w:r w:rsidR="00A2057C" w:rsidRPr="00024D5A">
              <w:rPr>
                <w:rFonts w:ascii="Garamond" w:eastAsia="Times New Roman" w:hAnsi="Garamond"/>
                <w:sz w:val="12"/>
                <w:szCs w:val="16"/>
                <w:lang w:eastAsia="en-US"/>
              </w:rPr>
              <w:t>jes</w:t>
            </w:r>
            <w:r w:rsidRPr="00024D5A">
              <w:rPr>
                <w:rFonts w:ascii="Garamond" w:eastAsia="Times New Roman" w:hAnsi="Garamond"/>
                <w:sz w:val="12"/>
                <w:szCs w:val="16"/>
                <w:lang w:eastAsia="en-US"/>
              </w:rPr>
              <w:t xml:space="preserve"> shoqëror</w:t>
            </w:r>
            <w:r w:rsidR="00A2057C" w:rsidRPr="00024D5A">
              <w:rPr>
                <w:rFonts w:ascii="Garamond" w:eastAsia="Times New Roman" w:hAnsi="Garamond"/>
                <w:sz w:val="12"/>
                <w:szCs w:val="16"/>
                <w:lang w:eastAsia="en-US"/>
              </w:rPr>
              <w:t>e</w:t>
            </w:r>
            <w:r w:rsidRPr="00024D5A">
              <w:rPr>
                <w:rFonts w:ascii="Garamond" w:eastAsia="Times New Roman" w:hAnsi="Garamond"/>
                <w:sz w:val="12"/>
                <w:szCs w:val="16"/>
                <w:lang w:eastAsia="en-US"/>
              </w:rPr>
              <w:t xml:space="preserve"> për personat me aftësi të kufizuara, udhëhequr nga parimet e qasjes duale dhe shërbimeve gjatë gjithë ciklit të jetës. </w:t>
            </w:r>
          </w:p>
        </w:tc>
        <w:tc>
          <w:tcPr>
            <w:tcW w:w="660" w:type="pct"/>
          </w:tcPr>
          <w:p w14:paraId="391F247A"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xml:space="preserve">Numri i bashkive që ofrojnë të paktën një shërbim komunitar të specializuar për personat me aftësi të kufizuara (shërbime ditore, ndërhyrje e hershme, rehabilituese, jetesë e pavarur, </w:t>
            </w:r>
            <w:r w:rsidRPr="00024D5A">
              <w:rPr>
                <w:rFonts w:ascii="Garamond" w:eastAsia="Times New Roman" w:hAnsi="Garamond"/>
                <w:i/>
                <w:iCs/>
                <w:sz w:val="12"/>
                <w:szCs w:val="16"/>
                <w:lang w:eastAsia="en-US"/>
              </w:rPr>
              <w:t>respite care</w:t>
            </w:r>
            <w:r w:rsidRPr="00024D5A">
              <w:rPr>
                <w:rFonts w:ascii="Garamond" w:eastAsia="Times New Roman" w:hAnsi="Garamond"/>
                <w:sz w:val="12"/>
                <w:szCs w:val="16"/>
                <w:lang w:eastAsia="en-US"/>
              </w:rPr>
              <w:t xml:space="preserve"> ose shërbim lëvizës)</w:t>
            </w:r>
          </w:p>
        </w:tc>
        <w:tc>
          <w:tcPr>
            <w:tcW w:w="613" w:type="pct"/>
          </w:tcPr>
          <w:p w14:paraId="7AC72CB7"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26 bashki</w:t>
            </w:r>
          </w:p>
        </w:tc>
        <w:tc>
          <w:tcPr>
            <w:tcW w:w="734" w:type="pct"/>
          </w:tcPr>
          <w:p w14:paraId="460B64DD"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34 bashki</w:t>
            </w:r>
          </w:p>
        </w:tc>
        <w:tc>
          <w:tcPr>
            <w:tcW w:w="616" w:type="pct"/>
          </w:tcPr>
          <w:p w14:paraId="3E2939D8"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42 bashki</w:t>
            </w:r>
          </w:p>
        </w:tc>
        <w:tc>
          <w:tcPr>
            <w:tcW w:w="606" w:type="pct"/>
          </w:tcPr>
          <w:p w14:paraId="4E9CD8DA"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SHSSH;</w:t>
            </w:r>
          </w:p>
          <w:p w14:paraId="723804AD" w14:textId="77777777" w:rsidR="003E1630" w:rsidRPr="00024D5A" w:rsidRDefault="005743A8" w:rsidP="001464FD">
            <w:pPr>
              <w:rPr>
                <w:rFonts w:ascii="Garamond" w:eastAsia="Times New Roman" w:hAnsi="Garamond" w:cs="Arial"/>
                <w:sz w:val="12"/>
                <w:szCs w:val="16"/>
                <w:lang w:eastAsia="en-US"/>
              </w:rPr>
            </w:pPr>
            <w:r w:rsidRPr="00024D5A">
              <w:rPr>
                <w:rFonts w:ascii="Garamond" w:eastAsia="Times New Roman" w:hAnsi="Garamond" w:cs="Arial"/>
                <w:sz w:val="12"/>
                <w:szCs w:val="16"/>
                <w:lang w:eastAsia="en-US"/>
              </w:rPr>
              <w:t>MSHPV</w:t>
            </w:r>
          </w:p>
          <w:p w14:paraId="6A1846BF" w14:textId="71A14B23"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cs="Arial"/>
                <w:sz w:val="12"/>
                <w:szCs w:val="16"/>
                <w:lang w:eastAsia="en-US"/>
              </w:rPr>
              <w:t xml:space="preserve">AMVV </w:t>
            </w:r>
            <w:r w:rsidRPr="00024D5A">
              <w:rPr>
                <w:rFonts w:ascii="Garamond" w:eastAsia="Times New Roman" w:hAnsi="Garamond" w:cs="Arial"/>
                <w:sz w:val="12"/>
                <w:szCs w:val="16"/>
                <w:lang w:eastAsia="en-US"/>
              </w:rPr>
              <w:br/>
            </w:r>
            <w:r w:rsidRPr="00024D5A">
              <w:rPr>
                <w:rFonts w:ascii="Garamond" w:eastAsia="Times New Roman" w:hAnsi="Garamond"/>
                <w:sz w:val="12"/>
                <w:szCs w:val="16"/>
                <w:lang w:eastAsia="en-US"/>
              </w:rPr>
              <w:t>Bashkitë;</w:t>
            </w:r>
            <w:r w:rsidRPr="00024D5A">
              <w:rPr>
                <w:rFonts w:ascii="Garamond" w:eastAsia="Times New Roman" w:hAnsi="Garamond"/>
                <w:sz w:val="12"/>
                <w:szCs w:val="16"/>
                <w:lang w:eastAsia="en-US"/>
              </w:rPr>
              <w:br/>
              <w:t>Fondi Social</w:t>
            </w:r>
            <w:r w:rsidR="00086AB5" w:rsidRPr="00024D5A">
              <w:rPr>
                <w:rFonts w:ascii="Garamond" w:eastAsia="Times New Roman" w:hAnsi="Garamond"/>
                <w:sz w:val="12"/>
                <w:szCs w:val="16"/>
                <w:lang w:eastAsia="en-US"/>
              </w:rPr>
              <w:t>.</w:t>
            </w:r>
          </w:p>
        </w:tc>
        <w:tc>
          <w:tcPr>
            <w:tcW w:w="772" w:type="pct"/>
          </w:tcPr>
          <w:p w14:paraId="405F0ECA"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tc>
      </w:tr>
      <w:tr w:rsidR="003E1630" w:rsidRPr="00024D5A" w14:paraId="00A5719D" w14:textId="77777777" w:rsidTr="00EE0000">
        <w:trPr>
          <w:trHeight w:val="20"/>
        </w:trPr>
        <w:tc>
          <w:tcPr>
            <w:tcW w:w="368" w:type="pct"/>
            <w:vMerge/>
          </w:tcPr>
          <w:p w14:paraId="088E51B0" w14:textId="77777777" w:rsidR="003E1630" w:rsidRPr="00024D5A" w:rsidRDefault="003E1630" w:rsidP="001464FD">
            <w:pPr>
              <w:rPr>
                <w:rFonts w:ascii="Garamond" w:eastAsia="Times New Roman" w:hAnsi="Garamond"/>
                <w:sz w:val="12"/>
                <w:szCs w:val="16"/>
                <w:lang w:eastAsia="en-US"/>
              </w:rPr>
            </w:pPr>
          </w:p>
        </w:tc>
        <w:tc>
          <w:tcPr>
            <w:tcW w:w="630" w:type="pct"/>
            <w:vMerge/>
          </w:tcPr>
          <w:p w14:paraId="56E07ACB" w14:textId="77777777" w:rsidR="003E1630" w:rsidRPr="00024D5A" w:rsidRDefault="003E1630" w:rsidP="001464FD">
            <w:pPr>
              <w:rPr>
                <w:rFonts w:ascii="Garamond" w:eastAsia="Times New Roman" w:hAnsi="Garamond"/>
                <w:sz w:val="12"/>
                <w:szCs w:val="16"/>
                <w:lang w:eastAsia="en-US"/>
              </w:rPr>
            </w:pPr>
          </w:p>
        </w:tc>
        <w:tc>
          <w:tcPr>
            <w:tcW w:w="660" w:type="pct"/>
          </w:tcPr>
          <w:p w14:paraId="7CD39DE0" w14:textId="77777777" w:rsidR="003E1630" w:rsidRPr="00024D5A" w:rsidRDefault="003E1630" w:rsidP="001464FD">
            <w:pPr>
              <w:rPr>
                <w:rFonts w:ascii="Garamond" w:eastAsia="Times New Roman" w:hAnsi="Garamond"/>
                <w:sz w:val="12"/>
                <w:szCs w:val="16"/>
                <w:lang w:eastAsia="en-US"/>
              </w:rPr>
            </w:pPr>
          </w:p>
        </w:tc>
        <w:tc>
          <w:tcPr>
            <w:tcW w:w="613" w:type="pct"/>
          </w:tcPr>
          <w:p w14:paraId="5D5C9C4D" w14:textId="77777777" w:rsidR="003E1630" w:rsidRPr="00024D5A" w:rsidRDefault="003E1630" w:rsidP="001464FD">
            <w:pPr>
              <w:rPr>
                <w:rFonts w:ascii="Garamond" w:eastAsia="Times New Roman" w:hAnsi="Garamond"/>
                <w:sz w:val="12"/>
                <w:szCs w:val="16"/>
                <w:lang w:eastAsia="en-US"/>
              </w:rPr>
            </w:pPr>
          </w:p>
        </w:tc>
        <w:tc>
          <w:tcPr>
            <w:tcW w:w="734" w:type="pct"/>
          </w:tcPr>
          <w:p w14:paraId="44E50E9D" w14:textId="77777777" w:rsidR="003E1630" w:rsidRPr="00024D5A" w:rsidRDefault="003E1630" w:rsidP="001464FD">
            <w:pPr>
              <w:rPr>
                <w:rFonts w:ascii="Garamond" w:eastAsia="Times New Roman" w:hAnsi="Garamond"/>
                <w:sz w:val="12"/>
                <w:szCs w:val="16"/>
                <w:lang w:eastAsia="en-US"/>
              </w:rPr>
            </w:pPr>
          </w:p>
        </w:tc>
        <w:tc>
          <w:tcPr>
            <w:tcW w:w="616" w:type="pct"/>
          </w:tcPr>
          <w:p w14:paraId="226E724E" w14:textId="77777777" w:rsidR="003E1630" w:rsidRPr="00024D5A" w:rsidRDefault="003E1630" w:rsidP="001464FD">
            <w:pPr>
              <w:rPr>
                <w:rFonts w:ascii="Garamond" w:eastAsia="Times New Roman" w:hAnsi="Garamond"/>
                <w:sz w:val="12"/>
                <w:szCs w:val="16"/>
                <w:lang w:eastAsia="en-US"/>
              </w:rPr>
            </w:pPr>
          </w:p>
        </w:tc>
        <w:tc>
          <w:tcPr>
            <w:tcW w:w="606" w:type="pct"/>
          </w:tcPr>
          <w:p w14:paraId="0223E8F1"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tc>
        <w:tc>
          <w:tcPr>
            <w:tcW w:w="772" w:type="pct"/>
          </w:tcPr>
          <w:p w14:paraId="36AC076B"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tc>
      </w:tr>
      <w:tr w:rsidR="003E1630" w:rsidRPr="00024D5A" w14:paraId="5372A212" w14:textId="77777777" w:rsidTr="00EE0000">
        <w:trPr>
          <w:trHeight w:val="20"/>
        </w:trPr>
        <w:tc>
          <w:tcPr>
            <w:tcW w:w="368" w:type="pct"/>
            <w:vMerge/>
          </w:tcPr>
          <w:p w14:paraId="66044111" w14:textId="77777777" w:rsidR="003E1630" w:rsidRPr="00024D5A" w:rsidRDefault="003E1630" w:rsidP="001464FD">
            <w:pPr>
              <w:rPr>
                <w:rFonts w:ascii="Garamond" w:eastAsia="Times New Roman" w:hAnsi="Garamond"/>
                <w:sz w:val="12"/>
                <w:szCs w:val="16"/>
                <w:lang w:eastAsia="en-US"/>
              </w:rPr>
            </w:pPr>
          </w:p>
        </w:tc>
        <w:tc>
          <w:tcPr>
            <w:tcW w:w="630" w:type="pct"/>
            <w:vMerge/>
          </w:tcPr>
          <w:p w14:paraId="4C410962" w14:textId="77777777" w:rsidR="003E1630" w:rsidRPr="00024D5A" w:rsidRDefault="003E1630" w:rsidP="001464FD">
            <w:pPr>
              <w:rPr>
                <w:rFonts w:ascii="Garamond" w:eastAsia="Times New Roman" w:hAnsi="Garamond"/>
                <w:sz w:val="12"/>
                <w:szCs w:val="16"/>
                <w:lang w:eastAsia="en-US"/>
              </w:rPr>
            </w:pPr>
          </w:p>
        </w:tc>
        <w:tc>
          <w:tcPr>
            <w:tcW w:w="660" w:type="pct"/>
          </w:tcPr>
          <w:p w14:paraId="7611E298" w14:textId="28BD8DE9"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Numri i personave me aftësi të kufizuara që jetojnë në institucione rezidenciale afatgjata publike n</w:t>
            </w:r>
            <w:r w:rsidR="002447A2" w:rsidRPr="00024D5A">
              <w:rPr>
                <w:rFonts w:ascii="Garamond" w:eastAsia="Times New Roman" w:hAnsi="Garamond"/>
                <w:sz w:val="12"/>
                <w:szCs w:val="16"/>
                <w:lang w:eastAsia="en-US"/>
              </w:rPr>
              <w:t xml:space="preserve">ë </w:t>
            </w:r>
            <w:r w:rsidRPr="00024D5A">
              <w:rPr>
                <w:rFonts w:ascii="Garamond" w:eastAsia="Times New Roman" w:hAnsi="Garamond"/>
                <w:sz w:val="12"/>
                <w:szCs w:val="16"/>
                <w:lang w:eastAsia="en-US"/>
              </w:rPr>
              <w:t>rënie vit pas viti.</w:t>
            </w:r>
          </w:p>
        </w:tc>
        <w:tc>
          <w:tcPr>
            <w:tcW w:w="613" w:type="pct"/>
          </w:tcPr>
          <w:p w14:paraId="272ED3F0"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213</w:t>
            </w:r>
          </w:p>
        </w:tc>
        <w:tc>
          <w:tcPr>
            <w:tcW w:w="734" w:type="pct"/>
          </w:tcPr>
          <w:p w14:paraId="4A855542"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180</w:t>
            </w:r>
          </w:p>
        </w:tc>
        <w:tc>
          <w:tcPr>
            <w:tcW w:w="616" w:type="pct"/>
          </w:tcPr>
          <w:p w14:paraId="7824B238"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150</w:t>
            </w:r>
          </w:p>
        </w:tc>
        <w:tc>
          <w:tcPr>
            <w:tcW w:w="606" w:type="pct"/>
          </w:tcPr>
          <w:p w14:paraId="32D6081A"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tc>
        <w:tc>
          <w:tcPr>
            <w:tcW w:w="772" w:type="pct"/>
          </w:tcPr>
          <w:p w14:paraId="5801ADBA"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tc>
      </w:tr>
      <w:tr w:rsidR="00E2051F" w:rsidRPr="00024D5A" w14:paraId="2ADC999E" w14:textId="77777777" w:rsidTr="00EE0000">
        <w:trPr>
          <w:trHeight w:val="20"/>
        </w:trPr>
        <w:tc>
          <w:tcPr>
            <w:tcW w:w="368" w:type="pct"/>
            <w:vMerge w:val="restart"/>
          </w:tcPr>
          <w:p w14:paraId="5E9B785E" w14:textId="77777777" w:rsidR="00E2051F" w:rsidRPr="00024D5A" w:rsidRDefault="00E2051F" w:rsidP="001464FD">
            <w:pPr>
              <w:rPr>
                <w:rFonts w:ascii="Garamond" w:eastAsia="Times New Roman" w:hAnsi="Garamond"/>
                <w:b/>
                <w:bCs/>
                <w:sz w:val="12"/>
                <w:szCs w:val="16"/>
                <w:lang w:eastAsia="en-US"/>
              </w:rPr>
            </w:pPr>
            <w:r w:rsidRPr="00024D5A">
              <w:rPr>
                <w:rFonts w:ascii="Garamond" w:eastAsia="Times New Roman" w:hAnsi="Garamond"/>
                <w:b/>
                <w:bCs/>
                <w:sz w:val="12"/>
                <w:szCs w:val="16"/>
                <w:lang w:eastAsia="en-US"/>
              </w:rPr>
              <w:t>Masat prioritare</w:t>
            </w:r>
          </w:p>
          <w:p w14:paraId="0D659301" w14:textId="77777777" w:rsidR="00E2051F" w:rsidRPr="00024D5A" w:rsidRDefault="00E2051F"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p w14:paraId="6FC05CC9" w14:textId="0CC55393" w:rsidR="00E2051F" w:rsidRPr="00024D5A" w:rsidRDefault="00E2051F" w:rsidP="001464FD">
            <w:pPr>
              <w:rPr>
                <w:rFonts w:ascii="Garamond" w:eastAsia="Times New Roman" w:hAnsi="Garamond"/>
                <w:b/>
                <w:bCs/>
                <w:sz w:val="12"/>
                <w:szCs w:val="16"/>
                <w:lang w:eastAsia="en-US"/>
              </w:rPr>
            </w:pPr>
            <w:r w:rsidRPr="00024D5A">
              <w:rPr>
                <w:rFonts w:ascii="Garamond" w:eastAsia="Times New Roman" w:hAnsi="Garamond"/>
                <w:sz w:val="12"/>
                <w:szCs w:val="16"/>
                <w:lang w:eastAsia="en-US"/>
              </w:rPr>
              <w:t> </w:t>
            </w:r>
          </w:p>
        </w:tc>
        <w:tc>
          <w:tcPr>
            <w:tcW w:w="630" w:type="pct"/>
          </w:tcPr>
          <w:p w14:paraId="41B47977" w14:textId="0332AF3A" w:rsidR="00E2051F" w:rsidRPr="00024D5A" w:rsidRDefault="00E2051F"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3.1 Të garantohet e drejta e personave me aftësi të kufizuara për të jetuar në komunitet, me zgjedhje reale mbi ku, si dhe me kë jetojnë, përmes sigurimit të strehimit të aksesueshëm, shërbimeve mbështetëse në banesë dhe alternativave komunitare ndaj institucionalizimit.</w:t>
            </w:r>
          </w:p>
        </w:tc>
        <w:tc>
          <w:tcPr>
            <w:tcW w:w="660" w:type="pct"/>
          </w:tcPr>
          <w:p w14:paraId="43A49A2E" w14:textId="77777777" w:rsidR="00E2051F" w:rsidRPr="00024D5A" w:rsidRDefault="00E2051F"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Numri i personave me aftësi të kufizuara që përfitojnë nga programet publike të strehimit (banesa sociale ose subvencion qiraje) gjatë vitit.</w:t>
            </w:r>
          </w:p>
        </w:tc>
        <w:tc>
          <w:tcPr>
            <w:tcW w:w="613" w:type="pct"/>
          </w:tcPr>
          <w:p w14:paraId="1CBBA949" w14:textId="77777777" w:rsidR="00E2051F" w:rsidRPr="00024D5A" w:rsidRDefault="00E2051F"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982</w:t>
            </w:r>
          </w:p>
        </w:tc>
        <w:tc>
          <w:tcPr>
            <w:tcW w:w="734" w:type="pct"/>
            <w:noWrap/>
          </w:tcPr>
          <w:p w14:paraId="665A0F70" w14:textId="77777777" w:rsidR="00E2051F" w:rsidRPr="00024D5A" w:rsidRDefault="00E2051F"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196</w:t>
            </w:r>
          </w:p>
        </w:tc>
        <w:tc>
          <w:tcPr>
            <w:tcW w:w="616" w:type="pct"/>
            <w:noWrap/>
          </w:tcPr>
          <w:p w14:paraId="280F2530" w14:textId="77777777" w:rsidR="00E2051F" w:rsidRPr="00024D5A" w:rsidRDefault="00E2051F"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442</w:t>
            </w:r>
          </w:p>
        </w:tc>
        <w:tc>
          <w:tcPr>
            <w:tcW w:w="606" w:type="pct"/>
          </w:tcPr>
          <w:p w14:paraId="681272AF" w14:textId="38C2AD69" w:rsidR="00E2051F" w:rsidRPr="00024D5A" w:rsidRDefault="00E2051F"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Raporte të Drejtorisë së Strehimit.</w:t>
            </w:r>
          </w:p>
        </w:tc>
        <w:tc>
          <w:tcPr>
            <w:tcW w:w="772" w:type="pct"/>
          </w:tcPr>
          <w:p w14:paraId="26C69205" w14:textId="77777777" w:rsidR="00E2051F" w:rsidRPr="00024D5A" w:rsidRDefault="00E2051F"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tc>
      </w:tr>
      <w:tr w:rsidR="00E2051F" w:rsidRPr="00024D5A" w14:paraId="3A582275" w14:textId="77777777" w:rsidTr="00EE0000">
        <w:trPr>
          <w:trHeight w:val="810"/>
        </w:trPr>
        <w:tc>
          <w:tcPr>
            <w:tcW w:w="368" w:type="pct"/>
            <w:vMerge/>
            <w:tcBorders>
              <w:bottom w:val="single" w:sz="4" w:space="0" w:color="auto"/>
            </w:tcBorders>
          </w:tcPr>
          <w:p w14:paraId="6BFE0708" w14:textId="09F0312E" w:rsidR="00E2051F" w:rsidRPr="00024D5A" w:rsidRDefault="00E2051F" w:rsidP="001464FD">
            <w:pPr>
              <w:rPr>
                <w:rFonts w:ascii="Garamond" w:eastAsia="Times New Roman" w:hAnsi="Garamond"/>
                <w:b/>
                <w:bCs/>
                <w:sz w:val="12"/>
                <w:szCs w:val="16"/>
                <w:lang w:eastAsia="en-US"/>
              </w:rPr>
            </w:pPr>
          </w:p>
        </w:tc>
        <w:tc>
          <w:tcPr>
            <w:tcW w:w="630" w:type="pct"/>
            <w:vMerge w:val="restart"/>
            <w:tcBorders>
              <w:bottom w:val="single" w:sz="4" w:space="0" w:color="auto"/>
            </w:tcBorders>
          </w:tcPr>
          <w:p w14:paraId="0B60A66F" w14:textId="14F3CD6E" w:rsidR="00E2051F" w:rsidRPr="00024D5A" w:rsidRDefault="00E2051F"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Masa prioritare 3.2</w:t>
            </w:r>
            <w:r w:rsidR="00AC5DA9">
              <w:rPr>
                <w:rFonts w:ascii="Garamond" w:eastAsia="Times New Roman" w:hAnsi="Garamond"/>
                <w:sz w:val="12"/>
                <w:szCs w:val="16"/>
                <w:lang w:eastAsia="en-US"/>
              </w:rPr>
              <w:t xml:space="preserve">: </w:t>
            </w:r>
            <w:r w:rsidRPr="00024D5A">
              <w:rPr>
                <w:rFonts w:ascii="Garamond" w:eastAsia="Times New Roman" w:hAnsi="Garamond"/>
                <w:sz w:val="12"/>
                <w:szCs w:val="16"/>
                <w:lang w:eastAsia="en-US"/>
              </w:rPr>
              <w:t>Të krijohet dhe zbatohet një program kombëtar i shërbimit të ndihmësit personal, në mbështetje të jetesës së pavarur, i standardizuar, i financuar dhe i monitoruar, që u mundëson personave me aftësi të kufizuara të kontrollojnë jetën e tyre, të marrin pjesë në komunitet.</w:t>
            </w:r>
          </w:p>
        </w:tc>
        <w:tc>
          <w:tcPr>
            <w:tcW w:w="660" w:type="pct"/>
            <w:tcBorders>
              <w:bottom w:val="single" w:sz="4" w:space="0" w:color="auto"/>
            </w:tcBorders>
          </w:tcPr>
          <w:p w14:paraId="15DDB2CA" w14:textId="77777777" w:rsidR="00E2051F" w:rsidRPr="00024D5A" w:rsidRDefault="00E2051F"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Kuadri ligjor dhe nënligjor për shërbimin e ndihmësit personal është miratuar dhe në zbatim.</w:t>
            </w:r>
          </w:p>
        </w:tc>
        <w:tc>
          <w:tcPr>
            <w:tcW w:w="613" w:type="pct"/>
            <w:vMerge w:val="restart"/>
            <w:tcBorders>
              <w:bottom w:val="single" w:sz="4" w:space="0" w:color="auto"/>
            </w:tcBorders>
          </w:tcPr>
          <w:p w14:paraId="7520A747" w14:textId="77777777" w:rsidR="00E2051F" w:rsidRPr="00024D5A" w:rsidRDefault="00E2051F"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N/A</w:t>
            </w:r>
          </w:p>
        </w:tc>
        <w:tc>
          <w:tcPr>
            <w:tcW w:w="734" w:type="pct"/>
            <w:vMerge w:val="restart"/>
            <w:tcBorders>
              <w:bottom w:val="single" w:sz="4" w:space="0" w:color="auto"/>
            </w:tcBorders>
          </w:tcPr>
          <w:p w14:paraId="00BE3BF8" w14:textId="689636BB" w:rsidR="00E2051F" w:rsidRPr="00024D5A" w:rsidRDefault="00E2051F"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1 akt rregullator të ndryshuar</w:t>
            </w:r>
            <w:r w:rsidRPr="00024D5A">
              <w:rPr>
                <w:rFonts w:ascii="Garamond" w:hAnsi="Garamond"/>
                <w:sz w:val="12"/>
              </w:rPr>
              <w:br/>
            </w:r>
            <w:r w:rsidRPr="00024D5A">
              <w:rPr>
                <w:rFonts w:ascii="Garamond" w:hAnsi="Garamond"/>
                <w:sz w:val="12"/>
              </w:rPr>
              <w:br/>
            </w:r>
            <w:r w:rsidRPr="00024D5A">
              <w:rPr>
                <w:rFonts w:ascii="Garamond" w:hAnsi="Garamond"/>
                <w:sz w:val="12"/>
              </w:rPr>
              <w:br/>
            </w:r>
            <w:r w:rsidRPr="00024D5A">
              <w:rPr>
                <w:rFonts w:ascii="Garamond" w:hAnsi="Garamond"/>
                <w:sz w:val="12"/>
              </w:rPr>
              <w:br/>
            </w:r>
          </w:p>
          <w:p w14:paraId="1D0F3F3C" w14:textId="77777777" w:rsidR="00E2051F" w:rsidRPr="00024D5A" w:rsidRDefault="00E2051F"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240</w:t>
            </w:r>
          </w:p>
        </w:tc>
        <w:tc>
          <w:tcPr>
            <w:tcW w:w="616" w:type="pct"/>
            <w:vMerge w:val="restart"/>
            <w:tcBorders>
              <w:bottom w:val="single" w:sz="4" w:space="0" w:color="auto"/>
            </w:tcBorders>
          </w:tcPr>
          <w:p w14:paraId="4691AD4D" w14:textId="77777777" w:rsidR="00E2051F" w:rsidRPr="00024D5A" w:rsidRDefault="00E2051F" w:rsidP="001464FD">
            <w:pPr>
              <w:rPr>
                <w:rFonts w:ascii="Garamond" w:hAnsi="Garamond"/>
                <w:sz w:val="12"/>
                <w:szCs w:val="16"/>
              </w:rPr>
            </w:pPr>
            <w:r w:rsidRPr="00024D5A">
              <w:rPr>
                <w:rFonts w:ascii="Garamond" w:eastAsia="Times New Roman" w:hAnsi="Garamond"/>
                <w:sz w:val="12"/>
                <w:szCs w:val="16"/>
                <w:lang w:eastAsia="en-US"/>
              </w:rPr>
              <w:t>2 akte rregullatore të ndryshuara</w:t>
            </w:r>
            <w:r w:rsidRPr="00024D5A">
              <w:rPr>
                <w:rFonts w:ascii="Garamond" w:hAnsi="Garamond"/>
                <w:sz w:val="12"/>
              </w:rPr>
              <w:br/>
            </w:r>
            <w:r w:rsidRPr="00024D5A">
              <w:rPr>
                <w:rFonts w:ascii="Garamond" w:hAnsi="Garamond"/>
                <w:sz w:val="12"/>
              </w:rPr>
              <w:br/>
            </w:r>
            <w:r w:rsidRPr="00024D5A">
              <w:rPr>
                <w:rFonts w:ascii="Garamond" w:hAnsi="Garamond"/>
                <w:sz w:val="12"/>
              </w:rPr>
              <w:br/>
            </w:r>
            <w:r w:rsidRPr="00024D5A">
              <w:rPr>
                <w:rFonts w:ascii="Garamond" w:hAnsi="Garamond"/>
                <w:sz w:val="12"/>
              </w:rPr>
              <w:br/>
            </w:r>
          </w:p>
          <w:p w14:paraId="6CF9A5BB" w14:textId="5B3620B5" w:rsidR="00E2051F" w:rsidRPr="00024D5A" w:rsidRDefault="00E2051F" w:rsidP="001464FD">
            <w:pPr>
              <w:rPr>
                <w:rFonts w:ascii="Garamond" w:eastAsia="Times New Roman" w:hAnsi="Garamond"/>
                <w:sz w:val="12"/>
                <w:szCs w:val="16"/>
                <w:lang w:eastAsia="en-US"/>
              </w:rPr>
            </w:pPr>
            <w:r w:rsidRPr="00024D5A">
              <w:rPr>
                <w:rFonts w:ascii="Garamond" w:hAnsi="Garamond"/>
                <w:sz w:val="12"/>
                <w:szCs w:val="16"/>
              </w:rPr>
              <w:t>35</w:t>
            </w:r>
            <w:r w:rsidRPr="00024D5A">
              <w:rPr>
                <w:rFonts w:ascii="Garamond" w:eastAsia="Times New Roman" w:hAnsi="Garamond"/>
                <w:sz w:val="12"/>
                <w:szCs w:val="16"/>
                <w:lang w:eastAsia="en-US"/>
              </w:rPr>
              <w:t>0</w:t>
            </w:r>
          </w:p>
        </w:tc>
        <w:tc>
          <w:tcPr>
            <w:tcW w:w="606" w:type="pct"/>
            <w:vMerge w:val="restart"/>
            <w:tcBorders>
              <w:bottom w:val="single" w:sz="4" w:space="0" w:color="auto"/>
            </w:tcBorders>
          </w:tcPr>
          <w:p w14:paraId="4057E078" w14:textId="77777777" w:rsidR="00E2051F" w:rsidRPr="00024D5A" w:rsidRDefault="00E2051F"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br/>
              <w:t>Monitorime të MSHMS;</w:t>
            </w:r>
          </w:p>
          <w:p w14:paraId="064B42A0" w14:textId="41BF9959" w:rsidR="00E2051F" w:rsidRPr="00024D5A" w:rsidRDefault="00E2051F" w:rsidP="001464FD">
            <w:pPr>
              <w:rPr>
                <w:rFonts w:ascii="Garamond" w:eastAsia="Times New Roman" w:hAnsi="Garamond" w:cs="Arial"/>
                <w:sz w:val="12"/>
                <w:szCs w:val="16"/>
                <w:lang w:eastAsia="en-US"/>
              </w:rPr>
            </w:pPr>
            <w:r w:rsidRPr="00024D5A">
              <w:rPr>
                <w:rFonts w:ascii="Garamond" w:eastAsia="Times New Roman" w:hAnsi="Garamond" w:cs="Arial"/>
                <w:sz w:val="12"/>
                <w:szCs w:val="16"/>
                <w:lang w:eastAsia="en-US"/>
              </w:rPr>
              <w:t>MSHPV;</w:t>
            </w:r>
          </w:p>
          <w:p w14:paraId="10479E3D" w14:textId="11E7117A" w:rsidR="00E2051F" w:rsidRPr="00024D5A" w:rsidRDefault="00E2051F" w:rsidP="001464FD">
            <w:pPr>
              <w:rPr>
                <w:rFonts w:ascii="Garamond" w:eastAsia="Times New Roman" w:hAnsi="Garamond"/>
                <w:sz w:val="12"/>
                <w:szCs w:val="16"/>
                <w:lang w:eastAsia="en-US"/>
              </w:rPr>
            </w:pPr>
            <w:r w:rsidRPr="00024D5A">
              <w:rPr>
                <w:rFonts w:ascii="Garamond" w:eastAsia="Times New Roman" w:hAnsi="Garamond" w:cs="Arial"/>
                <w:sz w:val="12"/>
                <w:szCs w:val="16"/>
                <w:lang w:eastAsia="en-US"/>
              </w:rPr>
              <w:t xml:space="preserve">AMVV; </w:t>
            </w:r>
            <w:r w:rsidRPr="00024D5A">
              <w:rPr>
                <w:rFonts w:ascii="Garamond" w:eastAsia="Times New Roman" w:hAnsi="Garamond" w:cs="Arial"/>
                <w:sz w:val="12"/>
                <w:szCs w:val="16"/>
                <w:lang w:eastAsia="en-US"/>
              </w:rPr>
              <w:br/>
            </w:r>
            <w:r w:rsidRPr="00024D5A">
              <w:rPr>
                <w:rFonts w:ascii="Garamond" w:eastAsia="Times New Roman" w:hAnsi="Garamond"/>
                <w:sz w:val="12"/>
                <w:szCs w:val="16"/>
                <w:lang w:eastAsia="en-US"/>
              </w:rPr>
              <w:t>Bashkitë.</w:t>
            </w:r>
          </w:p>
        </w:tc>
        <w:tc>
          <w:tcPr>
            <w:tcW w:w="772" w:type="pct"/>
            <w:vMerge w:val="restart"/>
            <w:tcBorders>
              <w:bottom w:val="single" w:sz="4" w:space="0" w:color="auto"/>
            </w:tcBorders>
          </w:tcPr>
          <w:p w14:paraId="268E40C9" w14:textId="77777777" w:rsidR="00E2051F" w:rsidRPr="00024D5A" w:rsidRDefault="00E2051F"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tc>
      </w:tr>
      <w:tr w:rsidR="00E2051F" w:rsidRPr="00024D5A" w14:paraId="32BF0329" w14:textId="77777777" w:rsidTr="00EE0000">
        <w:trPr>
          <w:trHeight w:val="20"/>
        </w:trPr>
        <w:tc>
          <w:tcPr>
            <w:tcW w:w="368" w:type="pct"/>
            <w:vMerge/>
          </w:tcPr>
          <w:p w14:paraId="46727C3C" w14:textId="2AF36D21" w:rsidR="00E2051F" w:rsidRPr="00024D5A" w:rsidRDefault="00E2051F" w:rsidP="001464FD">
            <w:pPr>
              <w:rPr>
                <w:rFonts w:ascii="Garamond" w:eastAsia="Times New Roman" w:hAnsi="Garamond"/>
                <w:sz w:val="12"/>
                <w:szCs w:val="16"/>
                <w:lang w:eastAsia="en-US"/>
              </w:rPr>
            </w:pPr>
          </w:p>
        </w:tc>
        <w:tc>
          <w:tcPr>
            <w:tcW w:w="630" w:type="pct"/>
            <w:vMerge/>
          </w:tcPr>
          <w:p w14:paraId="3114E549" w14:textId="77777777" w:rsidR="00E2051F" w:rsidRPr="00024D5A" w:rsidRDefault="00E2051F" w:rsidP="001464FD">
            <w:pPr>
              <w:rPr>
                <w:rFonts w:ascii="Garamond" w:eastAsia="Times New Roman" w:hAnsi="Garamond"/>
                <w:sz w:val="12"/>
                <w:szCs w:val="16"/>
                <w:lang w:eastAsia="en-US"/>
              </w:rPr>
            </w:pPr>
          </w:p>
        </w:tc>
        <w:tc>
          <w:tcPr>
            <w:tcW w:w="660" w:type="pct"/>
          </w:tcPr>
          <w:p w14:paraId="09ACF30C" w14:textId="77777777" w:rsidR="00E2051F" w:rsidRPr="00024D5A" w:rsidRDefault="00E2051F"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Numri i personave me aftësi të kufizuara që përfitojnë shërbimin e ndihmësit personal gjatë vitit.</w:t>
            </w:r>
          </w:p>
        </w:tc>
        <w:tc>
          <w:tcPr>
            <w:tcW w:w="613" w:type="pct"/>
            <w:vMerge/>
          </w:tcPr>
          <w:p w14:paraId="4AF4B873" w14:textId="77777777" w:rsidR="00E2051F" w:rsidRPr="00024D5A" w:rsidRDefault="00E2051F" w:rsidP="001464FD">
            <w:pPr>
              <w:rPr>
                <w:rFonts w:ascii="Garamond" w:eastAsia="Times New Roman" w:hAnsi="Garamond"/>
                <w:sz w:val="12"/>
                <w:szCs w:val="16"/>
                <w:lang w:eastAsia="en-US"/>
              </w:rPr>
            </w:pPr>
          </w:p>
        </w:tc>
        <w:tc>
          <w:tcPr>
            <w:tcW w:w="734" w:type="pct"/>
            <w:vMerge/>
          </w:tcPr>
          <w:p w14:paraId="2954EA3F" w14:textId="77777777" w:rsidR="00E2051F" w:rsidRPr="00024D5A" w:rsidRDefault="00E2051F" w:rsidP="001464FD">
            <w:pPr>
              <w:rPr>
                <w:rFonts w:ascii="Garamond" w:eastAsia="Times New Roman" w:hAnsi="Garamond"/>
                <w:sz w:val="12"/>
                <w:szCs w:val="16"/>
                <w:lang w:eastAsia="en-US"/>
              </w:rPr>
            </w:pPr>
          </w:p>
        </w:tc>
        <w:tc>
          <w:tcPr>
            <w:tcW w:w="616" w:type="pct"/>
            <w:vMerge/>
          </w:tcPr>
          <w:p w14:paraId="39AB3DE4" w14:textId="77777777" w:rsidR="00E2051F" w:rsidRPr="00024D5A" w:rsidRDefault="00E2051F" w:rsidP="001464FD">
            <w:pPr>
              <w:rPr>
                <w:rFonts w:ascii="Garamond" w:eastAsia="Times New Roman" w:hAnsi="Garamond"/>
                <w:sz w:val="12"/>
                <w:szCs w:val="16"/>
                <w:lang w:eastAsia="en-US"/>
              </w:rPr>
            </w:pPr>
          </w:p>
        </w:tc>
        <w:tc>
          <w:tcPr>
            <w:tcW w:w="606" w:type="pct"/>
            <w:vMerge/>
          </w:tcPr>
          <w:p w14:paraId="797226D8" w14:textId="77777777" w:rsidR="00E2051F" w:rsidRPr="00024D5A" w:rsidRDefault="00E2051F" w:rsidP="001464FD">
            <w:pPr>
              <w:rPr>
                <w:rFonts w:ascii="Garamond" w:eastAsia="Times New Roman" w:hAnsi="Garamond"/>
                <w:sz w:val="12"/>
                <w:szCs w:val="16"/>
                <w:lang w:eastAsia="en-US"/>
              </w:rPr>
            </w:pPr>
          </w:p>
        </w:tc>
        <w:tc>
          <w:tcPr>
            <w:tcW w:w="772" w:type="pct"/>
            <w:vMerge/>
          </w:tcPr>
          <w:p w14:paraId="2B493690" w14:textId="77777777" w:rsidR="00E2051F" w:rsidRPr="00024D5A" w:rsidRDefault="00E2051F" w:rsidP="001464FD">
            <w:pPr>
              <w:rPr>
                <w:rFonts w:ascii="Garamond" w:eastAsia="Times New Roman" w:hAnsi="Garamond"/>
                <w:sz w:val="12"/>
                <w:szCs w:val="16"/>
                <w:lang w:eastAsia="en-US"/>
              </w:rPr>
            </w:pPr>
          </w:p>
        </w:tc>
      </w:tr>
      <w:tr w:rsidR="003E1630" w:rsidRPr="00024D5A" w14:paraId="678392AB" w14:textId="77777777" w:rsidTr="00EE0000">
        <w:trPr>
          <w:trHeight w:val="20"/>
        </w:trPr>
        <w:tc>
          <w:tcPr>
            <w:tcW w:w="368" w:type="pct"/>
            <w:vMerge w:val="restart"/>
          </w:tcPr>
          <w:p w14:paraId="64E9155B"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tc>
        <w:tc>
          <w:tcPr>
            <w:tcW w:w="630" w:type="pct"/>
            <w:vMerge w:val="restart"/>
          </w:tcPr>
          <w:p w14:paraId="5CE53F9D" w14:textId="2010F03E"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Masa Prioritare 3.3</w:t>
            </w:r>
            <w:r w:rsidR="00110C9A">
              <w:rPr>
                <w:rFonts w:ascii="Garamond" w:eastAsia="Times New Roman" w:hAnsi="Garamond"/>
                <w:sz w:val="12"/>
                <w:szCs w:val="16"/>
                <w:lang w:eastAsia="en-US"/>
              </w:rPr>
              <w:t>:</w:t>
            </w:r>
            <w:r w:rsidRPr="00024D5A">
              <w:rPr>
                <w:rFonts w:ascii="Garamond" w:eastAsia="Times New Roman" w:hAnsi="Garamond"/>
                <w:sz w:val="12"/>
                <w:szCs w:val="16"/>
                <w:lang w:eastAsia="en-US"/>
              </w:rPr>
              <w:t xml:space="preserve"> Të garantohet për të gjithë personat me aftësi të kufizuara njohja e plotë para ligjit dhe e drejta për të marrë vendime për jetën e tyre, përmes zëvendësimit të kujdestarisë ligjore me një sistem të vendimmarrjes së mbështetur që respekton vullnetin, preferencat dhe autonominë e individit (</w:t>
            </w:r>
            <w:r w:rsidR="00E2051F" w:rsidRPr="00024D5A">
              <w:rPr>
                <w:rFonts w:ascii="Garamond" w:eastAsia="Times New Roman" w:hAnsi="Garamond"/>
                <w:sz w:val="12"/>
                <w:szCs w:val="16"/>
                <w:lang w:eastAsia="en-US"/>
              </w:rPr>
              <w:t xml:space="preserve">referohu </w:t>
            </w:r>
            <w:r w:rsidRPr="00024D5A">
              <w:rPr>
                <w:rFonts w:ascii="Garamond" w:eastAsia="Times New Roman" w:hAnsi="Garamond"/>
                <w:sz w:val="12"/>
                <w:szCs w:val="16"/>
                <w:lang w:eastAsia="en-US"/>
              </w:rPr>
              <w:t>te Drejtësia</w:t>
            </w:r>
            <w:r w:rsidR="00E2051F" w:rsidRPr="00024D5A">
              <w:rPr>
                <w:rFonts w:ascii="Garamond" w:eastAsia="Times New Roman" w:hAnsi="Garamond"/>
                <w:sz w:val="12"/>
                <w:szCs w:val="16"/>
                <w:lang w:eastAsia="en-US"/>
              </w:rPr>
              <w:t xml:space="preserve">, </w:t>
            </w:r>
            <w:r w:rsidRPr="00024D5A">
              <w:rPr>
                <w:rFonts w:ascii="Garamond" w:eastAsia="Times New Roman" w:hAnsi="Garamond"/>
                <w:sz w:val="12"/>
                <w:szCs w:val="16"/>
                <w:lang w:eastAsia="en-US"/>
              </w:rPr>
              <w:t>2.1)</w:t>
            </w:r>
          </w:p>
        </w:tc>
        <w:tc>
          <w:tcPr>
            <w:tcW w:w="660" w:type="pct"/>
          </w:tcPr>
          <w:p w14:paraId="61C65807"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Kuadri ligjor dhe nënligjor për vendimmarrjen e mbështetur i miratuar dhe në fuqi, duke garantuar ushtrimin e zotësisë juridike për personat me aftësi të kufizuara.</w:t>
            </w:r>
          </w:p>
        </w:tc>
        <w:tc>
          <w:tcPr>
            <w:tcW w:w="613" w:type="pct"/>
          </w:tcPr>
          <w:p w14:paraId="112BF743"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N/A</w:t>
            </w:r>
          </w:p>
        </w:tc>
        <w:tc>
          <w:tcPr>
            <w:tcW w:w="734" w:type="pct"/>
          </w:tcPr>
          <w:p w14:paraId="5EB97C56"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xml:space="preserve"> 2 akte rregullatore të ndryshuara</w:t>
            </w:r>
          </w:p>
        </w:tc>
        <w:tc>
          <w:tcPr>
            <w:tcW w:w="616" w:type="pct"/>
          </w:tcPr>
          <w:p w14:paraId="0CE3D586"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4 akte rregullatore të ndryshuara</w:t>
            </w:r>
          </w:p>
        </w:tc>
        <w:tc>
          <w:tcPr>
            <w:tcW w:w="606" w:type="pct"/>
          </w:tcPr>
          <w:p w14:paraId="1B8326D6"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br/>
              <w:t xml:space="preserve">Ministria e Drejtësisë;Ministria e Shëndetësisë dhe Mirëqenies Sociale </w:t>
            </w:r>
          </w:p>
        </w:tc>
        <w:tc>
          <w:tcPr>
            <w:tcW w:w="772" w:type="pct"/>
            <w:vMerge w:val="restart"/>
          </w:tcPr>
          <w:p w14:paraId="11759937"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tc>
      </w:tr>
      <w:tr w:rsidR="003E1630" w:rsidRPr="00024D5A" w14:paraId="51E6A54C" w14:textId="77777777" w:rsidTr="00EE0000">
        <w:trPr>
          <w:trHeight w:val="20"/>
        </w:trPr>
        <w:tc>
          <w:tcPr>
            <w:tcW w:w="368" w:type="pct"/>
            <w:vMerge/>
          </w:tcPr>
          <w:p w14:paraId="3D9E9319" w14:textId="77777777" w:rsidR="003E1630" w:rsidRPr="00024D5A" w:rsidRDefault="003E1630" w:rsidP="001464FD">
            <w:pPr>
              <w:rPr>
                <w:rFonts w:ascii="Garamond" w:eastAsia="Times New Roman" w:hAnsi="Garamond"/>
                <w:sz w:val="12"/>
                <w:szCs w:val="16"/>
                <w:lang w:eastAsia="en-US"/>
              </w:rPr>
            </w:pPr>
          </w:p>
        </w:tc>
        <w:tc>
          <w:tcPr>
            <w:tcW w:w="630" w:type="pct"/>
            <w:vMerge/>
          </w:tcPr>
          <w:p w14:paraId="077DEBEB" w14:textId="77777777" w:rsidR="003E1630" w:rsidRPr="00024D5A" w:rsidRDefault="003E1630" w:rsidP="001464FD">
            <w:pPr>
              <w:rPr>
                <w:rFonts w:ascii="Garamond" w:eastAsia="Times New Roman" w:hAnsi="Garamond"/>
                <w:sz w:val="12"/>
                <w:szCs w:val="16"/>
                <w:lang w:eastAsia="en-US"/>
              </w:rPr>
            </w:pPr>
          </w:p>
        </w:tc>
        <w:tc>
          <w:tcPr>
            <w:tcW w:w="660" w:type="pct"/>
          </w:tcPr>
          <w:p w14:paraId="04D054F1"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Udhëzime dhe programe trajnimi për zbatimin e vendimmarrjes së mbështetur të miratuara dhe të përdorura nga profesionistët e sektorëve përkatës (gjyqësor, shëndetësi, polici, shërbime sociale).</w:t>
            </w:r>
          </w:p>
        </w:tc>
        <w:tc>
          <w:tcPr>
            <w:tcW w:w="613" w:type="pct"/>
          </w:tcPr>
          <w:p w14:paraId="4757485D"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86</w:t>
            </w:r>
          </w:p>
        </w:tc>
        <w:tc>
          <w:tcPr>
            <w:tcW w:w="734" w:type="pct"/>
            <w:noWrap/>
          </w:tcPr>
          <w:p w14:paraId="7A7FF511"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136</w:t>
            </w:r>
          </w:p>
        </w:tc>
        <w:tc>
          <w:tcPr>
            <w:tcW w:w="616" w:type="pct"/>
            <w:noWrap/>
          </w:tcPr>
          <w:p w14:paraId="19E992DA"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186</w:t>
            </w:r>
          </w:p>
        </w:tc>
        <w:tc>
          <w:tcPr>
            <w:tcW w:w="606" w:type="pct"/>
          </w:tcPr>
          <w:p w14:paraId="30B36A78"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Ministria e Drejtësisë; Shkolla e Magjistraturës; institucionet përkatëse;</w:t>
            </w:r>
          </w:p>
        </w:tc>
        <w:tc>
          <w:tcPr>
            <w:tcW w:w="772" w:type="pct"/>
            <w:vMerge/>
          </w:tcPr>
          <w:p w14:paraId="6E085D0D" w14:textId="77777777" w:rsidR="003E1630" w:rsidRPr="00024D5A" w:rsidRDefault="003E1630" w:rsidP="001464FD">
            <w:pPr>
              <w:rPr>
                <w:rFonts w:ascii="Garamond" w:eastAsia="Times New Roman" w:hAnsi="Garamond"/>
                <w:sz w:val="12"/>
                <w:szCs w:val="16"/>
                <w:lang w:eastAsia="en-US"/>
              </w:rPr>
            </w:pPr>
          </w:p>
        </w:tc>
      </w:tr>
      <w:tr w:rsidR="003E1630" w:rsidRPr="00024D5A" w14:paraId="3CA3AECC" w14:textId="77777777" w:rsidTr="00EE0000">
        <w:trPr>
          <w:trHeight w:val="20"/>
        </w:trPr>
        <w:tc>
          <w:tcPr>
            <w:tcW w:w="368" w:type="pct"/>
            <w:vMerge w:val="restart"/>
          </w:tcPr>
          <w:p w14:paraId="18602BE7"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tc>
        <w:tc>
          <w:tcPr>
            <w:tcW w:w="630" w:type="pct"/>
            <w:vMerge w:val="restart"/>
          </w:tcPr>
          <w:p w14:paraId="3C8107D9"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4.1. Garantimi i aksesueshmërisë dhe përshtatjes së shërbimeve, mekanizmave të referimit dhe procedurave për gratë dhe vajzat me aftësi të kufizuara, viktima të dhunës.</w:t>
            </w:r>
          </w:p>
        </w:tc>
        <w:tc>
          <w:tcPr>
            <w:tcW w:w="660" w:type="pct"/>
          </w:tcPr>
          <w:p w14:paraId="3D16DBE2"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e qendrave/shërbimeve për viktimat e dhunës (strehëza, qendra komunitare, linja këshillimi) që kanë kaluar vlerësimin e aksesueshmërisë dhe kanë zbatuar rekomandimet kryesore.</w:t>
            </w:r>
          </w:p>
        </w:tc>
        <w:tc>
          <w:tcPr>
            <w:tcW w:w="613" w:type="pct"/>
          </w:tcPr>
          <w:p w14:paraId="30FE54F4"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N/A</w:t>
            </w:r>
          </w:p>
        </w:tc>
        <w:tc>
          <w:tcPr>
            <w:tcW w:w="734" w:type="pct"/>
          </w:tcPr>
          <w:p w14:paraId="280DE50A"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20%</w:t>
            </w:r>
          </w:p>
        </w:tc>
        <w:tc>
          <w:tcPr>
            <w:tcW w:w="616" w:type="pct"/>
          </w:tcPr>
          <w:p w14:paraId="381886A7"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40%</w:t>
            </w:r>
          </w:p>
        </w:tc>
        <w:tc>
          <w:tcPr>
            <w:tcW w:w="606" w:type="pct"/>
          </w:tcPr>
          <w:p w14:paraId="1FF27C3A"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MSHMS;</w:t>
            </w:r>
          </w:p>
          <w:p w14:paraId="34948274" w14:textId="10BFA4EE" w:rsidR="003E1630" w:rsidRPr="00024D5A" w:rsidRDefault="005743A8" w:rsidP="001464FD">
            <w:pPr>
              <w:rPr>
                <w:rFonts w:ascii="Garamond" w:eastAsia="Times New Roman" w:hAnsi="Garamond" w:cs="Arial"/>
                <w:sz w:val="12"/>
                <w:szCs w:val="16"/>
                <w:lang w:eastAsia="en-US"/>
              </w:rPr>
            </w:pPr>
            <w:r w:rsidRPr="00024D5A">
              <w:rPr>
                <w:rFonts w:ascii="Garamond" w:eastAsia="Times New Roman" w:hAnsi="Garamond" w:cs="Arial"/>
                <w:sz w:val="12"/>
                <w:szCs w:val="16"/>
                <w:lang w:eastAsia="en-US"/>
              </w:rPr>
              <w:t>MSHPV</w:t>
            </w:r>
            <w:r w:rsidR="00E2051F" w:rsidRPr="00024D5A">
              <w:rPr>
                <w:rFonts w:ascii="Garamond" w:eastAsia="Times New Roman" w:hAnsi="Garamond" w:cs="Arial"/>
                <w:sz w:val="12"/>
                <w:szCs w:val="16"/>
                <w:lang w:eastAsia="en-US"/>
              </w:rPr>
              <w:t>;</w:t>
            </w:r>
          </w:p>
          <w:p w14:paraId="405D7D9F" w14:textId="3D07EC59"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cs="Arial"/>
                <w:sz w:val="12"/>
                <w:szCs w:val="16"/>
                <w:lang w:eastAsia="en-US"/>
              </w:rPr>
              <w:t>AMVV</w:t>
            </w:r>
            <w:r w:rsidR="003F0522" w:rsidRPr="00024D5A">
              <w:rPr>
                <w:rFonts w:ascii="Garamond" w:eastAsia="Times New Roman" w:hAnsi="Garamond" w:cs="Arial"/>
                <w:sz w:val="12"/>
                <w:szCs w:val="16"/>
                <w:lang w:eastAsia="en-US"/>
              </w:rPr>
              <w:t>;</w:t>
            </w:r>
            <w:r w:rsidRPr="00024D5A">
              <w:rPr>
                <w:rFonts w:ascii="Garamond" w:eastAsia="Times New Roman" w:hAnsi="Garamond" w:cs="Arial"/>
                <w:sz w:val="12"/>
                <w:szCs w:val="16"/>
                <w:lang w:eastAsia="en-US"/>
              </w:rPr>
              <w:t xml:space="preserve"> </w:t>
            </w:r>
            <w:r w:rsidRPr="00024D5A">
              <w:rPr>
                <w:rFonts w:ascii="Garamond" w:eastAsia="Times New Roman" w:hAnsi="Garamond" w:cs="Arial"/>
                <w:sz w:val="12"/>
                <w:szCs w:val="16"/>
                <w:lang w:eastAsia="en-US"/>
              </w:rPr>
              <w:br/>
            </w:r>
            <w:r w:rsidRPr="00024D5A">
              <w:rPr>
                <w:rFonts w:ascii="Garamond" w:eastAsia="Times New Roman" w:hAnsi="Garamond"/>
                <w:sz w:val="12"/>
                <w:szCs w:val="16"/>
                <w:lang w:eastAsia="en-US"/>
              </w:rPr>
              <w:t>Bashkitë/</w:t>
            </w:r>
            <w:r w:rsidR="003F0522" w:rsidRPr="00024D5A">
              <w:rPr>
                <w:rFonts w:ascii="Garamond" w:eastAsia="Times New Roman" w:hAnsi="Garamond"/>
                <w:sz w:val="12"/>
                <w:szCs w:val="16"/>
                <w:lang w:eastAsia="en-US"/>
              </w:rPr>
              <w:t>qarqet</w:t>
            </w:r>
            <w:r w:rsidRPr="00024D5A">
              <w:rPr>
                <w:rFonts w:ascii="Garamond" w:eastAsia="Times New Roman" w:hAnsi="Garamond"/>
                <w:sz w:val="12"/>
                <w:szCs w:val="16"/>
                <w:lang w:eastAsia="en-US"/>
              </w:rPr>
              <w:t>;</w:t>
            </w:r>
            <w:r w:rsidRPr="00024D5A">
              <w:rPr>
                <w:rFonts w:ascii="Garamond" w:eastAsia="Times New Roman" w:hAnsi="Garamond"/>
                <w:sz w:val="12"/>
                <w:szCs w:val="16"/>
                <w:lang w:eastAsia="en-US"/>
              </w:rPr>
              <w:br/>
              <w:t>Mekanizmi i koordinimit kundër dhunës në familje</w:t>
            </w:r>
            <w:r w:rsidR="003F0522" w:rsidRPr="00024D5A">
              <w:rPr>
                <w:rFonts w:ascii="Garamond" w:eastAsia="Times New Roman" w:hAnsi="Garamond"/>
                <w:sz w:val="12"/>
                <w:szCs w:val="16"/>
                <w:lang w:eastAsia="en-US"/>
              </w:rPr>
              <w:t>.</w:t>
            </w:r>
          </w:p>
        </w:tc>
        <w:tc>
          <w:tcPr>
            <w:tcW w:w="772" w:type="pct"/>
          </w:tcPr>
          <w:p w14:paraId="5DA922AA"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tc>
      </w:tr>
      <w:tr w:rsidR="003E1630" w:rsidRPr="00024D5A" w14:paraId="6D4CA09B" w14:textId="77777777" w:rsidTr="00EE0000">
        <w:trPr>
          <w:trHeight w:val="20"/>
        </w:trPr>
        <w:tc>
          <w:tcPr>
            <w:tcW w:w="368" w:type="pct"/>
            <w:vMerge/>
          </w:tcPr>
          <w:p w14:paraId="6E75962F" w14:textId="77777777" w:rsidR="003E1630" w:rsidRPr="00024D5A" w:rsidRDefault="003E1630" w:rsidP="001464FD">
            <w:pPr>
              <w:rPr>
                <w:rFonts w:ascii="Garamond" w:eastAsia="Times New Roman" w:hAnsi="Garamond"/>
                <w:sz w:val="12"/>
                <w:szCs w:val="16"/>
                <w:lang w:eastAsia="en-US"/>
              </w:rPr>
            </w:pPr>
          </w:p>
        </w:tc>
        <w:tc>
          <w:tcPr>
            <w:tcW w:w="630" w:type="pct"/>
            <w:vMerge/>
          </w:tcPr>
          <w:p w14:paraId="300F6D41" w14:textId="77777777" w:rsidR="003E1630" w:rsidRPr="00024D5A" w:rsidRDefault="003E1630" w:rsidP="001464FD">
            <w:pPr>
              <w:rPr>
                <w:rFonts w:ascii="Garamond" w:eastAsia="Times New Roman" w:hAnsi="Garamond"/>
                <w:sz w:val="12"/>
                <w:szCs w:val="16"/>
                <w:lang w:eastAsia="en-US"/>
              </w:rPr>
            </w:pPr>
          </w:p>
        </w:tc>
        <w:tc>
          <w:tcPr>
            <w:tcW w:w="660" w:type="pct"/>
          </w:tcPr>
          <w:p w14:paraId="5ADF2AE8"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Numri i grave dhe vajzave me aftësi të kufizuara viktima të dhunës që kanë marrë shërbime mbështetëse (strehim, këshillim, ndihmë juridike, rehabilitim) gjatë vitit.</w:t>
            </w:r>
          </w:p>
        </w:tc>
        <w:tc>
          <w:tcPr>
            <w:tcW w:w="613" w:type="pct"/>
          </w:tcPr>
          <w:p w14:paraId="3E7DED62"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N/A</w:t>
            </w:r>
          </w:p>
        </w:tc>
        <w:tc>
          <w:tcPr>
            <w:tcW w:w="734" w:type="pct"/>
          </w:tcPr>
          <w:p w14:paraId="0008A00C"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30%</w:t>
            </w:r>
          </w:p>
        </w:tc>
        <w:tc>
          <w:tcPr>
            <w:tcW w:w="616" w:type="pct"/>
          </w:tcPr>
          <w:p w14:paraId="65F09EDC"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50%</w:t>
            </w:r>
          </w:p>
        </w:tc>
        <w:tc>
          <w:tcPr>
            <w:tcW w:w="606" w:type="pct"/>
          </w:tcPr>
          <w:p w14:paraId="5B0B4818"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Sistemi i menaxhimit të rasteve të dhunës në familje;</w:t>
            </w:r>
            <w:r w:rsidRPr="00024D5A">
              <w:rPr>
                <w:rFonts w:ascii="Garamond" w:eastAsia="Times New Roman" w:hAnsi="Garamond"/>
                <w:sz w:val="12"/>
                <w:szCs w:val="16"/>
                <w:lang w:eastAsia="en-US"/>
              </w:rPr>
              <w:br/>
              <w:t>Bashkitë;</w:t>
            </w:r>
            <w:r w:rsidRPr="00024D5A">
              <w:rPr>
                <w:rFonts w:ascii="Garamond" w:eastAsia="Times New Roman" w:hAnsi="Garamond"/>
                <w:sz w:val="12"/>
                <w:szCs w:val="16"/>
                <w:lang w:eastAsia="en-US"/>
              </w:rPr>
              <w:br/>
              <w:t>Strehëzat;</w:t>
            </w:r>
          </w:p>
        </w:tc>
        <w:tc>
          <w:tcPr>
            <w:tcW w:w="772" w:type="pct"/>
          </w:tcPr>
          <w:p w14:paraId="5AD9B6F4"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tc>
      </w:tr>
      <w:tr w:rsidR="003E1630" w:rsidRPr="00024D5A" w14:paraId="1B31FA44" w14:textId="77777777" w:rsidTr="00EE0000">
        <w:trPr>
          <w:trHeight w:val="20"/>
        </w:trPr>
        <w:tc>
          <w:tcPr>
            <w:tcW w:w="368" w:type="pct"/>
            <w:vMerge w:val="restart"/>
          </w:tcPr>
          <w:p w14:paraId="2FBA3EB7"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tc>
        <w:tc>
          <w:tcPr>
            <w:tcW w:w="630" w:type="pct"/>
            <w:vMerge w:val="restart"/>
          </w:tcPr>
          <w:p w14:paraId="1704B53F"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4.2. Parandalimi i dhunës ndaj grave dhe vajzave me aftësi të kufizuara në familje dhe komunitet, përmes rritjes së ndërgjegjësimit të familjarëve, kujdestarëve dhe komunitetit, si dhe forcimit të mekanizmave të raportimit të bazuara në evidencë, mbrojtjes dhe ndërhyrjes së hershme.</w:t>
            </w:r>
          </w:p>
        </w:tc>
        <w:tc>
          <w:tcPr>
            <w:tcW w:w="660" w:type="pct"/>
          </w:tcPr>
          <w:p w14:paraId="2AA9DF4B" w14:textId="2CB5A1FB"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Numri i grave dhe</w:t>
            </w:r>
            <w:r w:rsidR="003F0522" w:rsidRPr="00024D5A">
              <w:rPr>
                <w:rFonts w:ascii="Garamond" w:eastAsia="Times New Roman" w:hAnsi="Garamond"/>
                <w:sz w:val="12"/>
                <w:szCs w:val="16"/>
                <w:lang w:eastAsia="en-US"/>
              </w:rPr>
              <w:t xml:space="preserve"> i</w:t>
            </w:r>
            <w:r w:rsidRPr="00024D5A">
              <w:rPr>
                <w:rFonts w:ascii="Garamond" w:eastAsia="Times New Roman" w:hAnsi="Garamond"/>
                <w:sz w:val="12"/>
                <w:szCs w:val="16"/>
                <w:lang w:eastAsia="en-US"/>
              </w:rPr>
              <w:t xml:space="preserve"> vajzave me aftësi të kufizuara që kanë marrë informacion në formate të aksesueshme mbi parandalimin dhe raportimin e dhunës</w:t>
            </w:r>
          </w:p>
        </w:tc>
        <w:tc>
          <w:tcPr>
            <w:tcW w:w="613" w:type="pct"/>
          </w:tcPr>
          <w:p w14:paraId="51E81CEE"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N/A</w:t>
            </w:r>
          </w:p>
        </w:tc>
        <w:tc>
          <w:tcPr>
            <w:tcW w:w="734" w:type="pct"/>
            <w:noWrap/>
          </w:tcPr>
          <w:p w14:paraId="50AACAC0"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400</w:t>
            </w:r>
          </w:p>
        </w:tc>
        <w:tc>
          <w:tcPr>
            <w:tcW w:w="616" w:type="pct"/>
          </w:tcPr>
          <w:p w14:paraId="4330FDFE"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800</w:t>
            </w:r>
          </w:p>
        </w:tc>
        <w:tc>
          <w:tcPr>
            <w:tcW w:w="606" w:type="pct"/>
          </w:tcPr>
          <w:p w14:paraId="498CD5BC" w14:textId="77777777" w:rsidR="003E1630" w:rsidRPr="00024D5A" w:rsidRDefault="005743A8" w:rsidP="001464FD">
            <w:pPr>
              <w:rPr>
                <w:rFonts w:ascii="Garamond" w:eastAsia="Times New Roman" w:hAnsi="Garamond" w:cs="Arial"/>
                <w:sz w:val="12"/>
                <w:szCs w:val="16"/>
                <w:lang w:eastAsia="en-US"/>
              </w:rPr>
            </w:pPr>
            <w:r w:rsidRPr="00024D5A">
              <w:rPr>
                <w:rFonts w:ascii="Garamond" w:eastAsia="Times New Roman" w:hAnsi="Garamond" w:cs="Arial"/>
                <w:sz w:val="12"/>
                <w:szCs w:val="16"/>
                <w:lang w:eastAsia="en-US"/>
              </w:rPr>
              <w:t>MSHPV</w:t>
            </w:r>
          </w:p>
          <w:p w14:paraId="3AF06CAE"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cs="Arial"/>
                <w:sz w:val="12"/>
                <w:szCs w:val="16"/>
                <w:lang w:eastAsia="en-US"/>
              </w:rPr>
              <w:t xml:space="preserve">AMVV </w:t>
            </w:r>
            <w:r w:rsidRPr="00024D5A">
              <w:rPr>
                <w:rFonts w:ascii="Garamond" w:eastAsia="Times New Roman" w:hAnsi="Garamond" w:cs="Arial"/>
                <w:sz w:val="12"/>
                <w:szCs w:val="16"/>
                <w:lang w:eastAsia="en-US"/>
              </w:rPr>
              <w:br/>
            </w:r>
            <w:r w:rsidRPr="00024D5A">
              <w:rPr>
                <w:rFonts w:ascii="Garamond" w:eastAsia="Times New Roman" w:hAnsi="Garamond"/>
                <w:sz w:val="12"/>
                <w:szCs w:val="16"/>
                <w:lang w:eastAsia="en-US"/>
              </w:rPr>
              <w:t>Bashkitë MKR;</w:t>
            </w:r>
            <w:r w:rsidRPr="00024D5A">
              <w:rPr>
                <w:rFonts w:ascii="Garamond" w:hAnsi="Garamond"/>
                <w:sz w:val="12"/>
              </w:rPr>
              <w:br/>
            </w:r>
            <w:r w:rsidRPr="00024D5A">
              <w:rPr>
                <w:rFonts w:ascii="Garamond" w:eastAsia="Times New Roman" w:hAnsi="Garamond"/>
                <w:sz w:val="12"/>
                <w:szCs w:val="16"/>
                <w:lang w:eastAsia="en-US"/>
              </w:rPr>
              <w:t xml:space="preserve">Shkollat; </w:t>
            </w:r>
            <w:r w:rsidRPr="00024D5A">
              <w:rPr>
                <w:rFonts w:ascii="Garamond" w:hAnsi="Garamond"/>
                <w:sz w:val="12"/>
              </w:rPr>
              <w:br/>
            </w:r>
            <w:r w:rsidRPr="00024D5A">
              <w:rPr>
                <w:rFonts w:ascii="Garamond" w:eastAsia="Times New Roman" w:hAnsi="Garamond"/>
                <w:sz w:val="12"/>
                <w:szCs w:val="16"/>
                <w:lang w:eastAsia="en-US"/>
              </w:rPr>
              <w:t xml:space="preserve">Shërbimi social; </w:t>
            </w:r>
            <w:r w:rsidRPr="00024D5A">
              <w:rPr>
                <w:rFonts w:ascii="Garamond" w:hAnsi="Garamond"/>
                <w:sz w:val="12"/>
              </w:rPr>
              <w:br/>
            </w:r>
            <w:r w:rsidRPr="00024D5A">
              <w:rPr>
                <w:rFonts w:ascii="Garamond" w:eastAsia="Times New Roman" w:hAnsi="Garamond"/>
                <w:sz w:val="12"/>
                <w:szCs w:val="16"/>
                <w:lang w:eastAsia="en-US"/>
              </w:rPr>
              <w:t>Shëndetësia</w:t>
            </w:r>
          </w:p>
        </w:tc>
        <w:tc>
          <w:tcPr>
            <w:tcW w:w="772" w:type="pct"/>
            <w:vMerge w:val="restart"/>
          </w:tcPr>
          <w:p w14:paraId="348631D1"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tc>
      </w:tr>
      <w:tr w:rsidR="003E1630" w:rsidRPr="00024D5A" w14:paraId="55D125E3" w14:textId="77777777" w:rsidTr="00EE0000">
        <w:trPr>
          <w:trHeight w:val="20"/>
        </w:trPr>
        <w:tc>
          <w:tcPr>
            <w:tcW w:w="368" w:type="pct"/>
            <w:vMerge/>
          </w:tcPr>
          <w:p w14:paraId="675AC649" w14:textId="77777777" w:rsidR="003E1630" w:rsidRPr="00024D5A" w:rsidRDefault="003E1630" w:rsidP="001464FD">
            <w:pPr>
              <w:rPr>
                <w:rFonts w:ascii="Garamond" w:eastAsia="Times New Roman" w:hAnsi="Garamond"/>
                <w:sz w:val="12"/>
                <w:szCs w:val="16"/>
                <w:lang w:eastAsia="en-US"/>
              </w:rPr>
            </w:pPr>
          </w:p>
        </w:tc>
        <w:tc>
          <w:tcPr>
            <w:tcW w:w="630" w:type="pct"/>
            <w:vMerge/>
          </w:tcPr>
          <w:p w14:paraId="2075D894" w14:textId="77777777" w:rsidR="003E1630" w:rsidRPr="00024D5A" w:rsidRDefault="003E1630" w:rsidP="001464FD">
            <w:pPr>
              <w:rPr>
                <w:rFonts w:ascii="Garamond" w:eastAsia="Times New Roman" w:hAnsi="Garamond"/>
                <w:sz w:val="12"/>
                <w:szCs w:val="16"/>
                <w:lang w:eastAsia="en-US"/>
              </w:rPr>
            </w:pPr>
          </w:p>
        </w:tc>
        <w:tc>
          <w:tcPr>
            <w:tcW w:w="660" w:type="pct"/>
          </w:tcPr>
          <w:p w14:paraId="64027B7B" w14:textId="01EAFEB4" w:rsidR="00E73E52" w:rsidRPr="00024D5A" w:rsidRDefault="00E73E52"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Në kuadër të Anketës për Dhunën ndaj Grave dhe Vajzave, pyetësori përfshin pyetje</w:t>
            </w:r>
            <w:r w:rsidR="00C12C2B" w:rsidRPr="00024D5A">
              <w:rPr>
                <w:rFonts w:ascii="Garamond" w:eastAsia="Times New Roman" w:hAnsi="Garamond"/>
                <w:sz w:val="12"/>
                <w:szCs w:val="16"/>
                <w:lang w:eastAsia="en-US"/>
              </w:rPr>
              <w:t xml:space="preserve"> p</w:t>
            </w:r>
            <w:r w:rsidR="000D5711" w:rsidRPr="00024D5A">
              <w:rPr>
                <w:rFonts w:ascii="Garamond" w:eastAsia="Times New Roman" w:hAnsi="Garamond"/>
                <w:sz w:val="12"/>
                <w:szCs w:val="16"/>
                <w:lang w:eastAsia="en-US"/>
              </w:rPr>
              <w:t>ë</w:t>
            </w:r>
            <w:r w:rsidR="00C12C2B" w:rsidRPr="00024D5A">
              <w:rPr>
                <w:rFonts w:ascii="Garamond" w:eastAsia="Times New Roman" w:hAnsi="Garamond"/>
                <w:sz w:val="12"/>
                <w:szCs w:val="16"/>
                <w:lang w:eastAsia="en-US"/>
              </w:rPr>
              <w:t>r grat</w:t>
            </w:r>
            <w:r w:rsidR="000D5711" w:rsidRPr="00024D5A">
              <w:rPr>
                <w:rFonts w:ascii="Garamond" w:eastAsia="Times New Roman" w:hAnsi="Garamond"/>
                <w:sz w:val="12"/>
                <w:szCs w:val="16"/>
                <w:lang w:eastAsia="en-US"/>
              </w:rPr>
              <w:t>ë</w:t>
            </w:r>
            <w:r w:rsidR="00C12C2B" w:rsidRPr="00024D5A">
              <w:rPr>
                <w:rFonts w:ascii="Garamond" w:eastAsia="Times New Roman" w:hAnsi="Garamond"/>
                <w:sz w:val="12"/>
                <w:szCs w:val="16"/>
                <w:lang w:eastAsia="en-US"/>
              </w:rPr>
              <w:t xml:space="preserve"> e vajzat me </w:t>
            </w:r>
            <w:r w:rsidR="003F0522" w:rsidRPr="00024D5A">
              <w:rPr>
                <w:rFonts w:ascii="Garamond" w:eastAsia="Times New Roman" w:hAnsi="Garamond"/>
                <w:sz w:val="12"/>
                <w:szCs w:val="16"/>
                <w:lang w:eastAsia="en-US"/>
              </w:rPr>
              <w:t>aftësi</w:t>
            </w:r>
            <w:r w:rsidR="00C12C2B" w:rsidRPr="00024D5A">
              <w:rPr>
                <w:rFonts w:ascii="Garamond" w:eastAsia="Times New Roman" w:hAnsi="Garamond"/>
                <w:sz w:val="12"/>
                <w:szCs w:val="16"/>
                <w:lang w:eastAsia="en-US"/>
              </w:rPr>
              <w:t xml:space="preserve"> t</w:t>
            </w:r>
            <w:r w:rsidR="00070BC1" w:rsidRPr="00024D5A">
              <w:rPr>
                <w:rFonts w:ascii="Garamond" w:eastAsia="Times New Roman" w:hAnsi="Garamond"/>
                <w:sz w:val="12"/>
                <w:szCs w:val="16"/>
                <w:lang w:eastAsia="en-US"/>
              </w:rPr>
              <w:t>ë</w:t>
            </w:r>
            <w:r w:rsidR="00C12C2B" w:rsidRPr="00024D5A">
              <w:rPr>
                <w:rFonts w:ascii="Garamond" w:eastAsia="Times New Roman" w:hAnsi="Garamond"/>
                <w:sz w:val="12"/>
                <w:szCs w:val="16"/>
                <w:lang w:eastAsia="en-US"/>
              </w:rPr>
              <w:t xml:space="preserve"> kufizuara</w:t>
            </w:r>
            <w:r w:rsidRPr="00024D5A">
              <w:rPr>
                <w:rFonts w:ascii="Garamond" w:eastAsia="Times New Roman" w:hAnsi="Garamond"/>
                <w:sz w:val="12"/>
                <w:szCs w:val="16"/>
                <w:lang w:eastAsia="en-US"/>
              </w:rPr>
              <w:t>.</w:t>
            </w:r>
          </w:p>
        </w:tc>
        <w:tc>
          <w:tcPr>
            <w:tcW w:w="613" w:type="pct"/>
          </w:tcPr>
          <w:p w14:paraId="4E481618"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N/A</w:t>
            </w:r>
          </w:p>
        </w:tc>
        <w:tc>
          <w:tcPr>
            <w:tcW w:w="734" w:type="pct"/>
          </w:tcPr>
          <w:p w14:paraId="3E846C96"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tc>
        <w:tc>
          <w:tcPr>
            <w:tcW w:w="616" w:type="pct"/>
          </w:tcPr>
          <w:p w14:paraId="79469679" w14:textId="59000D52" w:rsidR="00E36742" w:rsidRPr="00024D5A" w:rsidRDefault="00711E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E planifikuar për t’u zhvilluar brenda vitit 2026</w:t>
            </w:r>
          </w:p>
        </w:tc>
        <w:tc>
          <w:tcPr>
            <w:tcW w:w="606" w:type="pct"/>
          </w:tcPr>
          <w:p w14:paraId="240793F3" w14:textId="790C8CC3" w:rsidR="003E1630" w:rsidRPr="00024D5A" w:rsidRDefault="005743A8" w:rsidP="003F0522">
            <w:pPr>
              <w:rPr>
                <w:rFonts w:ascii="Garamond" w:eastAsia="Times New Roman" w:hAnsi="Garamond"/>
                <w:sz w:val="12"/>
                <w:szCs w:val="16"/>
                <w:lang w:eastAsia="en-US"/>
              </w:rPr>
            </w:pPr>
            <w:r w:rsidRPr="00024D5A">
              <w:rPr>
                <w:rFonts w:ascii="Garamond" w:eastAsia="Times New Roman" w:hAnsi="Garamond"/>
                <w:sz w:val="12"/>
                <w:szCs w:val="16"/>
                <w:lang w:eastAsia="en-US"/>
              </w:rPr>
              <w:t>INSTAT;</w:t>
            </w:r>
            <w:r w:rsidRPr="00024D5A">
              <w:rPr>
                <w:rFonts w:ascii="Garamond" w:eastAsia="Times New Roman" w:hAnsi="Garamond"/>
                <w:sz w:val="12"/>
                <w:szCs w:val="16"/>
                <w:lang w:eastAsia="en-US"/>
              </w:rPr>
              <w:br/>
              <w:t>MSHMS;</w:t>
            </w:r>
            <w:r w:rsidRPr="00024D5A">
              <w:rPr>
                <w:rFonts w:ascii="Garamond" w:eastAsia="Times New Roman" w:hAnsi="Garamond"/>
                <w:sz w:val="12"/>
                <w:szCs w:val="16"/>
                <w:lang w:eastAsia="en-US"/>
              </w:rPr>
              <w:br/>
              <w:t>Policia</w:t>
            </w:r>
            <w:r w:rsidR="003F0522" w:rsidRPr="00024D5A">
              <w:rPr>
                <w:rFonts w:ascii="Garamond" w:eastAsia="Times New Roman" w:hAnsi="Garamond"/>
                <w:sz w:val="12"/>
                <w:szCs w:val="16"/>
                <w:lang w:eastAsia="en-US"/>
              </w:rPr>
              <w:t>.</w:t>
            </w:r>
          </w:p>
        </w:tc>
        <w:tc>
          <w:tcPr>
            <w:tcW w:w="772" w:type="pct"/>
            <w:vMerge/>
          </w:tcPr>
          <w:p w14:paraId="51C38BA5" w14:textId="77777777" w:rsidR="003E1630" w:rsidRPr="00024D5A" w:rsidRDefault="003E1630" w:rsidP="001464FD">
            <w:pPr>
              <w:rPr>
                <w:rFonts w:ascii="Garamond" w:eastAsia="Times New Roman" w:hAnsi="Garamond"/>
                <w:sz w:val="12"/>
                <w:szCs w:val="16"/>
                <w:lang w:eastAsia="en-US"/>
              </w:rPr>
            </w:pPr>
          </w:p>
        </w:tc>
      </w:tr>
      <w:tr w:rsidR="003E1630" w:rsidRPr="00024D5A" w14:paraId="6A259C4C" w14:textId="77777777" w:rsidTr="00EE0000">
        <w:trPr>
          <w:trHeight w:val="20"/>
        </w:trPr>
        <w:tc>
          <w:tcPr>
            <w:tcW w:w="368" w:type="pct"/>
          </w:tcPr>
          <w:p w14:paraId="53A75359"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tc>
        <w:tc>
          <w:tcPr>
            <w:tcW w:w="630" w:type="pct"/>
          </w:tcPr>
          <w:p w14:paraId="55356E06" w14:textId="0954CB68"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xml:space="preserve">4.3. Mundësimi i një qasjeje të plotë, të informuar dhe pa diskriminim në shërbime të shëndetit seksual dhe riprodhues, duke respektuar autonominë dhe të drejtat riprodhuese të grave me aftësi të kufizuara. </w:t>
            </w:r>
          </w:p>
        </w:tc>
        <w:tc>
          <w:tcPr>
            <w:tcW w:w="660" w:type="pct"/>
          </w:tcPr>
          <w:p w14:paraId="7DCABD35" w14:textId="71810ED2"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Përqindja e institucioneve shëndetësore publike (kujdesi parësor dhe spitalor) që ofrojnë informacion për shëndetin seksual dhe riprodhues me formate të aksesueshme.</w:t>
            </w:r>
          </w:p>
        </w:tc>
        <w:tc>
          <w:tcPr>
            <w:tcW w:w="613" w:type="pct"/>
          </w:tcPr>
          <w:p w14:paraId="65C9A312"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N/A</w:t>
            </w:r>
          </w:p>
        </w:tc>
        <w:tc>
          <w:tcPr>
            <w:tcW w:w="734" w:type="pct"/>
          </w:tcPr>
          <w:p w14:paraId="0381DD75"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20%</w:t>
            </w:r>
          </w:p>
        </w:tc>
        <w:tc>
          <w:tcPr>
            <w:tcW w:w="616" w:type="pct"/>
            <w:noWrap/>
          </w:tcPr>
          <w:p w14:paraId="281984E8"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40%</w:t>
            </w:r>
          </w:p>
        </w:tc>
        <w:tc>
          <w:tcPr>
            <w:tcW w:w="606" w:type="pct"/>
          </w:tcPr>
          <w:p w14:paraId="760C82FB" w14:textId="6A17DCA8"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MSHMS;</w:t>
            </w:r>
            <w:r w:rsidRPr="00024D5A">
              <w:rPr>
                <w:rFonts w:ascii="Garamond" w:eastAsia="Times New Roman" w:hAnsi="Garamond"/>
                <w:sz w:val="12"/>
                <w:szCs w:val="16"/>
                <w:lang w:eastAsia="en-US"/>
              </w:rPr>
              <w:br/>
              <w:t>ISHP;</w:t>
            </w:r>
            <w:r w:rsidRPr="00024D5A">
              <w:rPr>
                <w:rFonts w:ascii="Garamond" w:eastAsia="Times New Roman" w:hAnsi="Garamond"/>
                <w:sz w:val="12"/>
                <w:szCs w:val="16"/>
                <w:lang w:eastAsia="en-US"/>
              </w:rPr>
              <w:br/>
              <w:t>OSHKSH</w:t>
            </w:r>
            <w:r w:rsidR="003F0522" w:rsidRPr="00024D5A">
              <w:rPr>
                <w:rFonts w:ascii="Garamond" w:eastAsia="Times New Roman" w:hAnsi="Garamond"/>
                <w:sz w:val="12"/>
                <w:szCs w:val="16"/>
                <w:lang w:eastAsia="en-US"/>
              </w:rPr>
              <w:t>.</w:t>
            </w:r>
          </w:p>
        </w:tc>
        <w:tc>
          <w:tcPr>
            <w:tcW w:w="772" w:type="pct"/>
          </w:tcPr>
          <w:p w14:paraId="5909DB0E"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tc>
      </w:tr>
      <w:tr w:rsidR="003E1630" w:rsidRPr="00024D5A" w14:paraId="685C7C1C" w14:textId="77777777" w:rsidTr="00EE0000">
        <w:trPr>
          <w:trHeight w:val="20"/>
        </w:trPr>
        <w:tc>
          <w:tcPr>
            <w:tcW w:w="368" w:type="pct"/>
          </w:tcPr>
          <w:p w14:paraId="3FEA053F"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tc>
        <w:tc>
          <w:tcPr>
            <w:tcW w:w="630" w:type="pct"/>
          </w:tcPr>
          <w:p w14:paraId="0FD82279" w14:textId="4793BA09"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xml:space="preserve"> 5.1. Përforcimi i mbrojtjes nga dhuna dhe diskriminimi, përmes fuqizimit të kapaciteteve, shërbimeve të integruara, forcimit të sistemeve të të dhënave, monitorimit dhe raportimit.</w:t>
            </w:r>
          </w:p>
        </w:tc>
        <w:tc>
          <w:tcPr>
            <w:tcW w:w="660" w:type="pct"/>
          </w:tcPr>
          <w:p w14:paraId="71AF349A" w14:textId="7E52DFB2"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xml:space="preserve">Numri i fëmijëve me aftësi të kufizuara viktima të dhunës që kanë përfituar shërbime </w:t>
            </w:r>
            <w:r w:rsidR="00F81568" w:rsidRPr="00024D5A">
              <w:rPr>
                <w:rFonts w:ascii="Garamond" w:eastAsia="Times New Roman" w:hAnsi="Garamond"/>
                <w:sz w:val="12"/>
                <w:szCs w:val="16"/>
                <w:lang w:eastAsia="en-US"/>
              </w:rPr>
              <w:t xml:space="preserve">psikosociale </w:t>
            </w:r>
            <w:r w:rsidRPr="00024D5A">
              <w:rPr>
                <w:rFonts w:ascii="Garamond" w:eastAsia="Times New Roman" w:hAnsi="Garamond"/>
                <w:sz w:val="12"/>
                <w:szCs w:val="16"/>
                <w:lang w:eastAsia="en-US"/>
              </w:rPr>
              <w:t>dhe menaxhim rasti nga Njësitë e Mbrojtjes së Fëmijëve ose shërbimet komunitare.</w:t>
            </w:r>
          </w:p>
        </w:tc>
        <w:tc>
          <w:tcPr>
            <w:tcW w:w="613" w:type="pct"/>
          </w:tcPr>
          <w:p w14:paraId="6981DE12"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N/A</w:t>
            </w:r>
          </w:p>
        </w:tc>
        <w:tc>
          <w:tcPr>
            <w:tcW w:w="734" w:type="pct"/>
          </w:tcPr>
          <w:p w14:paraId="3631488F"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40%</w:t>
            </w:r>
          </w:p>
        </w:tc>
        <w:tc>
          <w:tcPr>
            <w:tcW w:w="616" w:type="pct"/>
          </w:tcPr>
          <w:p w14:paraId="1BB95EA2"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70%</w:t>
            </w:r>
          </w:p>
        </w:tc>
        <w:tc>
          <w:tcPr>
            <w:tcW w:w="606" w:type="pct"/>
          </w:tcPr>
          <w:p w14:paraId="317027AC" w14:textId="3D29CA42"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Sistemi i mbrojtjes së fëmijëve;</w:t>
            </w:r>
            <w:r w:rsidRPr="00024D5A">
              <w:rPr>
                <w:rFonts w:ascii="Garamond" w:hAnsi="Garamond"/>
                <w:sz w:val="12"/>
              </w:rPr>
              <w:br/>
            </w:r>
            <w:r w:rsidRPr="00024D5A">
              <w:rPr>
                <w:rFonts w:ascii="Garamond" w:eastAsia="Times New Roman" w:hAnsi="Garamond"/>
                <w:sz w:val="12"/>
                <w:szCs w:val="16"/>
                <w:lang w:eastAsia="en-US"/>
              </w:rPr>
              <w:t>Raporte të ASHDMF</w:t>
            </w:r>
            <w:r w:rsidRPr="00024D5A">
              <w:rPr>
                <w:rFonts w:ascii="Garamond" w:hAnsi="Garamond"/>
                <w:sz w:val="12"/>
              </w:rPr>
              <w:br/>
            </w:r>
            <w:r w:rsidRPr="00024D5A">
              <w:rPr>
                <w:rFonts w:ascii="Garamond" w:eastAsia="Times New Roman" w:hAnsi="Garamond"/>
                <w:sz w:val="12"/>
                <w:szCs w:val="16"/>
                <w:lang w:eastAsia="en-US"/>
              </w:rPr>
              <w:t>Raporte të bashkive</w:t>
            </w:r>
            <w:r w:rsidR="0034776F" w:rsidRPr="00024D5A">
              <w:rPr>
                <w:rFonts w:ascii="Garamond" w:eastAsia="Times New Roman" w:hAnsi="Garamond"/>
                <w:sz w:val="12"/>
                <w:szCs w:val="16"/>
                <w:lang w:eastAsia="en-US"/>
              </w:rPr>
              <w:t>.</w:t>
            </w:r>
          </w:p>
        </w:tc>
        <w:tc>
          <w:tcPr>
            <w:tcW w:w="772" w:type="pct"/>
          </w:tcPr>
          <w:p w14:paraId="36AEBB84"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tc>
      </w:tr>
      <w:tr w:rsidR="003E1630" w:rsidRPr="00024D5A" w14:paraId="7E374427" w14:textId="77777777" w:rsidTr="00EE0000">
        <w:trPr>
          <w:trHeight w:val="20"/>
        </w:trPr>
        <w:tc>
          <w:tcPr>
            <w:tcW w:w="368" w:type="pct"/>
            <w:vMerge w:val="restart"/>
            <w:noWrap/>
          </w:tcPr>
          <w:p w14:paraId="3F12311D"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tc>
        <w:tc>
          <w:tcPr>
            <w:tcW w:w="630" w:type="pct"/>
          </w:tcPr>
          <w:p w14:paraId="37F2F170" w14:textId="560FE849"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6.1. Integrimi i aftësisë së kufizuar në politikat dhe kuadrin ligjor për menaxhimin e riskut nga fatkeqësitë</w:t>
            </w:r>
            <w:r w:rsidR="00EE0000" w:rsidRPr="00024D5A">
              <w:rPr>
                <w:rFonts w:ascii="Garamond" w:eastAsia="Times New Roman" w:hAnsi="Garamond"/>
                <w:sz w:val="12"/>
                <w:szCs w:val="16"/>
                <w:lang w:eastAsia="en-US"/>
              </w:rPr>
              <w:t>.</w:t>
            </w:r>
          </w:p>
        </w:tc>
        <w:tc>
          <w:tcPr>
            <w:tcW w:w="660" w:type="pct"/>
          </w:tcPr>
          <w:p w14:paraId="7E252F99" w14:textId="3B4F0E2A"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Janë miratuar dhe zbatohen akte ligjore, udhëzime dhe protokolle të menaxhimit të riskut nga fatkeqësitë që përfshijnë aksesueshmërinë, njoftimin e hershëm dhe evakuimin për personat me aftësi të kufizuara</w:t>
            </w:r>
            <w:r w:rsidR="00EE0000" w:rsidRPr="00024D5A">
              <w:rPr>
                <w:rFonts w:ascii="Garamond" w:eastAsia="Times New Roman" w:hAnsi="Garamond"/>
                <w:sz w:val="12"/>
                <w:szCs w:val="16"/>
                <w:lang w:eastAsia="en-US"/>
              </w:rPr>
              <w:t>.</w:t>
            </w:r>
          </w:p>
        </w:tc>
        <w:tc>
          <w:tcPr>
            <w:tcW w:w="613" w:type="pct"/>
          </w:tcPr>
          <w:p w14:paraId="739FFF95"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N/A</w:t>
            </w:r>
          </w:p>
        </w:tc>
        <w:tc>
          <w:tcPr>
            <w:tcW w:w="734" w:type="pct"/>
          </w:tcPr>
          <w:p w14:paraId="5C1CF2D6"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1 akt rregullator i ndryshuar</w:t>
            </w:r>
          </w:p>
        </w:tc>
        <w:tc>
          <w:tcPr>
            <w:tcW w:w="616" w:type="pct"/>
          </w:tcPr>
          <w:p w14:paraId="5D9CD162"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2 akte rregullatore të ndryshuar</w:t>
            </w:r>
          </w:p>
        </w:tc>
        <w:tc>
          <w:tcPr>
            <w:tcW w:w="606" w:type="pct"/>
          </w:tcPr>
          <w:p w14:paraId="64198E0B" w14:textId="0D461E95"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AKMC;</w:t>
            </w:r>
            <w:r w:rsidRPr="00024D5A">
              <w:rPr>
                <w:rFonts w:ascii="Garamond" w:eastAsia="Times New Roman" w:hAnsi="Garamond"/>
                <w:sz w:val="12"/>
                <w:szCs w:val="16"/>
                <w:lang w:eastAsia="en-US"/>
              </w:rPr>
              <w:br/>
              <w:t>MSHMS</w:t>
            </w:r>
            <w:r w:rsidR="00EE0000" w:rsidRPr="00024D5A">
              <w:rPr>
                <w:rFonts w:ascii="Garamond" w:eastAsia="Times New Roman" w:hAnsi="Garamond"/>
                <w:sz w:val="12"/>
                <w:szCs w:val="16"/>
                <w:lang w:eastAsia="en-US"/>
              </w:rPr>
              <w:t>.</w:t>
            </w:r>
          </w:p>
        </w:tc>
        <w:tc>
          <w:tcPr>
            <w:tcW w:w="772" w:type="pct"/>
          </w:tcPr>
          <w:p w14:paraId="436B15FC"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tc>
      </w:tr>
      <w:tr w:rsidR="00EE0000" w:rsidRPr="00024D5A" w14:paraId="67DD6745" w14:textId="77777777" w:rsidTr="00EE0000">
        <w:trPr>
          <w:trHeight w:val="20"/>
        </w:trPr>
        <w:tc>
          <w:tcPr>
            <w:tcW w:w="368" w:type="pct"/>
            <w:vMerge/>
          </w:tcPr>
          <w:p w14:paraId="293E83AE" w14:textId="77777777" w:rsidR="00EE0000" w:rsidRPr="00024D5A" w:rsidRDefault="00EE0000" w:rsidP="001464FD">
            <w:pPr>
              <w:rPr>
                <w:rFonts w:ascii="Garamond" w:eastAsia="Times New Roman" w:hAnsi="Garamond"/>
                <w:sz w:val="12"/>
                <w:szCs w:val="16"/>
                <w:lang w:eastAsia="en-US"/>
              </w:rPr>
            </w:pPr>
          </w:p>
        </w:tc>
        <w:tc>
          <w:tcPr>
            <w:tcW w:w="630" w:type="pct"/>
          </w:tcPr>
          <w:p w14:paraId="5E4E7942" w14:textId="77777777" w:rsidR="00EE0000" w:rsidRPr="00024D5A" w:rsidRDefault="00EE0000"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tc>
        <w:tc>
          <w:tcPr>
            <w:tcW w:w="660" w:type="pct"/>
          </w:tcPr>
          <w:p w14:paraId="038ECB05" w14:textId="77777777" w:rsidR="00EE0000" w:rsidRPr="00024D5A" w:rsidRDefault="00EE0000"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Përqindja e planeve vendore të emergjencave që përfshijnë procedura të aksesueshme për paralajmërim, evakuim dhe strehim të personave me aftësi të kufizuara.</w:t>
            </w:r>
          </w:p>
        </w:tc>
        <w:tc>
          <w:tcPr>
            <w:tcW w:w="613" w:type="pct"/>
          </w:tcPr>
          <w:p w14:paraId="180F43D4" w14:textId="77777777" w:rsidR="00EE0000" w:rsidRPr="00024D5A" w:rsidRDefault="00EE0000"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N/A</w:t>
            </w:r>
          </w:p>
        </w:tc>
        <w:tc>
          <w:tcPr>
            <w:tcW w:w="734" w:type="pct"/>
          </w:tcPr>
          <w:p w14:paraId="1CA9DAA8" w14:textId="77777777" w:rsidR="00EE0000" w:rsidRPr="00024D5A" w:rsidRDefault="00EE0000"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2</w:t>
            </w:r>
          </w:p>
        </w:tc>
        <w:tc>
          <w:tcPr>
            <w:tcW w:w="616" w:type="pct"/>
          </w:tcPr>
          <w:p w14:paraId="3B36332D" w14:textId="77777777" w:rsidR="00EE0000" w:rsidRPr="00024D5A" w:rsidRDefault="00EE0000"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5</w:t>
            </w:r>
          </w:p>
        </w:tc>
        <w:tc>
          <w:tcPr>
            <w:tcW w:w="606" w:type="pct"/>
          </w:tcPr>
          <w:p w14:paraId="22BB6A75" w14:textId="02FAAFFC" w:rsidR="00EE0000" w:rsidRPr="00024D5A" w:rsidRDefault="00EE0000"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AKMC;</w:t>
            </w:r>
            <w:r w:rsidRPr="00024D5A">
              <w:rPr>
                <w:rFonts w:ascii="Garamond" w:eastAsia="Times New Roman" w:hAnsi="Garamond"/>
                <w:sz w:val="12"/>
                <w:szCs w:val="16"/>
                <w:lang w:eastAsia="en-US"/>
              </w:rPr>
              <w:br/>
              <w:t>MSHMS.</w:t>
            </w:r>
          </w:p>
        </w:tc>
        <w:tc>
          <w:tcPr>
            <w:tcW w:w="772" w:type="pct"/>
          </w:tcPr>
          <w:p w14:paraId="29561E84" w14:textId="5734E17D" w:rsidR="00EE0000" w:rsidRPr="00024D5A" w:rsidRDefault="00EE0000" w:rsidP="001464FD">
            <w:pPr>
              <w:rPr>
                <w:rFonts w:ascii="Garamond" w:eastAsia="Times New Roman" w:hAnsi="Garamond"/>
                <w:sz w:val="12"/>
                <w:szCs w:val="16"/>
                <w:lang w:eastAsia="en-US"/>
              </w:rPr>
            </w:pPr>
          </w:p>
        </w:tc>
      </w:tr>
      <w:tr w:rsidR="003E1630" w:rsidRPr="00024D5A" w14:paraId="04484437" w14:textId="77777777" w:rsidTr="00EE0000">
        <w:trPr>
          <w:trHeight w:val="20"/>
        </w:trPr>
        <w:tc>
          <w:tcPr>
            <w:tcW w:w="368" w:type="pct"/>
            <w:vMerge/>
          </w:tcPr>
          <w:p w14:paraId="33CFC08C" w14:textId="77777777" w:rsidR="003E1630" w:rsidRPr="00024D5A" w:rsidRDefault="003E1630" w:rsidP="001464FD">
            <w:pPr>
              <w:rPr>
                <w:rFonts w:ascii="Garamond" w:eastAsia="Times New Roman" w:hAnsi="Garamond"/>
                <w:sz w:val="12"/>
                <w:szCs w:val="16"/>
                <w:lang w:eastAsia="en-US"/>
              </w:rPr>
            </w:pPr>
          </w:p>
        </w:tc>
        <w:tc>
          <w:tcPr>
            <w:tcW w:w="630" w:type="pct"/>
          </w:tcPr>
          <w:p w14:paraId="441A85B6"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tc>
        <w:tc>
          <w:tcPr>
            <w:tcW w:w="660" w:type="pct"/>
          </w:tcPr>
          <w:p w14:paraId="48888290"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Përqindja e nismave të financuara në kuadër të programit buxhetor 05320 (Ndryshimet Klimatike) që përfshijnë masa ose komponentë specifikë për personat me aftësi të kufizuara.</w:t>
            </w:r>
          </w:p>
        </w:tc>
        <w:tc>
          <w:tcPr>
            <w:tcW w:w="613" w:type="pct"/>
          </w:tcPr>
          <w:p w14:paraId="3805BA49"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N/A</w:t>
            </w:r>
          </w:p>
        </w:tc>
        <w:tc>
          <w:tcPr>
            <w:tcW w:w="734" w:type="pct"/>
            <w:noWrap/>
          </w:tcPr>
          <w:p w14:paraId="4EC8528B"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2%</w:t>
            </w:r>
          </w:p>
        </w:tc>
        <w:tc>
          <w:tcPr>
            <w:tcW w:w="616" w:type="pct"/>
            <w:noWrap/>
          </w:tcPr>
          <w:p w14:paraId="76137808"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5%</w:t>
            </w:r>
          </w:p>
        </w:tc>
        <w:tc>
          <w:tcPr>
            <w:tcW w:w="606" w:type="pct"/>
          </w:tcPr>
          <w:p w14:paraId="63F0CD6E" w14:textId="726A1880"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Ministria e Mjedisit;</w:t>
            </w:r>
            <w:r w:rsidRPr="00024D5A">
              <w:rPr>
                <w:rFonts w:ascii="Garamond" w:eastAsia="Times New Roman" w:hAnsi="Garamond"/>
                <w:sz w:val="12"/>
                <w:szCs w:val="16"/>
                <w:lang w:eastAsia="en-US"/>
              </w:rPr>
              <w:br/>
              <w:t>AKMC;</w:t>
            </w:r>
            <w:r w:rsidRPr="00024D5A">
              <w:rPr>
                <w:rFonts w:ascii="Garamond" w:eastAsia="Times New Roman" w:hAnsi="Garamond"/>
                <w:sz w:val="12"/>
                <w:szCs w:val="16"/>
                <w:lang w:eastAsia="en-US"/>
              </w:rPr>
              <w:br/>
              <w:t>MSHMS</w:t>
            </w:r>
            <w:r w:rsidR="00EE0000" w:rsidRPr="00024D5A">
              <w:rPr>
                <w:rFonts w:ascii="Garamond" w:eastAsia="Times New Roman" w:hAnsi="Garamond"/>
                <w:sz w:val="12"/>
                <w:szCs w:val="16"/>
                <w:lang w:eastAsia="en-US"/>
              </w:rPr>
              <w:t>.</w:t>
            </w:r>
          </w:p>
        </w:tc>
        <w:tc>
          <w:tcPr>
            <w:tcW w:w="772" w:type="pct"/>
            <w:noWrap/>
          </w:tcPr>
          <w:p w14:paraId="2805DEFC" w14:textId="77777777" w:rsidR="003E1630" w:rsidRPr="00024D5A" w:rsidRDefault="005743A8" w:rsidP="001464FD">
            <w:pPr>
              <w:rPr>
                <w:rFonts w:ascii="Garamond" w:eastAsia="Times New Roman" w:hAnsi="Garamond"/>
                <w:sz w:val="12"/>
                <w:szCs w:val="16"/>
                <w:lang w:eastAsia="en-US"/>
              </w:rPr>
            </w:pPr>
            <w:r w:rsidRPr="00024D5A">
              <w:rPr>
                <w:rFonts w:ascii="Garamond" w:eastAsia="Times New Roman" w:hAnsi="Garamond"/>
                <w:sz w:val="12"/>
                <w:szCs w:val="16"/>
                <w:lang w:eastAsia="en-US"/>
              </w:rPr>
              <w:t> </w:t>
            </w:r>
          </w:p>
        </w:tc>
      </w:tr>
    </w:tbl>
    <w:p w14:paraId="3C3A78A8" w14:textId="0C9E9B48" w:rsidR="009357AD" w:rsidRPr="00024D5A" w:rsidRDefault="009357AD" w:rsidP="00791B1A">
      <w:pPr>
        <w:pStyle w:val="Heading2"/>
        <w:spacing w:before="0"/>
        <w:rPr>
          <w:rFonts w:ascii="Garamond" w:hAnsi="Garamond"/>
          <w:color w:val="auto"/>
          <w:lang w:eastAsia="en-US"/>
        </w:rPr>
      </w:pPr>
      <w:bookmarkStart w:id="64" w:name="_Toc231489662"/>
    </w:p>
    <w:p w14:paraId="613968A7" w14:textId="4A98DE34" w:rsidR="003E1630" w:rsidRPr="00024D5A" w:rsidRDefault="0058487E" w:rsidP="00EE0000">
      <w:pPr>
        <w:pStyle w:val="Heading2"/>
        <w:keepLines w:val="0"/>
        <w:widowControl w:val="0"/>
        <w:spacing w:before="0"/>
        <w:ind w:firstLine="288"/>
        <w:rPr>
          <w:rFonts w:ascii="Garamond" w:hAnsi="Garamond"/>
          <w:color w:val="auto"/>
          <w:lang w:eastAsia="en-US"/>
        </w:rPr>
      </w:pPr>
      <w:r w:rsidRPr="00024D5A">
        <w:rPr>
          <w:rFonts w:ascii="Garamond" w:hAnsi="Garamond"/>
          <w:color w:val="auto"/>
          <w:lang w:eastAsia="en-US"/>
        </w:rPr>
        <w:t>5</w:t>
      </w:r>
      <w:r w:rsidR="005743A8" w:rsidRPr="00024D5A">
        <w:rPr>
          <w:rFonts w:ascii="Garamond" w:hAnsi="Garamond"/>
          <w:color w:val="auto"/>
          <w:lang w:eastAsia="en-US"/>
        </w:rPr>
        <w:t>.6 Shëndetësia</w:t>
      </w:r>
      <w:bookmarkEnd w:id="64"/>
    </w:p>
    <w:p w14:paraId="7270CB7F" w14:textId="77777777" w:rsidR="003E1630" w:rsidRPr="00024D5A" w:rsidRDefault="003E1630" w:rsidP="00791B1A">
      <w:pPr>
        <w:rPr>
          <w:rFonts w:ascii="Garamond" w:eastAsia="MS Mincho" w:hAnsi="Garamond"/>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4"/>
        <w:gridCol w:w="1104"/>
        <w:gridCol w:w="1104"/>
        <w:gridCol w:w="527"/>
        <w:gridCol w:w="838"/>
        <w:gridCol w:w="1526"/>
        <w:gridCol w:w="1678"/>
        <w:gridCol w:w="1489"/>
      </w:tblGrid>
      <w:tr w:rsidR="003E1630" w:rsidRPr="00024D5A" w14:paraId="345E3B3F" w14:textId="77777777" w:rsidTr="00AC6792">
        <w:trPr>
          <w:trHeight w:val="20"/>
        </w:trPr>
        <w:tc>
          <w:tcPr>
            <w:tcW w:w="666" w:type="pct"/>
            <w:shd w:val="clear" w:color="auto" w:fill="C0E5F3"/>
            <w:vAlign w:val="center"/>
          </w:tcPr>
          <w:p w14:paraId="6C3BB880" w14:textId="5FB1FDC4" w:rsidR="003E1630" w:rsidRPr="00024D5A" w:rsidRDefault="003E1630" w:rsidP="00657405">
            <w:pPr>
              <w:jc w:val="center"/>
              <w:rPr>
                <w:rFonts w:ascii="Garamond" w:eastAsia="Times New Roman" w:hAnsi="Garamond"/>
                <w:sz w:val="14"/>
                <w:szCs w:val="16"/>
                <w:lang w:eastAsia="en-US"/>
              </w:rPr>
            </w:pPr>
          </w:p>
        </w:tc>
        <w:tc>
          <w:tcPr>
            <w:tcW w:w="590" w:type="pct"/>
            <w:shd w:val="clear" w:color="auto" w:fill="C0E5F3"/>
            <w:vAlign w:val="center"/>
          </w:tcPr>
          <w:p w14:paraId="4A21FFF5" w14:textId="77777777" w:rsidR="003E1630" w:rsidRPr="00024D5A" w:rsidRDefault="005743A8" w:rsidP="00657405">
            <w:pPr>
              <w:jc w:val="center"/>
              <w:rPr>
                <w:rFonts w:ascii="Garamond" w:eastAsia="Times New Roman" w:hAnsi="Garamond"/>
                <w:b/>
                <w:bCs/>
                <w:sz w:val="14"/>
                <w:szCs w:val="16"/>
                <w:lang w:eastAsia="en-US"/>
              </w:rPr>
            </w:pPr>
            <w:r w:rsidRPr="00024D5A">
              <w:rPr>
                <w:rFonts w:ascii="Garamond" w:eastAsia="Times New Roman" w:hAnsi="Garamond"/>
                <w:b/>
                <w:bCs/>
                <w:sz w:val="14"/>
                <w:szCs w:val="16"/>
                <w:lang w:eastAsia="en-US"/>
              </w:rPr>
              <w:t>Objektivat</w:t>
            </w:r>
          </w:p>
        </w:tc>
        <w:tc>
          <w:tcPr>
            <w:tcW w:w="592" w:type="pct"/>
            <w:shd w:val="clear" w:color="auto" w:fill="C0E5F3"/>
            <w:vAlign w:val="center"/>
          </w:tcPr>
          <w:p w14:paraId="156544C8" w14:textId="77777777" w:rsidR="003E1630" w:rsidRPr="00024D5A" w:rsidRDefault="005743A8" w:rsidP="00657405">
            <w:pPr>
              <w:jc w:val="center"/>
              <w:rPr>
                <w:rFonts w:ascii="Garamond" w:eastAsia="Times New Roman" w:hAnsi="Garamond"/>
                <w:b/>
                <w:bCs/>
                <w:sz w:val="14"/>
                <w:szCs w:val="16"/>
                <w:lang w:eastAsia="en-US"/>
              </w:rPr>
            </w:pPr>
            <w:r w:rsidRPr="00024D5A">
              <w:rPr>
                <w:rFonts w:ascii="Garamond" w:eastAsia="Times New Roman" w:hAnsi="Garamond"/>
                <w:b/>
                <w:bCs/>
                <w:sz w:val="14"/>
                <w:szCs w:val="16"/>
                <w:lang w:eastAsia="en-US"/>
              </w:rPr>
              <w:t>Treguesi</w:t>
            </w:r>
          </w:p>
        </w:tc>
        <w:tc>
          <w:tcPr>
            <w:tcW w:w="282" w:type="pct"/>
            <w:shd w:val="clear" w:color="auto" w:fill="C0E5F3"/>
            <w:vAlign w:val="center"/>
          </w:tcPr>
          <w:p w14:paraId="690C59E9" w14:textId="77777777" w:rsidR="003E1630" w:rsidRPr="00024D5A" w:rsidRDefault="005743A8" w:rsidP="00657405">
            <w:pPr>
              <w:jc w:val="center"/>
              <w:rPr>
                <w:rFonts w:ascii="Garamond" w:eastAsia="Times New Roman" w:hAnsi="Garamond"/>
                <w:b/>
                <w:bCs/>
                <w:sz w:val="14"/>
                <w:szCs w:val="16"/>
                <w:lang w:eastAsia="en-US"/>
              </w:rPr>
            </w:pPr>
            <w:r w:rsidRPr="00024D5A">
              <w:rPr>
                <w:rFonts w:ascii="Garamond" w:eastAsia="Times New Roman" w:hAnsi="Garamond"/>
                <w:b/>
                <w:bCs/>
                <w:sz w:val="14"/>
                <w:szCs w:val="16"/>
                <w:lang w:eastAsia="en-US"/>
              </w:rPr>
              <w:t>Vlera bazë</w:t>
            </w:r>
          </w:p>
        </w:tc>
        <w:tc>
          <w:tcPr>
            <w:tcW w:w="448" w:type="pct"/>
            <w:shd w:val="clear" w:color="auto" w:fill="C0E5F3"/>
            <w:vAlign w:val="center"/>
          </w:tcPr>
          <w:p w14:paraId="19E234C3" w14:textId="77777777" w:rsidR="003E1630" w:rsidRPr="00024D5A" w:rsidRDefault="005743A8" w:rsidP="00657405">
            <w:pPr>
              <w:jc w:val="center"/>
              <w:rPr>
                <w:rFonts w:ascii="Garamond" w:eastAsia="Times New Roman" w:hAnsi="Garamond"/>
                <w:b/>
                <w:bCs/>
                <w:sz w:val="14"/>
                <w:szCs w:val="16"/>
                <w:lang w:eastAsia="en-US"/>
              </w:rPr>
            </w:pPr>
            <w:r w:rsidRPr="00024D5A">
              <w:rPr>
                <w:rFonts w:ascii="Garamond" w:eastAsia="Times New Roman" w:hAnsi="Garamond"/>
                <w:b/>
                <w:bCs/>
                <w:sz w:val="14"/>
                <w:szCs w:val="16"/>
                <w:lang w:eastAsia="en-US"/>
              </w:rPr>
              <w:t>Synimi 2028</w:t>
            </w:r>
          </w:p>
        </w:tc>
        <w:tc>
          <w:tcPr>
            <w:tcW w:w="816" w:type="pct"/>
            <w:shd w:val="clear" w:color="auto" w:fill="C0E5F3"/>
            <w:vAlign w:val="center"/>
          </w:tcPr>
          <w:p w14:paraId="160ECCA6" w14:textId="77777777" w:rsidR="003E1630" w:rsidRPr="00024D5A" w:rsidRDefault="005743A8" w:rsidP="00657405">
            <w:pPr>
              <w:jc w:val="center"/>
              <w:rPr>
                <w:rFonts w:ascii="Garamond" w:eastAsia="Times New Roman" w:hAnsi="Garamond"/>
                <w:b/>
                <w:bCs/>
                <w:sz w:val="14"/>
                <w:szCs w:val="16"/>
                <w:lang w:eastAsia="en-US"/>
              </w:rPr>
            </w:pPr>
            <w:r w:rsidRPr="00024D5A">
              <w:rPr>
                <w:rFonts w:ascii="Garamond" w:eastAsia="Times New Roman" w:hAnsi="Garamond"/>
                <w:b/>
                <w:bCs/>
                <w:sz w:val="14"/>
                <w:szCs w:val="16"/>
                <w:lang w:eastAsia="en-US"/>
              </w:rPr>
              <w:t>Synimi 2030</w:t>
            </w:r>
          </w:p>
        </w:tc>
        <w:tc>
          <w:tcPr>
            <w:tcW w:w="639" w:type="pct"/>
            <w:shd w:val="clear" w:color="auto" w:fill="C0E5F3"/>
            <w:vAlign w:val="center"/>
          </w:tcPr>
          <w:p w14:paraId="50CDAB6F" w14:textId="77777777" w:rsidR="003E1630" w:rsidRPr="00024D5A" w:rsidRDefault="005743A8" w:rsidP="00657405">
            <w:pPr>
              <w:jc w:val="center"/>
              <w:rPr>
                <w:rFonts w:ascii="Garamond" w:eastAsia="Times New Roman" w:hAnsi="Garamond"/>
                <w:b/>
                <w:bCs/>
                <w:sz w:val="14"/>
                <w:szCs w:val="16"/>
                <w:lang w:eastAsia="en-US"/>
              </w:rPr>
            </w:pPr>
            <w:r w:rsidRPr="00024D5A">
              <w:rPr>
                <w:rFonts w:ascii="Garamond" w:eastAsia="Times New Roman" w:hAnsi="Garamond"/>
                <w:b/>
                <w:bCs/>
                <w:sz w:val="14"/>
                <w:szCs w:val="16"/>
                <w:lang w:eastAsia="en-US"/>
              </w:rPr>
              <w:t>Burimet dhe mjetet e verifikimit</w:t>
            </w:r>
          </w:p>
        </w:tc>
        <w:tc>
          <w:tcPr>
            <w:tcW w:w="967" w:type="pct"/>
            <w:shd w:val="clear" w:color="auto" w:fill="C0E5F3"/>
            <w:vAlign w:val="center"/>
          </w:tcPr>
          <w:p w14:paraId="7D36A4D3" w14:textId="77777777" w:rsidR="003E1630" w:rsidRPr="00024D5A" w:rsidRDefault="005743A8" w:rsidP="00657405">
            <w:pPr>
              <w:jc w:val="center"/>
              <w:rPr>
                <w:rFonts w:ascii="Garamond" w:eastAsia="Times New Roman" w:hAnsi="Garamond"/>
                <w:b/>
                <w:bCs/>
                <w:sz w:val="14"/>
                <w:szCs w:val="16"/>
                <w:lang w:eastAsia="en-US"/>
              </w:rPr>
            </w:pPr>
            <w:r w:rsidRPr="00024D5A">
              <w:rPr>
                <w:rFonts w:ascii="Garamond" w:eastAsia="Times New Roman" w:hAnsi="Garamond"/>
                <w:b/>
                <w:bCs/>
                <w:sz w:val="14"/>
                <w:szCs w:val="16"/>
                <w:lang w:eastAsia="en-US"/>
              </w:rPr>
              <w:t>Referenca në dok. të tjera</w:t>
            </w:r>
          </w:p>
        </w:tc>
      </w:tr>
      <w:tr w:rsidR="003E1630" w:rsidRPr="00024D5A" w14:paraId="4D8704F1" w14:textId="77777777" w:rsidTr="00AC6792">
        <w:trPr>
          <w:trHeight w:val="20"/>
        </w:trPr>
        <w:tc>
          <w:tcPr>
            <w:tcW w:w="666" w:type="pct"/>
            <w:shd w:val="clear" w:color="auto" w:fill="D8F1D0"/>
          </w:tcPr>
          <w:p w14:paraId="1E13BED3" w14:textId="77777777" w:rsidR="003E1630" w:rsidRPr="00024D5A" w:rsidRDefault="005743A8" w:rsidP="001464FD">
            <w:pPr>
              <w:rPr>
                <w:rFonts w:ascii="Garamond" w:eastAsia="Times New Roman" w:hAnsi="Garamond"/>
                <w:b/>
                <w:bCs/>
                <w:sz w:val="14"/>
                <w:szCs w:val="16"/>
                <w:lang w:eastAsia="en-US"/>
              </w:rPr>
            </w:pPr>
            <w:r w:rsidRPr="00024D5A">
              <w:rPr>
                <w:rFonts w:ascii="Garamond" w:eastAsia="Times New Roman" w:hAnsi="Garamond"/>
                <w:b/>
                <w:bCs/>
                <w:sz w:val="14"/>
                <w:szCs w:val="16"/>
                <w:lang w:eastAsia="en-US"/>
              </w:rPr>
              <w:t xml:space="preserve">Qëllimi i politikës </w:t>
            </w:r>
          </w:p>
        </w:tc>
        <w:tc>
          <w:tcPr>
            <w:tcW w:w="590" w:type="pct"/>
            <w:shd w:val="clear" w:color="auto" w:fill="D8F1D0"/>
          </w:tcPr>
          <w:p w14:paraId="768C5D72"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Të sigurohet akses i barabartë, cilësor, gjithëpërfshirës dhe i qëndrueshëm në shërbimet shëndetësore për personat me aftësi të kufizuara, në përputhje me standardet ndërkombëtare.</w:t>
            </w:r>
          </w:p>
        </w:tc>
        <w:tc>
          <w:tcPr>
            <w:tcW w:w="592" w:type="pct"/>
            <w:shd w:val="clear" w:color="auto" w:fill="D8F1D0"/>
          </w:tcPr>
          <w:p w14:paraId="01E9D27B"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Përqindja e personave me aftësi të kufizuara që kanë akses në shërbimet shëndetësore pa pengesa fizike, financiare apo komunikimi.</w:t>
            </w:r>
          </w:p>
        </w:tc>
        <w:tc>
          <w:tcPr>
            <w:tcW w:w="282" w:type="pct"/>
            <w:shd w:val="clear" w:color="auto" w:fill="D8F1D0"/>
          </w:tcPr>
          <w:p w14:paraId="023C7A1A"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N/A</w:t>
            </w:r>
          </w:p>
        </w:tc>
        <w:tc>
          <w:tcPr>
            <w:tcW w:w="448" w:type="pct"/>
            <w:shd w:val="clear" w:color="auto" w:fill="D8F1D0"/>
          </w:tcPr>
          <w:p w14:paraId="6524DA83"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40% </w:t>
            </w:r>
            <w:r w:rsidRPr="00024D5A">
              <w:rPr>
                <w:rFonts w:ascii="Garamond" w:eastAsia="Times New Roman" w:hAnsi="Garamond"/>
                <w:sz w:val="14"/>
                <w:szCs w:val="16"/>
                <w:lang w:eastAsia="en-US"/>
              </w:rPr>
              <w:br/>
              <w:t>%burra;</w:t>
            </w:r>
            <w:r w:rsidRPr="00024D5A">
              <w:rPr>
                <w:rFonts w:ascii="Garamond" w:eastAsia="Times New Roman" w:hAnsi="Garamond"/>
                <w:sz w:val="14"/>
                <w:szCs w:val="16"/>
                <w:lang w:eastAsia="en-US"/>
              </w:rPr>
              <w:br/>
              <w:t>%gra;</w:t>
            </w:r>
            <w:r w:rsidRPr="00024D5A">
              <w:rPr>
                <w:rFonts w:ascii="Garamond" w:eastAsia="Times New Roman" w:hAnsi="Garamond"/>
                <w:sz w:val="14"/>
                <w:szCs w:val="16"/>
                <w:lang w:eastAsia="en-US"/>
              </w:rPr>
              <w:br/>
              <w:t>%fëmijë</w:t>
            </w:r>
          </w:p>
        </w:tc>
        <w:tc>
          <w:tcPr>
            <w:tcW w:w="816" w:type="pct"/>
            <w:shd w:val="clear" w:color="auto" w:fill="D8F1D0"/>
          </w:tcPr>
          <w:p w14:paraId="51DFC4BA" w14:textId="303CEC9E"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75</w:t>
            </w:r>
            <w:r w:rsidR="00F03D3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w:t>
            </w:r>
            <w:r w:rsidRPr="00024D5A">
              <w:rPr>
                <w:rFonts w:ascii="Garamond" w:eastAsia="Times New Roman" w:hAnsi="Garamond"/>
                <w:sz w:val="14"/>
                <w:szCs w:val="16"/>
                <w:lang w:eastAsia="en-US"/>
              </w:rPr>
              <w:br/>
              <w:t>%burra;</w:t>
            </w:r>
            <w:r w:rsidRPr="00024D5A">
              <w:rPr>
                <w:rFonts w:ascii="Garamond" w:eastAsia="Times New Roman" w:hAnsi="Garamond"/>
                <w:sz w:val="14"/>
                <w:szCs w:val="16"/>
                <w:lang w:eastAsia="en-US"/>
              </w:rPr>
              <w:br/>
              <w:t>%gra;</w:t>
            </w:r>
            <w:r w:rsidRPr="00024D5A">
              <w:rPr>
                <w:rFonts w:ascii="Garamond" w:eastAsia="Times New Roman" w:hAnsi="Garamond"/>
                <w:sz w:val="14"/>
                <w:szCs w:val="16"/>
                <w:lang w:eastAsia="en-US"/>
              </w:rPr>
              <w:br/>
              <w:t>%fëmijë</w:t>
            </w:r>
          </w:p>
        </w:tc>
        <w:tc>
          <w:tcPr>
            <w:tcW w:w="639" w:type="pct"/>
            <w:shd w:val="clear" w:color="auto" w:fill="D8F1D0"/>
          </w:tcPr>
          <w:p w14:paraId="108AF069" w14:textId="6BCB2CDF"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MSHMS</w:t>
            </w:r>
            <w:r w:rsidR="007675EC"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të dhëna administrative;</w:t>
            </w:r>
            <w:r w:rsidRPr="00024D5A">
              <w:rPr>
                <w:rFonts w:ascii="Garamond" w:eastAsia="Times New Roman" w:hAnsi="Garamond"/>
                <w:sz w:val="14"/>
                <w:szCs w:val="16"/>
                <w:lang w:eastAsia="en-US"/>
              </w:rPr>
              <w:br/>
              <w:t>Raporte të monitorimit;</w:t>
            </w:r>
          </w:p>
        </w:tc>
        <w:tc>
          <w:tcPr>
            <w:tcW w:w="967" w:type="pct"/>
            <w:shd w:val="clear" w:color="auto" w:fill="D8F1D0"/>
          </w:tcPr>
          <w:p w14:paraId="3D35A1A5" w14:textId="5CB318A8"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OZHQ3 (</w:t>
            </w:r>
            <w:r w:rsidR="00EE0000" w:rsidRPr="00024D5A">
              <w:rPr>
                <w:rFonts w:ascii="Garamond" w:eastAsia="Times New Roman" w:hAnsi="Garamond"/>
                <w:sz w:val="14"/>
                <w:szCs w:val="16"/>
                <w:lang w:eastAsia="en-US"/>
              </w:rPr>
              <w:t xml:space="preserve">shëndet </w:t>
            </w:r>
            <w:r w:rsidRPr="00024D5A">
              <w:rPr>
                <w:rFonts w:ascii="Garamond" w:eastAsia="Times New Roman" w:hAnsi="Garamond"/>
                <w:sz w:val="14"/>
                <w:szCs w:val="16"/>
                <w:lang w:eastAsia="en-US"/>
              </w:rPr>
              <w:t>i mirë dhe mirëqenie), OZHQ10 (</w:t>
            </w:r>
            <w:r w:rsidR="00EE0000" w:rsidRPr="00024D5A">
              <w:rPr>
                <w:rFonts w:ascii="Garamond" w:eastAsia="Times New Roman" w:hAnsi="Garamond"/>
                <w:sz w:val="14"/>
                <w:szCs w:val="16"/>
                <w:lang w:eastAsia="en-US"/>
              </w:rPr>
              <w:t xml:space="preserve">ulja </w:t>
            </w:r>
            <w:r w:rsidRPr="00024D5A">
              <w:rPr>
                <w:rFonts w:ascii="Garamond" w:eastAsia="Times New Roman" w:hAnsi="Garamond"/>
                <w:sz w:val="14"/>
                <w:szCs w:val="16"/>
                <w:lang w:eastAsia="en-US"/>
              </w:rPr>
              <w:t xml:space="preserve">e pabarazive) SKZHIE 2022-2030; </w:t>
            </w:r>
            <w:r w:rsidRPr="00024D5A">
              <w:rPr>
                <w:rFonts w:ascii="Garamond" w:hAnsi="Garamond"/>
                <w:sz w:val="14"/>
              </w:rPr>
              <w:br/>
            </w:r>
            <w:r w:rsidRPr="00024D5A">
              <w:rPr>
                <w:rFonts w:ascii="Garamond" w:eastAsia="Times New Roman" w:hAnsi="Garamond"/>
                <w:sz w:val="14"/>
                <w:szCs w:val="16"/>
                <w:lang w:eastAsia="en-US"/>
              </w:rPr>
              <w:t xml:space="preserve">Strategjia e BE-së për të Drejtat e Personave me Aftësi të Kufizuara </w:t>
            </w:r>
            <w:r w:rsidR="008639DB" w:rsidRPr="00024D5A">
              <w:rPr>
                <w:rFonts w:ascii="Garamond" w:eastAsia="Times New Roman" w:hAnsi="Garamond"/>
                <w:sz w:val="14"/>
                <w:szCs w:val="16"/>
                <w:lang w:eastAsia="en-US"/>
              </w:rPr>
              <w:t>2021–2030</w:t>
            </w:r>
            <w:r w:rsidRPr="00024D5A">
              <w:rPr>
                <w:rFonts w:ascii="Garamond" w:eastAsia="Times New Roman" w:hAnsi="Garamond"/>
                <w:sz w:val="14"/>
                <w:szCs w:val="16"/>
                <w:lang w:eastAsia="en-US"/>
              </w:rPr>
              <w:t xml:space="preserve">; </w:t>
            </w:r>
            <w:r w:rsidRPr="00024D5A">
              <w:rPr>
                <w:rFonts w:ascii="Garamond" w:hAnsi="Garamond"/>
                <w:sz w:val="14"/>
              </w:rPr>
              <w:br/>
            </w:r>
            <w:r w:rsidRPr="00024D5A">
              <w:rPr>
                <w:rFonts w:ascii="Garamond" w:eastAsia="Times New Roman" w:hAnsi="Garamond"/>
                <w:sz w:val="14"/>
                <w:szCs w:val="16"/>
                <w:lang w:eastAsia="en-US"/>
              </w:rPr>
              <w:t xml:space="preserve">Strategjia Kombëtare e Shëndetësisë </w:t>
            </w:r>
            <w:r w:rsidR="008639DB" w:rsidRPr="00024D5A">
              <w:rPr>
                <w:rFonts w:ascii="Garamond" w:eastAsia="Times New Roman" w:hAnsi="Garamond"/>
                <w:sz w:val="14"/>
                <w:szCs w:val="16"/>
                <w:lang w:eastAsia="en-US"/>
              </w:rPr>
              <w:t>2021–2030</w:t>
            </w:r>
            <w:r w:rsidR="00EE0000" w:rsidRPr="00024D5A">
              <w:rPr>
                <w:rFonts w:ascii="Garamond" w:eastAsia="Times New Roman" w:hAnsi="Garamond"/>
                <w:sz w:val="14"/>
                <w:szCs w:val="16"/>
                <w:lang w:eastAsia="en-US"/>
              </w:rPr>
              <w:t>.</w:t>
            </w:r>
          </w:p>
        </w:tc>
      </w:tr>
      <w:tr w:rsidR="00657405" w:rsidRPr="00024D5A" w14:paraId="6FF8134A" w14:textId="77777777" w:rsidTr="00AC6792">
        <w:trPr>
          <w:trHeight w:val="20"/>
        </w:trPr>
        <w:tc>
          <w:tcPr>
            <w:tcW w:w="666" w:type="pct"/>
            <w:vMerge w:val="restart"/>
            <w:shd w:val="clear" w:color="auto" w:fill="CAEDFA"/>
          </w:tcPr>
          <w:p w14:paraId="15CCDF6D" w14:textId="77777777" w:rsidR="00657405" w:rsidRPr="00024D5A" w:rsidRDefault="00657405"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 </w:t>
            </w:r>
          </w:p>
          <w:p w14:paraId="6FA405C7" w14:textId="77777777" w:rsidR="00657405" w:rsidRPr="00024D5A" w:rsidRDefault="00657405"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 </w:t>
            </w:r>
          </w:p>
          <w:p w14:paraId="4FD56EC3" w14:textId="027E9171" w:rsidR="00657405" w:rsidRPr="00024D5A" w:rsidRDefault="00657405"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590" w:type="pct"/>
            <w:vMerge w:val="restart"/>
            <w:shd w:val="clear" w:color="auto" w:fill="CAEDFA"/>
          </w:tcPr>
          <w:p w14:paraId="4A07072E" w14:textId="2D5CEF09" w:rsidR="00657405" w:rsidRPr="00024D5A" w:rsidRDefault="00657405"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Objektivi </w:t>
            </w:r>
            <w:r w:rsidR="00F958F2" w:rsidRPr="00024D5A">
              <w:rPr>
                <w:rFonts w:ascii="Garamond" w:eastAsia="Times New Roman" w:hAnsi="Garamond"/>
                <w:sz w:val="14"/>
                <w:szCs w:val="16"/>
                <w:lang w:eastAsia="en-US"/>
              </w:rPr>
              <w:t xml:space="preserve">specifik </w:t>
            </w:r>
            <w:r w:rsidRPr="00024D5A">
              <w:rPr>
                <w:rFonts w:ascii="Garamond" w:eastAsia="Times New Roman" w:hAnsi="Garamond"/>
                <w:sz w:val="14"/>
                <w:szCs w:val="16"/>
                <w:lang w:eastAsia="en-US"/>
              </w:rPr>
              <w:t>1</w:t>
            </w:r>
            <w:r w:rsidR="00AC5DA9">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Ulja e numrit të rasteve të reja dhe e ashpërsisë së aftësisë së kufizuar të evitueshme, si dhe garantimi i kujdesit shëndetësor gjithëpërfshirës për personat me aftësi të kufizuara gjatë gjithë ciklit të jetës</w:t>
            </w:r>
            <w:r w:rsidR="00243E2E" w:rsidRPr="00024D5A">
              <w:rPr>
                <w:rFonts w:ascii="Garamond" w:eastAsia="Times New Roman" w:hAnsi="Garamond"/>
                <w:sz w:val="14"/>
                <w:szCs w:val="16"/>
                <w:lang w:eastAsia="en-US"/>
              </w:rPr>
              <w:t>.</w:t>
            </w:r>
          </w:p>
        </w:tc>
        <w:tc>
          <w:tcPr>
            <w:tcW w:w="592" w:type="pct"/>
            <w:shd w:val="clear" w:color="auto" w:fill="CAEDFA"/>
          </w:tcPr>
          <w:p w14:paraId="0AAB4F79" w14:textId="15669B05" w:rsidR="00657405" w:rsidRPr="00024D5A" w:rsidRDefault="00657405"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Përqindja e fëmijëve të moshës 0</w:t>
            </w:r>
            <w:r w:rsidR="00EE0000"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6 vjeç që kryejnë kontrolle të zhvillimit sipas programit të kujdesit parësor shëndetësor.</w:t>
            </w:r>
          </w:p>
        </w:tc>
        <w:tc>
          <w:tcPr>
            <w:tcW w:w="282" w:type="pct"/>
            <w:shd w:val="clear" w:color="auto" w:fill="CAEDFA"/>
          </w:tcPr>
          <w:p w14:paraId="69148DAD" w14:textId="77777777" w:rsidR="00657405" w:rsidRPr="00024D5A" w:rsidRDefault="00657405"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N/A</w:t>
            </w:r>
          </w:p>
        </w:tc>
        <w:tc>
          <w:tcPr>
            <w:tcW w:w="448" w:type="pct"/>
            <w:shd w:val="clear" w:color="auto" w:fill="CAEDFA"/>
          </w:tcPr>
          <w:p w14:paraId="548C12F1" w14:textId="77777777" w:rsidR="00657405" w:rsidRPr="00024D5A" w:rsidRDefault="00657405"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20%</w:t>
            </w:r>
          </w:p>
        </w:tc>
        <w:tc>
          <w:tcPr>
            <w:tcW w:w="816" w:type="pct"/>
            <w:shd w:val="clear" w:color="auto" w:fill="CAEDFA"/>
          </w:tcPr>
          <w:p w14:paraId="1CBF9360" w14:textId="77777777" w:rsidR="00657405" w:rsidRPr="00024D5A" w:rsidRDefault="00657405"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40%</w:t>
            </w:r>
            <w:r w:rsidRPr="00024D5A">
              <w:rPr>
                <w:rFonts w:ascii="Garamond" w:eastAsia="Times New Roman" w:hAnsi="Garamond"/>
                <w:sz w:val="14"/>
                <w:szCs w:val="16"/>
                <w:lang w:eastAsia="en-US"/>
              </w:rPr>
              <w:br/>
            </w:r>
          </w:p>
        </w:tc>
        <w:tc>
          <w:tcPr>
            <w:tcW w:w="639" w:type="pct"/>
            <w:shd w:val="clear" w:color="auto" w:fill="CAEDFA"/>
          </w:tcPr>
          <w:p w14:paraId="7C858BF5" w14:textId="77777777" w:rsidR="00657405" w:rsidRPr="00024D5A" w:rsidRDefault="00657405"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Raportet administrative të qendrave shëndetësore;</w:t>
            </w:r>
            <w:r w:rsidRPr="00024D5A">
              <w:rPr>
                <w:rFonts w:ascii="Garamond" w:eastAsia="Times New Roman" w:hAnsi="Garamond"/>
                <w:sz w:val="14"/>
                <w:szCs w:val="16"/>
                <w:lang w:eastAsia="en-US"/>
              </w:rPr>
              <w:br/>
              <w:t>MSHMS</w:t>
            </w:r>
          </w:p>
        </w:tc>
        <w:tc>
          <w:tcPr>
            <w:tcW w:w="967" w:type="pct"/>
            <w:vMerge w:val="restart"/>
            <w:shd w:val="clear" w:color="auto" w:fill="B7DEE8"/>
          </w:tcPr>
          <w:p w14:paraId="2A573E26" w14:textId="09254022" w:rsidR="00657405" w:rsidRPr="00024D5A" w:rsidRDefault="00657405"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OZHQ3; </w:t>
            </w:r>
            <w:r w:rsidR="00243E2E" w:rsidRPr="00024D5A">
              <w:rPr>
                <w:rFonts w:ascii="Garamond" w:eastAsia="Times New Roman" w:hAnsi="Garamond"/>
                <w:sz w:val="14"/>
                <w:szCs w:val="16"/>
                <w:lang w:eastAsia="en-US"/>
              </w:rPr>
              <w:t xml:space="preserve">kapitulli </w:t>
            </w:r>
            <w:r w:rsidRPr="00024D5A">
              <w:rPr>
                <w:rFonts w:ascii="Garamond" w:eastAsia="Times New Roman" w:hAnsi="Garamond"/>
                <w:sz w:val="14"/>
                <w:szCs w:val="16"/>
                <w:lang w:eastAsia="en-US"/>
              </w:rPr>
              <w:t xml:space="preserve">28; </w:t>
            </w:r>
            <w:r w:rsidR="00243E2E" w:rsidRPr="00024D5A">
              <w:rPr>
                <w:rFonts w:ascii="Garamond" w:eastAsia="Times New Roman" w:hAnsi="Garamond"/>
                <w:sz w:val="14"/>
                <w:szCs w:val="16"/>
                <w:lang w:eastAsia="en-US"/>
              </w:rPr>
              <w:t xml:space="preserve">direktiva </w:t>
            </w:r>
            <w:r w:rsidRPr="00024D5A">
              <w:rPr>
                <w:rFonts w:ascii="Garamond" w:eastAsia="Times New Roman" w:hAnsi="Garamond"/>
                <w:sz w:val="14"/>
                <w:szCs w:val="16"/>
                <w:lang w:eastAsia="en-US"/>
              </w:rPr>
              <w:t xml:space="preserve">(BE) 2019/882 </w:t>
            </w:r>
            <w:r w:rsidR="00243E2E" w:rsidRPr="00024D5A">
              <w:rPr>
                <w:rFonts w:ascii="Garamond" w:eastAsia="Times New Roman" w:hAnsi="Garamond"/>
                <w:i/>
                <w:iCs/>
                <w:sz w:val="14"/>
                <w:szCs w:val="16"/>
                <w:lang w:eastAsia="en-US"/>
              </w:rPr>
              <w:t>–</w:t>
            </w:r>
            <w:r w:rsidRPr="00024D5A">
              <w:rPr>
                <w:rFonts w:ascii="Garamond" w:eastAsia="Times New Roman" w:hAnsi="Garamond"/>
                <w:i/>
                <w:iCs/>
                <w:sz w:val="14"/>
                <w:szCs w:val="16"/>
                <w:lang w:eastAsia="en-US"/>
              </w:rPr>
              <w:t xml:space="preserve"> European Accessibility Act;</w:t>
            </w:r>
            <w:r w:rsidRPr="00024D5A">
              <w:rPr>
                <w:rFonts w:ascii="Garamond" w:hAnsi="Garamond"/>
                <w:sz w:val="14"/>
              </w:rPr>
              <w:br/>
            </w:r>
            <w:r w:rsidRPr="00024D5A">
              <w:rPr>
                <w:rFonts w:ascii="Garamond" w:eastAsia="Times New Roman" w:hAnsi="Garamond"/>
                <w:sz w:val="14"/>
                <w:szCs w:val="16"/>
                <w:lang w:eastAsia="en-US"/>
              </w:rPr>
              <w:t xml:space="preserve">Strategjia Kombëtare e Shëndetësisë </w:t>
            </w:r>
            <w:r w:rsidR="008639DB" w:rsidRPr="00024D5A">
              <w:rPr>
                <w:rFonts w:ascii="Garamond" w:eastAsia="Times New Roman" w:hAnsi="Garamond"/>
                <w:sz w:val="14"/>
                <w:szCs w:val="16"/>
                <w:lang w:eastAsia="en-US"/>
              </w:rPr>
              <w:t>2021–2030</w:t>
            </w:r>
            <w:r w:rsidRPr="00024D5A">
              <w:rPr>
                <w:rFonts w:ascii="Garamond" w:eastAsia="Times New Roman" w:hAnsi="Garamond"/>
                <w:sz w:val="14"/>
                <w:szCs w:val="16"/>
                <w:lang w:eastAsia="en-US"/>
              </w:rPr>
              <w:t xml:space="preserve">; </w:t>
            </w:r>
            <w:r w:rsidRPr="00024D5A">
              <w:rPr>
                <w:rFonts w:ascii="Garamond" w:hAnsi="Garamond"/>
                <w:sz w:val="14"/>
              </w:rPr>
              <w:br/>
            </w:r>
            <w:r w:rsidRPr="00024D5A">
              <w:rPr>
                <w:rFonts w:ascii="Garamond" w:eastAsia="Times New Roman" w:hAnsi="Garamond"/>
                <w:sz w:val="14"/>
                <w:szCs w:val="16"/>
                <w:lang w:eastAsia="en-US"/>
              </w:rPr>
              <w:t xml:space="preserve">Strategjia e BE-së për të Drejtat e Personave me Aftësi të Kufizuara </w:t>
            </w:r>
            <w:r w:rsidR="008639DB" w:rsidRPr="00024D5A">
              <w:rPr>
                <w:rFonts w:ascii="Garamond" w:eastAsia="Times New Roman" w:hAnsi="Garamond"/>
                <w:sz w:val="14"/>
                <w:szCs w:val="16"/>
                <w:lang w:eastAsia="en-US"/>
              </w:rPr>
              <w:t>2021–2030</w:t>
            </w:r>
            <w:r w:rsidR="00243E2E" w:rsidRPr="00024D5A">
              <w:rPr>
                <w:rFonts w:ascii="Garamond" w:eastAsia="Times New Roman" w:hAnsi="Garamond"/>
                <w:sz w:val="14"/>
                <w:szCs w:val="16"/>
                <w:lang w:eastAsia="en-US"/>
              </w:rPr>
              <w:t>.</w:t>
            </w:r>
          </w:p>
        </w:tc>
      </w:tr>
      <w:tr w:rsidR="00657405" w:rsidRPr="00024D5A" w14:paraId="74737CB3" w14:textId="77777777" w:rsidTr="00AC6792">
        <w:trPr>
          <w:trHeight w:val="20"/>
        </w:trPr>
        <w:tc>
          <w:tcPr>
            <w:tcW w:w="666" w:type="pct"/>
            <w:vMerge/>
            <w:shd w:val="clear" w:color="auto" w:fill="CAEDFA"/>
          </w:tcPr>
          <w:p w14:paraId="1B08F5C5" w14:textId="64A47FEF" w:rsidR="00657405" w:rsidRPr="00024D5A" w:rsidRDefault="00657405" w:rsidP="001464FD">
            <w:pPr>
              <w:rPr>
                <w:rFonts w:ascii="Garamond" w:eastAsia="Times New Roman" w:hAnsi="Garamond"/>
                <w:sz w:val="14"/>
                <w:szCs w:val="16"/>
                <w:lang w:eastAsia="en-US"/>
              </w:rPr>
            </w:pPr>
          </w:p>
        </w:tc>
        <w:tc>
          <w:tcPr>
            <w:tcW w:w="590" w:type="pct"/>
            <w:vMerge/>
          </w:tcPr>
          <w:p w14:paraId="41C95205" w14:textId="77777777" w:rsidR="00657405" w:rsidRPr="00024D5A" w:rsidRDefault="00657405" w:rsidP="001464FD">
            <w:pPr>
              <w:rPr>
                <w:rFonts w:ascii="Garamond" w:eastAsia="Times New Roman" w:hAnsi="Garamond"/>
                <w:sz w:val="14"/>
                <w:szCs w:val="16"/>
                <w:lang w:eastAsia="en-US"/>
              </w:rPr>
            </w:pPr>
          </w:p>
        </w:tc>
        <w:tc>
          <w:tcPr>
            <w:tcW w:w="592" w:type="pct"/>
            <w:shd w:val="clear" w:color="auto" w:fill="CAEDFA"/>
          </w:tcPr>
          <w:p w14:paraId="635C6048" w14:textId="1ADABFAB" w:rsidR="00657405" w:rsidRPr="00024D5A" w:rsidRDefault="00657405"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Përqindja e fëmijëve të diagnostikuar me rrezik ose aftësi të kufizuara</w:t>
            </w:r>
            <w:r w:rsidR="00243E2E"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që përfitojnë ndërhyrje të hershme rehabilituese brenda një viti nga identifikimi.</w:t>
            </w:r>
          </w:p>
        </w:tc>
        <w:tc>
          <w:tcPr>
            <w:tcW w:w="282" w:type="pct"/>
            <w:shd w:val="clear" w:color="auto" w:fill="CAEDFA"/>
          </w:tcPr>
          <w:p w14:paraId="69E69B85" w14:textId="77777777" w:rsidR="00657405" w:rsidRPr="00024D5A" w:rsidRDefault="00657405"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N/A</w:t>
            </w:r>
          </w:p>
        </w:tc>
        <w:tc>
          <w:tcPr>
            <w:tcW w:w="448" w:type="pct"/>
            <w:shd w:val="clear" w:color="auto" w:fill="CAEDFA"/>
          </w:tcPr>
          <w:p w14:paraId="4EE936B3" w14:textId="77777777" w:rsidR="00657405" w:rsidRPr="00024D5A" w:rsidRDefault="00657405"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20%</w:t>
            </w:r>
            <w:r w:rsidRPr="00024D5A">
              <w:rPr>
                <w:rFonts w:ascii="Garamond" w:eastAsia="Times New Roman" w:hAnsi="Garamond"/>
                <w:sz w:val="14"/>
                <w:szCs w:val="16"/>
                <w:lang w:eastAsia="en-US"/>
              </w:rPr>
              <w:br/>
            </w:r>
          </w:p>
        </w:tc>
        <w:tc>
          <w:tcPr>
            <w:tcW w:w="816" w:type="pct"/>
            <w:shd w:val="clear" w:color="auto" w:fill="CAEDFA"/>
          </w:tcPr>
          <w:p w14:paraId="63E454C1" w14:textId="77777777" w:rsidR="00657405" w:rsidRPr="00024D5A" w:rsidRDefault="00657405"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45%</w:t>
            </w:r>
            <w:r w:rsidRPr="00024D5A">
              <w:rPr>
                <w:rFonts w:ascii="Garamond" w:eastAsia="Times New Roman" w:hAnsi="Garamond"/>
                <w:sz w:val="14"/>
                <w:szCs w:val="16"/>
                <w:lang w:eastAsia="en-US"/>
              </w:rPr>
              <w:br/>
              <w:t xml:space="preserve"> </w:t>
            </w:r>
          </w:p>
        </w:tc>
        <w:tc>
          <w:tcPr>
            <w:tcW w:w="639" w:type="pct"/>
            <w:shd w:val="clear" w:color="auto" w:fill="CAEDFA"/>
          </w:tcPr>
          <w:p w14:paraId="49946740" w14:textId="021C8303" w:rsidR="00657405" w:rsidRPr="00024D5A" w:rsidRDefault="00657405"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QKSHM, qendrat shëndetësore, shërbimet rehabilituese;</w:t>
            </w:r>
            <w:r w:rsidRPr="00024D5A">
              <w:rPr>
                <w:rFonts w:ascii="Garamond" w:eastAsia="Times New Roman" w:hAnsi="Garamond"/>
                <w:sz w:val="14"/>
                <w:szCs w:val="16"/>
                <w:lang w:eastAsia="en-US"/>
              </w:rPr>
              <w:br/>
              <w:t>Raportet e vlerësimit biopsikosocial, Raportet e MSHMS</w:t>
            </w:r>
            <w:r w:rsidR="00243E2E" w:rsidRPr="00024D5A">
              <w:rPr>
                <w:rFonts w:ascii="Garamond" w:eastAsia="Times New Roman" w:hAnsi="Garamond"/>
                <w:sz w:val="14"/>
                <w:szCs w:val="16"/>
                <w:lang w:eastAsia="en-US"/>
              </w:rPr>
              <w:t>.</w:t>
            </w:r>
          </w:p>
        </w:tc>
        <w:tc>
          <w:tcPr>
            <w:tcW w:w="967" w:type="pct"/>
            <w:vMerge/>
          </w:tcPr>
          <w:p w14:paraId="5D49D4BF" w14:textId="77777777" w:rsidR="00657405" w:rsidRPr="00024D5A" w:rsidRDefault="00657405" w:rsidP="001464FD">
            <w:pPr>
              <w:rPr>
                <w:rFonts w:ascii="Garamond" w:eastAsia="Times New Roman" w:hAnsi="Garamond"/>
                <w:sz w:val="14"/>
                <w:szCs w:val="16"/>
                <w:lang w:eastAsia="en-US"/>
              </w:rPr>
            </w:pPr>
          </w:p>
        </w:tc>
      </w:tr>
      <w:tr w:rsidR="00657405" w:rsidRPr="00024D5A" w14:paraId="23E7FF98" w14:textId="77777777" w:rsidTr="00AC6792">
        <w:trPr>
          <w:trHeight w:val="20"/>
        </w:trPr>
        <w:tc>
          <w:tcPr>
            <w:tcW w:w="666" w:type="pct"/>
            <w:vMerge/>
            <w:shd w:val="clear" w:color="auto" w:fill="CAEDFA"/>
          </w:tcPr>
          <w:p w14:paraId="0D83CCA7" w14:textId="4E34C69E" w:rsidR="00657405" w:rsidRPr="00024D5A" w:rsidRDefault="00657405" w:rsidP="001464FD">
            <w:pPr>
              <w:rPr>
                <w:rFonts w:ascii="Garamond" w:eastAsia="Times New Roman" w:hAnsi="Garamond"/>
                <w:sz w:val="14"/>
                <w:szCs w:val="16"/>
                <w:lang w:eastAsia="en-US"/>
              </w:rPr>
            </w:pPr>
          </w:p>
        </w:tc>
        <w:tc>
          <w:tcPr>
            <w:tcW w:w="590" w:type="pct"/>
            <w:vMerge/>
          </w:tcPr>
          <w:p w14:paraId="144ECC42" w14:textId="77777777" w:rsidR="00657405" w:rsidRPr="00024D5A" w:rsidRDefault="00657405" w:rsidP="001464FD">
            <w:pPr>
              <w:rPr>
                <w:rFonts w:ascii="Garamond" w:eastAsia="Times New Roman" w:hAnsi="Garamond"/>
                <w:sz w:val="14"/>
                <w:szCs w:val="16"/>
                <w:lang w:eastAsia="en-US"/>
              </w:rPr>
            </w:pPr>
          </w:p>
        </w:tc>
        <w:tc>
          <w:tcPr>
            <w:tcW w:w="592" w:type="pct"/>
            <w:shd w:val="clear" w:color="auto" w:fill="CAEDFA"/>
          </w:tcPr>
          <w:p w14:paraId="2DFEAC30" w14:textId="77777777" w:rsidR="00657405" w:rsidRPr="00024D5A" w:rsidRDefault="00657405"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Përqindja e personave me aftësi të kufizuara që përfitojnë të paktën një shërbim shëndetësor gjatë vitit (vizitë në kujdesin parësor, specialist apo shërbim rehabilitimi).</w:t>
            </w:r>
          </w:p>
        </w:tc>
        <w:tc>
          <w:tcPr>
            <w:tcW w:w="282" w:type="pct"/>
            <w:shd w:val="clear" w:color="auto" w:fill="CAEDFA"/>
          </w:tcPr>
          <w:p w14:paraId="1E20675C" w14:textId="77777777" w:rsidR="00657405" w:rsidRPr="00024D5A" w:rsidRDefault="00657405"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N/A</w:t>
            </w:r>
          </w:p>
        </w:tc>
        <w:tc>
          <w:tcPr>
            <w:tcW w:w="448" w:type="pct"/>
            <w:shd w:val="clear" w:color="auto" w:fill="CAEDFA"/>
          </w:tcPr>
          <w:p w14:paraId="5C29F78E" w14:textId="19D6F3D8" w:rsidR="00657405" w:rsidRPr="00024D5A" w:rsidRDefault="00657405"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60%</w:t>
            </w:r>
            <w:r w:rsidRPr="00024D5A">
              <w:rPr>
                <w:rFonts w:ascii="Garamond" w:eastAsia="Times New Roman" w:hAnsi="Garamond"/>
                <w:sz w:val="14"/>
                <w:szCs w:val="16"/>
                <w:lang w:eastAsia="en-US"/>
              </w:rPr>
              <w:br/>
              <w:t>%</w:t>
            </w:r>
            <w:r w:rsidR="00243E2E" w:rsidRPr="00024D5A">
              <w:rPr>
                <w:rFonts w:ascii="Garamond" w:eastAsia="Times New Roman" w:hAnsi="Garamond"/>
                <w:sz w:val="14"/>
                <w:szCs w:val="16"/>
                <w:lang w:eastAsia="en-US"/>
              </w:rPr>
              <w:t xml:space="preserve"> </w:t>
            </w:r>
            <w:r w:rsidRPr="00024D5A">
              <w:rPr>
                <w:rFonts w:ascii="Garamond" w:eastAsia="Times New Roman" w:hAnsi="Garamond"/>
                <w:sz w:val="14"/>
                <w:szCs w:val="16"/>
                <w:lang w:eastAsia="en-US"/>
              </w:rPr>
              <w:t>burra;</w:t>
            </w:r>
            <w:r w:rsidRPr="00024D5A">
              <w:rPr>
                <w:rFonts w:ascii="Garamond" w:eastAsia="Times New Roman" w:hAnsi="Garamond"/>
                <w:sz w:val="14"/>
                <w:szCs w:val="16"/>
                <w:lang w:eastAsia="en-US"/>
              </w:rPr>
              <w:br/>
              <w:t>%</w:t>
            </w:r>
            <w:r w:rsidR="00243E2E" w:rsidRPr="00024D5A">
              <w:rPr>
                <w:rFonts w:ascii="Garamond" w:eastAsia="Times New Roman" w:hAnsi="Garamond"/>
                <w:sz w:val="14"/>
                <w:szCs w:val="16"/>
                <w:lang w:eastAsia="en-US"/>
              </w:rPr>
              <w:t xml:space="preserve"> </w:t>
            </w:r>
            <w:r w:rsidRPr="00024D5A">
              <w:rPr>
                <w:rFonts w:ascii="Garamond" w:eastAsia="Times New Roman" w:hAnsi="Garamond"/>
                <w:sz w:val="14"/>
                <w:szCs w:val="16"/>
                <w:lang w:eastAsia="en-US"/>
              </w:rPr>
              <w:t>gra</w:t>
            </w:r>
            <w:r w:rsidR="00243E2E" w:rsidRPr="00024D5A">
              <w:rPr>
                <w:rFonts w:ascii="Garamond" w:eastAsia="Times New Roman" w:hAnsi="Garamond"/>
                <w:sz w:val="14"/>
                <w:szCs w:val="16"/>
                <w:lang w:eastAsia="en-US"/>
              </w:rPr>
              <w:t>.</w:t>
            </w:r>
          </w:p>
        </w:tc>
        <w:tc>
          <w:tcPr>
            <w:tcW w:w="816" w:type="pct"/>
            <w:shd w:val="clear" w:color="auto" w:fill="CAEDFA"/>
          </w:tcPr>
          <w:p w14:paraId="510AF932" w14:textId="76B1A602" w:rsidR="00657405" w:rsidRPr="00024D5A" w:rsidRDefault="00657405"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80%</w:t>
            </w:r>
            <w:r w:rsidRPr="00024D5A">
              <w:rPr>
                <w:rFonts w:ascii="Garamond" w:eastAsia="Times New Roman" w:hAnsi="Garamond"/>
                <w:sz w:val="14"/>
                <w:szCs w:val="16"/>
                <w:lang w:eastAsia="en-US"/>
              </w:rPr>
              <w:br/>
              <w:t>%</w:t>
            </w:r>
            <w:r w:rsidR="00243E2E" w:rsidRPr="00024D5A">
              <w:rPr>
                <w:rFonts w:ascii="Garamond" w:eastAsia="Times New Roman" w:hAnsi="Garamond"/>
                <w:sz w:val="14"/>
                <w:szCs w:val="16"/>
                <w:lang w:eastAsia="en-US"/>
              </w:rPr>
              <w:t xml:space="preserve"> </w:t>
            </w:r>
            <w:r w:rsidRPr="00024D5A">
              <w:rPr>
                <w:rFonts w:ascii="Garamond" w:eastAsia="Times New Roman" w:hAnsi="Garamond"/>
                <w:sz w:val="14"/>
                <w:szCs w:val="16"/>
                <w:lang w:eastAsia="en-US"/>
              </w:rPr>
              <w:t>burra;</w:t>
            </w:r>
            <w:r w:rsidRPr="00024D5A">
              <w:rPr>
                <w:rFonts w:ascii="Garamond" w:eastAsia="Times New Roman" w:hAnsi="Garamond"/>
                <w:sz w:val="14"/>
                <w:szCs w:val="16"/>
                <w:lang w:eastAsia="en-US"/>
              </w:rPr>
              <w:br/>
              <w:t>%</w:t>
            </w:r>
            <w:r w:rsidR="00243E2E" w:rsidRPr="00024D5A">
              <w:rPr>
                <w:rFonts w:ascii="Garamond" w:eastAsia="Times New Roman" w:hAnsi="Garamond"/>
                <w:sz w:val="14"/>
                <w:szCs w:val="16"/>
                <w:lang w:eastAsia="en-US"/>
              </w:rPr>
              <w:t xml:space="preserve"> </w:t>
            </w:r>
            <w:r w:rsidRPr="00024D5A">
              <w:rPr>
                <w:rFonts w:ascii="Garamond" w:eastAsia="Times New Roman" w:hAnsi="Garamond"/>
                <w:sz w:val="14"/>
                <w:szCs w:val="16"/>
                <w:lang w:eastAsia="en-US"/>
              </w:rPr>
              <w:t>gra;</w:t>
            </w:r>
          </w:p>
        </w:tc>
        <w:tc>
          <w:tcPr>
            <w:tcW w:w="639" w:type="pct"/>
            <w:shd w:val="clear" w:color="auto" w:fill="CAEDFA"/>
          </w:tcPr>
          <w:p w14:paraId="2D06E19C" w14:textId="1C02E673" w:rsidR="00657405" w:rsidRPr="00024D5A" w:rsidRDefault="00657405"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Sistemi i kujdesit parësor, të specializuar</w:t>
            </w:r>
            <w:r w:rsidR="00243E2E" w:rsidRPr="00024D5A">
              <w:rPr>
                <w:rFonts w:ascii="Garamond" w:eastAsia="Times New Roman" w:hAnsi="Garamond"/>
                <w:sz w:val="14"/>
                <w:szCs w:val="16"/>
                <w:lang w:eastAsia="en-US"/>
              </w:rPr>
              <w:t>.</w:t>
            </w:r>
          </w:p>
        </w:tc>
        <w:tc>
          <w:tcPr>
            <w:tcW w:w="967" w:type="pct"/>
            <w:vMerge/>
          </w:tcPr>
          <w:p w14:paraId="7C09ED78" w14:textId="77777777" w:rsidR="00657405" w:rsidRPr="00024D5A" w:rsidRDefault="00657405" w:rsidP="001464FD">
            <w:pPr>
              <w:rPr>
                <w:rFonts w:ascii="Garamond" w:eastAsia="Times New Roman" w:hAnsi="Garamond"/>
                <w:sz w:val="14"/>
                <w:szCs w:val="16"/>
                <w:lang w:eastAsia="en-US"/>
              </w:rPr>
            </w:pPr>
          </w:p>
        </w:tc>
      </w:tr>
      <w:tr w:rsidR="00657405" w:rsidRPr="00024D5A" w14:paraId="199F5635" w14:textId="77777777" w:rsidTr="00AC6792">
        <w:trPr>
          <w:trHeight w:val="20"/>
        </w:trPr>
        <w:tc>
          <w:tcPr>
            <w:tcW w:w="666" w:type="pct"/>
            <w:vMerge w:val="restart"/>
            <w:shd w:val="clear" w:color="auto" w:fill="CAEDFA"/>
          </w:tcPr>
          <w:p w14:paraId="457AE0AF" w14:textId="77777777" w:rsidR="00657405" w:rsidRPr="00024D5A" w:rsidRDefault="00657405" w:rsidP="00243E2E">
            <w:pPr>
              <w:rPr>
                <w:rFonts w:ascii="Garamond" w:eastAsia="Times New Roman" w:hAnsi="Garamond"/>
                <w:sz w:val="14"/>
                <w:szCs w:val="16"/>
                <w:lang w:eastAsia="en-US"/>
              </w:rPr>
            </w:pPr>
            <w:r w:rsidRPr="00024D5A">
              <w:rPr>
                <w:rFonts w:ascii="Garamond" w:eastAsia="Times New Roman" w:hAnsi="Garamond"/>
                <w:b/>
                <w:bCs/>
                <w:sz w:val="14"/>
                <w:szCs w:val="16"/>
                <w:lang w:eastAsia="en-US"/>
              </w:rPr>
              <w:t>Objektivi specifik</w:t>
            </w:r>
          </w:p>
          <w:p w14:paraId="160A7F7B" w14:textId="26BD4677" w:rsidR="00657405" w:rsidRPr="00024D5A" w:rsidRDefault="00657405" w:rsidP="00243E2E">
            <w:pPr>
              <w:rPr>
                <w:rFonts w:ascii="Garamond" w:eastAsia="Times New Roman" w:hAnsi="Garamond"/>
                <w:sz w:val="14"/>
                <w:szCs w:val="16"/>
                <w:lang w:eastAsia="en-US"/>
              </w:rPr>
            </w:pPr>
          </w:p>
          <w:p w14:paraId="2BC9465C" w14:textId="46451BB9" w:rsidR="00657405" w:rsidRPr="00024D5A" w:rsidRDefault="00657405" w:rsidP="00243E2E">
            <w:pPr>
              <w:rPr>
                <w:rFonts w:ascii="Garamond" w:eastAsia="Times New Roman" w:hAnsi="Garamond"/>
                <w:sz w:val="14"/>
                <w:szCs w:val="16"/>
                <w:lang w:eastAsia="en-US"/>
              </w:rPr>
            </w:pPr>
          </w:p>
          <w:p w14:paraId="639D057F" w14:textId="64454F89" w:rsidR="00657405" w:rsidRPr="00024D5A" w:rsidRDefault="00657405" w:rsidP="00243E2E">
            <w:pPr>
              <w:rPr>
                <w:rFonts w:ascii="Garamond" w:eastAsia="Times New Roman" w:hAnsi="Garamond"/>
                <w:sz w:val="14"/>
                <w:szCs w:val="16"/>
                <w:lang w:eastAsia="en-US"/>
              </w:rPr>
            </w:pPr>
          </w:p>
          <w:p w14:paraId="16452C62" w14:textId="520937F9" w:rsidR="00657405" w:rsidRPr="00024D5A" w:rsidRDefault="00657405" w:rsidP="00243E2E">
            <w:pPr>
              <w:rPr>
                <w:rFonts w:ascii="Garamond" w:eastAsia="Times New Roman" w:hAnsi="Garamond"/>
                <w:sz w:val="14"/>
                <w:szCs w:val="16"/>
                <w:lang w:eastAsia="en-US"/>
              </w:rPr>
            </w:pPr>
          </w:p>
        </w:tc>
        <w:tc>
          <w:tcPr>
            <w:tcW w:w="590" w:type="pct"/>
            <w:vMerge w:val="restart"/>
            <w:shd w:val="clear" w:color="auto" w:fill="CAEDFA"/>
          </w:tcPr>
          <w:p w14:paraId="76C46DFC" w14:textId="136D51EB" w:rsidR="00657405" w:rsidRPr="00024D5A" w:rsidRDefault="00657405"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Objektivi </w:t>
            </w:r>
            <w:r w:rsidR="00F958F2" w:rsidRPr="00024D5A">
              <w:rPr>
                <w:rFonts w:ascii="Garamond" w:eastAsia="Times New Roman" w:hAnsi="Garamond"/>
                <w:sz w:val="14"/>
                <w:szCs w:val="16"/>
                <w:lang w:eastAsia="en-US"/>
              </w:rPr>
              <w:t xml:space="preserve">specifik </w:t>
            </w:r>
            <w:r w:rsidRPr="00024D5A">
              <w:rPr>
                <w:rFonts w:ascii="Garamond" w:eastAsia="Times New Roman" w:hAnsi="Garamond"/>
                <w:sz w:val="14"/>
                <w:szCs w:val="16"/>
                <w:lang w:eastAsia="en-US"/>
              </w:rPr>
              <w:t>2</w:t>
            </w:r>
            <w:r w:rsidR="00AC5DA9">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Mundësimi i rehabilitimit cilësor, shërbimeve për persona me aftësi të kufizuara psikosociale dhe aksesit në teknologji ndihmëse, të bazuara në komunitet dhe në nevojat individuale</w:t>
            </w:r>
            <w:r w:rsidR="00243E2E" w:rsidRPr="00024D5A">
              <w:rPr>
                <w:rFonts w:ascii="Garamond" w:eastAsia="Times New Roman" w:hAnsi="Garamond"/>
                <w:sz w:val="14"/>
                <w:szCs w:val="16"/>
                <w:lang w:eastAsia="en-US"/>
              </w:rPr>
              <w:t>.</w:t>
            </w:r>
          </w:p>
        </w:tc>
        <w:tc>
          <w:tcPr>
            <w:tcW w:w="592" w:type="pct"/>
            <w:shd w:val="clear" w:color="auto" w:fill="CAEDFA"/>
          </w:tcPr>
          <w:p w14:paraId="68BC5A33" w14:textId="2756FD15" w:rsidR="00657405" w:rsidRPr="00024D5A" w:rsidRDefault="00657405"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Përqindja e personave me aftësi të kufizuara që përfitojnë të paktën një shërbim rehabilitimi</w:t>
            </w:r>
            <w:r w:rsidR="00243E2E" w:rsidRPr="00024D5A">
              <w:rPr>
                <w:rFonts w:ascii="Garamond" w:eastAsia="Times New Roman" w:hAnsi="Garamond"/>
                <w:sz w:val="14"/>
                <w:szCs w:val="16"/>
                <w:lang w:eastAsia="en-US"/>
              </w:rPr>
              <w:t>.</w:t>
            </w:r>
          </w:p>
        </w:tc>
        <w:tc>
          <w:tcPr>
            <w:tcW w:w="282" w:type="pct"/>
            <w:shd w:val="clear" w:color="auto" w:fill="CAEDFA"/>
          </w:tcPr>
          <w:p w14:paraId="1CDD47E5" w14:textId="77777777" w:rsidR="00657405" w:rsidRPr="00024D5A" w:rsidRDefault="00657405"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N/A</w:t>
            </w:r>
          </w:p>
        </w:tc>
        <w:tc>
          <w:tcPr>
            <w:tcW w:w="448" w:type="pct"/>
            <w:shd w:val="clear" w:color="auto" w:fill="CAEDFA"/>
          </w:tcPr>
          <w:p w14:paraId="701BEF36" w14:textId="6AF412AB" w:rsidR="00657405" w:rsidRPr="00024D5A" w:rsidRDefault="00657405"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20%</w:t>
            </w:r>
            <w:r w:rsidRPr="00024D5A">
              <w:rPr>
                <w:rFonts w:ascii="Garamond" w:eastAsia="Times New Roman" w:hAnsi="Garamond"/>
                <w:sz w:val="14"/>
                <w:szCs w:val="16"/>
                <w:lang w:eastAsia="en-US"/>
              </w:rPr>
              <w:br/>
              <w:t>%</w:t>
            </w:r>
            <w:r w:rsidR="00243E2E" w:rsidRPr="00024D5A">
              <w:rPr>
                <w:rFonts w:ascii="Garamond" w:eastAsia="Times New Roman" w:hAnsi="Garamond"/>
                <w:sz w:val="14"/>
                <w:szCs w:val="16"/>
                <w:lang w:eastAsia="en-US"/>
              </w:rPr>
              <w:t xml:space="preserve"> </w:t>
            </w:r>
            <w:r w:rsidRPr="00024D5A">
              <w:rPr>
                <w:rFonts w:ascii="Garamond" w:eastAsia="Times New Roman" w:hAnsi="Garamond"/>
                <w:sz w:val="14"/>
                <w:szCs w:val="16"/>
                <w:lang w:eastAsia="en-US"/>
              </w:rPr>
              <w:t>burra;</w:t>
            </w:r>
            <w:r w:rsidRPr="00024D5A">
              <w:rPr>
                <w:rFonts w:ascii="Garamond" w:eastAsia="Times New Roman" w:hAnsi="Garamond"/>
                <w:sz w:val="14"/>
                <w:szCs w:val="16"/>
                <w:lang w:eastAsia="en-US"/>
              </w:rPr>
              <w:br/>
              <w:t>%</w:t>
            </w:r>
            <w:r w:rsidR="00243E2E" w:rsidRPr="00024D5A">
              <w:rPr>
                <w:rFonts w:ascii="Garamond" w:eastAsia="Times New Roman" w:hAnsi="Garamond"/>
                <w:sz w:val="14"/>
                <w:szCs w:val="16"/>
                <w:lang w:eastAsia="en-US"/>
              </w:rPr>
              <w:t xml:space="preserve"> </w:t>
            </w:r>
            <w:r w:rsidRPr="00024D5A">
              <w:rPr>
                <w:rFonts w:ascii="Garamond" w:eastAsia="Times New Roman" w:hAnsi="Garamond"/>
                <w:sz w:val="14"/>
                <w:szCs w:val="16"/>
                <w:lang w:eastAsia="en-US"/>
              </w:rPr>
              <w:t>gra;</w:t>
            </w:r>
          </w:p>
          <w:p w14:paraId="7AB4CE58" w14:textId="77777777" w:rsidR="00657405" w:rsidRPr="00024D5A" w:rsidRDefault="00657405" w:rsidP="001464FD">
            <w:pPr>
              <w:rPr>
                <w:rFonts w:ascii="Garamond" w:eastAsia="Times New Roman" w:hAnsi="Garamond"/>
                <w:sz w:val="14"/>
                <w:szCs w:val="16"/>
                <w:lang w:eastAsia="en-US"/>
              </w:rPr>
            </w:pPr>
          </w:p>
          <w:p w14:paraId="055CFD2F" w14:textId="77777777" w:rsidR="00657405" w:rsidRPr="00024D5A" w:rsidRDefault="00657405" w:rsidP="001464FD">
            <w:pPr>
              <w:rPr>
                <w:rFonts w:ascii="Garamond" w:eastAsia="Times New Roman" w:hAnsi="Garamond"/>
                <w:sz w:val="14"/>
                <w:szCs w:val="16"/>
                <w:lang w:eastAsia="en-US"/>
              </w:rPr>
            </w:pPr>
          </w:p>
          <w:p w14:paraId="5B69A740" w14:textId="77777777" w:rsidR="00657405" w:rsidRPr="00024D5A" w:rsidRDefault="00657405" w:rsidP="001464FD">
            <w:pPr>
              <w:rPr>
                <w:rFonts w:ascii="Garamond" w:eastAsia="Times New Roman" w:hAnsi="Garamond"/>
                <w:sz w:val="14"/>
                <w:szCs w:val="16"/>
                <w:lang w:eastAsia="en-US"/>
              </w:rPr>
            </w:pPr>
          </w:p>
        </w:tc>
        <w:tc>
          <w:tcPr>
            <w:tcW w:w="816" w:type="pct"/>
            <w:shd w:val="clear" w:color="auto" w:fill="CAEDFA"/>
          </w:tcPr>
          <w:p w14:paraId="7F421E69" w14:textId="48E530E7" w:rsidR="00657405" w:rsidRPr="00024D5A" w:rsidRDefault="00657405"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40%</w:t>
            </w:r>
            <w:r w:rsidRPr="00024D5A">
              <w:rPr>
                <w:rFonts w:ascii="Garamond" w:eastAsia="Times New Roman" w:hAnsi="Garamond"/>
                <w:sz w:val="14"/>
                <w:szCs w:val="16"/>
                <w:lang w:eastAsia="en-US"/>
              </w:rPr>
              <w:br/>
              <w:t>%</w:t>
            </w:r>
            <w:r w:rsidR="00243E2E" w:rsidRPr="00024D5A">
              <w:rPr>
                <w:rFonts w:ascii="Garamond" w:eastAsia="Times New Roman" w:hAnsi="Garamond"/>
                <w:sz w:val="14"/>
                <w:szCs w:val="16"/>
                <w:lang w:eastAsia="en-US"/>
              </w:rPr>
              <w:t xml:space="preserve"> </w:t>
            </w:r>
            <w:r w:rsidRPr="00024D5A">
              <w:rPr>
                <w:rFonts w:ascii="Garamond" w:eastAsia="Times New Roman" w:hAnsi="Garamond"/>
                <w:sz w:val="14"/>
                <w:szCs w:val="16"/>
                <w:lang w:eastAsia="en-US"/>
              </w:rPr>
              <w:t>burra;</w:t>
            </w:r>
            <w:r w:rsidRPr="00024D5A">
              <w:rPr>
                <w:rFonts w:ascii="Garamond" w:eastAsia="Times New Roman" w:hAnsi="Garamond"/>
                <w:sz w:val="14"/>
                <w:szCs w:val="16"/>
                <w:lang w:eastAsia="en-US"/>
              </w:rPr>
              <w:br/>
              <w:t>%</w:t>
            </w:r>
            <w:r w:rsidR="00243E2E" w:rsidRPr="00024D5A">
              <w:rPr>
                <w:rFonts w:ascii="Garamond" w:eastAsia="Times New Roman" w:hAnsi="Garamond"/>
                <w:sz w:val="14"/>
                <w:szCs w:val="16"/>
                <w:lang w:eastAsia="en-US"/>
              </w:rPr>
              <w:t xml:space="preserve"> </w:t>
            </w:r>
            <w:r w:rsidRPr="00024D5A">
              <w:rPr>
                <w:rFonts w:ascii="Garamond" w:eastAsia="Times New Roman" w:hAnsi="Garamond"/>
                <w:sz w:val="14"/>
                <w:szCs w:val="16"/>
                <w:lang w:eastAsia="en-US"/>
              </w:rPr>
              <w:t>gra;</w:t>
            </w:r>
          </w:p>
        </w:tc>
        <w:tc>
          <w:tcPr>
            <w:tcW w:w="639" w:type="pct"/>
            <w:shd w:val="clear" w:color="auto" w:fill="CAEDFA"/>
          </w:tcPr>
          <w:p w14:paraId="26958C05" w14:textId="33BFA782" w:rsidR="00657405" w:rsidRPr="00024D5A" w:rsidRDefault="00657405"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MSHMS/Raporte Monitorimi;</w:t>
            </w:r>
            <w:r w:rsidRPr="00024D5A">
              <w:rPr>
                <w:rFonts w:ascii="Garamond" w:eastAsia="Times New Roman" w:hAnsi="Garamond"/>
                <w:sz w:val="14"/>
                <w:szCs w:val="16"/>
                <w:lang w:eastAsia="en-US"/>
              </w:rPr>
              <w:br/>
              <w:t>FSDKSH</w:t>
            </w:r>
            <w:r w:rsidR="00243E2E" w:rsidRPr="00024D5A">
              <w:rPr>
                <w:rFonts w:ascii="Garamond" w:eastAsia="Times New Roman" w:hAnsi="Garamond"/>
                <w:sz w:val="14"/>
                <w:szCs w:val="16"/>
                <w:lang w:eastAsia="en-US"/>
              </w:rPr>
              <w:t>.</w:t>
            </w:r>
          </w:p>
        </w:tc>
        <w:tc>
          <w:tcPr>
            <w:tcW w:w="967" w:type="pct"/>
            <w:vMerge w:val="restart"/>
            <w:shd w:val="clear" w:color="auto" w:fill="CAEDFA"/>
          </w:tcPr>
          <w:p w14:paraId="5229689E" w14:textId="5F7D3E4A" w:rsidR="00657405" w:rsidRPr="00024D5A" w:rsidRDefault="00657405"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OZHQ3; OZHQ10 Kapitulli 28 i </w:t>
            </w:r>
            <w:r w:rsidRPr="00024D5A">
              <w:rPr>
                <w:rFonts w:ascii="Garamond" w:eastAsia="Times New Roman" w:hAnsi="Garamond"/>
                <w:i/>
                <w:iCs/>
                <w:sz w:val="14"/>
                <w:szCs w:val="16"/>
                <w:lang w:eastAsia="en-US"/>
              </w:rPr>
              <w:t>aquis;</w:t>
            </w:r>
            <w:r w:rsidRPr="00024D5A">
              <w:rPr>
                <w:rFonts w:ascii="Garamond" w:hAnsi="Garamond"/>
                <w:sz w:val="14"/>
              </w:rPr>
              <w:br/>
            </w:r>
            <w:r w:rsidRPr="00024D5A">
              <w:rPr>
                <w:rFonts w:ascii="Garamond" w:eastAsia="Times New Roman" w:hAnsi="Garamond"/>
                <w:sz w:val="14"/>
                <w:szCs w:val="16"/>
                <w:lang w:eastAsia="en-US"/>
              </w:rPr>
              <w:t xml:space="preserve">Strategjia e BE-së për të Drejtat e Personave me Aftësi të Kufizuara </w:t>
            </w:r>
            <w:r w:rsidR="008639DB" w:rsidRPr="00024D5A">
              <w:rPr>
                <w:rFonts w:ascii="Garamond" w:eastAsia="Times New Roman" w:hAnsi="Garamond"/>
                <w:sz w:val="14"/>
                <w:szCs w:val="16"/>
                <w:lang w:eastAsia="en-US"/>
              </w:rPr>
              <w:t>2021–2030</w:t>
            </w:r>
            <w:r w:rsidRPr="00024D5A">
              <w:rPr>
                <w:rFonts w:ascii="Garamond" w:eastAsia="Times New Roman" w:hAnsi="Garamond"/>
                <w:sz w:val="14"/>
                <w:szCs w:val="16"/>
                <w:lang w:eastAsia="en-US"/>
              </w:rPr>
              <w:t xml:space="preserve">; </w:t>
            </w:r>
            <w:r w:rsidRPr="00024D5A">
              <w:rPr>
                <w:rFonts w:ascii="Garamond" w:hAnsi="Garamond"/>
                <w:sz w:val="14"/>
              </w:rPr>
              <w:br/>
            </w:r>
            <w:r w:rsidRPr="00024D5A">
              <w:rPr>
                <w:rFonts w:ascii="Garamond" w:eastAsia="Times New Roman" w:hAnsi="Garamond"/>
                <w:sz w:val="14"/>
                <w:szCs w:val="16"/>
                <w:lang w:eastAsia="en-US"/>
              </w:rPr>
              <w:t xml:space="preserve">Dokumenti i BE për Jetesën e Pavarur dhe Përfshirjen në Komunitet; </w:t>
            </w:r>
            <w:r w:rsidRPr="00024D5A">
              <w:rPr>
                <w:rFonts w:ascii="Garamond" w:hAnsi="Garamond"/>
                <w:sz w:val="14"/>
              </w:rPr>
              <w:br/>
            </w:r>
            <w:r w:rsidRPr="00024D5A">
              <w:rPr>
                <w:rFonts w:ascii="Garamond" w:eastAsia="Times New Roman" w:hAnsi="Garamond"/>
                <w:sz w:val="14"/>
                <w:szCs w:val="16"/>
                <w:lang w:eastAsia="en-US"/>
              </w:rPr>
              <w:t xml:space="preserve">Strategjia Kombëtare e Shëndetësisë </w:t>
            </w:r>
            <w:r w:rsidR="008639DB" w:rsidRPr="00024D5A">
              <w:rPr>
                <w:rFonts w:ascii="Garamond" w:eastAsia="Times New Roman" w:hAnsi="Garamond"/>
                <w:sz w:val="14"/>
                <w:szCs w:val="16"/>
                <w:lang w:eastAsia="en-US"/>
              </w:rPr>
              <w:t>2021–2030</w:t>
            </w:r>
            <w:r w:rsidR="00243E2E"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w:t>
            </w:r>
          </w:p>
        </w:tc>
      </w:tr>
      <w:tr w:rsidR="00657405" w:rsidRPr="00024D5A" w14:paraId="0192C896" w14:textId="77777777" w:rsidTr="00AC6792">
        <w:trPr>
          <w:trHeight w:val="20"/>
        </w:trPr>
        <w:tc>
          <w:tcPr>
            <w:tcW w:w="666" w:type="pct"/>
            <w:vMerge/>
            <w:shd w:val="clear" w:color="auto" w:fill="CAEDFA"/>
          </w:tcPr>
          <w:p w14:paraId="10BAFCCF" w14:textId="394920C4" w:rsidR="00657405" w:rsidRPr="00024D5A" w:rsidRDefault="00657405" w:rsidP="001464FD">
            <w:pPr>
              <w:rPr>
                <w:rFonts w:ascii="Garamond" w:eastAsia="Times New Roman" w:hAnsi="Garamond"/>
                <w:b/>
                <w:bCs/>
                <w:sz w:val="14"/>
                <w:szCs w:val="16"/>
                <w:lang w:eastAsia="en-US"/>
              </w:rPr>
            </w:pPr>
          </w:p>
        </w:tc>
        <w:tc>
          <w:tcPr>
            <w:tcW w:w="590" w:type="pct"/>
            <w:vMerge/>
          </w:tcPr>
          <w:p w14:paraId="70814499" w14:textId="77777777" w:rsidR="00657405" w:rsidRPr="00024D5A" w:rsidRDefault="00657405" w:rsidP="001464FD">
            <w:pPr>
              <w:rPr>
                <w:rFonts w:ascii="Garamond" w:eastAsia="Times New Roman" w:hAnsi="Garamond"/>
                <w:sz w:val="14"/>
                <w:szCs w:val="16"/>
                <w:lang w:eastAsia="en-US"/>
              </w:rPr>
            </w:pPr>
          </w:p>
        </w:tc>
        <w:tc>
          <w:tcPr>
            <w:tcW w:w="592" w:type="pct"/>
            <w:shd w:val="clear" w:color="auto" w:fill="CAEDFA"/>
          </w:tcPr>
          <w:p w14:paraId="2A3192A7" w14:textId="4F37D330" w:rsidR="00657405" w:rsidRPr="00024D5A" w:rsidRDefault="00657405"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Përqindja e personave me aftësi të kufizuara që përfitojnë pajisje ose teknologji ndihmëse.</w:t>
            </w:r>
          </w:p>
        </w:tc>
        <w:tc>
          <w:tcPr>
            <w:tcW w:w="282" w:type="pct"/>
            <w:shd w:val="clear" w:color="auto" w:fill="CAEDFA"/>
          </w:tcPr>
          <w:p w14:paraId="4AD3C7E4" w14:textId="77777777" w:rsidR="00657405" w:rsidRPr="00024D5A" w:rsidRDefault="00657405"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N/A</w:t>
            </w:r>
          </w:p>
        </w:tc>
        <w:tc>
          <w:tcPr>
            <w:tcW w:w="448" w:type="pct"/>
            <w:shd w:val="clear" w:color="auto" w:fill="CAEDFA"/>
          </w:tcPr>
          <w:p w14:paraId="39A84AA6" w14:textId="22218C5C" w:rsidR="00657405" w:rsidRPr="00024D5A" w:rsidRDefault="00657405"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30% </w:t>
            </w:r>
            <w:r w:rsidRPr="00024D5A">
              <w:rPr>
                <w:rFonts w:ascii="Garamond" w:eastAsia="Times New Roman" w:hAnsi="Garamond"/>
                <w:sz w:val="14"/>
                <w:szCs w:val="16"/>
                <w:lang w:eastAsia="en-US"/>
              </w:rPr>
              <w:br/>
              <w:t>%</w:t>
            </w:r>
            <w:r w:rsidR="00243E2E" w:rsidRPr="00024D5A">
              <w:rPr>
                <w:rFonts w:ascii="Garamond" w:eastAsia="Times New Roman" w:hAnsi="Garamond"/>
                <w:sz w:val="14"/>
                <w:szCs w:val="16"/>
                <w:lang w:eastAsia="en-US"/>
              </w:rPr>
              <w:t xml:space="preserve"> </w:t>
            </w:r>
            <w:r w:rsidRPr="00024D5A">
              <w:rPr>
                <w:rFonts w:ascii="Garamond" w:eastAsia="Times New Roman" w:hAnsi="Garamond"/>
                <w:sz w:val="14"/>
                <w:szCs w:val="16"/>
                <w:lang w:eastAsia="en-US"/>
              </w:rPr>
              <w:t>burra;</w:t>
            </w:r>
            <w:r w:rsidRPr="00024D5A">
              <w:rPr>
                <w:rFonts w:ascii="Garamond" w:eastAsia="Times New Roman" w:hAnsi="Garamond"/>
                <w:sz w:val="14"/>
                <w:szCs w:val="16"/>
                <w:lang w:eastAsia="en-US"/>
              </w:rPr>
              <w:br/>
              <w:t>%</w:t>
            </w:r>
            <w:r w:rsidR="00243E2E" w:rsidRPr="00024D5A">
              <w:rPr>
                <w:rFonts w:ascii="Garamond" w:eastAsia="Times New Roman" w:hAnsi="Garamond"/>
                <w:sz w:val="14"/>
                <w:szCs w:val="16"/>
                <w:lang w:eastAsia="en-US"/>
              </w:rPr>
              <w:t xml:space="preserve"> </w:t>
            </w:r>
            <w:r w:rsidRPr="00024D5A">
              <w:rPr>
                <w:rFonts w:ascii="Garamond" w:eastAsia="Times New Roman" w:hAnsi="Garamond"/>
                <w:sz w:val="14"/>
                <w:szCs w:val="16"/>
                <w:lang w:eastAsia="en-US"/>
              </w:rPr>
              <w:t>gra;</w:t>
            </w:r>
            <w:r w:rsidRPr="00024D5A">
              <w:rPr>
                <w:rFonts w:ascii="Garamond" w:eastAsia="Times New Roman" w:hAnsi="Garamond"/>
                <w:sz w:val="14"/>
                <w:szCs w:val="16"/>
                <w:lang w:eastAsia="en-US"/>
              </w:rPr>
              <w:br/>
              <w:t>%</w:t>
            </w:r>
            <w:r w:rsidR="00243E2E" w:rsidRPr="00024D5A">
              <w:rPr>
                <w:rFonts w:ascii="Garamond" w:eastAsia="Times New Roman" w:hAnsi="Garamond"/>
                <w:sz w:val="14"/>
                <w:szCs w:val="16"/>
                <w:lang w:eastAsia="en-US"/>
              </w:rPr>
              <w:t xml:space="preserve"> </w:t>
            </w:r>
            <w:r w:rsidRPr="00024D5A">
              <w:rPr>
                <w:rFonts w:ascii="Garamond" w:eastAsia="Times New Roman" w:hAnsi="Garamond"/>
                <w:sz w:val="14"/>
                <w:szCs w:val="16"/>
                <w:lang w:eastAsia="en-US"/>
              </w:rPr>
              <w:t>fëmijë</w:t>
            </w:r>
          </w:p>
        </w:tc>
        <w:tc>
          <w:tcPr>
            <w:tcW w:w="816" w:type="pct"/>
            <w:shd w:val="clear" w:color="auto" w:fill="CAEDFA"/>
          </w:tcPr>
          <w:p w14:paraId="08448D76" w14:textId="4F12CD40" w:rsidR="00657405" w:rsidRPr="00024D5A" w:rsidRDefault="00657405"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40%</w:t>
            </w:r>
            <w:r w:rsidRPr="00024D5A">
              <w:rPr>
                <w:rFonts w:ascii="Garamond" w:eastAsia="Times New Roman" w:hAnsi="Garamond"/>
                <w:sz w:val="14"/>
                <w:szCs w:val="16"/>
                <w:lang w:eastAsia="en-US"/>
              </w:rPr>
              <w:br/>
              <w:t>%</w:t>
            </w:r>
            <w:r w:rsidR="00243E2E" w:rsidRPr="00024D5A">
              <w:rPr>
                <w:rFonts w:ascii="Garamond" w:eastAsia="Times New Roman" w:hAnsi="Garamond"/>
                <w:sz w:val="14"/>
                <w:szCs w:val="16"/>
                <w:lang w:eastAsia="en-US"/>
              </w:rPr>
              <w:t xml:space="preserve"> </w:t>
            </w:r>
            <w:r w:rsidRPr="00024D5A">
              <w:rPr>
                <w:rFonts w:ascii="Garamond" w:eastAsia="Times New Roman" w:hAnsi="Garamond"/>
                <w:sz w:val="14"/>
                <w:szCs w:val="16"/>
                <w:lang w:eastAsia="en-US"/>
              </w:rPr>
              <w:t>burra;</w:t>
            </w:r>
            <w:r w:rsidRPr="00024D5A">
              <w:rPr>
                <w:rFonts w:ascii="Garamond" w:eastAsia="Times New Roman" w:hAnsi="Garamond"/>
                <w:sz w:val="14"/>
                <w:szCs w:val="16"/>
                <w:lang w:eastAsia="en-US"/>
              </w:rPr>
              <w:br/>
              <w:t>%</w:t>
            </w:r>
            <w:r w:rsidR="00243E2E" w:rsidRPr="00024D5A">
              <w:rPr>
                <w:rFonts w:ascii="Garamond" w:eastAsia="Times New Roman" w:hAnsi="Garamond"/>
                <w:sz w:val="14"/>
                <w:szCs w:val="16"/>
                <w:lang w:eastAsia="en-US"/>
              </w:rPr>
              <w:t xml:space="preserve"> </w:t>
            </w:r>
            <w:r w:rsidRPr="00024D5A">
              <w:rPr>
                <w:rFonts w:ascii="Garamond" w:eastAsia="Times New Roman" w:hAnsi="Garamond"/>
                <w:sz w:val="14"/>
                <w:szCs w:val="16"/>
                <w:lang w:eastAsia="en-US"/>
              </w:rPr>
              <w:t>gra;</w:t>
            </w:r>
            <w:r w:rsidRPr="00024D5A">
              <w:rPr>
                <w:rFonts w:ascii="Garamond" w:eastAsia="Times New Roman" w:hAnsi="Garamond"/>
                <w:sz w:val="14"/>
                <w:szCs w:val="16"/>
                <w:lang w:eastAsia="en-US"/>
              </w:rPr>
              <w:br/>
              <w:t>%</w:t>
            </w:r>
            <w:r w:rsidR="00243E2E" w:rsidRPr="00024D5A">
              <w:rPr>
                <w:rFonts w:ascii="Garamond" w:eastAsia="Times New Roman" w:hAnsi="Garamond"/>
                <w:sz w:val="14"/>
                <w:szCs w:val="16"/>
                <w:lang w:eastAsia="en-US"/>
              </w:rPr>
              <w:t xml:space="preserve"> </w:t>
            </w:r>
            <w:r w:rsidRPr="00024D5A">
              <w:rPr>
                <w:rFonts w:ascii="Garamond" w:eastAsia="Times New Roman" w:hAnsi="Garamond"/>
                <w:sz w:val="14"/>
                <w:szCs w:val="16"/>
                <w:lang w:eastAsia="en-US"/>
              </w:rPr>
              <w:t>fëmijë</w:t>
            </w:r>
          </w:p>
        </w:tc>
        <w:tc>
          <w:tcPr>
            <w:tcW w:w="639" w:type="pct"/>
            <w:shd w:val="clear" w:color="auto" w:fill="CAEDFA"/>
          </w:tcPr>
          <w:p w14:paraId="48F3A276" w14:textId="77777777" w:rsidR="00657405" w:rsidRPr="00024D5A" w:rsidRDefault="00657405"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967" w:type="pct"/>
            <w:vMerge/>
          </w:tcPr>
          <w:p w14:paraId="45AC645B" w14:textId="77777777" w:rsidR="00657405" w:rsidRPr="00024D5A" w:rsidRDefault="00657405" w:rsidP="001464FD">
            <w:pPr>
              <w:rPr>
                <w:rFonts w:ascii="Garamond" w:eastAsia="Times New Roman" w:hAnsi="Garamond"/>
                <w:sz w:val="14"/>
                <w:szCs w:val="16"/>
                <w:lang w:eastAsia="en-US"/>
              </w:rPr>
            </w:pPr>
          </w:p>
        </w:tc>
      </w:tr>
      <w:tr w:rsidR="00657405" w:rsidRPr="00024D5A" w14:paraId="301660AA" w14:textId="77777777" w:rsidTr="00AC6792">
        <w:trPr>
          <w:trHeight w:val="20"/>
        </w:trPr>
        <w:tc>
          <w:tcPr>
            <w:tcW w:w="666" w:type="pct"/>
            <w:vMerge/>
            <w:shd w:val="clear" w:color="auto" w:fill="CAEDFA"/>
          </w:tcPr>
          <w:p w14:paraId="7725C794" w14:textId="5248E058" w:rsidR="00657405" w:rsidRPr="00024D5A" w:rsidRDefault="00657405" w:rsidP="001464FD">
            <w:pPr>
              <w:rPr>
                <w:rFonts w:ascii="Garamond" w:eastAsia="Times New Roman" w:hAnsi="Garamond"/>
                <w:sz w:val="14"/>
                <w:szCs w:val="16"/>
                <w:lang w:eastAsia="en-US"/>
              </w:rPr>
            </w:pPr>
          </w:p>
        </w:tc>
        <w:tc>
          <w:tcPr>
            <w:tcW w:w="590" w:type="pct"/>
            <w:vMerge w:val="restart"/>
            <w:shd w:val="clear" w:color="auto" w:fill="CAEDFA"/>
          </w:tcPr>
          <w:p w14:paraId="7F667598" w14:textId="43B8EC0C" w:rsidR="00657405" w:rsidRPr="00024D5A" w:rsidRDefault="00657405"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Objektivi </w:t>
            </w:r>
            <w:r w:rsidR="00F958F2" w:rsidRPr="00024D5A">
              <w:rPr>
                <w:rFonts w:ascii="Garamond" w:eastAsia="Times New Roman" w:hAnsi="Garamond"/>
                <w:sz w:val="14"/>
                <w:szCs w:val="16"/>
                <w:lang w:eastAsia="en-US"/>
              </w:rPr>
              <w:t xml:space="preserve">specifik </w:t>
            </w:r>
            <w:r w:rsidRPr="00024D5A">
              <w:rPr>
                <w:rFonts w:ascii="Garamond" w:eastAsia="Times New Roman" w:hAnsi="Garamond"/>
                <w:sz w:val="14"/>
                <w:szCs w:val="16"/>
                <w:lang w:eastAsia="en-US"/>
              </w:rPr>
              <w:t>3</w:t>
            </w:r>
            <w:r w:rsidR="00AC5DA9">
              <w:rPr>
                <w:rFonts w:ascii="Garamond" w:eastAsia="Times New Roman" w:hAnsi="Garamond"/>
                <w:sz w:val="14"/>
                <w:szCs w:val="16"/>
                <w:lang w:eastAsia="en-US"/>
              </w:rPr>
              <w:t xml:space="preserve">: </w:t>
            </w:r>
            <w:r w:rsidRPr="00024D5A">
              <w:rPr>
                <w:rFonts w:ascii="Garamond" w:eastAsia="Times New Roman" w:hAnsi="Garamond"/>
                <w:sz w:val="14"/>
                <w:szCs w:val="16"/>
                <w:lang w:eastAsia="en-US"/>
              </w:rPr>
              <w:t>Përmirësimi i cilësisë së shërbimeve përmes forcimit të burimeve njerëzore, aksesueshmërisë dhe mekanizmave të monitorimit dhe llogaridhënies</w:t>
            </w:r>
          </w:p>
        </w:tc>
        <w:tc>
          <w:tcPr>
            <w:tcW w:w="592" w:type="pct"/>
            <w:vMerge w:val="restart"/>
            <w:shd w:val="clear" w:color="auto" w:fill="CAEDFA"/>
          </w:tcPr>
          <w:p w14:paraId="18BA4520" w14:textId="77777777" w:rsidR="00657405" w:rsidRPr="00024D5A" w:rsidRDefault="00657405"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Përqindja e institucioneve shëndetësore publike që zbatojnë standardet e aksesueshmërisë dhe ofrojnë shërbime shëndetësore pa diskriminim për personat me aftësi të kufizuara.</w:t>
            </w:r>
          </w:p>
        </w:tc>
        <w:tc>
          <w:tcPr>
            <w:tcW w:w="282" w:type="pct"/>
            <w:shd w:val="clear" w:color="auto" w:fill="CAEDFA"/>
          </w:tcPr>
          <w:p w14:paraId="3CFAAEAC" w14:textId="77777777" w:rsidR="00657405" w:rsidRPr="00024D5A" w:rsidRDefault="00657405"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N/A</w:t>
            </w:r>
          </w:p>
        </w:tc>
        <w:tc>
          <w:tcPr>
            <w:tcW w:w="448" w:type="pct"/>
            <w:vMerge w:val="restart"/>
            <w:shd w:val="clear" w:color="auto" w:fill="CAEDFA"/>
          </w:tcPr>
          <w:p w14:paraId="780BD259" w14:textId="77777777" w:rsidR="00657405" w:rsidRPr="00024D5A" w:rsidRDefault="00657405"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50%</w:t>
            </w:r>
          </w:p>
        </w:tc>
        <w:tc>
          <w:tcPr>
            <w:tcW w:w="816" w:type="pct"/>
            <w:vMerge w:val="restart"/>
            <w:shd w:val="clear" w:color="auto" w:fill="CAEDFA"/>
          </w:tcPr>
          <w:p w14:paraId="7891A6AD" w14:textId="77777777" w:rsidR="00657405" w:rsidRPr="00024D5A" w:rsidRDefault="00657405"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75%</w:t>
            </w:r>
          </w:p>
        </w:tc>
        <w:tc>
          <w:tcPr>
            <w:tcW w:w="639" w:type="pct"/>
            <w:vMerge w:val="restart"/>
            <w:shd w:val="clear" w:color="auto" w:fill="CAEDFA"/>
          </w:tcPr>
          <w:p w14:paraId="06B42EEA" w14:textId="791AB5E6" w:rsidR="00657405" w:rsidRPr="00024D5A" w:rsidRDefault="00657405"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Auditimet e aksesueshmërisë dhe raportet e monitorimit të MSHMS</w:t>
            </w:r>
            <w:r w:rsidR="00243E2E" w:rsidRPr="00024D5A">
              <w:rPr>
                <w:rFonts w:ascii="Garamond" w:eastAsia="Times New Roman" w:hAnsi="Garamond"/>
                <w:sz w:val="14"/>
                <w:szCs w:val="16"/>
                <w:lang w:eastAsia="en-US"/>
              </w:rPr>
              <w:t>.</w:t>
            </w:r>
          </w:p>
        </w:tc>
        <w:tc>
          <w:tcPr>
            <w:tcW w:w="967" w:type="pct"/>
            <w:vMerge w:val="restart"/>
            <w:shd w:val="clear" w:color="auto" w:fill="CAEDFA"/>
          </w:tcPr>
          <w:p w14:paraId="4978886C" w14:textId="058F0B01" w:rsidR="00657405" w:rsidRPr="00024D5A" w:rsidRDefault="00657405"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OZHQ3; OZHQ16;</w:t>
            </w:r>
            <w:r w:rsidRPr="00024D5A">
              <w:rPr>
                <w:rFonts w:ascii="Garamond" w:hAnsi="Garamond"/>
                <w:sz w:val="14"/>
              </w:rPr>
              <w:br/>
            </w:r>
            <w:r w:rsidRPr="00024D5A">
              <w:rPr>
                <w:rFonts w:ascii="Garamond" w:eastAsia="Times New Roman" w:hAnsi="Garamond"/>
                <w:sz w:val="14"/>
                <w:szCs w:val="16"/>
                <w:lang w:eastAsia="en-US"/>
              </w:rPr>
              <w:t xml:space="preserve">Strategjia e BE-së </w:t>
            </w:r>
            <w:r w:rsidR="008639DB" w:rsidRPr="00024D5A">
              <w:rPr>
                <w:rFonts w:ascii="Garamond" w:eastAsia="Times New Roman" w:hAnsi="Garamond"/>
                <w:sz w:val="14"/>
                <w:szCs w:val="16"/>
                <w:lang w:eastAsia="en-US"/>
              </w:rPr>
              <w:t>2021–2030</w:t>
            </w:r>
            <w:r w:rsidRPr="00024D5A">
              <w:rPr>
                <w:rFonts w:ascii="Garamond" w:eastAsia="Times New Roman" w:hAnsi="Garamond"/>
                <w:sz w:val="14"/>
                <w:szCs w:val="16"/>
                <w:lang w:eastAsia="en-US"/>
              </w:rPr>
              <w:t xml:space="preserve">; </w:t>
            </w:r>
            <w:r w:rsidRPr="00024D5A">
              <w:rPr>
                <w:rFonts w:ascii="Garamond" w:hAnsi="Garamond"/>
                <w:sz w:val="14"/>
              </w:rPr>
              <w:br/>
            </w:r>
            <w:r w:rsidRPr="00024D5A">
              <w:rPr>
                <w:rFonts w:ascii="Garamond" w:eastAsia="Times New Roman" w:hAnsi="Garamond"/>
                <w:sz w:val="14"/>
                <w:szCs w:val="16"/>
                <w:lang w:eastAsia="en-US"/>
              </w:rPr>
              <w:t xml:space="preserve">Strategjia Kombëtare e Shëndetësisë </w:t>
            </w:r>
            <w:r w:rsidR="008639DB" w:rsidRPr="00024D5A">
              <w:rPr>
                <w:rFonts w:ascii="Garamond" w:eastAsia="Times New Roman" w:hAnsi="Garamond"/>
                <w:sz w:val="14"/>
                <w:szCs w:val="16"/>
                <w:lang w:eastAsia="en-US"/>
              </w:rPr>
              <w:t>2021–2030</w:t>
            </w:r>
            <w:r w:rsidRPr="00024D5A">
              <w:rPr>
                <w:rFonts w:ascii="Garamond" w:eastAsia="Times New Roman" w:hAnsi="Garamond"/>
                <w:sz w:val="14"/>
                <w:szCs w:val="16"/>
                <w:lang w:eastAsia="en-US"/>
              </w:rPr>
              <w:t xml:space="preserve">; </w:t>
            </w:r>
            <w:r w:rsidRPr="00024D5A">
              <w:rPr>
                <w:rFonts w:ascii="Garamond" w:hAnsi="Garamond"/>
                <w:sz w:val="14"/>
              </w:rPr>
              <w:br/>
            </w:r>
            <w:r w:rsidRPr="00024D5A">
              <w:rPr>
                <w:rFonts w:ascii="Garamond" w:eastAsia="Times New Roman" w:hAnsi="Garamond"/>
                <w:sz w:val="14"/>
                <w:szCs w:val="16"/>
                <w:lang w:eastAsia="en-US"/>
              </w:rPr>
              <w:t>Direktiva/</w:t>
            </w:r>
            <w:r w:rsidR="00243E2E"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European Accessibility Act” </w:t>
            </w:r>
            <w:r w:rsidR="00243E2E"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w:t>
            </w:r>
            <w:r w:rsidR="00243E2E" w:rsidRPr="00024D5A">
              <w:rPr>
                <w:rFonts w:ascii="Garamond" w:eastAsia="Times New Roman" w:hAnsi="Garamond"/>
                <w:sz w:val="14"/>
                <w:szCs w:val="16"/>
                <w:lang w:eastAsia="en-US"/>
              </w:rPr>
              <w:t xml:space="preserve">direktivë </w:t>
            </w:r>
            <w:r w:rsidRPr="00024D5A">
              <w:rPr>
                <w:rFonts w:ascii="Garamond" w:eastAsia="Times New Roman" w:hAnsi="Garamond"/>
                <w:sz w:val="14"/>
                <w:szCs w:val="16"/>
                <w:lang w:eastAsia="en-US"/>
              </w:rPr>
              <w:t>(BE) 2019/882</w:t>
            </w:r>
            <w:r w:rsidR="00243E2E" w:rsidRPr="00024D5A">
              <w:rPr>
                <w:rFonts w:ascii="Garamond" w:eastAsia="Times New Roman" w:hAnsi="Garamond"/>
                <w:sz w:val="14"/>
                <w:szCs w:val="16"/>
                <w:lang w:eastAsia="en-US"/>
              </w:rPr>
              <w:t>.</w:t>
            </w:r>
          </w:p>
        </w:tc>
      </w:tr>
      <w:tr w:rsidR="00657405" w:rsidRPr="00024D5A" w14:paraId="343FE6D7" w14:textId="77777777" w:rsidTr="00AC6792">
        <w:trPr>
          <w:trHeight w:val="20"/>
        </w:trPr>
        <w:tc>
          <w:tcPr>
            <w:tcW w:w="666" w:type="pct"/>
            <w:vMerge/>
            <w:shd w:val="clear" w:color="auto" w:fill="CAEDFA"/>
          </w:tcPr>
          <w:p w14:paraId="658733E5" w14:textId="3C94835B" w:rsidR="00657405" w:rsidRPr="00024D5A" w:rsidRDefault="00657405" w:rsidP="001464FD">
            <w:pPr>
              <w:rPr>
                <w:rFonts w:ascii="Garamond" w:eastAsia="Times New Roman" w:hAnsi="Garamond"/>
                <w:sz w:val="14"/>
                <w:szCs w:val="16"/>
                <w:lang w:eastAsia="en-US"/>
              </w:rPr>
            </w:pPr>
          </w:p>
        </w:tc>
        <w:tc>
          <w:tcPr>
            <w:tcW w:w="590" w:type="pct"/>
            <w:vMerge/>
          </w:tcPr>
          <w:p w14:paraId="0EDEC5BD" w14:textId="77777777" w:rsidR="00657405" w:rsidRPr="00024D5A" w:rsidRDefault="00657405" w:rsidP="001464FD">
            <w:pPr>
              <w:rPr>
                <w:rFonts w:ascii="Garamond" w:eastAsia="Times New Roman" w:hAnsi="Garamond"/>
                <w:sz w:val="14"/>
                <w:szCs w:val="16"/>
                <w:lang w:eastAsia="en-US"/>
              </w:rPr>
            </w:pPr>
          </w:p>
        </w:tc>
        <w:tc>
          <w:tcPr>
            <w:tcW w:w="592" w:type="pct"/>
            <w:vMerge/>
          </w:tcPr>
          <w:p w14:paraId="1354AC92" w14:textId="77777777" w:rsidR="00657405" w:rsidRPr="00024D5A" w:rsidRDefault="00657405" w:rsidP="001464FD">
            <w:pPr>
              <w:rPr>
                <w:rFonts w:ascii="Garamond" w:eastAsia="Times New Roman" w:hAnsi="Garamond"/>
                <w:sz w:val="14"/>
                <w:szCs w:val="16"/>
                <w:lang w:eastAsia="en-US"/>
              </w:rPr>
            </w:pPr>
          </w:p>
        </w:tc>
        <w:tc>
          <w:tcPr>
            <w:tcW w:w="282" w:type="pct"/>
            <w:shd w:val="clear" w:color="auto" w:fill="CAEDFA"/>
          </w:tcPr>
          <w:p w14:paraId="326D0667" w14:textId="77777777" w:rsidR="00657405" w:rsidRPr="00024D5A" w:rsidRDefault="00657405"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448" w:type="pct"/>
            <w:vMerge/>
          </w:tcPr>
          <w:p w14:paraId="1B9B5B16" w14:textId="77777777" w:rsidR="00657405" w:rsidRPr="00024D5A" w:rsidRDefault="00657405" w:rsidP="001464FD">
            <w:pPr>
              <w:rPr>
                <w:rFonts w:ascii="Garamond" w:eastAsia="Times New Roman" w:hAnsi="Garamond"/>
                <w:sz w:val="14"/>
                <w:szCs w:val="16"/>
                <w:lang w:eastAsia="en-US"/>
              </w:rPr>
            </w:pPr>
          </w:p>
        </w:tc>
        <w:tc>
          <w:tcPr>
            <w:tcW w:w="816" w:type="pct"/>
            <w:vMerge/>
          </w:tcPr>
          <w:p w14:paraId="32022147" w14:textId="77777777" w:rsidR="00657405" w:rsidRPr="00024D5A" w:rsidRDefault="00657405" w:rsidP="001464FD">
            <w:pPr>
              <w:rPr>
                <w:rFonts w:ascii="Garamond" w:eastAsia="Times New Roman" w:hAnsi="Garamond"/>
                <w:sz w:val="14"/>
                <w:szCs w:val="16"/>
                <w:lang w:eastAsia="en-US"/>
              </w:rPr>
            </w:pPr>
          </w:p>
        </w:tc>
        <w:tc>
          <w:tcPr>
            <w:tcW w:w="639" w:type="pct"/>
            <w:vMerge/>
          </w:tcPr>
          <w:p w14:paraId="16C362CF" w14:textId="77777777" w:rsidR="00657405" w:rsidRPr="00024D5A" w:rsidRDefault="00657405" w:rsidP="001464FD">
            <w:pPr>
              <w:rPr>
                <w:rFonts w:ascii="Garamond" w:eastAsia="Times New Roman" w:hAnsi="Garamond"/>
                <w:sz w:val="14"/>
                <w:szCs w:val="16"/>
                <w:lang w:eastAsia="en-US"/>
              </w:rPr>
            </w:pPr>
          </w:p>
        </w:tc>
        <w:tc>
          <w:tcPr>
            <w:tcW w:w="967" w:type="pct"/>
            <w:vMerge/>
          </w:tcPr>
          <w:p w14:paraId="60B253A6" w14:textId="77777777" w:rsidR="00657405" w:rsidRPr="00024D5A" w:rsidRDefault="00657405" w:rsidP="001464FD">
            <w:pPr>
              <w:rPr>
                <w:rFonts w:ascii="Garamond" w:eastAsia="Times New Roman" w:hAnsi="Garamond"/>
                <w:sz w:val="14"/>
                <w:szCs w:val="16"/>
                <w:lang w:eastAsia="en-US"/>
              </w:rPr>
            </w:pPr>
          </w:p>
        </w:tc>
      </w:tr>
      <w:tr w:rsidR="00657405" w:rsidRPr="00024D5A" w14:paraId="0994EFE1" w14:textId="77777777" w:rsidTr="00AC6792">
        <w:trPr>
          <w:trHeight w:val="20"/>
        </w:trPr>
        <w:tc>
          <w:tcPr>
            <w:tcW w:w="666" w:type="pct"/>
            <w:vMerge/>
            <w:shd w:val="clear" w:color="auto" w:fill="CAEDFA"/>
          </w:tcPr>
          <w:p w14:paraId="1287904A" w14:textId="38A8C178" w:rsidR="00657405" w:rsidRPr="00024D5A" w:rsidRDefault="00657405" w:rsidP="001464FD">
            <w:pPr>
              <w:rPr>
                <w:rFonts w:ascii="Garamond" w:eastAsia="Times New Roman" w:hAnsi="Garamond"/>
                <w:sz w:val="14"/>
                <w:szCs w:val="16"/>
                <w:lang w:eastAsia="en-US"/>
              </w:rPr>
            </w:pPr>
          </w:p>
        </w:tc>
        <w:tc>
          <w:tcPr>
            <w:tcW w:w="590" w:type="pct"/>
            <w:vMerge/>
          </w:tcPr>
          <w:p w14:paraId="75B7139D" w14:textId="77777777" w:rsidR="00657405" w:rsidRPr="00024D5A" w:rsidRDefault="00657405" w:rsidP="001464FD">
            <w:pPr>
              <w:rPr>
                <w:rFonts w:ascii="Garamond" w:eastAsia="Times New Roman" w:hAnsi="Garamond"/>
                <w:sz w:val="14"/>
                <w:szCs w:val="16"/>
                <w:lang w:eastAsia="en-US"/>
              </w:rPr>
            </w:pPr>
          </w:p>
        </w:tc>
        <w:tc>
          <w:tcPr>
            <w:tcW w:w="592" w:type="pct"/>
            <w:vMerge/>
          </w:tcPr>
          <w:p w14:paraId="0B7858BD" w14:textId="77777777" w:rsidR="00657405" w:rsidRPr="00024D5A" w:rsidRDefault="00657405" w:rsidP="001464FD">
            <w:pPr>
              <w:rPr>
                <w:rFonts w:ascii="Garamond" w:eastAsia="Times New Roman" w:hAnsi="Garamond"/>
                <w:sz w:val="14"/>
                <w:szCs w:val="16"/>
                <w:lang w:eastAsia="en-US"/>
              </w:rPr>
            </w:pPr>
          </w:p>
        </w:tc>
        <w:tc>
          <w:tcPr>
            <w:tcW w:w="282" w:type="pct"/>
            <w:shd w:val="clear" w:color="auto" w:fill="CAEDFA"/>
          </w:tcPr>
          <w:p w14:paraId="22F0F0F3" w14:textId="77777777" w:rsidR="00657405" w:rsidRPr="00024D5A" w:rsidRDefault="00657405"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448" w:type="pct"/>
            <w:vMerge/>
          </w:tcPr>
          <w:p w14:paraId="10586D27" w14:textId="77777777" w:rsidR="00657405" w:rsidRPr="00024D5A" w:rsidRDefault="00657405" w:rsidP="001464FD">
            <w:pPr>
              <w:rPr>
                <w:rFonts w:ascii="Garamond" w:eastAsia="Times New Roman" w:hAnsi="Garamond"/>
                <w:sz w:val="14"/>
                <w:szCs w:val="16"/>
                <w:lang w:eastAsia="en-US"/>
              </w:rPr>
            </w:pPr>
          </w:p>
        </w:tc>
        <w:tc>
          <w:tcPr>
            <w:tcW w:w="816" w:type="pct"/>
            <w:vMerge/>
          </w:tcPr>
          <w:p w14:paraId="2B602099" w14:textId="77777777" w:rsidR="00657405" w:rsidRPr="00024D5A" w:rsidRDefault="00657405" w:rsidP="001464FD">
            <w:pPr>
              <w:rPr>
                <w:rFonts w:ascii="Garamond" w:eastAsia="Times New Roman" w:hAnsi="Garamond"/>
                <w:sz w:val="14"/>
                <w:szCs w:val="16"/>
                <w:lang w:eastAsia="en-US"/>
              </w:rPr>
            </w:pPr>
          </w:p>
        </w:tc>
        <w:tc>
          <w:tcPr>
            <w:tcW w:w="639" w:type="pct"/>
            <w:vMerge/>
          </w:tcPr>
          <w:p w14:paraId="21CF6699" w14:textId="77777777" w:rsidR="00657405" w:rsidRPr="00024D5A" w:rsidRDefault="00657405" w:rsidP="001464FD">
            <w:pPr>
              <w:rPr>
                <w:rFonts w:ascii="Garamond" w:eastAsia="Times New Roman" w:hAnsi="Garamond"/>
                <w:sz w:val="14"/>
                <w:szCs w:val="16"/>
                <w:lang w:eastAsia="en-US"/>
              </w:rPr>
            </w:pPr>
          </w:p>
        </w:tc>
        <w:tc>
          <w:tcPr>
            <w:tcW w:w="967" w:type="pct"/>
            <w:vMerge/>
          </w:tcPr>
          <w:p w14:paraId="2C9FCD55" w14:textId="77777777" w:rsidR="00657405" w:rsidRPr="00024D5A" w:rsidRDefault="00657405" w:rsidP="001464FD">
            <w:pPr>
              <w:rPr>
                <w:rFonts w:ascii="Garamond" w:eastAsia="Times New Roman" w:hAnsi="Garamond"/>
                <w:sz w:val="14"/>
                <w:szCs w:val="16"/>
                <w:lang w:eastAsia="en-US"/>
              </w:rPr>
            </w:pPr>
          </w:p>
        </w:tc>
      </w:tr>
      <w:tr w:rsidR="00657405" w:rsidRPr="00024D5A" w14:paraId="478A1BAC" w14:textId="77777777" w:rsidTr="00AC6792">
        <w:trPr>
          <w:trHeight w:val="20"/>
        </w:trPr>
        <w:tc>
          <w:tcPr>
            <w:tcW w:w="666" w:type="pct"/>
            <w:vMerge/>
            <w:shd w:val="clear" w:color="auto" w:fill="CAEDFA"/>
          </w:tcPr>
          <w:p w14:paraId="31C32E7B" w14:textId="38F8DAF7" w:rsidR="00657405" w:rsidRPr="00024D5A" w:rsidRDefault="00657405" w:rsidP="001464FD">
            <w:pPr>
              <w:rPr>
                <w:rFonts w:ascii="Garamond" w:eastAsia="Times New Roman" w:hAnsi="Garamond"/>
                <w:sz w:val="14"/>
                <w:szCs w:val="16"/>
                <w:lang w:eastAsia="en-US"/>
              </w:rPr>
            </w:pPr>
          </w:p>
        </w:tc>
        <w:tc>
          <w:tcPr>
            <w:tcW w:w="590" w:type="pct"/>
            <w:vMerge/>
          </w:tcPr>
          <w:p w14:paraId="27DAF0D0" w14:textId="77777777" w:rsidR="00657405" w:rsidRPr="00024D5A" w:rsidRDefault="00657405" w:rsidP="001464FD">
            <w:pPr>
              <w:rPr>
                <w:rFonts w:ascii="Garamond" w:eastAsia="Times New Roman" w:hAnsi="Garamond"/>
                <w:sz w:val="14"/>
                <w:szCs w:val="16"/>
                <w:lang w:eastAsia="en-US"/>
              </w:rPr>
            </w:pPr>
          </w:p>
        </w:tc>
        <w:tc>
          <w:tcPr>
            <w:tcW w:w="592" w:type="pct"/>
            <w:vMerge/>
          </w:tcPr>
          <w:p w14:paraId="15552405" w14:textId="77777777" w:rsidR="00657405" w:rsidRPr="00024D5A" w:rsidRDefault="00657405" w:rsidP="001464FD">
            <w:pPr>
              <w:rPr>
                <w:rFonts w:ascii="Garamond" w:eastAsia="Times New Roman" w:hAnsi="Garamond"/>
                <w:sz w:val="14"/>
                <w:szCs w:val="16"/>
                <w:lang w:eastAsia="en-US"/>
              </w:rPr>
            </w:pPr>
          </w:p>
        </w:tc>
        <w:tc>
          <w:tcPr>
            <w:tcW w:w="282" w:type="pct"/>
            <w:shd w:val="clear" w:color="auto" w:fill="CAEDFA"/>
          </w:tcPr>
          <w:p w14:paraId="7E53A017" w14:textId="77777777" w:rsidR="00657405" w:rsidRPr="00024D5A" w:rsidRDefault="00657405"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448" w:type="pct"/>
            <w:vMerge/>
          </w:tcPr>
          <w:p w14:paraId="69318F1C" w14:textId="77777777" w:rsidR="00657405" w:rsidRPr="00024D5A" w:rsidRDefault="00657405" w:rsidP="001464FD">
            <w:pPr>
              <w:rPr>
                <w:rFonts w:ascii="Garamond" w:eastAsia="Times New Roman" w:hAnsi="Garamond"/>
                <w:sz w:val="14"/>
                <w:szCs w:val="16"/>
                <w:lang w:eastAsia="en-US"/>
              </w:rPr>
            </w:pPr>
          </w:p>
        </w:tc>
        <w:tc>
          <w:tcPr>
            <w:tcW w:w="816" w:type="pct"/>
            <w:vMerge/>
          </w:tcPr>
          <w:p w14:paraId="2D4C0FA5" w14:textId="77777777" w:rsidR="00657405" w:rsidRPr="00024D5A" w:rsidRDefault="00657405" w:rsidP="001464FD">
            <w:pPr>
              <w:rPr>
                <w:rFonts w:ascii="Garamond" w:eastAsia="Times New Roman" w:hAnsi="Garamond"/>
                <w:sz w:val="14"/>
                <w:szCs w:val="16"/>
                <w:lang w:eastAsia="en-US"/>
              </w:rPr>
            </w:pPr>
          </w:p>
        </w:tc>
        <w:tc>
          <w:tcPr>
            <w:tcW w:w="639" w:type="pct"/>
            <w:vMerge/>
          </w:tcPr>
          <w:p w14:paraId="5A010B0D" w14:textId="77777777" w:rsidR="00657405" w:rsidRPr="00024D5A" w:rsidRDefault="00657405" w:rsidP="001464FD">
            <w:pPr>
              <w:rPr>
                <w:rFonts w:ascii="Garamond" w:eastAsia="Times New Roman" w:hAnsi="Garamond"/>
                <w:sz w:val="14"/>
                <w:szCs w:val="16"/>
                <w:lang w:eastAsia="en-US"/>
              </w:rPr>
            </w:pPr>
          </w:p>
        </w:tc>
        <w:tc>
          <w:tcPr>
            <w:tcW w:w="967" w:type="pct"/>
            <w:vMerge/>
          </w:tcPr>
          <w:p w14:paraId="7511D0F4" w14:textId="77777777" w:rsidR="00657405" w:rsidRPr="00024D5A" w:rsidRDefault="00657405" w:rsidP="001464FD">
            <w:pPr>
              <w:rPr>
                <w:rFonts w:ascii="Garamond" w:eastAsia="Times New Roman" w:hAnsi="Garamond"/>
                <w:sz w:val="14"/>
                <w:szCs w:val="16"/>
                <w:lang w:eastAsia="en-US"/>
              </w:rPr>
            </w:pPr>
          </w:p>
        </w:tc>
      </w:tr>
      <w:tr w:rsidR="003E1630" w:rsidRPr="00024D5A" w14:paraId="123A8FD9" w14:textId="77777777" w:rsidTr="00AC6792">
        <w:trPr>
          <w:trHeight w:val="20"/>
        </w:trPr>
        <w:tc>
          <w:tcPr>
            <w:tcW w:w="666" w:type="pct"/>
            <w:vMerge w:val="restart"/>
          </w:tcPr>
          <w:p w14:paraId="18547937" w14:textId="77777777" w:rsidR="003E1630" w:rsidRPr="00024D5A" w:rsidRDefault="005743A8" w:rsidP="006A49A1">
            <w:pPr>
              <w:rPr>
                <w:rFonts w:ascii="Garamond" w:eastAsia="Times New Roman" w:hAnsi="Garamond"/>
                <w:b/>
                <w:bCs/>
                <w:sz w:val="14"/>
                <w:szCs w:val="16"/>
                <w:lang w:eastAsia="en-US"/>
              </w:rPr>
            </w:pPr>
            <w:r w:rsidRPr="00024D5A">
              <w:rPr>
                <w:rFonts w:ascii="Garamond" w:eastAsia="Times New Roman" w:hAnsi="Garamond"/>
                <w:b/>
                <w:bCs/>
                <w:sz w:val="14"/>
                <w:szCs w:val="16"/>
                <w:lang w:eastAsia="en-US"/>
              </w:rPr>
              <w:t>Masat prioritare</w:t>
            </w:r>
          </w:p>
        </w:tc>
        <w:tc>
          <w:tcPr>
            <w:tcW w:w="590" w:type="pct"/>
            <w:vMerge w:val="restart"/>
          </w:tcPr>
          <w:p w14:paraId="7BBB03C0" w14:textId="77F24C8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Masa </w:t>
            </w:r>
            <w:r w:rsidR="006A49A1" w:rsidRPr="00024D5A">
              <w:rPr>
                <w:rFonts w:ascii="Garamond" w:eastAsia="Times New Roman" w:hAnsi="Garamond"/>
                <w:sz w:val="14"/>
                <w:szCs w:val="16"/>
                <w:lang w:eastAsia="en-US"/>
              </w:rPr>
              <w:t xml:space="preserve">prioritare </w:t>
            </w:r>
            <w:r w:rsidRPr="00024D5A">
              <w:rPr>
                <w:rFonts w:ascii="Garamond" w:eastAsia="Times New Roman" w:hAnsi="Garamond"/>
                <w:sz w:val="14"/>
                <w:szCs w:val="16"/>
                <w:lang w:eastAsia="en-US"/>
              </w:rPr>
              <w:t>1.1</w:t>
            </w:r>
            <w:r w:rsidR="00110C9A">
              <w:rPr>
                <w:rFonts w:ascii="Garamond" w:eastAsia="Times New Roman" w:hAnsi="Garamond"/>
                <w:sz w:val="14"/>
                <w:szCs w:val="16"/>
                <w:lang w:eastAsia="en-US"/>
              </w:rPr>
              <w:t xml:space="preserve">: </w:t>
            </w:r>
            <w:r w:rsidRPr="00024D5A">
              <w:rPr>
                <w:rFonts w:ascii="Garamond" w:eastAsia="Times New Roman" w:hAnsi="Garamond"/>
                <w:sz w:val="14"/>
                <w:szCs w:val="16"/>
                <w:lang w:eastAsia="en-US"/>
              </w:rPr>
              <w:t>Forcimi i parandalimit dhe diagnostikimit të hershëm</w:t>
            </w:r>
            <w:r w:rsidR="006A49A1"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w:t>
            </w:r>
          </w:p>
        </w:tc>
        <w:tc>
          <w:tcPr>
            <w:tcW w:w="592" w:type="pct"/>
          </w:tcPr>
          <w:p w14:paraId="508BD59C"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Përqindja e qendrave shëndetësore që kryejnë kontrolle dhe identifikim të hershëm sipas protokollit standard.</w:t>
            </w:r>
          </w:p>
        </w:tc>
        <w:tc>
          <w:tcPr>
            <w:tcW w:w="282" w:type="pct"/>
            <w:noWrap/>
          </w:tcPr>
          <w:p w14:paraId="1F8E9B10"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N/A</w:t>
            </w:r>
          </w:p>
        </w:tc>
        <w:tc>
          <w:tcPr>
            <w:tcW w:w="448" w:type="pct"/>
            <w:noWrap/>
          </w:tcPr>
          <w:p w14:paraId="3CDF830A"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30%</w:t>
            </w:r>
          </w:p>
        </w:tc>
        <w:tc>
          <w:tcPr>
            <w:tcW w:w="816" w:type="pct"/>
            <w:noWrap/>
          </w:tcPr>
          <w:p w14:paraId="65B2E262"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50%</w:t>
            </w:r>
          </w:p>
        </w:tc>
        <w:tc>
          <w:tcPr>
            <w:tcW w:w="639" w:type="pct"/>
          </w:tcPr>
          <w:p w14:paraId="1AA3BBF2" w14:textId="2A7EA046"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Raportet administrative të kujdesit parësor/MSHMS</w:t>
            </w:r>
            <w:r w:rsidR="006A49A1" w:rsidRPr="00024D5A">
              <w:rPr>
                <w:rFonts w:ascii="Garamond" w:eastAsia="Times New Roman" w:hAnsi="Garamond"/>
                <w:sz w:val="14"/>
                <w:szCs w:val="16"/>
                <w:lang w:eastAsia="en-US"/>
              </w:rPr>
              <w:t>.</w:t>
            </w:r>
          </w:p>
        </w:tc>
        <w:tc>
          <w:tcPr>
            <w:tcW w:w="967" w:type="pct"/>
          </w:tcPr>
          <w:p w14:paraId="166DED70"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r>
      <w:tr w:rsidR="003E1630" w:rsidRPr="00024D5A" w14:paraId="52D2FF03" w14:textId="77777777" w:rsidTr="00AC6792">
        <w:trPr>
          <w:trHeight w:val="20"/>
        </w:trPr>
        <w:tc>
          <w:tcPr>
            <w:tcW w:w="666" w:type="pct"/>
            <w:vMerge/>
          </w:tcPr>
          <w:p w14:paraId="6BAD271C" w14:textId="77777777" w:rsidR="003E1630" w:rsidRPr="00024D5A" w:rsidRDefault="003E1630" w:rsidP="001464FD">
            <w:pPr>
              <w:rPr>
                <w:rFonts w:ascii="Garamond" w:eastAsia="Times New Roman" w:hAnsi="Garamond"/>
                <w:b/>
                <w:bCs/>
                <w:sz w:val="14"/>
                <w:szCs w:val="16"/>
                <w:lang w:eastAsia="en-US"/>
              </w:rPr>
            </w:pPr>
          </w:p>
        </w:tc>
        <w:tc>
          <w:tcPr>
            <w:tcW w:w="590" w:type="pct"/>
            <w:vMerge/>
          </w:tcPr>
          <w:p w14:paraId="6CC24E9C" w14:textId="77777777" w:rsidR="003E1630" w:rsidRPr="00024D5A" w:rsidRDefault="003E1630" w:rsidP="001464FD">
            <w:pPr>
              <w:rPr>
                <w:rFonts w:ascii="Garamond" w:eastAsia="Times New Roman" w:hAnsi="Garamond"/>
                <w:sz w:val="14"/>
                <w:szCs w:val="16"/>
                <w:lang w:eastAsia="en-US"/>
              </w:rPr>
            </w:pPr>
          </w:p>
        </w:tc>
        <w:tc>
          <w:tcPr>
            <w:tcW w:w="592" w:type="pct"/>
          </w:tcPr>
          <w:p w14:paraId="754EB72C"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Përqindja e fëmijëve me aftësi të kufizuara të përfshirë në Programin Kombëtar të Vaksinimit sipas kalendarit të vaksinimit.</w:t>
            </w:r>
          </w:p>
        </w:tc>
        <w:tc>
          <w:tcPr>
            <w:tcW w:w="282" w:type="pct"/>
            <w:noWrap/>
          </w:tcPr>
          <w:p w14:paraId="67D6009A"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N/A</w:t>
            </w:r>
          </w:p>
        </w:tc>
        <w:tc>
          <w:tcPr>
            <w:tcW w:w="448" w:type="pct"/>
            <w:noWrap/>
          </w:tcPr>
          <w:p w14:paraId="17E20A43"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60%</w:t>
            </w:r>
          </w:p>
        </w:tc>
        <w:tc>
          <w:tcPr>
            <w:tcW w:w="816" w:type="pct"/>
            <w:noWrap/>
          </w:tcPr>
          <w:p w14:paraId="55B0588C"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80%</w:t>
            </w:r>
          </w:p>
        </w:tc>
        <w:tc>
          <w:tcPr>
            <w:tcW w:w="639" w:type="pct"/>
          </w:tcPr>
          <w:p w14:paraId="6941D324"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967" w:type="pct"/>
          </w:tcPr>
          <w:p w14:paraId="1D4DF594"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r>
      <w:tr w:rsidR="003E1630" w:rsidRPr="00024D5A" w14:paraId="54485382" w14:textId="77777777" w:rsidTr="00AC6792">
        <w:trPr>
          <w:trHeight w:val="20"/>
        </w:trPr>
        <w:tc>
          <w:tcPr>
            <w:tcW w:w="666" w:type="pct"/>
            <w:vMerge/>
          </w:tcPr>
          <w:p w14:paraId="038E048A" w14:textId="77777777" w:rsidR="003E1630" w:rsidRPr="00024D5A" w:rsidRDefault="003E1630" w:rsidP="001464FD">
            <w:pPr>
              <w:rPr>
                <w:rFonts w:ascii="Garamond" w:eastAsia="Times New Roman" w:hAnsi="Garamond"/>
                <w:b/>
                <w:bCs/>
                <w:sz w:val="14"/>
                <w:szCs w:val="16"/>
                <w:lang w:eastAsia="en-US"/>
              </w:rPr>
            </w:pPr>
          </w:p>
        </w:tc>
        <w:tc>
          <w:tcPr>
            <w:tcW w:w="590" w:type="pct"/>
            <w:vMerge w:val="restart"/>
          </w:tcPr>
          <w:p w14:paraId="7A50CB91" w14:textId="24450BAD"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Masa </w:t>
            </w:r>
            <w:r w:rsidR="006A49A1" w:rsidRPr="00024D5A">
              <w:rPr>
                <w:rFonts w:ascii="Garamond" w:eastAsia="Times New Roman" w:hAnsi="Garamond"/>
                <w:sz w:val="14"/>
                <w:szCs w:val="16"/>
                <w:lang w:eastAsia="en-US"/>
              </w:rPr>
              <w:t xml:space="preserve">prioritare </w:t>
            </w:r>
            <w:r w:rsidRPr="00024D5A">
              <w:rPr>
                <w:rFonts w:ascii="Garamond" w:eastAsia="Times New Roman" w:hAnsi="Garamond"/>
                <w:sz w:val="14"/>
                <w:szCs w:val="16"/>
                <w:lang w:eastAsia="en-US"/>
              </w:rPr>
              <w:t>1.2</w:t>
            </w:r>
            <w:r w:rsidR="00110C9A">
              <w:rPr>
                <w:rFonts w:ascii="Garamond" w:eastAsia="Times New Roman" w:hAnsi="Garamond"/>
                <w:sz w:val="14"/>
                <w:szCs w:val="16"/>
                <w:lang w:eastAsia="en-US"/>
              </w:rPr>
              <w:t>:</w:t>
            </w:r>
            <w:r w:rsidR="00F958F2">
              <w:rPr>
                <w:rFonts w:ascii="Garamond" w:eastAsia="Times New Roman" w:hAnsi="Garamond"/>
                <w:sz w:val="14"/>
                <w:szCs w:val="16"/>
                <w:lang w:eastAsia="en-US"/>
              </w:rPr>
              <w:t xml:space="preserve"> </w:t>
            </w:r>
            <w:r w:rsidRPr="00024D5A">
              <w:rPr>
                <w:rFonts w:ascii="Garamond" w:eastAsia="Times New Roman" w:hAnsi="Garamond"/>
                <w:sz w:val="14"/>
                <w:szCs w:val="16"/>
                <w:lang w:eastAsia="en-US"/>
              </w:rPr>
              <w:t>Zhvillimi i kujdesit shëndetësor gjithëpërfshirës dhe të orientuar drejt personave me aftësi të kufizuara</w:t>
            </w:r>
            <w:r w:rsidR="006A49A1" w:rsidRPr="00024D5A">
              <w:rPr>
                <w:rFonts w:ascii="Garamond" w:eastAsia="Times New Roman" w:hAnsi="Garamond"/>
                <w:sz w:val="14"/>
                <w:szCs w:val="16"/>
                <w:lang w:eastAsia="en-US"/>
              </w:rPr>
              <w:t>.</w:t>
            </w:r>
          </w:p>
        </w:tc>
        <w:tc>
          <w:tcPr>
            <w:tcW w:w="592" w:type="pct"/>
          </w:tcPr>
          <w:p w14:paraId="089E64AD"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Numri i njësive të kujdesit shëndetësor parësor që funksionojnë me ekipe socio-shëndetësore për identifikimin, informimin dhe referimin e personave me aftësi të kufizuara.</w:t>
            </w:r>
          </w:p>
        </w:tc>
        <w:tc>
          <w:tcPr>
            <w:tcW w:w="282" w:type="pct"/>
          </w:tcPr>
          <w:p w14:paraId="3F890302"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103</w:t>
            </w:r>
          </w:p>
        </w:tc>
        <w:tc>
          <w:tcPr>
            <w:tcW w:w="448" w:type="pct"/>
            <w:noWrap/>
          </w:tcPr>
          <w:p w14:paraId="06454C7B"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120</w:t>
            </w:r>
          </w:p>
        </w:tc>
        <w:tc>
          <w:tcPr>
            <w:tcW w:w="816" w:type="pct"/>
            <w:noWrap/>
          </w:tcPr>
          <w:p w14:paraId="2B93BB9D"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170</w:t>
            </w:r>
          </w:p>
        </w:tc>
        <w:tc>
          <w:tcPr>
            <w:tcW w:w="639" w:type="pct"/>
          </w:tcPr>
          <w:p w14:paraId="5D9140F6" w14:textId="1905A232"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MSHMS;</w:t>
            </w:r>
            <w:r w:rsidRPr="00024D5A">
              <w:rPr>
                <w:rFonts w:ascii="Garamond" w:eastAsia="Times New Roman" w:hAnsi="Garamond"/>
                <w:sz w:val="14"/>
                <w:szCs w:val="16"/>
                <w:lang w:eastAsia="en-US"/>
              </w:rPr>
              <w:br/>
              <w:t>Raportet e kujdesit parësor;</w:t>
            </w:r>
            <w:r w:rsidRPr="00024D5A">
              <w:rPr>
                <w:rFonts w:ascii="Garamond" w:eastAsia="Times New Roman" w:hAnsi="Garamond"/>
                <w:sz w:val="14"/>
                <w:szCs w:val="16"/>
                <w:lang w:eastAsia="en-US"/>
              </w:rPr>
              <w:br/>
              <w:t>Akte zyrtare të MSHMS</w:t>
            </w:r>
            <w:r w:rsidR="006A49A1" w:rsidRPr="00024D5A">
              <w:rPr>
                <w:rFonts w:ascii="Garamond" w:eastAsia="Times New Roman" w:hAnsi="Garamond"/>
                <w:sz w:val="14"/>
                <w:szCs w:val="16"/>
                <w:lang w:eastAsia="en-US"/>
              </w:rPr>
              <w:t>-së</w:t>
            </w:r>
            <w:r w:rsidRPr="00024D5A">
              <w:rPr>
                <w:rFonts w:ascii="Garamond" w:eastAsia="Times New Roman" w:hAnsi="Garamond"/>
                <w:sz w:val="14"/>
                <w:szCs w:val="16"/>
                <w:lang w:eastAsia="en-US"/>
              </w:rPr>
              <w:t>; Raportet e monitorimit;</w:t>
            </w:r>
            <w:r w:rsidRPr="00024D5A">
              <w:rPr>
                <w:rFonts w:ascii="Garamond" w:eastAsia="Times New Roman" w:hAnsi="Garamond"/>
                <w:sz w:val="14"/>
                <w:szCs w:val="16"/>
                <w:lang w:eastAsia="en-US"/>
              </w:rPr>
              <w:br/>
              <w:t>FSDKSH;</w:t>
            </w:r>
            <w:r w:rsidRPr="00024D5A">
              <w:rPr>
                <w:rFonts w:ascii="Garamond" w:eastAsia="Times New Roman" w:hAnsi="Garamond"/>
                <w:sz w:val="14"/>
                <w:szCs w:val="16"/>
                <w:lang w:eastAsia="en-US"/>
              </w:rPr>
              <w:br/>
              <w:t>Qendrat shëndetësore</w:t>
            </w:r>
            <w:r w:rsidR="007675EC"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raportet e MSHMS</w:t>
            </w:r>
            <w:r w:rsidR="006A49A1" w:rsidRPr="00024D5A">
              <w:rPr>
                <w:rFonts w:ascii="Garamond" w:eastAsia="Times New Roman" w:hAnsi="Garamond"/>
                <w:sz w:val="14"/>
                <w:szCs w:val="16"/>
                <w:lang w:eastAsia="en-US"/>
              </w:rPr>
              <w:t>-së.</w:t>
            </w:r>
          </w:p>
        </w:tc>
        <w:tc>
          <w:tcPr>
            <w:tcW w:w="967" w:type="pct"/>
          </w:tcPr>
          <w:p w14:paraId="28760FC9"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r>
      <w:tr w:rsidR="003E1630" w:rsidRPr="00024D5A" w14:paraId="52EF08BD" w14:textId="77777777" w:rsidTr="00AC6792">
        <w:trPr>
          <w:trHeight w:val="20"/>
        </w:trPr>
        <w:tc>
          <w:tcPr>
            <w:tcW w:w="666" w:type="pct"/>
            <w:vMerge/>
          </w:tcPr>
          <w:p w14:paraId="75B8729F" w14:textId="77777777" w:rsidR="003E1630" w:rsidRPr="00024D5A" w:rsidRDefault="003E1630" w:rsidP="001464FD">
            <w:pPr>
              <w:rPr>
                <w:rFonts w:ascii="Garamond" w:eastAsia="Times New Roman" w:hAnsi="Garamond"/>
                <w:b/>
                <w:bCs/>
                <w:sz w:val="14"/>
                <w:szCs w:val="16"/>
                <w:lang w:eastAsia="en-US"/>
              </w:rPr>
            </w:pPr>
          </w:p>
        </w:tc>
        <w:tc>
          <w:tcPr>
            <w:tcW w:w="590" w:type="pct"/>
            <w:vMerge/>
          </w:tcPr>
          <w:p w14:paraId="40123A25" w14:textId="77777777" w:rsidR="003E1630" w:rsidRPr="00024D5A" w:rsidRDefault="003E1630" w:rsidP="001464FD">
            <w:pPr>
              <w:rPr>
                <w:rFonts w:ascii="Garamond" w:eastAsia="Times New Roman" w:hAnsi="Garamond"/>
                <w:sz w:val="14"/>
                <w:szCs w:val="16"/>
                <w:lang w:eastAsia="en-US"/>
              </w:rPr>
            </w:pPr>
          </w:p>
        </w:tc>
        <w:tc>
          <w:tcPr>
            <w:tcW w:w="592" w:type="pct"/>
          </w:tcPr>
          <w:p w14:paraId="164D6500"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Standardet dhe udhëzuesi kombëtar për ofrimin e shërbimeve shëndetësore gjithëpërfshirëse për personat me aftësi të kufizuara të miratuara dhe në zbatim nga ofruesit e shërbimeve shëndetësore.</w:t>
            </w:r>
          </w:p>
        </w:tc>
        <w:tc>
          <w:tcPr>
            <w:tcW w:w="282" w:type="pct"/>
          </w:tcPr>
          <w:p w14:paraId="32287663"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N/A</w:t>
            </w:r>
          </w:p>
        </w:tc>
        <w:tc>
          <w:tcPr>
            <w:tcW w:w="448" w:type="pct"/>
            <w:noWrap/>
          </w:tcPr>
          <w:p w14:paraId="55526F15"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100%</w:t>
            </w:r>
          </w:p>
        </w:tc>
        <w:tc>
          <w:tcPr>
            <w:tcW w:w="816" w:type="pct"/>
            <w:noWrap/>
          </w:tcPr>
          <w:p w14:paraId="567C5E88"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100%</w:t>
            </w:r>
          </w:p>
        </w:tc>
        <w:tc>
          <w:tcPr>
            <w:tcW w:w="639" w:type="pct"/>
          </w:tcPr>
          <w:p w14:paraId="7C436271"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967" w:type="pct"/>
          </w:tcPr>
          <w:p w14:paraId="40247D7D"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r>
      <w:tr w:rsidR="003E1630" w:rsidRPr="00024D5A" w14:paraId="0CBA4C7D" w14:textId="77777777" w:rsidTr="00AC6792">
        <w:trPr>
          <w:trHeight w:val="20"/>
        </w:trPr>
        <w:tc>
          <w:tcPr>
            <w:tcW w:w="666" w:type="pct"/>
            <w:vMerge/>
          </w:tcPr>
          <w:p w14:paraId="372F1CD1" w14:textId="77777777" w:rsidR="003E1630" w:rsidRPr="00024D5A" w:rsidRDefault="003E1630" w:rsidP="001464FD">
            <w:pPr>
              <w:rPr>
                <w:rFonts w:ascii="Garamond" w:eastAsia="Times New Roman" w:hAnsi="Garamond"/>
                <w:b/>
                <w:bCs/>
                <w:sz w:val="14"/>
                <w:szCs w:val="16"/>
                <w:lang w:eastAsia="en-US"/>
              </w:rPr>
            </w:pPr>
          </w:p>
        </w:tc>
        <w:tc>
          <w:tcPr>
            <w:tcW w:w="590" w:type="pct"/>
            <w:vMerge/>
          </w:tcPr>
          <w:p w14:paraId="257155D2" w14:textId="77777777" w:rsidR="003E1630" w:rsidRPr="00024D5A" w:rsidRDefault="003E1630" w:rsidP="001464FD">
            <w:pPr>
              <w:rPr>
                <w:rFonts w:ascii="Garamond" w:eastAsia="Times New Roman" w:hAnsi="Garamond"/>
                <w:sz w:val="14"/>
                <w:szCs w:val="16"/>
                <w:lang w:eastAsia="en-US"/>
              </w:rPr>
            </w:pPr>
          </w:p>
        </w:tc>
        <w:tc>
          <w:tcPr>
            <w:tcW w:w="592" w:type="pct"/>
          </w:tcPr>
          <w:p w14:paraId="07F60F3E"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Numri i personave me aftësi të kufizuara që marrin shërbime shëndetësore (vizita në kujdesin parësor, specializuara ose shërbime të shëndetit seksual dhe riprodhues) gjatë vitit.</w:t>
            </w:r>
          </w:p>
        </w:tc>
        <w:tc>
          <w:tcPr>
            <w:tcW w:w="282" w:type="pct"/>
          </w:tcPr>
          <w:p w14:paraId="05B3689C"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N/A</w:t>
            </w:r>
          </w:p>
        </w:tc>
        <w:tc>
          <w:tcPr>
            <w:tcW w:w="448" w:type="pct"/>
            <w:noWrap/>
          </w:tcPr>
          <w:p w14:paraId="4EC0ED28"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60%</w:t>
            </w:r>
          </w:p>
        </w:tc>
        <w:tc>
          <w:tcPr>
            <w:tcW w:w="816" w:type="pct"/>
            <w:noWrap/>
          </w:tcPr>
          <w:p w14:paraId="5A56F21E"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80%</w:t>
            </w:r>
          </w:p>
        </w:tc>
        <w:tc>
          <w:tcPr>
            <w:tcW w:w="639" w:type="pct"/>
          </w:tcPr>
          <w:p w14:paraId="549359E4"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967" w:type="pct"/>
          </w:tcPr>
          <w:p w14:paraId="33EC565F"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r>
      <w:tr w:rsidR="003E1630" w:rsidRPr="00024D5A" w14:paraId="30F8D0CC" w14:textId="77777777" w:rsidTr="00AC6792">
        <w:trPr>
          <w:trHeight w:val="20"/>
        </w:trPr>
        <w:tc>
          <w:tcPr>
            <w:tcW w:w="666" w:type="pct"/>
            <w:vMerge/>
          </w:tcPr>
          <w:p w14:paraId="6214FFF2" w14:textId="77777777" w:rsidR="003E1630" w:rsidRPr="00024D5A" w:rsidRDefault="003E1630" w:rsidP="001464FD">
            <w:pPr>
              <w:rPr>
                <w:rFonts w:ascii="Garamond" w:eastAsia="Times New Roman" w:hAnsi="Garamond"/>
                <w:b/>
                <w:bCs/>
                <w:sz w:val="14"/>
                <w:szCs w:val="16"/>
                <w:lang w:eastAsia="en-US"/>
              </w:rPr>
            </w:pPr>
          </w:p>
        </w:tc>
        <w:tc>
          <w:tcPr>
            <w:tcW w:w="590" w:type="pct"/>
            <w:vMerge w:val="restart"/>
          </w:tcPr>
          <w:p w14:paraId="5AABCB04" w14:textId="036D32FA"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Masa </w:t>
            </w:r>
            <w:r w:rsidR="00AC6792" w:rsidRPr="00024D5A">
              <w:rPr>
                <w:rFonts w:ascii="Garamond" w:eastAsia="Times New Roman" w:hAnsi="Garamond"/>
                <w:sz w:val="14"/>
                <w:szCs w:val="16"/>
                <w:lang w:eastAsia="en-US"/>
              </w:rPr>
              <w:t xml:space="preserve">prioritare </w:t>
            </w:r>
            <w:r w:rsidRPr="00024D5A">
              <w:rPr>
                <w:rFonts w:ascii="Garamond" w:eastAsia="Times New Roman" w:hAnsi="Garamond"/>
                <w:sz w:val="14"/>
                <w:szCs w:val="16"/>
                <w:lang w:eastAsia="en-US"/>
              </w:rPr>
              <w:t>2.1</w:t>
            </w:r>
            <w:r w:rsidR="00110C9A">
              <w:rPr>
                <w:rFonts w:ascii="Garamond" w:eastAsia="Times New Roman" w:hAnsi="Garamond"/>
                <w:sz w:val="14"/>
                <w:szCs w:val="16"/>
                <w:lang w:eastAsia="en-US"/>
              </w:rPr>
              <w:t xml:space="preserve">: </w:t>
            </w:r>
            <w:r w:rsidRPr="00024D5A">
              <w:rPr>
                <w:rFonts w:ascii="Garamond" w:eastAsia="Times New Roman" w:hAnsi="Garamond"/>
                <w:sz w:val="14"/>
                <w:szCs w:val="16"/>
                <w:lang w:eastAsia="en-US"/>
              </w:rPr>
              <w:t>Forcimi i shërbimeve të rehabilitimit të bazuara në komunitet.</w:t>
            </w:r>
          </w:p>
        </w:tc>
        <w:tc>
          <w:tcPr>
            <w:tcW w:w="592" w:type="pct"/>
          </w:tcPr>
          <w:p w14:paraId="0B984C12"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Standardet kombëtare për ofrimin e shërbimeve të rehabilitimit të bazuara në komunitet të miratuara dhe të shpërndara tek ofruesit e shërbimeve shëndetësore.</w:t>
            </w:r>
          </w:p>
        </w:tc>
        <w:tc>
          <w:tcPr>
            <w:tcW w:w="282" w:type="pct"/>
          </w:tcPr>
          <w:p w14:paraId="6CAB0C6D"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N/A</w:t>
            </w:r>
          </w:p>
        </w:tc>
        <w:tc>
          <w:tcPr>
            <w:tcW w:w="448" w:type="pct"/>
          </w:tcPr>
          <w:p w14:paraId="7908B325"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100%</w:t>
            </w:r>
          </w:p>
        </w:tc>
        <w:tc>
          <w:tcPr>
            <w:tcW w:w="816" w:type="pct"/>
          </w:tcPr>
          <w:p w14:paraId="5DCD94E4"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100%</w:t>
            </w:r>
          </w:p>
        </w:tc>
        <w:tc>
          <w:tcPr>
            <w:tcW w:w="639" w:type="pct"/>
          </w:tcPr>
          <w:p w14:paraId="0201BBAB" w14:textId="77777777" w:rsidR="00AC6792"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Akte zyrtare të MSHMS</w:t>
            </w:r>
            <w:r w:rsidR="00AC6792" w:rsidRPr="00024D5A">
              <w:rPr>
                <w:rFonts w:ascii="Garamond" w:eastAsia="Times New Roman" w:hAnsi="Garamond"/>
                <w:sz w:val="14"/>
                <w:szCs w:val="16"/>
                <w:lang w:eastAsia="en-US"/>
              </w:rPr>
              <w:t>-së</w:t>
            </w:r>
            <w:r w:rsidRPr="00024D5A">
              <w:rPr>
                <w:rFonts w:ascii="Garamond" w:eastAsia="Times New Roman" w:hAnsi="Garamond"/>
                <w:sz w:val="14"/>
                <w:szCs w:val="16"/>
                <w:lang w:eastAsia="en-US"/>
              </w:rPr>
              <w:t xml:space="preserve">; </w:t>
            </w:r>
          </w:p>
          <w:p w14:paraId="32D5D1CF" w14:textId="04ECDA5E"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Raportet e monitorimit;</w:t>
            </w:r>
            <w:r w:rsidRPr="00024D5A">
              <w:rPr>
                <w:rFonts w:ascii="Garamond" w:eastAsia="Times New Roman" w:hAnsi="Garamond"/>
                <w:sz w:val="14"/>
                <w:szCs w:val="16"/>
                <w:lang w:eastAsia="en-US"/>
              </w:rPr>
              <w:br/>
              <w:t>Raportet e kujdesit shëndetësor</w:t>
            </w:r>
            <w:r w:rsidR="00AC6792" w:rsidRPr="00024D5A">
              <w:rPr>
                <w:rFonts w:ascii="Garamond" w:eastAsia="Times New Roman" w:hAnsi="Garamond"/>
                <w:sz w:val="14"/>
                <w:szCs w:val="16"/>
                <w:lang w:eastAsia="en-US"/>
              </w:rPr>
              <w:t>.</w:t>
            </w:r>
          </w:p>
        </w:tc>
        <w:tc>
          <w:tcPr>
            <w:tcW w:w="967" w:type="pct"/>
          </w:tcPr>
          <w:p w14:paraId="4FDECA04"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r>
      <w:tr w:rsidR="003E1630" w:rsidRPr="00024D5A" w14:paraId="02A91236" w14:textId="77777777" w:rsidTr="00AC6792">
        <w:trPr>
          <w:trHeight w:val="20"/>
        </w:trPr>
        <w:tc>
          <w:tcPr>
            <w:tcW w:w="666" w:type="pct"/>
            <w:vMerge/>
          </w:tcPr>
          <w:p w14:paraId="546EF7AD" w14:textId="77777777" w:rsidR="003E1630" w:rsidRPr="00024D5A" w:rsidRDefault="003E1630" w:rsidP="001464FD">
            <w:pPr>
              <w:rPr>
                <w:rFonts w:ascii="Garamond" w:eastAsia="Times New Roman" w:hAnsi="Garamond"/>
                <w:b/>
                <w:bCs/>
                <w:sz w:val="14"/>
                <w:szCs w:val="16"/>
                <w:lang w:eastAsia="en-US"/>
              </w:rPr>
            </w:pPr>
          </w:p>
        </w:tc>
        <w:tc>
          <w:tcPr>
            <w:tcW w:w="590" w:type="pct"/>
            <w:vMerge/>
          </w:tcPr>
          <w:p w14:paraId="40209252" w14:textId="77777777" w:rsidR="003E1630" w:rsidRPr="00024D5A" w:rsidRDefault="003E1630" w:rsidP="001464FD">
            <w:pPr>
              <w:rPr>
                <w:rFonts w:ascii="Garamond" w:eastAsia="Times New Roman" w:hAnsi="Garamond"/>
                <w:sz w:val="14"/>
                <w:szCs w:val="16"/>
                <w:lang w:eastAsia="en-US"/>
              </w:rPr>
            </w:pPr>
          </w:p>
        </w:tc>
        <w:tc>
          <w:tcPr>
            <w:tcW w:w="592" w:type="pct"/>
          </w:tcPr>
          <w:p w14:paraId="3C9A31E6"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Numri i njësive të kujdesit shëndetësor që ofrojnë shërbime rehabilitimi të bazuara në komunitet sipas standardeve të miratuara.</w:t>
            </w:r>
          </w:p>
        </w:tc>
        <w:tc>
          <w:tcPr>
            <w:tcW w:w="282" w:type="pct"/>
          </w:tcPr>
          <w:p w14:paraId="027923CB"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N/A</w:t>
            </w:r>
          </w:p>
        </w:tc>
        <w:tc>
          <w:tcPr>
            <w:tcW w:w="448" w:type="pct"/>
          </w:tcPr>
          <w:p w14:paraId="7C5ED10C"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20%</w:t>
            </w:r>
          </w:p>
        </w:tc>
        <w:tc>
          <w:tcPr>
            <w:tcW w:w="816" w:type="pct"/>
          </w:tcPr>
          <w:p w14:paraId="5C86C34E"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50%</w:t>
            </w:r>
          </w:p>
        </w:tc>
        <w:tc>
          <w:tcPr>
            <w:tcW w:w="639" w:type="pct"/>
          </w:tcPr>
          <w:p w14:paraId="38FF612D" w14:textId="77777777" w:rsidR="003E1630" w:rsidRPr="00024D5A" w:rsidRDefault="003E1630" w:rsidP="001464FD">
            <w:pPr>
              <w:rPr>
                <w:rFonts w:ascii="Garamond" w:eastAsia="Times New Roman" w:hAnsi="Garamond"/>
                <w:sz w:val="14"/>
                <w:szCs w:val="16"/>
                <w:lang w:eastAsia="en-US"/>
              </w:rPr>
            </w:pPr>
          </w:p>
        </w:tc>
        <w:tc>
          <w:tcPr>
            <w:tcW w:w="967" w:type="pct"/>
          </w:tcPr>
          <w:p w14:paraId="383FCD05"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r>
      <w:tr w:rsidR="003E1630" w:rsidRPr="00024D5A" w14:paraId="53B6B525" w14:textId="77777777" w:rsidTr="00AC6792">
        <w:trPr>
          <w:trHeight w:val="20"/>
        </w:trPr>
        <w:tc>
          <w:tcPr>
            <w:tcW w:w="666" w:type="pct"/>
            <w:vMerge/>
          </w:tcPr>
          <w:p w14:paraId="2B2C497B" w14:textId="77777777" w:rsidR="003E1630" w:rsidRPr="00024D5A" w:rsidRDefault="003E1630" w:rsidP="001464FD">
            <w:pPr>
              <w:rPr>
                <w:rFonts w:ascii="Garamond" w:eastAsia="Times New Roman" w:hAnsi="Garamond"/>
                <w:b/>
                <w:bCs/>
                <w:sz w:val="14"/>
                <w:szCs w:val="16"/>
                <w:lang w:eastAsia="en-US"/>
              </w:rPr>
            </w:pPr>
          </w:p>
        </w:tc>
        <w:tc>
          <w:tcPr>
            <w:tcW w:w="590" w:type="pct"/>
            <w:vMerge w:val="restart"/>
          </w:tcPr>
          <w:p w14:paraId="5D0BBF70" w14:textId="703C8E1A"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Masa </w:t>
            </w:r>
            <w:r w:rsidR="00AC6792" w:rsidRPr="00024D5A">
              <w:rPr>
                <w:rFonts w:ascii="Garamond" w:eastAsia="Times New Roman" w:hAnsi="Garamond"/>
                <w:sz w:val="14"/>
                <w:szCs w:val="16"/>
                <w:lang w:eastAsia="en-US"/>
              </w:rPr>
              <w:t xml:space="preserve">prioritare </w:t>
            </w:r>
            <w:r w:rsidRPr="00024D5A">
              <w:rPr>
                <w:rFonts w:ascii="Garamond" w:eastAsia="Times New Roman" w:hAnsi="Garamond"/>
                <w:sz w:val="14"/>
                <w:szCs w:val="16"/>
                <w:lang w:eastAsia="en-US"/>
              </w:rPr>
              <w:t>2.2</w:t>
            </w:r>
            <w:r w:rsidR="00110C9A">
              <w:rPr>
                <w:rFonts w:ascii="Garamond" w:eastAsia="Times New Roman" w:hAnsi="Garamond"/>
                <w:sz w:val="14"/>
                <w:szCs w:val="16"/>
                <w:lang w:eastAsia="en-US"/>
              </w:rPr>
              <w:t xml:space="preserve">: </w:t>
            </w:r>
            <w:r w:rsidRPr="00024D5A">
              <w:rPr>
                <w:rFonts w:ascii="Garamond" w:eastAsia="Times New Roman" w:hAnsi="Garamond"/>
                <w:sz w:val="14"/>
                <w:szCs w:val="16"/>
                <w:lang w:eastAsia="en-US"/>
              </w:rPr>
              <w:t>Përmirësimi i mirëqenies së personave me aftësi të kufizuara psikosociale, duke zgjeruar dhe forcuar shërbimet në komunitet, si dhe duke përshpejtuar kalimin nga kujdesi institucional drejt mbështetjes gjithëpërfshirëse në komunitet.</w:t>
            </w:r>
          </w:p>
        </w:tc>
        <w:tc>
          <w:tcPr>
            <w:tcW w:w="592" w:type="pct"/>
          </w:tcPr>
          <w:p w14:paraId="26BC0EAB" w14:textId="49255D7A"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Kuadri ligjor dhe nënligjor për personat me aftësi t</w:t>
            </w:r>
            <w:r w:rsidR="00070BC1" w:rsidRPr="00024D5A">
              <w:rPr>
                <w:rFonts w:ascii="Garamond" w:eastAsia="Times New Roman" w:hAnsi="Garamond"/>
                <w:sz w:val="14"/>
                <w:szCs w:val="16"/>
                <w:lang w:eastAsia="en-US"/>
              </w:rPr>
              <w:t>ë</w:t>
            </w:r>
            <w:r w:rsidRPr="00024D5A">
              <w:rPr>
                <w:rFonts w:ascii="Garamond" w:eastAsia="Times New Roman" w:hAnsi="Garamond"/>
                <w:sz w:val="14"/>
                <w:szCs w:val="16"/>
                <w:lang w:eastAsia="en-US"/>
              </w:rPr>
              <w:t xml:space="preserve"> kufizuara psikosociale i rishikuar në përputhje me Konventën për të Drejtat e Personave me Aftësi të Kufizuara, duke përfshirë mekanizmat e vendimmarrjes së mbështetur.</w:t>
            </w:r>
          </w:p>
        </w:tc>
        <w:tc>
          <w:tcPr>
            <w:tcW w:w="282" w:type="pct"/>
          </w:tcPr>
          <w:p w14:paraId="178B8DF1"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N/A</w:t>
            </w:r>
          </w:p>
        </w:tc>
        <w:tc>
          <w:tcPr>
            <w:tcW w:w="448" w:type="pct"/>
          </w:tcPr>
          <w:p w14:paraId="5FD10587"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2 akte rregullatore të ndryshuar</w:t>
            </w:r>
          </w:p>
        </w:tc>
        <w:tc>
          <w:tcPr>
            <w:tcW w:w="816" w:type="pct"/>
          </w:tcPr>
          <w:p w14:paraId="70CE07F9"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4 akte rregullatore të ndryshuar</w:t>
            </w:r>
          </w:p>
        </w:tc>
        <w:tc>
          <w:tcPr>
            <w:tcW w:w="639" w:type="pct"/>
          </w:tcPr>
          <w:p w14:paraId="2B14C5EF" w14:textId="1A7BF2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Ligje dhe akte nënligjore të miratuara nga MSHMS; Shërbimet komunitare të shëndetit mendor;</w:t>
            </w:r>
            <w:r w:rsidRPr="00024D5A">
              <w:rPr>
                <w:rFonts w:ascii="Garamond" w:eastAsia="Times New Roman" w:hAnsi="Garamond"/>
                <w:sz w:val="14"/>
                <w:szCs w:val="16"/>
                <w:lang w:eastAsia="en-US"/>
              </w:rPr>
              <w:br/>
              <w:t>Komisionet e Vlerësimit biopsikosocial</w:t>
            </w:r>
            <w:r w:rsidRPr="00024D5A">
              <w:rPr>
                <w:rFonts w:ascii="Garamond" w:eastAsia="Times New Roman" w:hAnsi="Garamond"/>
                <w:sz w:val="14"/>
                <w:szCs w:val="16"/>
                <w:lang w:eastAsia="en-US"/>
              </w:rPr>
              <w:br/>
              <w:t xml:space="preserve">SHSSH; </w:t>
            </w:r>
            <w:r w:rsidRPr="00024D5A">
              <w:rPr>
                <w:rFonts w:ascii="Garamond" w:eastAsia="Times New Roman" w:hAnsi="Garamond"/>
                <w:sz w:val="14"/>
                <w:szCs w:val="16"/>
                <w:lang w:eastAsia="en-US"/>
              </w:rPr>
              <w:br/>
              <w:t>MSHMS.</w:t>
            </w:r>
          </w:p>
        </w:tc>
        <w:tc>
          <w:tcPr>
            <w:tcW w:w="967" w:type="pct"/>
          </w:tcPr>
          <w:p w14:paraId="56FA19A5"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r>
      <w:tr w:rsidR="003E1630" w:rsidRPr="00024D5A" w14:paraId="011498FB" w14:textId="77777777" w:rsidTr="00AC6792">
        <w:trPr>
          <w:trHeight w:val="20"/>
        </w:trPr>
        <w:tc>
          <w:tcPr>
            <w:tcW w:w="666" w:type="pct"/>
            <w:vMerge/>
          </w:tcPr>
          <w:p w14:paraId="23501CFE" w14:textId="77777777" w:rsidR="003E1630" w:rsidRPr="00024D5A" w:rsidRDefault="003E1630" w:rsidP="001464FD">
            <w:pPr>
              <w:rPr>
                <w:rFonts w:ascii="Garamond" w:eastAsia="Times New Roman" w:hAnsi="Garamond"/>
                <w:b/>
                <w:bCs/>
                <w:sz w:val="14"/>
                <w:szCs w:val="16"/>
                <w:lang w:eastAsia="en-US"/>
              </w:rPr>
            </w:pPr>
          </w:p>
        </w:tc>
        <w:tc>
          <w:tcPr>
            <w:tcW w:w="590" w:type="pct"/>
            <w:vMerge/>
          </w:tcPr>
          <w:p w14:paraId="5374F9DD" w14:textId="77777777" w:rsidR="003E1630" w:rsidRPr="00024D5A" w:rsidRDefault="003E1630" w:rsidP="001464FD">
            <w:pPr>
              <w:rPr>
                <w:rFonts w:ascii="Garamond" w:eastAsia="Times New Roman" w:hAnsi="Garamond"/>
                <w:sz w:val="14"/>
                <w:szCs w:val="16"/>
                <w:lang w:eastAsia="en-US"/>
              </w:rPr>
            </w:pPr>
          </w:p>
        </w:tc>
        <w:tc>
          <w:tcPr>
            <w:tcW w:w="592" w:type="pct"/>
          </w:tcPr>
          <w:p w14:paraId="49A278F6" w14:textId="38408E0D"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Numri i personave me aftësi të kufizuar</w:t>
            </w:r>
            <w:r w:rsidR="00170447" w:rsidRPr="00024D5A">
              <w:rPr>
                <w:rFonts w:ascii="Garamond" w:eastAsia="Times New Roman" w:hAnsi="Garamond"/>
                <w:sz w:val="14"/>
                <w:szCs w:val="16"/>
                <w:lang w:eastAsia="en-US"/>
              </w:rPr>
              <w:t>a</w:t>
            </w:r>
            <w:r w:rsidRPr="00024D5A">
              <w:rPr>
                <w:rFonts w:ascii="Garamond" w:eastAsia="Times New Roman" w:hAnsi="Garamond"/>
                <w:sz w:val="14"/>
                <w:szCs w:val="16"/>
                <w:lang w:eastAsia="en-US"/>
              </w:rPr>
              <w:t xml:space="preserve"> </w:t>
            </w:r>
            <w:r w:rsidR="00F81568" w:rsidRPr="00024D5A">
              <w:rPr>
                <w:rFonts w:ascii="Garamond" w:eastAsia="Times New Roman" w:hAnsi="Garamond"/>
                <w:sz w:val="14"/>
                <w:szCs w:val="16"/>
                <w:lang w:eastAsia="en-US"/>
              </w:rPr>
              <w:t xml:space="preserve">psikosociale </w:t>
            </w:r>
            <w:r w:rsidRPr="00024D5A">
              <w:rPr>
                <w:rFonts w:ascii="Garamond" w:eastAsia="Times New Roman" w:hAnsi="Garamond"/>
                <w:sz w:val="14"/>
                <w:szCs w:val="16"/>
                <w:lang w:eastAsia="en-US"/>
              </w:rPr>
              <w:t>që përfitojnë mbështetje përmes shërbimeve komunitare të shëndetit mendor.</w:t>
            </w:r>
          </w:p>
        </w:tc>
        <w:tc>
          <w:tcPr>
            <w:tcW w:w="282" w:type="pct"/>
          </w:tcPr>
          <w:p w14:paraId="790761DC"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N/A</w:t>
            </w:r>
          </w:p>
        </w:tc>
        <w:tc>
          <w:tcPr>
            <w:tcW w:w="448" w:type="pct"/>
          </w:tcPr>
          <w:p w14:paraId="2B4235BA"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10%</w:t>
            </w:r>
          </w:p>
        </w:tc>
        <w:tc>
          <w:tcPr>
            <w:tcW w:w="816" w:type="pct"/>
          </w:tcPr>
          <w:p w14:paraId="2613DD57"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30%</w:t>
            </w:r>
          </w:p>
        </w:tc>
        <w:tc>
          <w:tcPr>
            <w:tcW w:w="639" w:type="pct"/>
          </w:tcPr>
          <w:p w14:paraId="631F11FE"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967" w:type="pct"/>
          </w:tcPr>
          <w:p w14:paraId="3A0230BD"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r>
      <w:tr w:rsidR="003E1630" w:rsidRPr="00024D5A" w14:paraId="2FCAD0E7" w14:textId="77777777" w:rsidTr="00AC6792">
        <w:trPr>
          <w:trHeight w:val="20"/>
        </w:trPr>
        <w:tc>
          <w:tcPr>
            <w:tcW w:w="666" w:type="pct"/>
            <w:vMerge/>
          </w:tcPr>
          <w:p w14:paraId="0E3D9241" w14:textId="77777777" w:rsidR="003E1630" w:rsidRPr="00024D5A" w:rsidRDefault="003E1630" w:rsidP="001464FD">
            <w:pPr>
              <w:rPr>
                <w:rFonts w:ascii="Garamond" w:eastAsia="Times New Roman" w:hAnsi="Garamond"/>
                <w:b/>
                <w:bCs/>
                <w:sz w:val="14"/>
                <w:szCs w:val="16"/>
                <w:lang w:eastAsia="en-US"/>
              </w:rPr>
            </w:pPr>
          </w:p>
        </w:tc>
        <w:tc>
          <w:tcPr>
            <w:tcW w:w="590" w:type="pct"/>
            <w:vMerge w:val="restart"/>
          </w:tcPr>
          <w:p w14:paraId="6B207C83" w14:textId="35B462FD"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Masa </w:t>
            </w:r>
            <w:r w:rsidR="00F958F2" w:rsidRPr="00024D5A">
              <w:rPr>
                <w:rFonts w:ascii="Garamond" w:eastAsia="Times New Roman" w:hAnsi="Garamond"/>
                <w:sz w:val="14"/>
                <w:szCs w:val="16"/>
                <w:lang w:eastAsia="en-US"/>
              </w:rPr>
              <w:t xml:space="preserve">prioritare </w:t>
            </w:r>
            <w:r w:rsidRPr="00024D5A">
              <w:rPr>
                <w:rFonts w:ascii="Garamond" w:eastAsia="Times New Roman" w:hAnsi="Garamond"/>
                <w:sz w:val="14"/>
                <w:szCs w:val="16"/>
                <w:lang w:eastAsia="en-US"/>
              </w:rPr>
              <w:t>2.3</w:t>
            </w:r>
            <w:r w:rsidR="00110C9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Përmirësimi i aksesit në teknologji dhe pajisje ndihmëse për personat me aftësi të kufizuara.</w:t>
            </w:r>
          </w:p>
        </w:tc>
        <w:tc>
          <w:tcPr>
            <w:tcW w:w="592" w:type="pct"/>
          </w:tcPr>
          <w:p w14:paraId="58559C12" w14:textId="6DB2EA40"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Lista </w:t>
            </w:r>
            <w:r w:rsidR="00AC6792" w:rsidRPr="00024D5A">
              <w:rPr>
                <w:rFonts w:ascii="Garamond" w:eastAsia="Times New Roman" w:hAnsi="Garamond"/>
                <w:sz w:val="14"/>
                <w:szCs w:val="16"/>
                <w:lang w:eastAsia="en-US"/>
              </w:rPr>
              <w:t xml:space="preserve">kombëtare </w:t>
            </w:r>
            <w:r w:rsidRPr="00024D5A">
              <w:rPr>
                <w:rFonts w:ascii="Garamond" w:eastAsia="Times New Roman" w:hAnsi="Garamond"/>
                <w:sz w:val="14"/>
                <w:szCs w:val="16"/>
                <w:lang w:eastAsia="en-US"/>
              </w:rPr>
              <w:t>e pajisjeve dhe teknologjive ndihmëse e miratuar dhe mekanizmi i rimbursimit financiar për pajisjet ndihmëse funksional</w:t>
            </w:r>
            <w:r w:rsidR="00BE330D" w:rsidRPr="00024D5A">
              <w:rPr>
                <w:rFonts w:ascii="Garamond" w:eastAsia="Times New Roman" w:hAnsi="Garamond"/>
                <w:sz w:val="14"/>
                <w:szCs w:val="16"/>
                <w:lang w:eastAsia="en-US"/>
              </w:rPr>
              <w:t>.</w:t>
            </w:r>
          </w:p>
        </w:tc>
        <w:tc>
          <w:tcPr>
            <w:tcW w:w="282" w:type="pct"/>
          </w:tcPr>
          <w:p w14:paraId="6751451D"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N/A</w:t>
            </w:r>
          </w:p>
        </w:tc>
        <w:tc>
          <w:tcPr>
            <w:tcW w:w="448" w:type="pct"/>
            <w:noWrap/>
          </w:tcPr>
          <w:p w14:paraId="33D55CED"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816" w:type="pct"/>
          </w:tcPr>
          <w:p w14:paraId="1B5ABF73"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Dokumenti i miratuar</w:t>
            </w:r>
          </w:p>
        </w:tc>
        <w:tc>
          <w:tcPr>
            <w:tcW w:w="639" w:type="pct"/>
          </w:tcPr>
          <w:p w14:paraId="036F5FF8" w14:textId="512AB01B"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VKM</w:t>
            </w:r>
            <w:r w:rsidR="00BE330D" w:rsidRPr="00024D5A">
              <w:rPr>
                <w:rFonts w:ascii="Garamond" w:eastAsia="Times New Roman" w:hAnsi="Garamond"/>
                <w:sz w:val="14"/>
                <w:szCs w:val="16"/>
                <w:lang w:eastAsia="en-US"/>
              </w:rPr>
              <w:t>-ja</w:t>
            </w:r>
            <w:r w:rsidRPr="00024D5A">
              <w:rPr>
                <w:rFonts w:ascii="Garamond" w:eastAsia="Times New Roman" w:hAnsi="Garamond"/>
                <w:sz w:val="14"/>
                <w:szCs w:val="16"/>
                <w:lang w:eastAsia="en-US"/>
              </w:rPr>
              <w:t xml:space="preserve"> dhe aktet nënligjore; Raporte të MSHMS;</w:t>
            </w:r>
            <w:r w:rsidRPr="00024D5A">
              <w:rPr>
                <w:rFonts w:ascii="Garamond" w:eastAsia="Times New Roman" w:hAnsi="Garamond"/>
                <w:sz w:val="14"/>
                <w:szCs w:val="16"/>
                <w:lang w:eastAsia="en-US"/>
              </w:rPr>
              <w:br/>
              <w:t>FSDKSH</w:t>
            </w:r>
            <w:r w:rsidR="00BE330D" w:rsidRPr="00024D5A">
              <w:rPr>
                <w:rFonts w:ascii="Garamond" w:eastAsia="Times New Roman" w:hAnsi="Garamond"/>
                <w:sz w:val="14"/>
                <w:szCs w:val="16"/>
                <w:lang w:eastAsia="en-US"/>
              </w:rPr>
              <w:t>.</w:t>
            </w:r>
          </w:p>
        </w:tc>
        <w:tc>
          <w:tcPr>
            <w:tcW w:w="967" w:type="pct"/>
          </w:tcPr>
          <w:p w14:paraId="62C1619E"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r>
      <w:tr w:rsidR="003E1630" w:rsidRPr="00024D5A" w14:paraId="1870C549" w14:textId="77777777" w:rsidTr="00AC6792">
        <w:trPr>
          <w:trHeight w:val="20"/>
        </w:trPr>
        <w:tc>
          <w:tcPr>
            <w:tcW w:w="666" w:type="pct"/>
            <w:vMerge/>
          </w:tcPr>
          <w:p w14:paraId="12BCF3FB" w14:textId="77777777" w:rsidR="003E1630" w:rsidRPr="00024D5A" w:rsidRDefault="003E1630" w:rsidP="001464FD">
            <w:pPr>
              <w:rPr>
                <w:rFonts w:ascii="Garamond" w:eastAsia="Times New Roman" w:hAnsi="Garamond"/>
                <w:b/>
                <w:bCs/>
                <w:sz w:val="14"/>
                <w:szCs w:val="16"/>
                <w:lang w:eastAsia="en-US"/>
              </w:rPr>
            </w:pPr>
          </w:p>
        </w:tc>
        <w:tc>
          <w:tcPr>
            <w:tcW w:w="590" w:type="pct"/>
            <w:vMerge/>
          </w:tcPr>
          <w:p w14:paraId="75E8914A" w14:textId="77777777" w:rsidR="003E1630" w:rsidRPr="00024D5A" w:rsidRDefault="003E1630" w:rsidP="001464FD">
            <w:pPr>
              <w:rPr>
                <w:rFonts w:ascii="Garamond" w:eastAsia="Times New Roman" w:hAnsi="Garamond"/>
                <w:sz w:val="14"/>
                <w:szCs w:val="16"/>
                <w:lang w:eastAsia="en-US"/>
              </w:rPr>
            </w:pPr>
          </w:p>
        </w:tc>
        <w:tc>
          <w:tcPr>
            <w:tcW w:w="592" w:type="pct"/>
          </w:tcPr>
          <w:p w14:paraId="761AAB0E"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Numri i personave me aftësi të kufizuara që përfitojnë pajisje ose teknologji ndihmëse të rimbursuara nga skema publike gjatë vitit.</w:t>
            </w:r>
          </w:p>
        </w:tc>
        <w:tc>
          <w:tcPr>
            <w:tcW w:w="282" w:type="pct"/>
          </w:tcPr>
          <w:p w14:paraId="78213CEE"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850</w:t>
            </w:r>
          </w:p>
        </w:tc>
        <w:tc>
          <w:tcPr>
            <w:tcW w:w="448" w:type="pct"/>
          </w:tcPr>
          <w:p w14:paraId="2E2B789D"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2500</w:t>
            </w:r>
          </w:p>
        </w:tc>
        <w:tc>
          <w:tcPr>
            <w:tcW w:w="816" w:type="pct"/>
          </w:tcPr>
          <w:p w14:paraId="54BEE624"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8000</w:t>
            </w:r>
          </w:p>
        </w:tc>
        <w:tc>
          <w:tcPr>
            <w:tcW w:w="639" w:type="pct"/>
          </w:tcPr>
          <w:p w14:paraId="3A8FDB61"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967" w:type="pct"/>
          </w:tcPr>
          <w:p w14:paraId="3BDFEC15"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r>
      <w:tr w:rsidR="003E1630" w:rsidRPr="00024D5A" w14:paraId="461AC08D" w14:textId="77777777" w:rsidTr="00AC6792">
        <w:trPr>
          <w:trHeight w:val="20"/>
        </w:trPr>
        <w:tc>
          <w:tcPr>
            <w:tcW w:w="666" w:type="pct"/>
            <w:vMerge/>
          </w:tcPr>
          <w:p w14:paraId="394D4B53" w14:textId="77777777" w:rsidR="003E1630" w:rsidRPr="00024D5A" w:rsidRDefault="003E1630" w:rsidP="001464FD">
            <w:pPr>
              <w:rPr>
                <w:rFonts w:ascii="Garamond" w:eastAsia="Times New Roman" w:hAnsi="Garamond"/>
                <w:b/>
                <w:bCs/>
                <w:sz w:val="14"/>
                <w:szCs w:val="16"/>
                <w:lang w:eastAsia="en-US"/>
              </w:rPr>
            </w:pPr>
          </w:p>
        </w:tc>
        <w:tc>
          <w:tcPr>
            <w:tcW w:w="590" w:type="pct"/>
            <w:vMerge w:val="restart"/>
          </w:tcPr>
          <w:p w14:paraId="654F85C4" w14:textId="7BE8F083"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Masa prioritare 3.1</w:t>
            </w:r>
            <w:r w:rsidR="00110C9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Edukimi dhe forcimi i kapaciteteve të personelit shëndetësor</w:t>
            </w:r>
            <w:r w:rsidR="00BE330D" w:rsidRPr="00024D5A">
              <w:rPr>
                <w:rFonts w:ascii="Garamond" w:eastAsia="Times New Roman" w:hAnsi="Garamond"/>
                <w:sz w:val="14"/>
                <w:szCs w:val="16"/>
                <w:lang w:eastAsia="en-US"/>
              </w:rPr>
              <w:t>.</w:t>
            </w:r>
          </w:p>
        </w:tc>
        <w:tc>
          <w:tcPr>
            <w:tcW w:w="592" w:type="pct"/>
          </w:tcPr>
          <w:p w14:paraId="36CBAF82"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Klasifikimi Ndërkombëtar i Funksionimit, Aftësisë së Kufizuar dhe Shëndetit (ICF) i integruar në kurrikulat e programeve të studimit në mjekësi, infermieri dhe në programet e formimit profesional të vazhdueshëm.</w:t>
            </w:r>
          </w:p>
        </w:tc>
        <w:tc>
          <w:tcPr>
            <w:tcW w:w="282" w:type="pct"/>
          </w:tcPr>
          <w:p w14:paraId="3F18D901"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N/A</w:t>
            </w:r>
          </w:p>
        </w:tc>
        <w:tc>
          <w:tcPr>
            <w:tcW w:w="448" w:type="pct"/>
            <w:noWrap/>
          </w:tcPr>
          <w:p w14:paraId="3749DFD8"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816" w:type="pct"/>
            <w:noWrap/>
          </w:tcPr>
          <w:p w14:paraId="281D2B33"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Kurrikula të rivlerësuara</w:t>
            </w:r>
          </w:p>
        </w:tc>
        <w:tc>
          <w:tcPr>
            <w:tcW w:w="639" w:type="pct"/>
          </w:tcPr>
          <w:p w14:paraId="020F132E" w14:textId="66CBD728"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Universitetet publike</w:t>
            </w:r>
            <w:r w:rsidR="007675EC" w:rsidRPr="00024D5A">
              <w:rPr>
                <w:rFonts w:ascii="Garamond" w:eastAsia="Times New Roman" w:hAnsi="Garamond"/>
                <w:sz w:val="14"/>
                <w:szCs w:val="16"/>
                <w:lang w:eastAsia="en-US"/>
              </w:rPr>
              <w:t>/</w:t>
            </w:r>
            <w:r w:rsidR="00BE330D" w:rsidRPr="00024D5A">
              <w:rPr>
                <w:rFonts w:ascii="Garamond" w:eastAsia="Times New Roman" w:hAnsi="Garamond"/>
                <w:sz w:val="14"/>
                <w:szCs w:val="16"/>
                <w:lang w:eastAsia="en-US"/>
              </w:rPr>
              <w:t xml:space="preserve">urdhrat </w:t>
            </w:r>
            <w:r w:rsidRPr="00024D5A">
              <w:rPr>
                <w:rFonts w:ascii="Garamond" w:eastAsia="Times New Roman" w:hAnsi="Garamond"/>
                <w:sz w:val="14"/>
                <w:szCs w:val="16"/>
                <w:lang w:eastAsia="en-US"/>
              </w:rPr>
              <w:t xml:space="preserve">profesionalë; </w:t>
            </w:r>
            <w:r w:rsidRPr="00024D5A">
              <w:rPr>
                <w:rFonts w:ascii="Garamond" w:eastAsia="Times New Roman" w:hAnsi="Garamond"/>
                <w:sz w:val="14"/>
                <w:szCs w:val="16"/>
                <w:lang w:eastAsia="en-US"/>
              </w:rPr>
              <w:br/>
              <w:t>MSHMS;</w:t>
            </w:r>
            <w:r w:rsidRPr="00024D5A">
              <w:rPr>
                <w:rFonts w:ascii="Garamond" w:eastAsia="Times New Roman" w:hAnsi="Garamond"/>
                <w:sz w:val="14"/>
                <w:szCs w:val="16"/>
                <w:lang w:eastAsia="en-US"/>
              </w:rPr>
              <w:br/>
              <w:t>ISHP;</w:t>
            </w:r>
            <w:r w:rsidRPr="00024D5A">
              <w:rPr>
                <w:rFonts w:ascii="Garamond" w:eastAsia="Times New Roman" w:hAnsi="Garamond"/>
                <w:sz w:val="14"/>
                <w:szCs w:val="16"/>
                <w:lang w:eastAsia="en-US"/>
              </w:rPr>
              <w:br/>
              <w:t>Urdhri i Mjekut;</w:t>
            </w:r>
            <w:r w:rsidRPr="00024D5A">
              <w:rPr>
                <w:rFonts w:ascii="Garamond" w:eastAsia="Times New Roman" w:hAnsi="Garamond"/>
                <w:sz w:val="14"/>
                <w:szCs w:val="16"/>
                <w:lang w:eastAsia="en-US"/>
              </w:rPr>
              <w:br/>
              <w:t>Urdhri i Infermierit.</w:t>
            </w:r>
          </w:p>
        </w:tc>
        <w:tc>
          <w:tcPr>
            <w:tcW w:w="967" w:type="pct"/>
            <w:vMerge w:val="restart"/>
          </w:tcPr>
          <w:p w14:paraId="175F8269"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r>
      <w:tr w:rsidR="003E1630" w:rsidRPr="00024D5A" w14:paraId="16A04074" w14:textId="77777777" w:rsidTr="00AC6792">
        <w:trPr>
          <w:trHeight w:val="20"/>
        </w:trPr>
        <w:tc>
          <w:tcPr>
            <w:tcW w:w="666" w:type="pct"/>
            <w:vMerge/>
          </w:tcPr>
          <w:p w14:paraId="0B59B9DE" w14:textId="77777777" w:rsidR="003E1630" w:rsidRPr="00024D5A" w:rsidRDefault="003E1630" w:rsidP="001464FD">
            <w:pPr>
              <w:rPr>
                <w:rFonts w:ascii="Garamond" w:eastAsia="Times New Roman" w:hAnsi="Garamond"/>
                <w:b/>
                <w:bCs/>
                <w:sz w:val="14"/>
                <w:szCs w:val="16"/>
                <w:lang w:eastAsia="en-US"/>
              </w:rPr>
            </w:pPr>
          </w:p>
        </w:tc>
        <w:tc>
          <w:tcPr>
            <w:tcW w:w="590" w:type="pct"/>
            <w:vMerge/>
          </w:tcPr>
          <w:p w14:paraId="0C3C288F" w14:textId="77777777" w:rsidR="003E1630" w:rsidRPr="00024D5A" w:rsidRDefault="003E1630" w:rsidP="001464FD">
            <w:pPr>
              <w:rPr>
                <w:rFonts w:ascii="Garamond" w:eastAsia="Times New Roman" w:hAnsi="Garamond"/>
                <w:sz w:val="14"/>
                <w:szCs w:val="16"/>
                <w:lang w:eastAsia="en-US"/>
              </w:rPr>
            </w:pPr>
          </w:p>
        </w:tc>
        <w:tc>
          <w:tcPr>
            <w:tcW w:w="592" w:type="pct"/>
          </w:tcPr>
          <w:p w14:paraId="7AEC9E2F"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Numri i profesionistëve shëndetësorë të trajnuar mbi qasjen e bazuar në të drejtat e njeriut, Konventën për të Drejtat e Personave me Aftësi të Kufizuara (KDPAK) dhe komunikimin e aksesueshëm me personat me aftësi të kufizuara.</w:t>
            </w:r>
          </w:p>
        </w:tc>
        <w:tc>
          <w:tcPr>
            <w:tcW w:w="282" w:type="pct"/>
          </w:tcPr>
          <w:p w14:paraId="627D5FAB"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N/A</w:t>
            </w:r>
          </w:p>
        </w:tc>
        <w:tc>
          <w:tcPr>
            <w:tcW w:w="448" w:type="pct"/>
          </w:tcPr>
          <w:p w14:paraId="7ECC00DA"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400</w:t>
            </w:r>
          </w:p>
        </w:tc>
        <w:tc>
          <w:tcPr>
            <w:tcW w:w="816" w:type="pct"/>
          </w:tcPr>
          <w:p w14:paraId="7349B450"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1200</w:t>
            </w:r>
          </w:p>
        </w:tc>
        <w:tc>
          <w:tcPr>
            <w:tcW w:w="639" w:type="pct"/>
          </w:tcPr>
          <w:p w14:paraId="6D974A7C" w14:textId="77777777" w:rsidR="003E1630" w:rsidRPr="00024D5A" w:rsidRDefault="003E1630" w:rsidP="001464FD">
            <w:pPr>
              <w:rPr>
                <w:rFonts w:ascii="Garamond" w:eastAsia="Times New Roman" w:hAnsi="Garamond"/>
                <w:sz w:val="14"/>
                <w:szCs w:val="16"/>
                <w:lang w:eastAsia="en-US"/>
              </w:rPr>
            </w:pPr>
          </w:p>
        </w:tc>
        <w:tc>
          <w:tcPr>
            <w:tcW w:w="967" w:type="pct"/>
            <w:vMerge/>
          </w:tcPr>
          <w:p w14:paraId="601166C3" w14:textId="77777777" w:rsidR="003E1630" w:rsidRPr="00024D5A" w:rsidRDefault="003E1630" w:rsidP="001464FD">
            <w:pPr>
              <w:rPr>
                <w:rFonts w:ascii="Garamond" w:eastAsia="Times New Roman" w:hAnsi="Garamond"/>
                <w:sz w:val="14"/>
                <w:szCs w:val="16"/>
                <w:lang w:eastAsia="en-US"/>
              </w:rPr>
            </w:pPr>
          </w:p>
        </w:tc>
      </w:tr>
      <w:tr w:rsidR="003E1630" w:rsidRPr="00024D5A" w14:paraId="605DFA73" w14:textId="77777777" w:rsidTr="00AC6792">
        <w:trPr>
          <w:trHeight w:val="20"/>
        </w:trPr>
        <w:tc>
          <w:tcPr>
            <w:tcW w:w="666" w:type="pct"/>
            <w:vMerge/>
          </w:tcPr>
          <w:p w14:paraId="1CD54E0D" w14:textId="77777777" w:rsidR="003E1630" w:rsidRPr="00024D5A" w:rsidRDefault="003E1630" w:rsidP="001464FD">
            <w:pPr>
              <w:rPr>
                <w:rFonts w:ascii="Garamond" w:eastAsia="Times New Roman" w:hAnsi="Garamond"/>
                <w:b/>
                <w:bCs/>
                <w:sz w:val="14"/>
                <w:szCs w:val="16"/>
                <w:lang w:eastAsia="en-US"/>
              </w:rPr>
            </w:pPr>
          </w:p>
        </w:tc>
        <w:tc>
          <w:tcPr>
            <w:tcW w:w="590" w:type="pct"/>
            <w:vMerge w:val="restart"/>
          </w:tcPr>
          <w:p w14:paraId="3E200D22" w14:textId="1FB5994B"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Masa </w:t>
            </w:r>
            <w:r w:rsidR="00BE330D" w:rsidRPr="00024D5A">
              <w:rPr>
                <w:rFonts w:ascii="Garamond" w:eastAsia="Times New Roman" w:hAnsi="Garamond"/>
                <w:sz w:val="14"/>
                <w:szCs w:val="16"/>
                <w:lang w:eastAsia="en-US"/>
              </w:rPr>
              <w:t xml:space="preserve">prioritare </w:t>
            </w:r>
            <w:r w:rsidRPr="00024D5A">
              <w:rPr>
                <w:rFonts w:ascii="Garamond" w:eastAsia="Times New Roman" w:hAnsi="Garamond"/>
                <w:sz w:val="14"/>
                <w:szCs w:val="16"/>
                <w:lang w:eastAsia="en-US"/>
              </w:rPr>
              <w:t>3.2</w:t>
            </w:r>
            <w:r w:rsidR="00110C9A">
              <w:rPr>
                <w:rFonts w:ascii="Garamond" w:eastAsia="Times New Roman" w:hAnsi="Garamond"/>
                <w:sz w:val="14"/>
                <w:szCs w:val="16"/>
                <w:lang w:eastAsia="en-US"/>
              </w:rPr>
              <w:t>:</w:t>
            </w:r>
            <w:r w:rsidR="00F958F2">
              <w:rPr>
                <w:rFonts w:ascii="Garamond" w:eastAsia="Times New Roman" w:hAnsi="Garamond"/>
                <w:sz w:val="14"/>
                <w:szCs w:val="16"/>
                <w:lang w:eastAsia="en-US"/>
              </w:rPr>
              <w:t xml:space="preserve"> </w:t>
            </w:r>
            <w:r w:rsidRPr="00024D5A">
              <w:rPr>
                <w:rFonts w:ascii="Garamond" w:eastAsia="Times New Roman" w:hAnsi="Garamond"/>
                <w:sz w:val="14"/>
                <w:szCs w:val="16"/>
                <w:lang w:eastAsia="en-US"/>
              </w:rPr>
              <w:t>Akses i barabartë në mjedise dhe informacion shëndetësor për të gjitha kategoritë e personave me aftësi të kufizuar</w:t>
            </w:r>
            <w:r w:rsidR="00BE330D" w:rsidRPr="00024D5A">
              <w:rPr>
                <w:rFonts w:ascii="Garamond" w:eastAsia="Times New Roman" w:hAnsi="Garamond"/>
                <w:sz w:val="14"/>
                <w:szCs w:val="16"/>
                <w:lang w:eastAsia="en-US"/>
              </w:rPr>
              <w:t>.</w:t>
            </w:r>
          </w:p>
        </w:tc>
        <w:tc>
          <w:tcPr>
            <w:tcW w:w="592" w:type="pct"/>
          </w:tcPr>
          <w:p w14:paraId="6EA4A4F8"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Përqindja e institucioneve shëndetësore publike që plotësojnë standardet e aksesueshmërisë fizike për personat me aftësi të kufizuara.</w:t>
            </w:r>
          </w:p>
        </w:tc>
        <w:tc>
          <w:tcPr>
            <w:tcW w:w="282" w:type="pct"/>
          </w:tcPr>
          <w:p w14:paraId="3D59B335"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50%</w:t>
            </w:r>
          </w:p>
        </w:tc>
        <w:tc>
          <w:tcPr>
            <w:tcW w:w="448" w:type="pct"/>
          </w:tcPr>
          <w:p w14:paraId="353CCE7F"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70%</w:t>
            </w:r>
          </w:p>
        </w:tc>
        <w:tc>
          <w:tcPr>
            <w:tcW w:w="816" w:type="pct"/>
          </w:tcPr>
          <w:p w14:paraId="78CABA98"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85%</w:t>
            </w:r>
          </w:p>
        </w:tc>
        <w:tc>
          <w:tcPr>
            <w:tcW w:w="639" w:type="pct"/>
          </w:tcPr>
          <w:p w14:paraId="14655EF8" w14:textId="7773A59B"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Auditimet e aksesueshmërisë</w:t>
            </w:r>
            <w:r w:rsidR="007675EC"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MSHMS;</w:t>
            </w:r>
            <w:r w:rsidRPr="00024D5A">
              <w:rPr>
                <w:rFonts w:ascii="Garamond" w:eastAsia="Times New Roman" w:hAnsi="Garamond"/>
                <w:sz w:val="14"/>
                <w:szCs w:val="16"/>
                <w:lang w:eastAsia="en-US"/>
              </w:rPr>
              <w:br/>
              <w:t>Institucionet shëndetësore; Raportet e monitorimit</w:t>
            </w:r>
            <w:r w:rsidR="00BE330D" w:rsidRPr="00024D5A">
              <w:rPr>
                <w:rFonts w:ascii="Garamond" w:eastAsia="Times New Roman" w:hAnsi="Garamond"/>
                <w:sz w:val="14"/>
                <w:szCs w:val="16"/>
                <w:lang w:eastAsia="en-US"/>
              </w:rPr>
              <w:t>.</w:t>
            </w:r>
          </w:p>
        </w:tc>
        <w:tc>
          <w:tcPr>
            <w:tcW w:w="967" w:type="pct"/>
          </w:tcPr>
          <w:p w14:paraId="0FF90C6A"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r>
      <w:tr w:rsidR="003E1630" w:rsidRPr="00024D5A" w14:paraId="0D310B3F" w14:textId="77777777" w:rsidTr="00AC6792">
        <w:trPr>
          <w:trHeight w:val="158"/>
        </w:trPr>
        <w:tc>
          <w:tcPr>
            <w:tcW w:w="666" w:type="pct"/>
            <w:vMerge/>
          </w:tcPr>
          <w:p w14:paraId="105DF39C" w14:textId="77777777" w:rsidR="003E1630" w:rsidRPr="00024D5A" w:rsidRDefault="003E1630" w:rsidP="001464FD">
            <w:pPr>
              <w:rPr>
                <w:rFonts w:ascii="Garamond" w:eastAsia="Times New Roman" w:hAnsi="Garamond"/>
                <w:b/>
                <w:bCs/>
                <w:sz w:val="14"/>
                <w:szCs w:val="16"/>
                <w:lang w:eastAsia="en-US"/>
              </w:rPr>
            </w:pPr>
          </w:p>
        </w:tc>
        <w:tc>
          <w:tcPr>
            <w:tcW w:w="590" w:type="pct"/>
            <w:vMerge/>
          </w:tcPr>
          <w:p w14:paraId="7F575560" w14:textId="77777777" w:rsidR="003E1630" w:rsidRPr="00024D5A" w:rsidRDefault="003E1630" w:rsidP="001464FD">
            <w:pPr>
              <w:rPr>
                <w:rFonts w:ascii="Garamond" w:eastAsia="Times New Roman" w:hAnsi="Garamond"/>
                <w:sz w:val="14"/>
                <w:szCs w:val="16"/>
                <w:lang w:eastAsia="en-US"/>
              </w:rPr>
            </w:pPr>
          </w:p>
        </w:tc>
        <w:tc>
          <w:tcPr>
            <w:tcW w:w="592" w:type="pct"/>
            <w:vMerge w:val="restart"/>
          </w:tcPr>
          <w:p w14:paraId="54733C6F"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Numri i institucioneve shëndetësore që ofrojnë informacion dhe komunikim shëndetësor në formate të aksesueshme për personat me aftësi të kufizuara.</w:t>
            </w:r>
          </w:p>
        </w:tc>
        <w:tc>
          <w:tcPr>
            <w:tcW w:w="282" w:type="pct"/>
            <w:vMerge w:val="restart"/>
          </w:tcPr>
          <w:p w14:paraId="63E25234"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N/A</w:t>
            </w:r>
          </w:p>
        </w:tc>
        <w:tc>
          <w:tcPr>
            <w:tcW w:w="448" w:type="pct"/>
            <w:vMerge w:val="restart"/>
            <w:noWrap/>
          </w:tcPr>
          <w:p w14:paraId="7C787399"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20%</w:t>
            </w:r>
          </w:p>
        </w:tc>
        <w:tc>
          <w:tcPr>
            <w:tcW w:w="816" w:type="pct"/>
            <w:vMerge w:val="restart"/>
          </w:tcPr>
          <w:p w14:paraId="33F7A533"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40%</w:t>
            </w:r>
          </w:p>
        </w:tc>
        <w:tc>
          <w:tcPr>
            <w:tcW w:w="639" w:type="pct"/>
            <w:vMerge w:val="restart"/>
          </w:tcPr>
          <w:p w14:paraId="3E896FAB" w14:textId="77777777" w:rsidR="003E1630" w:rsidRPr="00024D5A" w:rsidRDefault="003E1630" w:rsidP="001464FD">
            <w:pPr>
              <w:rPr>
                <w:rFonts w:ascii="Garamond" w:eastAsia="Times New Roman" w:hAnsi="Garamond"/>
                <w:sz w:val="14"/>
                <w:szCs w:val="16"/>
                <w:lang w:eastAsia="en-US"/>
              </w:rPr>
            </w:pPr>
          </w:p>
        </w:tc>
        <w:tc>
          <w:tcPr>
            <w:tcW w:w="967" w:type="pct"/>
            <w:vMerge w:val="restart"/>
          </w:tcPr>
          <w:p w14:paraId="398DBA4E" w14:textId="77777777" w:rsidR="003E1630" w:rsidRPr="00024D5A" w:rsidRDefault="005743A8" w:rsidP="001464FD">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r>
      <w:tr w:rsidR="003E1630" w:rsidRPr="00024D5A" w14:paraId="0D44D106" w14:textId="77777777" w:rsidTr="00AC6792">
        <w:trPr>
          <w:trHeight w:val="158"/>
        </w:trPr>
        <w:tc>
          <w:tcPr>
            <w:tcW w:w="666" w:type="pct"/>
            <w:vMerge/>
          </w:tcPr>
          <w:p w14:paraId="2D891940" w14:textId="77777777" w:rsidR="003E1630" w:rsidRPr="00024D5A" w:rsidRDefault="003E1630" w:rsidP="001464FD">
            <w:pPr>
              <w:rPr>
                <w:rFonts w:ascii="Garamond" w:eastAsia="Times New Roman" w:hAnsi="Garamond"/>
                <w:b/>
                <w:bCs/>
                <w:sz w:val="14"/>
                <w:szCs w:val="16"/>
                <w:lang w:eastAsia="en-US"/>
              </w:rPr>
            </w:pPr>
          </w:p>
        </w:tc>
        <w:tc>
          <w:tcPr>
            <w:tcW w:w="590" w:type="pct"/>
            <w:vMerge/>
          </w:tcPr>
          <w:p w14:paraId="7F9A69EA" w14:textId="77777777" w:rsidR="003E1630" w:rsidRPr="00024D5A" w:rsidRDefault="003E1630" w:rsidP="001464FD">
            <w:pPr>
              <w:rPr>
                <w:rFonts w:ascii="Garamond" w:eastAsia="Times New Roman" w:hAnsi="Garamond"/>
                <w:sz w:val="14"/>
                <w:szCs w:val="16"/>
                <w:lang w:eastAsia="en-US"/>
              </w:rPr>
            </w:pPr>
          </w:p>
        </w:tc>
        <w:tc>
          <w:tcPr>
            <w:tcW w:w="592" w:type="pct"/>
            <w:vMerge/>
          </w:tcPr>
          <w:p w14:paraId="61DE22A7" w14:textId="77777777" w:rsidR="003E1630" w:rsidRPr="00024D5A" w:rsidRDefault="003E1630" w:rsidP="001464FD">
            <w:pPr>
              <w:rPr>
                <w:rFonts w:ascii="Garamond" w:eastAsia="Times New Roman" w:hAnsi="Garamond"/>
                <w:sz w:val="14"/>
                <w:szCs w:val="16"/>
                <w:lang w:eastAsia="en-US"/>
              </w:rPr>
            </w:pPr>
          </w:p>
        </w:tc>
        <w:tc>
          <w:tcPr>
            <w:tcW w:w="282" w:type="pct"/>
            <w:vMerge/>
          </w:tcPr>
          <w:p w14:paraId="21E44932" w14:textId="77777777" w:rsidR="003E1630" w:rsidRPr="00024D5A" w:rsidRDefault="003E1630" w:rsidP="001464FD">
            <w:pPr>
              <w:rPr>
                <w:rFonts w:ascii="Garamond" w:eastAsia="Times New Roman" w:hAnsi="Garamond"/>
                <w:sz w:val="14"/>
                <w:szCs w:val="16"/>
                <w:lang w:eastAsia="en-US"/>
              </w:rPr>
            </w:pPr>
          </w:p>
        </w:tc>
        <w:tc>
          <w:tcPr>
            <w:tcW w:w="448" w:type="pct"/>
            <w:vMerge/>
          </w:tcPr>
          <w:p w14:paraId="4DD8C58D" w14:textId="77777777" w:rsidR="003E1630" w:rsidRPr="00024D5A" w:rsidRDefault="003E1630" w:rsidP="001464FD">
            <w:pPr>
              <w:rPr>
                <w:rFonts w:ascii="Garamond" w:eastAsia="Times New Roman" w:hAnsi="Garamond"/>
                <w:sz w:val="14"/>
                <w:szCs w:val="16"/>
                <w:lang w:eastAsia="en-US"/>
              </w:rPr>
            </w:pPr>
          </w:p>
        </w:tc>
        <w:tc>
          <w:tcPr>
            <w:tcW w:w="816" w:type="pct"/>
            <w:vMerge/>
          </w:tcPr>
          <w:p w14:paraId="101F8984" w14:textId="77777777" w:rsidR="003E1630" w:rsidRPr="00024D5A" w:rsidRDefault="003E1630" w:rsidP="001464FD">
            <w:pPr>
              <w:rPr>
                <w:rFonts w:ascii="Garamond" w:eastAsia="Times New Roman" w:hAnsi="Garamond"/>
                <w:sz w:val="14"/>
                <w:szCs w:val="16"/>
                <w:lang w:eastAsia="en-US"/>
              </w:rPr>
            </w:pPr>
          </w:p>
        </w:tc>
        <w:tc>
          <w:tcPr>
            <w:tcW w:w="639" w:type="pct"/>
            <w:vMerge/>
          </w:tcPr>
          <w:p w14:paraId="24EB57E2" w14:textId="77777777" w:rsidR="003E1630" w:rsidRPr="00024D5A" w:rsidRDefault="003E1630" w:rsidP="001464FD">
            <w:pPr>
              <w:rPr>
                <w:rFonts w:ascii="Garamond" w:eastAsia="Times New Roman" w:hAnsi="Garamond"/>
                <w:sz w:val="14"/>
                <w:szCs w:val="16"/>
                <w:lang w:eastAsia="en-US"/>
              </w:rPr>
            </w:pPr>
          </w:p>
        </w:tc>
        <w:tc>
          <w:tcPr>
            <w:tcW w:w="967" w:type="pct"/>
            <w:vMerge/>
          </w:tcPr>
          <w:p w14:paraId="73974527" w14:textId="77777777" w:rsidR="003E1630" w:rsidRPr="00024D5A" w:rsidRDefault="003E1630" w:rsidP="001464FD">
            <w:pPr>
              <w:rPr>
                <w:rFonts w:ascii="Garamond" w:eastAsia="Times New Roman" w:hAnsi="Garamond"/>
                <w:sz w:val="14"/>
                <w:szCs w:val="16"/>
                <w:lang w:eastAsia="en-US"/>
              </w:rPr>
            </w:pPr>
          </w:p>
        </w:tc>
      </w:tr>
      <w:tr w:rsidR="003E1630" w:rsidRPr="00024D5A" w14:paraId="7358E526" w14:textId="77777777" w:rsidTr="00AC6792">
        <w:trPr>
          <w:trHeight w:val="158"/>
        </w:trPr>
        <w:tc>
          <w:tcPr>
            <w:tcW w:w="666" w:type="pct"/>
            <w:vMerge/>
          </w:tcPr>
          <w:p w14:paraId="24137D5E" w14:textId="77777777" w:rsidR="003E1630" w:rsidRPr="00024D5A" w:rsidRDefault="003E1630" w:rsidP="001464FD">
            <w:pPr>
              <w:rPr>
                <w:rFonts w:ascii="Garamond" w:eastAsia="Times New Roman" w:hAnsi="Garamond"/>
                <w:b/>
                <w:bCs/>
                <w:sz w:val="14"/>
                <w:szCs w:val="16"/>
                <w:lang w:eastAsia="en-US"/>
              </w:rPr>
            </w:pPr>
          </w:p>
        </w:tc>
        <w:tc>
          <w:tcPr>
            <w:tcW w:w="590" w:type="pct"/>
            <w:vMerge/>
          </w:tcPr>
          <w:p w14:paraId="1ABD3CBE" w14:textId="77777777" w:rsidR="003E1630" w:rsidRPr="00024D5A" w:rsidRDefault="003E1630" w:rsidP="001464FD">
            <w:pPr>
              <w:rPr>
                <w:rFonts w:ascii="Garamond" w:eastAsia="Times New Roman" w:hAnsi="Garamond"/>
                <w:sz w:val="14"/>
                <w:szCs w:val="16"/>
                <w:lang w:eastAsia="en-US"/>
              </w:rPr>
            </w:pPr>
          </w:p>
        </w:tc>
        <w:tc>
          <w:tcPr>
            <w:tcW w:w="592" w:type="pct"/>
            <w:vMerge/>
          </w:tcPr>
          <w:p w14:paraId="68D00456" w14:textId="77777777" w:rsidR="003E1630" w:rsidRPr="00024D5A" w:rsidRDefault="003E1630" w:rsidP="001464FD">
            <w:pPr>
              <w:rPr>
                <w:rFonts w:ascii="Garamond" w:eastAsia="Times New Roman" w:hAnsi="Garamond"/>
                <w:sz w:val="14"/>
                <w:szCs w:val="16"/>
                <w:lang w:eastAsia="en-US"/>
              </w:rPr>
            </w:pPr>
          </w:p>
        </w:tc>
        <w:tc>
          <w:tcPr>
            <w:tcW w:w="282" w:type="pct"/>
            <w:vMerge/>
          </w:tcPr>
          <w:p w14:paraId="0F4343BE" w14:textId="77777777" w:rsidR="003E1630" w:rsidRPr="00024D5A" w:rsidRDefault="003E1630" w:rsidP="001464FD">
            <w:pPr>
              <w:rPr>
                <w:rFonts w:ascii="Garamond" w:eastAsia="Times New Roman" w:hAnsi="Garamond"/>
                <w:sz w:val="14"/>
                <w:szCs w:val="16"/>
                <w:lang w:eastAsia="en-US"/>
              </w:rPr>
            </w:pPr>
          </w:p>
        </w:tc>
        <w:tc>
          <w:tcPr>
            <w:tcW w:w="448" w:type="pct"/>
            <w:vMerge/>
          </w:tcPr>
          <w:p w14:paraId="228A841A" w14:textId="77777777" w:rsidR="003E1630" w:rsidRPr="00024D5A" w:rsidRDefault="003E1630" w:rsidP="001464FD">
            <w:pPr>
              <w:rPr>
                <w:rFonts w:ascii="Garamond" w:eastAsia="Times New Roman" w:hAnsi="Garamond"/>
                <w:sz w:val="14"/>
                <w:szCs w:val="16"/>
                <w:lang w:eastAsia="en-US"/>
              </w:rPr>
            </w:pPr>
          </w:p>
        </w:tc>
        <w:tc>
          <w:tcPr>
            <w:tcW w:w="816" w:type="pct"/>
            <w:vMerge/>
          </w:tcPr>
          <w:p w14:paraId="36FA9623" w14:textId="77777777" w:rsidR="003E1630" w:rsidRPr="00024D5A" w:rsidRDefault="003E1630" w:rsidP="001464FD">
            <w:pPr>
              <w:rPr>
                <w:rFonts w:ascii="Garamond" w:eastAsia="Times New Roman" w:hAnsi="Garamond"/>
                <w:sz w:val="14"/>
                <w:szCs w:val="16"/>
                <w:lang w:eastAsia="en-US"/>
              </w:rPr>
            </w:pPr>
          </w:p>
        </w:tc>
        <w:tc>
          <w:tcPr>
            <w:tcW w:w="639" w:type="pct"/>
            <w:vMerge/>
          </w:tcPr>
          <w:p w14:paraId="465E9B80" w14:textId="77777777" w:rsidR="003E1630" w:rsidRPr="00024D5A" w:rsidRDefault="003E1630" w:rsidP="001464FD">
            <w:pPr>
              <w:rPr>
                <w:rFonts w:ascii="Garamond" w:eastAsia="Times New Roman" w:hAnsi="Garamond"/>
                <w:sz w:val="14"/>
                <w:szCs w:val="16"/>
                <w:lang w:eastAsia="en-US"/>
              </w:rPr>
            </w:pPr>
          </w:p>
        </w:tc>
        <w:tc>
          <w:tcPr>
            <w:tcW w:w="967" w:type="pct"/>
            <w:vMerge/>
          </w:tcPr>
          <w:p w14:paraId="36804EB9" w14:textId="77777777" w:rsidR="003E1630" w:rsidRPr="00024D5A" w:rsidRDefault="003E1630" w:rsidP="001464FD">
            <w:pPr>
              <w:rPr>
                <w:rFonts w:ascii="Garamond" w:eastAsia="Times New Roman" w:hAnsi="Garamond"/>
                <w:sz w:val="14"/>
                <w:szCs w:val="16"/>
                <w:lang w:eastAsia="en-US"/>
              </w:rPr>
            </w:pPr>
          </w:p>
        </w:tc>
      </w:tr>
    </w:tbl>
    <w:p w14:paraId="4057E122" w14:textId="77777777" w:rsidR="003E1630" w:rsidRPr="00024D5A" w:rsidRDefault="003E1630" w:rsidP="00791B1A">
      <w:pPr>
        <w:rPr>
          <w:rFonts w:ascii="Garamond" w:eastAsia="MS Mincho" w:hAnsi="Garamond"/>
          <w:lang w:eastAsia="en-US"/>
        </w:rPr>
      </w:pPr>
    </w:p>
    <w:p w14:paraId="06649E09" w14:textId="5857BCA6" w:rsidR="003E1630" w:rsidRPr="00024D5A" w:rsidRDefault="0058487E" w:rsidP="00BE330D">
      <w:pPr>
        <w:pStyle w:val="Heading2"/>
        <w:keepNext w:val="0"/>
        <w:widowControl w:val="0"/>
        <w:spacing w:before="0"/>
        <w:ind w:firstLine="288"/>
        <w:rPr>
          <w:rFonts w:ascii="Garamond" w:hAnsi="Garamond"/>
          <w:color w:val="auto"/>
          <w:sz w:val="24"/>
          <w:lang w:eastAsia="en-US"/>
        </w:rPr>
      </w:pPr>
      <w:bookmarkStart w:id="65" w:name="_Toc231489663"/>
      <w:r w:rsidRPr="00024D5A">
        <w:rPr>
          <w:rFonts w:ascii="Garamond" w:hAnsi="Garamond"/>
          <w:color w:val="auto"/>
          <w:sz w:val="24"/>
          <w:lang w:eastAsia="en-US"/>
        </w:rPr>
        <w:t>5</w:t>
      </w:r>
      <w:r w:rsidR="005743A8" w:rsidRPr="00024D5A">
        <w:rPr>
          <w:rFonts w:ascii="Garamond" w:hAnsi="Garamond"/>
          <w:color w:val="auto"/>
          <w:sz w:val="24"/>
          <w:lang w:eastAsia="en-US"/>
        </w:rPr>
        <w:t>.7 Pjesëmarrja</w:t>
      </w:r>
      <w:bookmarkEnd w:id="65"/>
    </w:p>
    <w:p w14:paraId="5D0F7A16" w14:textId="77777777" w:rsidR="003E1630" w:rsidRPr="00024D5A" w:rsidRDefault="003E1630" w:rsidP="00791B1A">
      <w:pPr>
        <w:rPr>
          <w:rFonts w:ascii="Garamond" w:eastAsia="MS Mincho" w:hAnsi="Garamond"/>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9"/>
        <w:gridCol w:w="1071"/>
        <w:gridCol w:w="1516"/>
        <w:gridCol w:w="634"/>
        <w:gridCol w:w="1489"/>
        <w:gridCol w:w="1489"/>
        <w:gridCol w:w="831"/>
        <w:gridCol w:w="1011"/>
      </w:tblGrid>
      <w:tr w:rsidR="001464FD" w:rsidRPr="00024D5A" w14:paraId="09640A9B" w14:textId="77777777" w:rsidTr="00BE330D">
        <w:trPr>
          <w:trHeight w:val="545"/>
        </w:trPr>
        <w:tc>
          <w:tcPr>
            <w:tcW w:w="418" w:type="pct"/>
            <w:shd w:val="clear" w:color="000000" w:fill="C0E5F3"/>
            <w:vAlign w:val="center"/>
          </w:tcPr>
          <w:p w14:paraId="35CB8E63" w14:textId="5EA4BBE1" w:rsidR="003E1630" w:rsidRPr="00024D5A" w:rsidRDefault="003E1630" w:rsidP="00BE330D">
            <w:pPr>
              <w:jc w:val="center"/>
              <w:rPr>
                <w:rFonts w:ascii="Garamond" w:eastAsia="Times New Roman" w:hAnsi="Garamond"/>
                <w:sz w:val="14"/>
                <w:szCs w:val="20"/>
                <w:lang w:eastAsia="en-US"/>
              </w:rPr>
            </w:pPr>
          </w:p>
        </w:tc>
        <w:tc>
          <w:tcPr>
            <w:tcW w:w="665" w:type="pct"/>
            <w:shd w:val="clear" w:color="000000" w:fill="C0E5F3"/>
            <w:vAlign w:val="center"/>
          </w:tcPr>
          <w:p w14:paraId="5D22311F" w14:textId="77777777" w:rsidR="003E1630" w:rsidRPr="00024D5A" w:rsidRDefault="005743A8" w:rsidP="00BE330D">
            <w:pPr>
              <w:jc w:val="center"/>
              <w:rPr>
                <w:rFonts w:ascii="Garamond" w:eastAsia="Times New Roman" w:hAnsi="Garamond"/>
                <w:b/>
                <w:bCs/>
                <w:sz w:val="14"/>
                <w:szCs w:val="16"/>
                <w:lang w:eastAsia="en-US"/>
              </w:rPr>
            </w:pPr>
            <w:r w:rsidRPr="00024D5A">
              <w:rPr>
                <w:rFonts w:ascii="Garamond" w:eastAsia="Times New Roman" w:hAnsi="Garamond"/>
                <w:b/>
                <w:bCs/>
                <w:sz w:val="14"/>
                <w:szCs w:val="16"/>
                <w:lang w:eastAsia="en-US"/>
              </w:rPr>
              <w:t>Objektivat</w:t>
            </w:r>
          </w:p>
        </w:tc>
        <w:tc>
          <w:tcPr>
            <w:tcW w:w="914" w:type="pct"/>
            <w:shd w:val="clear" w:color="000000" w:fill="C0E5F3"/>
            <w:vAlign w:val="center"/>
          </w:tcPr>
          <w:p w14:paraId="03C36535" w14:textId="77777777" w:rsidR="003E1630" w:rsidRPr="00024D5A" w:rsidRDefault="005743A8" w:rsidP="00BE330D">
            <w:pPr>
              <w:jc w:val="center"/>
              <w:rPr>
                <w:rFonts w:ascii="Garamond" w:eastAsia="Times New Roman" w:hAnsi="Garamond"/>
                <w:b/>
                <w:bCs/>
                <w:sz w:val="14"/>
                <w:szCs w:val="16"/>
                <w:lang w:eastAsia="en-US"/>
              </w:rPr>
            </w:pPr>
            <w:r w:rsidRPr="00024D5A">
              <w:rPr>
                <w:rFonts w:ascii="Garamond" w:eastAsia="Times New Roman" w:hAnsi="Garamond"/>
                <w:b/>
                <w:bCs/>
                <w:sz w:val="14"/>
                <w:szCs w:val="16"/>
                <w:lang w:eastAsia="en-US"/>
              </w:rPr>
              <w:t>Treguesi</w:t>
            </w:r>
          </w:p>
        </w:tc>
        <w:tc>
          <w:tcPr>
            <w:tcW w:w="334" w:type="pct"/>
            <w:shd w:val="clear" w:color="000000" w:fill="C0E5F3"/>
            <w:vAlign w:val="center"/>
          </w:tcPr>
          <w:p w14:paraId="7A0E47CA" w14:textId="77777777" w:rsidR="003E1630" w:rsidRPr="00024D5A" w:rsidRDefault="005743A8" w:rsidP="00BE330D">
            <w:pPr>
              <w:jc w:val="center"/>
              <w:rPr>
                <w:rFonts w:ascii="Garamond" w:eastAsia="Times New Roman" w:hAnsi="Garamond"/>
                <w:b/>
                <w:bCs/>
                <w:sz w:val="14"/>
                <w:szCs w:val="16"/>
                <w:lang w:eastAsia="en-US"/>
              </w:rPr>
            </w:pPr>
            <w:r w:rsidRPr="00024D5A">
              <w:rPr>
                <w:rFonts w:ascii="Garamond" w:eastAsia="Times New Roman" w:hAnsi="Garamond"/>
                <w:b/>
                <w:bCs/>
                <w:sz w:val="14"/>
                <w:szCs w:val="16"/>
                <w:lang w:eastAsia="en-US"/>
              </w:rPr>
              <w:t>Vlera bazë</w:t>
            </w:r>
          </w:p>
        </w:tc>
        <w:tc>
          <w:tcPr>
            <w:tcW w:w="815" w:type="pct"/>
            <w:shd w:val="clear" w:color="000000" w:fill="C0E5F3"/>
            <w:vAlign w:val="center"/>
          </w:tcPr>
          <w:p w14:paraId="10E510AA" w14:textId="77777777" w:rsidR="003E1630" w:rsidRPr="00024D5A" w:rsidRDefault="005743A8" w:rsidP="00BE330D">
            <w:pPr>
              <w:jc w:val="center"/>
              <w:rPr>
                <w:rFonts w:ascii="Garamond" w:eastAsia="Times New Roman" w:hAnsi="Garamond"/>
                <w:b/>
                <w:bCs/>
                <w:sz w:val="14"/>
                <w:szCs w:val="16"/>
                <w:lang w:eastAsia="en-US"/>
              </w:rPr>
            </w:pPr>
            <w:r w:rsidRPr="00024D5A">
              <w:rPr>
                <w:rFonts w:ascii="Garamond" w:eastAsia="Times New Roman" w:hAnsi="Garamond"/>
                <w:b/>
                <w:bCs/>
                <w:sz w:val="14"/>
                <w:szCs w:val="16"/>
                <w:lang w:eastAsia="en-US"/>
              </w:rPr>
              <w:t>Synimi 2027</w:t>
            </w:r>
          </w:p>
        </w:tc>
        <w:tc>
          <w:tcPr>
            <w:tcW w:w="815" w:type="pct"/>
            <w:shd w:val="clear" w:color="000000" w:fill="C0E5F3"/>
            <w:vAlign w:val="center"/>
          </w:tcPr>
          <w:p w14:paraId="3EBCFC09" w14:textId="77777777" w:rsidR="003E1630" w:rsidRPr="00024D5A" w:rsidRDefault="005743A8" w:rsidP="00BE330D">
            <w:pPr>
              <w:jc w:val="center"/>
              <w:rPr>
                <w:rFonts w:ascii="Garamond" w:eastAsia="Times New Roman" w:hAnsi="Garamond"/>
                <w:b/>
                <w:bCs/>
                <w:sz w:val="14"/>
                <w:szCs w:val="16"/>
                <w:lang w:eastAsia="en-US"/>
              </w:rPr>
            </w:pPr>
            <w:r w:rsidRPr="00024D5A">
              <w:rPr>
                <w:rFonts w:ascii="Garamond" w:eastAsia="Times New Roman" w:hAnsi="Garamond"/>
                <w:b/>
                <w:bCs/>
                <w:sz w:val="14"/>
                <w:szCs w:val="16"/>
                <w:lang w:eastAsia="en-US"/>
              </w:rPr>
              <w:t>Synimi 2030</w:t>
            </w:r>
          </w:p>
        </w:tc>
        <w:tc>
          <w:tcPr>
            <w:tcW w:w="453" w:type="pct"/>
            <w:shd w:val="clear" w:color="000000" w:fill="C0E5F3"/>
            <w:vAlign w:val="center"/>
          </w:tcPr>
          <w:p w14:paraId="731DBA89" w14:textId="77777777" w:rsidR="003E1630" w:rsidRPr="00024D5A" w:rsidRDefault="005743A8" w:rsidP="00BE330D">
            <w:pPr>
              <w:jc w:val="center"/>
              <w:rPr>
                <w:rFonts w:ascii="Garamond" w:eastAsia="Times New Roman" w:hAnsi="Garamond"/>
                <w:b/>
                <w:bCs/>
                <w:sz w:val="14"/>
                <w:szCs w:val="16"/>
                <w:lang w:eastAsia="en-US"/>
              </w:rPr>
            </w:pPr>
            <w:r w:rsidRPr="00024D5A">
              <w:rPr>
                <w:rFonts w:ascii="Garamond" w:eastAsia="Times New Roman" w:hAnsi="Garamond"/>
                <w:b/>
                <w:bCs/>
                <w:sz w:val="14"/>
                <w:szCs w:val="16"/>
                <w:lang w:eastAsia="en-US"/>
              </w:rPr>
              <w:t>Burimet dhe mjetet e verifikimit</w:t>
            </w:r>
          </w:p>
        </w:tc>
        <w:tc>
          <w:tcPr>
            <w:tcW w:w="586" w:type="pct"/>
            <w:shd w:val="clear" w:color="000000" w:fill="C0E5F3"/>
            <w:vAlign w:val="center"/>
          </w:tcPr>
          <w:p w14:paraId="568A0EBB" w14:textId="77777777" w:rsidR="003E1630" w:rsidRPr="00024D5A" w:rsidRDefault="005743A8" w:rsidP="00BE330D">
            <w:pPr>
              <w:jc w:val="center"/>
              <w:rPr>
                <w:rFonts w:ascii="Garamond" w:eastAsia="Times New Roman" w:hAnsi="Garamond"/>
                <w:b/>
                <w:bCs/>
                <w:sz w:val="14"/>
                <w:szCs w:val="16"/>
                <w:lang w:eastAsia="en-US"/>
              </w:rPr>
            </w:pPr>
            <w:r w:rsidRPr="00024D5A">
              <w:rPr>
                <w:rFonts w:ascii="Garamond" w:eastAsia="Times New Roman" w:hAnsi="Garamond"/>
                <w:b/>
                <w:bCs/>
                <w:sz w:val="14"/>
                <w:szCs w:val="16"/>
                <w:lang w:eastAsia="en-US"/>
              </w:rPr>
              <w:t>Referenca në dok. të tjera</w:t>
            </w:r>
          </w:p>
        </w:tc>
      </w:tr>
      <w:tr w:rsidR="001464FD" w:rsidRPr="00024D5A" w14:paraId="3D35D304" w14:textId="77777777" w:rsidTr="003A52F2">
        <w:trPr>
          <w:trHeight w:val="1419"/>
        </w:trPr>
        <w:tc>
          <w:tcPr>
            <w:tcW w:w="418" w:type="pct"/>
            <w:shd w:val="clear" w:color="000000" w:fill="D8F1D0"/>
            <w:vAlign w:val="center"/>
          </w:tcPr>
          <w:p w14:paraId="5DF79AA6" w14:textId="77777777" w:rsidR="003E1630" w:rsidRPr="00024D5A" w:rsidRDefault="005743A8" w:rsidP="00791B1A">
            <w:pPr>
              <w:rPr>
                <w:rFonts w:ascii="Garamond" w:eastAsia="Times New Roman" w:hAnsi="Garamond"/>
                <w:b/>
                <w:bCs/>
                <w:sz w:val="14"/>
                <w:szCs w:val="16"/>
                <w:lang w:eastAsia="en-US"/>
              </w:rPr>
            </w:pPr>
            <w:r w:rsidRPr="00024D5A">
              <w:rPr>
                <w:rFonts w:ascii="Garamond" w:eastAsia="Times New Roman" w:hAnsi="Garamond"/>
                <w:b/>
                <w:bCs/>
                <w:sz w:val="14"/>
                <w:szCs w:val="16"/>
                <w:lang w:eastAsia="en-US"/>
              </w:rPr>
              <w:t xml:space="preserve">Qëllimi i politikës </w:t>
            </w:r>
          </w:p>
        </w:tc>
        <w:tc>
          <w:tcPr>
            <w:tcW w:w="665" w:type="pct"/>
            <w:shd w:val="clear" w:color="000000" w:fill="D8F1D0"/>
          </w:tcPr>
          <w:p w14:paraId="7EF4B0F0"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Qëllimi i politikës: Garantimi i përfshirjes së plotë të personave me aftësi të kufizuara në jetën publike dhe politike në Shqipëri dhe mundësimi i mbrojtjes së interesave të tyre.</w:t>
            </w:r>
          </w:p>
        </w:tc>
        <w:tc>
          <w:tcPr>
            <w:tcW w:w="914" w:type="pct"/>
            <w:shd w:val="clear" w:color="000000" w:fill="D8F1D0"/>
          </w:tcPr>
          <w:p w14:paraId="0C34D0D7"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Përqindja e personave me aftësi të kufizuara që marrin pjesë në proceset vendimmarrëse publike dhe politike (si votues, kandidatë, anëtarë të këshillave apo forumeve publike).</w:t>
            </w:r>
          </w:p>
        </w:tc>
        <w:tc>
          <w:tcPr>
            <w:tcW w:w="334" w:type="pct"/>
            <w:shd w:val="clear" w:color="000000" w:fill="D8F1D0"/>
          </w:tcPr>
          <w:p w14:paraId="613C8013"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815" w:type="pct"/>
            <w:shd w:val="clear" w:color="000000" w:fill="D8F1D0"/>
          </w:tcPr>
          <w:p w14:paraId="690A4D0A"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815" w:type="pct"/>
            <w:shd w:val="clear" w:color="000000" w:fill="D8F1D0"/>
          </w:tcPr>
          <w:p w14:paraId="4B3A674D"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453" w:type="pct"/>
            <w:shd w:val="clear" w:color="000000" w:fill="D8F1D0"/>
          </w:tcPr>
          <w:p w14:paraId="1A99D9AE"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MSHMS;</w:t>
            </w:r>
            <w:r w:rsidRPr="00024D5A">
              <w:rPr>
                <w:rFonts w:ascii="Garamond" w:eastAsia="Times New Roman" w:hAnsi="Garamond"/>
                <w:sz w:val="14"/>
                <w:szCs w:val="16"/>
                <w:lang w:eastAsia="en-US"/>
              </w:rPr>
              <w:br/>
              <w:t xml:space="preserve">KQZ; </w:t>
            </w:r>
          </w:p>
          <w:p w14:paraId="1B40A07C" w14:textId="7E3D3821" w:rsidR="003E1630" w:rsidRPr="00024D5A" w:rsidRDefault="005743A8" w:rsidP="00791B1A">
            <w:pPr>
              <w:rPr>
                <w:rFonts w:ascii="Garamond" w:eastAsia="Times New Roman" w:hAnsi="Garamond" w:cs="Arial"/>
                <w:sz w:val="14"/>
                <w:szCs w:val="16"/>
                <w:lang w:eastAsia="en-US"/>
              </w:rPr>
            </w:pPr>
            <w:r w:rsidRPr="00024D5A">
              <w:rPr>
                <w:rFonts w:ascii="Garamond" w:eastAsia="Times New Roman" w:hAnsi="Garamond" w:cs="Arial"/>
                <w:sz w:val="14"/>
                <w:szCs w:val="16"/>
                <w:lang w:eastAsia="en-US"/>
              </w:rPr>
              <w:t>MSHPV</w:t>
            </w:r>
            <w:r w:rsidR="00AA7099" w:rsidRPr="00024D5A">
              <w:rPr>
                <w:rFonts w:ascii="Garamond" w:eastAsia="Times New Roman" w:hAnsi="Garamond" w:cs="Arial"/>
                <w:sz w:val="14"/>
                <w:szCs w:val="16"/>
                <w:lang w:eastAsia="en-US"/>
              </w:rPr>
              <w:t>;</w:t>
            </w:r>
          </w:p>
          <w:p w14:paraId="19597856" w14:textId="0A233308"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cs="Arial"/>
                <w:sz w:val="14"/>
                <w:szCs w:val="16"/>
                <w:lang w:eastAsia="en-US"/>
              </w:rPr>
              <w:t>AMVV</w:t>
            </w:r>
            <w:r w:rsidR="00AA7099" w:rsidRPr="00024D5A">
              <w:rPr>
                <w:rFonts w:ascii="Garamond" w:eastAsia="Times New Roman" w:hAnsi="Garamond" w:cs="Arial"/>
                <w:sz w:val="14"/>
                <w:szCs w:val="16"/>
                <w:lang w:eastAsia="en-US"/>
              </w:rPr>
              <w:t>;</w:t>
            </w:r>
            <w:r w:rsidRPr="00024D5A">
              <w:rPr>
                <w:rFonts w:ascii="Garamond" w:eastAsia="Times New Roman" w:hAnsi="Garamond" w:cs="Arial"/>
                <w:sz w:val="14"/>
                <w:szCs w:val="16"/>
                <w:lang w:eastAsia="en-US"/>
              </w:rPr>
              <w:t xml:space="preserve"> </w:t>
            </w:r>
            <w:r w:rsidRPr="00024D5A">
              <w:rPr>
                <w:rFonts w:ascii="Garamond" w:eastAsia="Times New Roman" w:hAnsi="Garamond" w:cs="Arial"/>
                <w:sz w:val="14"/>
                <w:szCs w:val="16"/>
                <w:lang w:eastAsia="en-US"/>
              </w:rPr>
              <w:br/>
            </w:r>
            <w:r w:rsidR="003245E7" w:rsidRPr="00024D5A">
              <w:rPr>
                <w:rFonts w:ascii="Garamond" w:eastAsia="Times New Roman" w:hAnsi="Garamond"/>
                <w:sz w:val="14"/>
                <w:szCs w:val="16"/>
                <w:lang w:eastAsia="en-US"/>
              </w:rPr>
              <w:t>NJVV</w:t>
            </w:r>
            <w:r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br/>
            </w:r>
            <w:r w:rsidR="00BA4F73" w:rsidRPr="00024D5A">
              <w:rPr>
                <w:rFonts w:ascii="Garamond" w:eastAsia="Times New Roman" w:hAnsi="Garamond"/>
                <w:sz w:val="14"/>
                <w:szCs w:val="16"/>
                <w:lang w:eastAsia="en-US"/>
              </w:rPr>
              <w:t>OJF</w:t>
            </w:r>
            <w:r w:rsidR="00AA7099" w:rsidRPr="00024D5A">
              <w:rPr>
                <w:rFonts w:ascii="Garamond" w:eastAsia="Times New Roman" w:hAnsi="Garamond"/>
                <w:sz w:val="14"/>
                <w:szCs w:val="16"/>
                <w:lang w:eastAsia="en-US"/>
              </w:rPr>
              <w:t>.</w:t>
            </w:r>
          </w:p>
        </w:tc>
        <w:tc>
          <w:tcPr>
            <w:tcW w:w="586" w:type="pct"/>
            <w:shd w:val="clear" w:color="000000" w:fill="D8F1D0"/>
          </w:tcPr>
          <w:p w14:paraId="186A3311" w14:textId="7FC6CC90"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Dokumenti i programit të BE-së EU për Përfshirjen Sociale;</w:t>
            </w:r>
            <w:r w:rsidRPr="00024D5A">
              <w:rPr>
                <w:rFonts w:ascii="Garamond" w:eastAsia="Times New Roman" w:hAnsi="Garamond"/>
                <w:sz w:val="14"/>
                <w:szCs w:val="16"/>
                <w:lang w:eastAsia="en-US"/>
              </w:rPr>
              <w:br/>
              <w:t>Konventa për të Drejtat e Personave me Aftësi të Kufizuara</w:t>
            </w:r>
            <w:r w:rsidR="00AA7099" w:rsidRPr="00024D5A">
              <w:rPr>
                <w:rFonts w:ascii="Garamond" w:eastAsia="Times New Roman" w:hAnsi="Garamond"/>
                <w:sz w:val="14"/>
                <w:szCs w:val="16"/>
                <w:lang w:eastAsia="en-US"/>
              </w:rPr>
              <w:t>.</w:t>
            </w:r>
          </w:p>
        </w:tc>
      </w:tr>
      <w:tr w:rsidR="003A52F2" w:rsidRPr="00024D5A" w14:paraId="7013E1ED" w14:textId="77777777" w:rsidTr="003A52F2">
        <w:trPr>
          <w:trHeight w:val="1245"/>
        </w:trPr>
        <w:tc>
          <w:tcPr>
            <w:tcW w:w="418" w:type="pct"/>
            <w:vMerge w:val="restart"/>
            <w:shd w:val="clear" w:color="000000" w:fill="CAEDFA"/>
            <w:vAlign w:val="center"/>
          </w:tcPr>
          <w:p w14:paraId="237D262E" w14:textId="77777777" w:rsidR="003A52F2" w:rsidRPr="00024D5A" w:rsidRDefault="003A52F2" w:rsidP="00791B1A">
            <w:pPr>
              <w:rPr>
                <w:rFonts w:ascii="Garamond" w:eastAsia="Times New Roman" w:hAnsi="Garamond"/>
                <w:sz w:val="14"/>
                <w:szCs w:val="20"/>
                <w:lang w:eastAsia="en-US"/>
              </w:rPr>
            </w:pPr>
            <w:r w:rsidRPr="00024D5A">
              <w:rPr>
                <w:rFonts w:ascii="Garamond" w:eastAsia="Times New Roman" w:hAnsi="Garamond"/>
                <w:sz w:val="14"/>
                <w:szCs w:val="20"/>
                <w:lang w:eastAsia="en-US"/>
              </w:rPr>
              <w:t> </w:t>
            </w:r>
          </w:p>
          <w:p w14:paraId="132E70FB" w14:textId="77777777" w:rsidR="003A52F2" w:rsidRPr="00024D5A" w:rsidRDefault="003A52F2" w:rsidP="00791B1A">
            <w:pPr>
              <w:rPr>
                <w:rFonts w:ascii="Garamond" w:eastAsia="Times New Roman" w:hAnsi="Garamond"/>
                <w:sz w:val="14"/>
                <w:szCs w:val="20"/>
                <w:lang w:eastAsia="en-US"/>
              </w:rPr>
            </w:pPr>
            <w:r w:rsidRPr="00024D5A">
              <w:rPr>
                <w:rFonts w:ascii="Garamond" w:eastAsia="Times New Roman" w:hAnsi="Garamond"/>
                <w:sz w:val="14"/>
                <w:szCs w:val="20"/>
                <w:lang w:eastAsia="en-US"/>
              </w:rPr>
              <w:t> </w:t>
            </w:r>
          </w:p>
          <w:p w14:paraId="54ED1100" w14:textId="77B0FE7C" w:rsidR="003A52F2" w:rsidRPr="00024D5A" w:rsidRDefault="003A52F2" w:rsidP="00791B1A">
            <w:pPr>
              <w:rPr>
                <w:rFonts w:ascii="Garamond" w:eastAsia="Times New Roman" w:hAnsi="Garamond"/>
                <w:sz w:val="14"/>
                <w:szCs w:val="20"/>
                <w:lang w:eastAsia="en-US"/>
              </w:rPr>
            </w:pPr>
            <w:r w:rsidRPr="00024D5A">
              <w:rPr>
                <w:rFonts w:ascii="Garamond" w:eastAsia="Times New Roman" w:hAnsi="Garamond"/>
                <w:sz w:val="14"/>
                <w:szCs w:val="20"/>
                <w:lang w:eastAsia="en-US"/>
              </w:rPr>
              <w:t> </w:t>
            </w:r>
          </w:p>
        </w:tc>
        <w:tc>
          <w:tcPr>
            <w:tcW w:w="665" w:type="pct"/>
            <w:vMerge w:val="restart"/>
            <w:shd w:val="clear" w:color="000000" w:fill="CAEDFA"/>
          </w:tcPr>
          <w:p w14:paraId="25B210F5" w14:textId="618F4623" w:rsidR="003A52F2" w:rsidRPr="00024D5A" w:rsidRDefault="003A52F2"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Objektivi </w:t>
            </w:r>
            <w:r w:rsidR="00AA7099" w:rsidRPr="00024D5A">
              <w:rPr>
                <w:rFonts w:ascii="Garamond" w:eastAsia="Times New Roman" w:hAnsi="Garamond"/>
                <w:sz w:val="14"/>
                <w:szCs w:val="16"/>
                <w:lang w:eastAsia="en-US"/>
              </w:rPr>
              <w:t xml:space="preserve">specifik </w:t>
            </w:r>
            <w:r w:rsidRPr="00024D5A">
              <w:rPr>
                <w:rFonts w:ascii="Garamond" w:eastAsia="Times New Roman" w:hAnsi="Garamond"/>
                <w:sz w:val="14"/>
                <w:szCs w:val="16"/>
                <w:lang w:eastAsia="en-US"/>
              </w:rPr>
              <w:t>1</w:t>
            </w:r>
            <w:r w:rsidR="00AC5DA9">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Rritja e numrit të personave me aftësi të kufizuara në procesin e votimit, dhënia e mundësisë për të mbrojtur interesat e tyre dhe për të marrë pjesë në vendimmarrje.</w:t>
            </w:r>
          </w:p>
        </w:tc>
        <w:tc>
          <w:tcPr>
            <w:tcW w:w="914" w:type="pct"/>
            <w:vMerge w:val="restart"/>
            <w:shd w:val="clear" w:color="000000" w:fill="CAEDFA"/>
          </w:tcPr>
          <w:p w14:paraId="3B414652" w14:textId="77777777" w:rsidR="003A52F2" w:rsidRPr="00024D5A" w:rsidRDefault="003A52F2"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Përqindja e personave me aftësi të kufizuara që marrin pjesë në votime;</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Përqindja e qendrave të votimit të aksesueshme sipas standardeve ligjore;</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Numri i personave me aftësi të kufizuara të përfshirë në organe vendimmarrëse ose struktura konsultative publike (qendrore dhe vendore);</w:t>
            </w:r>
          </w:p>
        </w:tc>
        <w:tc>
          <w:tcPr>
            <w:tcW w:w="334" w:type="pct"/>
            <w:vMerge w:val="restart"/>
            <w:shd w:val="clear" w:color="000000" w:fill="CAEDFA"/>
          </w:tcPr>
          <w:p w14:paraId="52337DEC" w14:textId="77777777" w:rsidR="003A52F2" w:rsidRPr="00024D5A" w:rsidRDefault="003A52F2"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N/A</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N/A</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N/A</w:t>
            </w:r>
          </w:p>
        </w:tc>
        <w:tc>
          <w:tcPr>
            <w:tcW w:w="815" w:type="pct"/>
            <w:shd w:val="clear" w:color="000000" w:fill="CAEDFA"/>
          </w:tcPr>
          <w:p w14:paraId="1C72A12D" w14:textId="504E3A27" w:rsidR="003A52F2" w:rsidRPr="00024D5A" w:rsidRDefault="003A52F2"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10</w:t>
            </w:r>
            <w:r w:rsidR="00F03D3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nga vlerësimi bazë</w:t>
            </w:r>
          </w:p>
        </w:tc>
        <w:tc>
          <w:tcPr>
            <w:tcW w:w="815" w:type="pct"/>
            <w:shd w:val="clear" w:color="000000" w:fill="CAEDFA"/>
          </w:tcPr>
          <w:p w14:paraId="749DF809" w14:textId="4BCEEEE8" w:rsidR="003A52F2" w:rsidRPr="00024D5A" w:rsidRDefault="003A52F2"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40</w:t>
            </w:r>
            <w:r w:rsidR="00F03D3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nga vlerësimi bazë</w:t>
            </w:r>
          </w:p>
        </w:tc>
        <w:tc>
          <w:tcPr>
            <w:tcW w:w="453" w:type="pct"/>
            <w:shd w:val="clear" w:color="000000" w:fill="CAEDFA"/>
          </w:tcPr>
          <w:p w14:paraId="6B41766A" w14:textId="77777777" w:rsidR="003A52F2" w:rsidRPr="00024D5A" w:rsidRDefault="003A52F2"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KQZ;</w:t>
            </w:r>
          </w:p>
          <w:p w14:paraId="4968B82B" w14:textId="2875D5AA" w:rsidR="003A52F2" w:rsidRPr="00024D5A" w:rsidRDefault="003A52F2" w:rsidP="00791B1A">
            <w:pPr>
              <w:rPr>
                <w:rFonts w:ascii="Garamond" w:eastAsia="Times New Roman" w:hAnsi="Garamond" w:cs="Arial"/>
                <w:sz w:val="14"/>
                <w:szCs w:val="16"/>
                <w:lang w:eastAsia="en-US"/>
              </w:rPr>
            </w:pPr>
            <w:r w:rsidRPr="00024D5A">
              <w:rPr>
                <w:rFonts w:ascii="Garamond" w:eastAsia="Times New Roman" w:hAnsi="Garamond" w:cs="Arial"/>
                <w:sz w:val="14"/>
                <w:szCs w:val="16"/>
                <w:lang w:eastAsia="en-US"/>
              </w:rPr>
              <w:t>MSHPV</w:t>
            </w:r>
            <w:r w:rsidR="00AA7099" w:rsidRPr="00024D5A">
              <w:rPr>
                <w:rFonts w:ascii="Garamond" w:eastAsia="Times New Roman" w:hAnsi="Garamond" w:cs="Arial"/>
                <w:sz w:val="14"/>
                <w:szCs w:val="16"/>
                <w:lang w:eastAsia="en-US"/>
              </w:rPr>
              <w:t>;</w:t>
            </w:r>
          </w:p>
          <w:p w14:paraId="516E269B" w14:textId="5C37B59B" w:rsidR="003A52F2" w:rsidRPr="00024D5A" w:rsidRDefault="003A52F2" w:rsidP="00791B1A">
            <w:pPr>
              <w:rPr>
                <w:rFonts w:ascii="Garamond" w:eastAsia="Times New Roman" w:hAnsi="Garamond"/>
                <w:sz w:val="14"/>
                <w:szCs w:val="16"/>
                <w:lang w:eastAsia="en-US"/>
              </w:rPr>
            </w:pPr>
            <w:r w:rsidRPr="00024D5A">
              <w:rPr>
                <w:rFonts w:ascii="Garamond" w:eastAsia="Times New Roman" w:hAnsi="Garamond" w:cs="Arial"/>
                <w:sz w:val="14"/>
                <w:szCs w:val="16"/>
                <w:lang w:eastAsia="en-US"/>
              </w:rPr>
              <w:t>AMVV</w:t>
            </w:r>
            <w:r w:rsidR="00AA7099" w:rsidRPr="00024D5A">
              <w:rPr>
                <w:rFonts w:ascii="Garamond" w:eastAsia="Times New Roman" w:hAnsi="Garamond" w:cs="Arial"/>
                <w:sz w:val="14"/>
                <w:szCs w:val="16"/>
                <w:lang w:eastAsia="en-US"/>
              </w:rPr>
              <w:t>;</w:t>
            </w:r>
            <w:r w:rsidRPr="00024D5A">
              <w:rPr>
                <w:rFonts w:ascii="Garamond" w:eastAsia="Times New Roman" w:hAnsi="Garamond" w:cs="Arial"/>
                <w:sz w:val="14"/>
                <w:szCs w:val="16"/>
                <w:lang w:eastAsia="en-US"/>
              </w:rPr>
              <w:t xml:space="preserve"> </w:t>
            </w:r>
            <w:r w:rsidRPr="00024D5A">
              <w:rPr>
                <w:rFonts w:ascii="Garamond" w:eastAsia="Times New Roman" w:hAnsi="Garamond" w:cs="Arial"/>
                <w:sz w:val="14"/>
                <w:szCs w:val="16"/>
                <w:lang w:eastAsia="en-US"/>
              </w:rPr>
              <w:br/>
            </w:r>
            <w:r w:rsidRPr="00024D5A">
              <w:rPr>
                <w:rFonts w:ascii="Garamond" w:eastAsia="Times New Roman" w:hAnsi="Garamond"/>
                <w:sz w:val="14"/>
                <w:szCs w:val="16"/>
                <w:lang w:eastAsia="en-US"/>
              </w:rPr>
              <w:t>NJVV;</w:t>
            </w:r>
            <w:r w:rsidRPr="00024D5A">
              <w:rPr>
                <w:rFonts w:ascii="Garamond" w:eastAsia="Times New Roman" w:hAnsi="Garamond"/>
                <w:sz w:val="14"/>
                <w:szCs w:val="16"/>
                <w:lang w:eastAsia="en-US"/>
              </w:rPr>
              <w:br/>
              <w:t>OJF</w:t>
            </w:r>
            <w:r w:rsidR="00AA7099" w:rsidRPr="00024D5A">
              <w:rPr>
                <w:rFonts w:ascii="Garamond" w:eastAsia="Times New Roman" w:hAnsi="Garamond"/>
                <w:sz w:val="14"/>
                <w:szCs w:val="16"/>
                <w:lang w:eastAsia="en-US"/>
              </w:rPr>
              <w:t>.</w:t>
            </w:r>
          </w:p>
        </w:tc>
        <w:tc>
          <w:tcPr>
            <w:tcW w:w="586" w:type="pct"/>
            <w:shd w:val="clear" w:color="000000" w:fill="CAEDFA"/>
          </w:tcPr>
          <w:p w14:paraId="09CBF21C" w14:textId="77777777" w:rsidR="003A52F2" w:rsidRPr="00024D5A" w:rsidRDefault="003A52F2"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Konventa për të Drejtat e Personave me Aftësi të Kufizuara; </w:t>
            </w:r>
            <w:r w:rsidRPr="00024D5A">
              <w:rPr>
                <w:rFonts w:ascii="Garamond" w:eastAsia="Times New Roman" w:hAnsi="Garamond"/>
                <w:sz w:val="14"/>
                <w:szCs w:val="16"/>
                <w:lang w:eastAsia="en-US"/>
              </w:rPr>
              <w:br/>
              <w:t>Dokumenti i programit të BE-së</w:t>
            </w:r>
          </w:p>
        </w:tc>
      </w:tr>
      <w:tr w:rsidR="003A52F2" w:rsidRPr="00024D5A" w14:paraId="7B9BF077" w14:textId="77777777" w:rsidTr="003A52F2">
        <w:trPr>
          <w:trHeight w:val="690"/>
        </w:trPr>
        <w:tc>
          <w:tcPr>
            <w:tcW w:w="418" w:type="pct"/>
            <w:vMerge/>
            <w:shd w:val="clear" w:color="000000" w:fill="CAEDFA"/>
            <w:vAlign w:val="bottom"/>
          </w:tcPr>
          <w:p w14:paraId="45CF456C" w14:textId="7914869D" w:rsidR="003A52F2" w:rsidRPr="00024D5A" w:rsidRDefault="003A52F2" w:rsidP="00791B1A">
            <w:pPr>
              <w:rPr>
                <w:rFonts w:ascii="Garamond" w:eastAsia="Times New Roman" w:hAnsi="Garamond"/>
                <w:sz w:val="14"/>
                <w:szCs w:val="20"/>
                <w:lang w:eastAsia="en-US"/>
              </w:rPr>
            </w:pPr>
          </w:p>
        </w:tc>
        <w:tc>
          <w:tcPr>
            <w:tcW w:w="665" w:type="pct"/>
            <w:vMerge/>
            <w:vAlign w:val="center"/>
          </w:tcPr>
          <w:p w14:paraId="3BA711AF" w14:textId="77777777" w:rsidR="003A52F2" w:rsidRPr="00024D5A" w:rsidRDefault="003A52F2" w:rsidP="00791B1A">
            <w:pPr>
              <w:rPr>
                <w:rFonts w:ascii="Garamond" w:eastAsia="Times New Roman" w:hAnsi="Garamond"/>
                <w:sz w:val="14"/>
                <w:szCs w:val="16"/>
                <w:lang w:eastAsia="en-US"/>
              </w:rPr>
            </w:pPr>
          </w:p>
        </w:tc>
        <w:tc>
          <w:tcPr>
            <w:tcW w:w="914" w:type="pct"/>
            <w:vMerge/>
            <w:vAlign w:val="center"/>
          </w:tcPr>
          <w:p w14:paraId="135E2B10" w14:textId="77777777" w:rsidR="003A52F2" w:rsidRPr="00024D5A" w:rsidRDefault="003A52F2" w:rsidP="00791B1A">
            <w:pPr>
              <w:rPr>
                <w:rFonts w:ascii="Garamond" w:eastAsia="Times New Roman" w:hAnsi="Garamond"/>
                <w:sz w:val="14"/>
                <w:szCs w:val="16"/>
                <w:lang w:eastAsia="en-US"/>
              </w:rPr>
            </w:pPr>
          </w:p>
        </w:tc>
        <w:tc>
          <w:tcPr>
            <w:tcW w:w="334" w:type="pct"/>
            <w:vMerge/>
            <w:vAlign w:val="center"/>
          </w:tcPr>
          <w:p w14:paraId="1EA6B90A" w14:textId="77777777" w:rsidR="003A52F2" w:rsidRPr="00024D5A" w:rsidRDefault="003A52F2" w:rsidP="00791B1A">
            <w:pPr>
              <w:rPr>
                <w:rFonts w:ascii="Garamond" w:eastAsia="Times New Roman" w:hAnsi="Garamond"/>
                <w:sz w:val="14"/>
                <w:szCs w:val="16"/>
                <w:lang w:eastAsia="en-US"/>
              </w:rPr>
            </w:pPr>
          </w:p>
        </w:tc>
        <w:tc>
          <w:tcPr>
            <w:tcW w:w="815" w:type="pct"/>
            <w:shd w:val="clear" w:color="000000" w:fill="CAEDFA"/>
            <w:vAlign w:val="center"/>
          </w:tcPr>
          <w:p w14:paraId="7D157F42" w14:textId="6A82151D" w:rsidR="003A52F2" w:rsidRPr="00024D5A" w:rsidRDefault="003A52F2"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20</w:t>
            </w:r>
            <w:r w:rsidR="00F03D3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nga vlerësimi bazë</w:t>
            </w:r>
          </w:p>
        </w:tc>
        <w:tc>
          <w:tcPr>
            <w:tcW w:w="815" w:type="pct"/>
            <w:shd w:val="clear" w:color="000000" w:fill="CAEDFA"/>
            <w:vAlign w:val="center"/>
          </w:tcPr>
          <w:p w14:paraId="3CC003E2" w14:textId="534CF154" w:rsidR="003A52F2" w:rsidRPr="00024D5A" w:rsidRDefault="003A52F2"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50</w:t>
            </w:r>
            <w:r w:rsidR="00F03D3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nga vlerësimi bazë</w:t>
            </w:r>
          </w:p>
        </w:tc>
        <w:tc>
          <w:tcPr>
            <w:tcW w:w="453" w:type="pct"/>
            <w:shd w:val="clear" w:color="000000" w:fill="CAEDFA"/>
            <w:vAlign w:val="center"/>
          </w:tcPr>
          <w:p w14:paraId="2D61C726" w14:textId="663BDC33" w:rsidR="003A52F2" w:rsidRPr="00024D5A" w:rsidRDefault="003A52F2"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KQZ;</w:t>
            </w:r>
            <w:r w:rsidRPr="00024D5A">
              <w:rPr>
                <w:rFonts w:ascii="Garamond" w:eastAsia="Times New Roman" w:hAnsi="Garamond"/>
                <w:sz w:val="14"/>
                <w:szCs w:val="16"/>
                <w:lang w:eastAsia="en-US"/>
              </w:rPr>
              <w:br/>
              <w:t>NJVV;</w:t>
            </w:r>
            <w:r w:rsidRPr="00024D5A">
              <w:rPr>
                <w:rFonts w:ascii="Garamond" w:eastAsia="Times New Roman" w:hAnsi="Garamond"/>
                <w:sz w:val="14"/>
                <w:szCs w:val="16"/>
                <w:lang w:eastAsia="en-US"/>
              </w:rPr>
              <w:br/>
              <w:t xml:space="preserve"> OJF</w:t>
            </w:r>
            <w:r w:rsidR="00AA7099" w:rsidRPr="00024D5A">
              <w:rPr>
                <w:rFonts w:ascii="Garamond" w:eastAsia="Times New Roman" w:hAnsi="Garamond"/>
                <w:sz w:val="14"/>
                <w:szCs w:val="16"/>
                <w:lang w:eastAsia="en-US"/>
              </w:rPr>
              <w:t>.</w:t>
            </w:r>
          </w:p>
        </w:tc>
        <w:tc>
          <w:tcPr>
            <w:tcW w:w="586" w:type="pct"/>
            <w:shd w:val="clear" w:color="000000" w:fill="CAEDFA"/>
          </w:tcPr>
          <w:p w14:paraId="1B21D2AD" w14:textId="6B587456" w:rsidR="003A52F2" w:rsidRPr="00024D5A" w:rsidRDefault="003A52F2"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EU për Përfshirjen Sociale</w:t>
            </w:r>
          </w:p>
        </w:tc>
      </w:tr>
      <w:tr w:rsidR="003A52F2" w:rsidRPr="00024D5A" w14:paraId="6399862F" w14:textId="77777777" w:rsidTr="003A52F2">
        <w:trPr>
          <w:trHeight w:val="780"/>
        </w:trPr>
        <w:tc>
          <w:tcPr>
            <w:tcW w:w="418" w:type="pct"/>
            <w:vMerge/>
            <w:shd w:val="clear" w:color="000000" w:fill="CAEDFA"/>
            <w:vAlign w:val="center"/>
          </w:tcPr>
          <w:p w14:paraId="2864F939" w14:textId="6CA8C7C2" w:rsidR="003A52F2" w:rsidRPr="00024D5A" w:rsidRDefault="003A52F2" w:rsidP="00791B1A">
            <w:pPr>
              <w:rPr>
                <w:rFonts w:ascii="Garamond" w:eastAsia="Times New Roman" w:hAnsi="Garamond"/>
                <w:sz w:val="14"/>
                <w:szCs w:val="20"/>
                <w:lang w:eastAsia="en-US"/>
              </w:rPr>
            </w:pPr>
          </w:p>
        </w:tc>
        <w:tc>
          <w:tcPr>
            <w:tcW w:w="665" w:type="pct"/>
            <w:vMerge/>
            <w:vAlign w:val="center"/>
          </w:tcPr>
          <w:p w14:paraId="44B9BA14" w14:textId="77777777" w:rsidR="003A52F2" w:rsidRPr="00024D5A" w:rsidRDefault="003A52F2" w:rsidP="00791B1A">
            <w:pPr>
              <w:rPr>
                <w:rFonts w:ascii="Garamond" w:eastAsia="Times New Roman" w:hAnsi="Garamond"/>
                <w:sz w:val="14"/>
                <w:szCs w:val="16"/>
                <w:lang w:eastAsia="en-US"/>
              </w:rPr>
            </w:pPr>
          </w:p>
        </w:tc>
        <w:tc>
          <w:tcPr>
            <w:tcW w:w="914" w:type="pct"/>
            <w:vMerge/>
            <w:vAlign w:val="center"/>
          </w:tcPr>
          <w:p w14:paraId="242457DA" w14:textId="77777777" w:rsidR="003A52F2" w:rsidRPr="00024D5A" w:rsidRDefault="003A52F2" w:rsidP="00791B1A">
            <w:pPr>
              <w:rPr>
                <w:rFonts w:ascii="Garamond" w:eastAsia="Times New Roman" w:hAnsi="Garamond"/>
                <w:sz w:val="14"/>
                <w:szCs w:val="16"/>
                <w:lang w:eastAsia="en-US"/>
              </w:rPr>
            </w:pPr>
          </w:p>
        </w:tc>
        <w:tc>
          <w:tcPr>
            <w:tcW w:w="334" w:type="pct"/>
            <w:vMerge/>
            <w:vAlign w:val="center"/>
          </w:tcPr>
          <w:p w14:paraId="214AFDB8" w14:textId="77777777" w:rsidR="003A52F2" w:rsidRPr="00024D5A" w:rsidRDefault="003A52F2" w:rsidP="00791B1A">
            <w:pPr>
              <w:rPr>
                <w:rFonts w:ascii="Garamond" w:eastAsia="Times New Roman" w:hAnsi="Garamond"/>
                <w:sz w:val="14"/>
                <w:szCs w:val="16"/>
                <w:lang w:eastAsia="en-US"/>
              </w:rPr>
            </w:pPr>
          </w:p>
        </w:tc>
        <w:tc>
          <w:tcPr>
            <w:tcW w:w="815" w:type="pct"/>
            <w:shd w:val="clear" w:color="000000" w:fill="CAEDFA"/>
          </w:tcPr>
          <w:p w14:paraId="54F4462C" w14:textId="41311C7E" w:rsidR="003A52F2" w:rsidRPr="00024D5A" w:rsidRDefault="003A52F2"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br/>
              <w:t>5</w:t>
            </w:r>
            <w:r w:rsidR="00F03D3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nga vlerësimi bazë</w:t>
            </w:r>
          </w:p>
        </w:tc>
        <w:tc>
          <w:tcPr>
            <w:tcW w:w="815" w:type="pct"/>
            <w:shd w:val="clear" w:color="000000" w:fill="CAEDFA"/>
          </w:tcPr>
          <w:p w14:paraId="3A34E704" w14:textId="02D8CA7E" w:rsidR="003A52F2" w:rsidRPr="00024D5A" w:rsidRDefault="003A52F2"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br/>
              <w:t>20</w:t>
            </w:r>
            <w:r w:rsidR="00F03D3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nga vlerësimi bazë</w:t>
            </w:r>
          </w:p>
        </w:tc>
        <w:tc>
          <w:tcPr>
            <w:tcW w:w="453" w:type="pct"/>
            <w:shd w:val="clear" w:color="000000" w:fill="CAEDFA"/>
            <w:vAlign w:val="center"/>
          </w:tcPr>
          <w:p w14:paraId="1A8F66E9" w14:textId="77777777" w:rsidR="003A52F2" w:rsidRPr="00024D5A" w:rsidRDefault="003A52F2"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586" w:type="pct"/>
            <w:shd w:val="clear" w:color="000000" w:fill="CAEDFA"/>
          </w:tcPr>
          <w:p w14:paraId="0A6BC60D" w14:textId="3B73EB32" w:rsidR="003A52F2" w:rsidRPr="00024D5A" w:rsidRDefault="003A52F2"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Kodi Zgjedhor Ligji për Vetëqeverisjen Vendore</w:t>
            </w:r>
          </w:p>
        </w:tc>
      </w:tr>
      <w:tr w:rsidR="003A52F2" w:rsidRPr="00024D5A" w14:paraId="7662DF94" w14:textId="77777777" w:rsidTr="003A52F2">
        <w:trPr>
          <w:trHeight w:val="4095"/>
        </w:trPr>
        <w:tc>
          <w:tcPr>
            <w:tcW w:w="418" w:type="pct"/>
            <w:shd w:val="clear" w:color="000000" w:fill="CAEDFA"/>
            <w:vAlign w:val="center"/>
          </w:tcPr>
          <w:p w14:paraId="72DEC580" w14:textId="7408B70F" w:rsidR="003A52F2" w:rsidRPr="00024D5A" w:rsidRDefault="003A52F2" w:rsidP="003A52F2">
            <w:pPr>
              <w:rPr>
                <w:rFonts w:ascii="Garamond" w:eastAsia="Times New Roman" w:hAnsi="Garamond"/>
                <w:sz w:val="14"/>
                <w:szCs w:val="20"/>
                <w:lang w:eastAsia="en-US"/>
              </w:rPr>
            </w:pPr>
            <w:r w:rsidRPr="00024D5A">
              <w:rPr>
                <w:rFonts w:ascii="Garamond" w:eastAsia="Times New Roman" w:hAnsi="Garamond"/>
                <w:b/>
                <w:bCs/>
                <w:sz w:val="14"/>
                <w:szCs w:val="16"/>
                <w:lang w:eastAsia="en-US"/>
              </w:rPr>
              <w:t>Objektivi specifik</w:t>
            </w:r>
            <w:r w:rsidR="007675EC" w:rsidRPr="00024D5A">
              <w:rPr>
                <w:rFonts w:ascii="Garamond" w:eastAsia="Times New Roman" w:hAnsi="Garamond"/>
                <w:b/>
                <w:bCs/>
                <w:sz w:val="14"/>
                <w:szCs w:val="16"/>
                <w:lang w:eastAsia="en-US"/>
              </w:rPr>
              <w:t>/</w:t>
            </w:r>
            <w:r w:rsidR="00AA7099" w:rsidRPr="00024D5A">
              <w:rPr>
                <w:rFonts w:ascii="Garamond" w:eastAsia="Times New Roman" w:hAnsi="Garamond"/>
                <w:b/>
                <w:bCs/>
                <w:sz w:val="14"/>
                <w:szCs w:val="16"/>
                <w:lang w:eastAsia="en-US"/>
              </w:rPr>
              <w:t>strategjik</w:t>
            </w:r>
          </w:p>
          <w:p w14:paraId="674BA507" w14:textId="77777777" w:rsidR="003A52F2" w:rsidRPr="00024D5A" w:rsidRDefault="003A52F2" w:rsidP="003A52F2">
            <w:pPr>
              <w:rPr>
                <w:rFonts w:ascii="Garamond" w:eastAsia="Times New Roman" w:hAnsi="Garamond"/>
                <w:sz w:val="14"/>
                <w:szCs w:val="20"/>
                <w:lang w:eastAsia="en-US"/>
              </w:rPr>
            </w:pPr>
            <w:r w:rsidRPr="00024D5A">
              <w:rPr>
                <w:rFonts w:ascii="Garamond" w:eastAsia="Times New Roman" w:hAnsi="Garamond"/>
                <w:sz w:val="14"/>
                <w:szCs w:val="20"/>
                <w:lang w:eastAsia="en-US"/>
              </w:rPr>
              <w:t> </w:t>
            </w:r>
          </w:p>
          <w:p w14:paraId="5C06DC2D" w14:textId="77777777" w:rsidR="003A52F2" w:rsidRPr="00024D5A" w:rsidRDefault="003A52F2" w:rsidP="003A52F2">
            <w:pPr>
              <w:rPr>
                <w:rFonts w:ascii="Garamond" w:eastAsia="Times New Roman" w:hAnsi="Garamond"/>
                <w:sz w:val="14"/>
                <w:szCs w:val="20"/>
                <w:lang w:eastAsia="en-US"/>
              </w:rPr>
            </w:pPr>
            <w:r w:rsidRPr="00024D5A">
              <w:rPr>
                <w:rFonts w:ascii="Garamond" w:eastAsia="Times New Roman" w:hAnsi="Garamond"/>
                <w:sz w:val="14"/>
                <w:szCs w:val="20"/>
                <w:lang w:eastAsia="en-US"/>
              </w:rPr>
              <w:t> </w:t>
            </w:r>
          </w:p>
          <w:p w14:paraId="0E399400" w14:textId="77777777" w:rsidR="003A52F2" w:rsidRPr="00024D5A" w:rsidRDefault="003A52F2" w:rsidP="003A52F2">
            <w:pPr>
              <w:rPr>
                <w:rFonts w:ascii="Garamond" w:eastAsia="Times New Roman" w:hAnsi="Garamond"/>
                <w:sz w:val="14"/>
                <w:szCs w:val="20"/>
                <w:lang w:eastAsia="en-US"/>
              </w:rPr>
            </w:pPr>
            <w:r w:rsidRPr="00024D5A">
              <w:rPr>
                <w:rFonts w:ascii="Garamond" w:eastAsia="Times New Roman" w:hAnsi="Garamond"/>
                <w:sz w:val="14"/>
                <w:szCs w:val="20"/>
                <w:lang w:eastAsia="en-US"/>
              </w:rPr>
              <w:t> </w:t>
            </w:r>
          </w:p>
          <w:p w14:paraId="51EF7BD2" w14:textId="77777777" w:rsidR="003A52F2" w:rsidRPr="00024D5A" w:rsidRDefault="003A52F2" w:rsidP="003A52F2">
            <w:pPr>
              <w:rPr>
                <w:rFonts w:ascii="Garamond" w:eastAsia="Times New Roman" w:hAnsi="Garamond"/>
                <w:sz w:val="14"/>
                <w:szCs w:val="20"/>
                <w:lang w:eastAsia="en-US"/>
              </w:rPr>
            </w:pPr>
            <w:r w:rsidRPr="00024D5A">
              <w:rPr>
                <w:rFonts w:ascii="Garamond" w:eastAsia="Times New Roman" w:hAnsi="Garamond"/>
                <w:sz w:val="14"/>
                <w:szCs w:val="20"/>
                <w:lang w:eastAsia="en-US"/>
              </w:rPr>
              <w:t> </w:t>
            </w:r>
          </w:p>
          <w:p w14:paraId="13BDB263" w14:textId="6B6E0D7D" w:rsidR="003A52F2" w:rsidRPr="00024D5A" w:rsidRDefault="003A52F2" w:rsidP="003A52F2">
            <w:pPr>
              <w:rPr>
                <w:rFonts w:ascii="Garamond" w:eastAsia="Times New Roman" w:hAnsi="Garamond"/>
                <w:sz w:val="14"/>
                <w:szCs w:val="20"/>
                <w:lang w:eastAsia="en-US"/>
              </w:rPr>
            </w:pPr>
            <w:r w:rsidRPr="00024D5A">
              <w:rPr>
                <w:rFonts w:ascii="Garamond" w:eastAsia="Times New Roman" w:hAnsi="Garamond"/>
                <w:sz w:val="14"/>
                <w:szCs w:val="20"/>
                <w:lang w:eastAsia="en-US"/>
              </w:rPr>
              <w:t> </w:t>
            </w:r>
          </w:p>
        </w:tc>
        <w:tc>
          <w:tcPr>
            <w:tcW w:w="665" w:type="pct"/>
            <w:shd w:val="clear" w:color="000000" w:fill="CAEDFA"/>
          </w:tcPr>
          <w:p w14:paraId="6F71365C" w14:textId="3D33E772" w:rsidR="003A52F2" w:rsidRPr="00024D5A" w:rsidRDefault="003A52F2"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Objektivi specifik 2</w:t>
            </w:r>
            <w:r w:rsidR="00AC5DA9">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Promovimi i punës së artistëve dhe sportisteve me aftësi të kufizuara dhe përfshirja e personave me aftësi të kufizuara në jetën artistike si edhe për të marrë pjesë në aktivitete dhe evenimente sportive kombëtare dhe ndërkombëtare</w:t>
            </w:r>
            <w:r w:rsidR="00AA7099" w:rsidRPr="00024D5A">
              <w:rPr>
                <w:rFonts w:ascii="Garamond" w:eastAsia="Times New Roman" w:hAnsi="Garamond"/>
                <w:sz w:val="14"/>
                <w:szCs w:val="16"/>
                <w:lang w:eastAsia="en-US"/>
              </w:rPr>
              <w:t>.</w:t>
            </w:r>
          </w:p>
        </w:tc>
        <w:tc>
          <w:tcPr>
            <w:tcW w:w="914" w:type="pct"/>
            <w:shd w:val="clear" w:color="000000" w:fill="CAEDFA"/>
          </w:tcPr>
          <w:p w14:paraId="653F62AD" w14:textId="77777777" w:rsidR="003A52F2" w:rsidRPr="00024D5A" w:rsidRDefault="003A52F2"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e Numri i artistëve dhe sportistëve me aftësi të kufizuara që përfitojnë mbështetje publike (financiare, logjistike ose promovuese) në vit. Numri i artistëve dhe sportistëve me aftësi të kufizuara që përfitojnë mbështetje publike (financiare, logjistike ose promovuese) në vit.</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 e Numri i aktiviteteve kulturore dhe sportive kombëtare që përfshijnë pjesëmarrje aktive të personave me aftësi të kufizuara.</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 e Numri i artistëve dhe sportistëve me aftësi të kufizuara që përfaqësojnë Shqipërinë në aktivitete dhe evenimente ndërkombëtare.</w:t>
            </w:r>
          </w:p>
        </w:tc>
        <w:tc>
          <w:tcPr>
            <w:tcW w:w="334" w:type="pct"/>
            <w:shd w:val="clear" w:color="000000" w:fill="CAEDFA"/>
          </w:tcPr>
          <w:p w14:paraId="4BB97F68" w14:textId="77777777" w:rsidR="003A52F2" w:rsidRPr="00024D5A" w:rsidRDefault="003A52F2"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N/A</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 xml:space="preserve"> N/A</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N/A</w:t>
            </w:r>
          </w:p>
        </w:tc>
        <w:tc>
          <w:tcPr>
            <w:tcW w:w="815" w:type="pct"/>
            <w:shd w:val="clear" w:color="000000" w:fill="CAEDFA"/>
          </w:tcPr>
          <w:p w14:paraId="26599C96" w14:textId="77777777" w:rsidR="003A52F2" w:rsidRPr="00024D5A" w:rsidRDefault="003A52F2" w:rsidP="00791B1A">
            <w:pPr>
              <w:jc w:val="center"/>
              <w:rPr>
                <w:rFonts w:ascii="Garamond" w:eastAsia="Times New Roman" w:hAnsi="Garamond"/>
                <w:sz w:val="14"/>
                <w:szCs w:val="16"/>
                <w:lang w:eastAsia="en-US"/>
              </w:rPr>
            </w:pPr>
            <w:r w:rsidRPr="00024D5A">
              <w:rPr>
                <w:rFonts w:ascii="Garamond" w:eastAsia="Times New Roman" w:hAnsi="Garamond"/>
                <w:sz w:val="14"/>
                <w:szCs w:val="16"/>
                <w:lang w:eastAsia="en-US"/>
              </w:rPr>
              <w:t>10% nga vlerësimi bazë</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20% nga vlerësimi bazë</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10% nga vlerësimi bazë</w:t>
            </w:r>
          </w:p>
        </w:tc>
        <w:tc>
          <w:tcPr>
            <w:tcW w:w="815" w:type="pct"/>
            <w:shd w:val="clear" w:color="000000" w:fill="CAEDFA"/>
          </w:tcPr>
          <w:p w14:paraId="56D8FE3B" w14:textId="77777777" w:rsidR="003A52F2" w:rsidRPr="00024D5A" w:rsidRDefault="003A52F2" w:rsidP="00791B1A">
            <w:pPr>
              <w:jc w:val="center"/>
              <w:rPr>
                <w:rFonts w:ascii="Garamond" w:eastAsia="Times New Roman" w:hAnsi="Garamond"/>
                <w:sz w:val="14"/>
                <w:szCs w:val="16"/>
                <w:lang w:eastAsia="en-US"/>
              </w:rPr>
            </w:pPr>
            <w:r w:rsidRPr="00024D5A">
              <w:rPr>
                <w:rFonts w:ascii="Garamond" w:eastAsia="Times New Roman" w:hAnsi="Garamond"/>
                <w:sz w:val="14"/>
                <w:szCs w:val="16"/>
                <w:lang w:eastAsia="en-US"/>
              </w:rPr>
              <w:t>20% nga vlerësimi bazë</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30% nga vlerësimi bazë</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30% nga vlerësimi bazë</w:t>
            </w:r>
          </w:p>
        </w:tc>
        <w:tc>
          <w:tcPr>
            <w:tcW w:w="453" w:type="pct"/>
            <w:shd w:val="clear" w:color="000000" w:fill="CAEDFA"/>
          </w:tcPr>
          <w:p w14:paraId="25A4D612" w14:textId="17532252" w:rsidR="003A52F2" w:rsidRPr="00024D5A" w:rsidRDefault="003A52F2"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MTKS;</w:t>
            </w:r>
            <w:r w:rsidRPr="00024D5A">
              <w:rPr>
                <w:rFonts w:ascii="Garamond" w:eastAsia="Times New Roman" w:hAnsi="Garamond"/>
                <w:sz w:val="14"/>
                <w:szCs w:val="16"/>
                <w:lang w:eastAsia="en-US"/>
              </w:rPr>
              <w:br/>
              <w:t>MSHMS;</w:t>
            </w:r>
            <w:r w:rsidRPr="00024D5A">
              <w:rPr>
                <w:rFonts w:ascii="Garamond" w:eastAsia="Times New Roman" w:hAnsi="Garamond"/>
                <w:sz w:val="14"/>
                <w:szCs w:val="16"/>
                <w:lang w:eastAsia="en-US"/>
              </w:rPr>
              <w:br/>
              <w:t>OJF</w:t>
            </w:r>
            <w:r w:rsidR="00AA7099" w:rsidRPr="00024D5A">
              <w:rPr>
                <w:rFonts w:ascii="Garamond" w:eastAsia="Times New Roman" w:hAnsi="Garamond"/>
                <w:sz w:val="14"/>
                <w:szCs w:val="16"/>
                <w:lang w:eastAsia="en-US"/>
              </w:rPr>
              <w:t>.</w:t>
            </w:r>
          </w:p>
          <w:p w14:paraId="3FB52C2F" w14:textId="77777777" w:rsidR="003A52F2" w:rsidRPr="00024D5A" w:rsidRDefault="003A52F2"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p w14:paraId="246CD108" w14:textId="77777777" w:rsidR="003A52F2" w:rsidRPr="00024D5A" w:rsidRDefault="003A52F2" w:rsidP="00791B1A">
            <w:pPr>
              <w:rPr>
                <w:rFonts w:ascii="Garamond" w:eastAsia="Times New Roman" w:hAnsi="Garamond"/>
                <w:sz w:val="14"/>
                <w:szCs w:val="20"/>
                <w:lang w:eastAsia="en-US"/>
              </w:rPr>
            </w:pPr>
            <w:r w:rsidRPr="00024D5A">
              <w:rPr>
                <w:rFonts w:ascii="Garamond" w:eastAsia="Times New Roman" w:hAnsi="Garamond"/>
                <w:sz w:val="14"/>
                <w:szCs w:val="20"/>
                <w:lang w:eastAsia="en-US"/>
              </w:rPr>
              <w:t> </w:t>
            </w:r>
          </w:p>
          <w:p w14:paraId="7D9BDE18" w14:textId="77777777" w:rsidR="003A52F2" w:rsidRPr="00024D5A" w:rsidRDefault="003A52F2" w:rsidP="00791B1A">
            <w:pPr>
              <w:rPr>
                <w:rFonts w:ascii="Garamond" w:eastAsia="Times New Roman" w:hAnsi="Garamond"/>
                <w:sz w:val="14"/>
                <w:szCs w:val="20"/>
                <w:lang w:eastAsia="en-US"/>
              </w:rPr>
            </w:pPr>
            <w:r w:rsidRPr="00024D5A">
              <w:rPr>
                <w:rFonts w:ascii="Garamond" w:eastAsia="Times New Roman" w:hAnsi="Garamond"/>
                <w:sz w:val="14"/>
                <w:szCs w:val="20"/>
                <w:lang w:eastAsia="en-US"/>
              </w:rPr>
              <w:t> </w:t>
            </w:r>
          </w:p>
          <w:p w14:paraId="5FA435C7" w14:textId="77777777" w:rsidR="003A52F2" w:rsidRPr="00024D5A" w:rsidRDefault="003A52F2"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p w14:paraId="39B00542" w14:textId="77777777" w:rsidR="003A52F2" w:rsidRPr="00024D5A" w:rsidRDefault="003A52F2"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p w14:paraId="30C69962" w14:textId="77777777" w:rsidR="003A52F2" w:rsidRPr="00024D5A" w:rsidRDefault="003A52F2" w:rsidP="00791B1A">
            <w:pPr>
              <w:rPr>
                <w:rFonts w:ascii="Garamond" w:eastAsia="Times New Roman" w:hAnsi="Garamond"/>
                <w:sz w:val="14"/>
                <w:szCs w:val="20"/>
                <w:lang w:eastAsia="en-US"/>
              </w:rPr>
            </w:pPr>
            <w:r w:rsidRPr="00024D5A">
              <w:rPr>
                <w:rFonts w:ascii="Garamond" w:eastAsia="Times New Roman" w:hAnsi="Garamond"/>
                <w:sz w:val="14"/>
                <w:szCs w:val="20"/>
                <w:lang w:eastAsia="en-US"/>
              </w:rPr>
              <w:t> </w:t>
            </w:r>
          </w:p>
          <w:p w14:paraId="4DF7075D" w14:textId="77777777" w:rsidR="003A52F2" w:rsidRPr="00024D5A" w:rsidRDefault="003A52F2"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p w14:paraId="5D9E122C" w14:textId="18E24E8F" w:rsidR="003A52F2" w:rsidRPr="00024D5A" w:rsidRDefault="003A52F2" w:rsidP="00791B1A">
            <w:pPr>
              <w:rPr>
                <w:rFonts w:ascii="Garamond" w:eastAsia="Times New Roman" w:hAnsi="Garamond"/>
                <w:sz w:val="14"/>
                <w:szCs w:val="16"/>
                <w:lang w:eastAsia="en-US"/>
              </w:rPr>
            </w:pPr>
            <w:r w:rsidRPr="00024D5A">
              <w:rPr>
                <w:rFonts w:ascii="Garamond" w:eastAsia="Times New Roman" w:hAnsi="Garamond"/>
                <w:sz w:val="14"/>
                <w:szCs w:val="20"/>
                <w:lang w:eastAsia="en-US"/>
              </w:rPr>
              <w:t> </w:t>
            </w:r>
          </w:p>
        </w:tc>
        <w:tc>
          <w:tcPr>
            <w:tcW w:w="586" w:type="pct"/>
            <w:shd w:val="clear" w:color="000000" w:fill="CAEDFA"/>
          </w:tcPr>
          <w:p w14:paraId="142BFBAD" w14:textId="6FD7AFED" w:rsidR="003A52F2" w:rsidRPr="00024D5A" w:rsidRDefault="003A52F2"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Strategjia Kombëtare për Kulturën </w:t>
            </w:r>
            <w:r w:rsidR="007247B2" w:rsidRPr="00024D5A">
              <w:rPr>
                <w:rFonts w:ascii="Garamond" w:eastAsia="Times New Roman" w:hAnsi="Garamond"/>
                <w:sz w:val="14"/>
                <w:szCs w:val="16"/>
                <w:lang w:eastAsia="en-US"/>
              </w:rPr>
              <w:t>2021–2025</w:t>
            </w:r>
            <w:r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br/>
              <w:t>Plani Kombëtar për Trashëgimi Kulturore dhe Arsim Artistike;</w:t>
            </w:r>
            <w:r w:rsidRPr="00024D5A">
              <w:rPr>
                <w:rFonts w:ascii="Garamond" w:eastAsia="Times New Roman" w:hAnsi="Garamond"/>
                <w:sz w:val="14"/>
                <w:szCs w:val="16"/>
                <w:lang w:eastAsia="en-US"/>
              </w:rPr>
              <w:br/>
              <w:t xml:space="preserve">Strategjia Kombëtare e Sportit </w:t>
            </w:r>
            <w:r w:rsidR="007247B2" w:rsidRPr="00024D5A">
              <w:rPr>
                <w:rFonts w:ascii="Garamond" w:eastAsia="Times New Roman" w:hAnsi="Garamond"/>
                <w:sz w:val="14"/>
                <w:szCs w:val="16"/>
                <w:lang w:eastAsia="en-US"/>
              </w:rPr>
              <w:t>2021–2025</w:t>
            </w:r>
            <w:r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br/>
              <w:t xml:space="preserve">Strategjia Kombëtare për të Drejtat e Personave me Aftësi të Kufizuara </w:t>
            </w:r>
            <w:r w:rsidR="007247B2" w:rsidRPr="00024D5A">
              <w:rPr>
                <w:rFonts w:ascii="Garamond" w:eastAsia="Times New Roman" w:hAnsi="Garamond"/>
                <w:sz w:val="14"/>
                <w:szCs w:val="16"/>
                <w:lang w:eastAsia="en-US"/>
              </w:rPr>
              <w:t>2021–2025</w:t>
            </w:r>
            <w:r w:rsidR="00AA7099" w:rsidRPr="00024D5A">
              <w:rPr>
                <w:rFonts w:ascii="Garamond" w:eastAsia="Times New Roman" w:hAnsi="Garamond"/>
                <w:sz w:val="14"/>
                <w:szCs w:val="16"/>
                <w:lang w:eastAsia="en-US"/>
              </w:rPr>
              <w:t>.</w:t>
            </w:r>
          </w:p>
        </w:tc>
      </w:tr>
      <w:tr w:rsidR="001464FD" w:rsidRPr="00024D5A" w14:paraId="2699790A" w14:textId="77777777" w:rsidTr="003A52F2">
        <w:trPr>
          <w:trHeight w:val="3180"/>
        </w:trPr>
        <w:tc>
          <w:tcPr>
            <w:tcW w:w="418" w:type="pct"/>
            <w:vMerge w:val="restart"/>
            <w:vAlign w:val="center"/>
          </w:tcPr>
          <w:p w14:paraId="063508CD" w14:textId="77777777" w:rsidR="003E1630" w:rsidRPr="00024D5A" w:rsidRDefault="005743A8" w:rsidP="00791B1A">
            <w:pPr>
              <w:jc w:val="center"/>
              <w:rPr>
                <w:rFonts w:ascii="Garamond" w:eastAsia="Times New Roman" w:hAnsi="Garamond"/>
                <w:b/>
                <w:bCs/>
                <w:sz w:val="14"/>
                <w:szCs w:val="16"/>
                <w:lang w:eastAsia="en-US"/>
              </w:rPr>
            </w:pPr>
            <w:r w:rsidRPr="00024D5A">
              <w:rPr>
                <w:rFonts w:ascii="Garamond" w:eastAsia="Times New Roman" w:hAnsi="Garamond"/>
                <w:b/>
                <w:bCs/>
                <w:sz w:val="14"/>
                <w:szCs w:val="16"/>
                <w:lang w:eastAsia="en-US"/>
              </w:rPr>
              <w:t>Masat prioritare</w:t>
            </w:r>
          </w:p>
        </w:tc>
        <w:tc>
          <w:tcPr>
            <w:tcW w:w="665" w:type="pct"/>
          </w:tcPr>
          <w:p w14:paraId="3B9F62DC" w14:textId="76720C1A"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Masa </w:t>
            </w:r>
            <w:r w:rsidR="00D514C9" w:rsidRPr="00024D5A">
              <w:rPr>
                <w:rFonts w:ascii="Garamond" w:eastAsia="Times New Roman" w:hAnsi="Garamond"/>
                <w:sz w:val="14"/>
                <w:szCs w:val="16"/>
                <w:lang w:eastAsia="en-US"/>
              </w:rPr>
              <w:t xml:space="preserve">prioritare </w:t>
            </w:r>
            <w:r w:rsidRPr="00024D5A">
              <w:rPr>
                <w:rFonts w:ascii="Garamond" w:eastAsia="Times New Roman" w:hAnsi="Garamond"/>
                <w:sz w:val="14"/>
                <w:szCs w:val="16"/>
                <w:lang w:eastAsia="en-US"/>
              </w:rPr>
              <w:t>1.1</w:t>
            </w:r>
            <w:r w:rsidR="00957B2B">
              <w:rPr>
                <w:rFonts w:ascii="Garamond" w:eastAsia="Times New Roman" w:hAnsi="Garamond"/>
                <w:sz w:val="14"/>
                <w:szCs w:val="16"/>
                <w:lang w:eastAsia="en-US"/>
              </w:rPr>
              <w:t xml:space="preserve">: </w:t>
            </w:r>
            <w:r w:rsidRPr="00024D5A">
              <w:rPr>
                <w:rFonts w:ascii="Garamond" w:eastAsia="Times New Roman" w:hAnsi="Garamond"/>
                <w:sz w:val="14"/>
                <w:szCs w:val="16"/>
                <w:lang w:eastAsia="en-US"/>
              </w:rPr>
              <w:t>Përmirësime ligjore për të mundësuar pjesëmarrjen në votime të të gjithë votuesve me aftësi të kufizuara.</w:t>
            </w:r>
          </w:p>
        </w:tc>
        <w:tc>
          <w:tcPr>
            <w:tcW w:w="914" w:type="pct"/>
          </w:tcPr>
          <w:p w14:paraId="6CA06936" w14:textId="7386220D"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Raport vlerësimi të Kodit Zgjedhor dhe ligjit</w:t>
            </w:r>
            <w:r w:rsidR="0078161D"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Për vetëqeverisjen vendore</w:t>
            </w:r>
            <w:r w:rsidR="0078161D" w:rsidRPr="00024D5A">
              <w:rPr>
                <w:rFonts w:ascii="Garamond" w:eastAsia="Times New Roman" w:hAnsi="Garamond"/>
                <w:sz w:val="14"/>
                <w:szCs w:val="16"/>
                <w:lang w:eastAsia="en-US"/>
              </w:rPr>
              <w:t>”</w:t>
            </w:r>
            <w:r w:rsidR="00AA709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me rekomandime për detyrimin e </w:t>
            </w:r>
            <w:r w:rsidR="003245E7" w:rsidRPr="00024D5A">
              <w:rPr>
                <w:rFonts w:ascii="Garamond" w:eastAsia="Times New Roman" w:hAnsi="Garamond"/>
                <w:sz w:val="14"/>
                <w:szCs w:val="16"/>
                <w:lang w:eastAsia="en-US"/>
              </w:rPr>
              <w:t>NJVV</w:t>
            </w:r>
            <w:r w:rsidRPr="00024D5A">
              <w:rPr>
                <w:rFonts w:ascii="Garamond" w:eastAsia="Times New Roman" w:hAnsi="Garamond"/>
                <w:sz w:val="14"/>
                <w:szCs w:val="16"/>
                <w:lang w:eastAsia="en-US"/>
              </w:rPr>
              <w:t>-ve për të dërguar në KQZ të dhëna për zgjedhësit me AK</w:t>
            </w:r>
            <w:r w:rsidR="00AA7099" w:rsidRPr="00024D5A">
              <w:rPr>
                <w:rFonts w:ascii="Garamond" w:eastAsia="Times New Roman" w:hAnsi="Garamond"/>
                <w:sz w:val="14"/>
                <w:szCs w:val="16"/>
                <w:lang w:eastAsia="en-US"/>
              </w:rPr>
              <w:t>-n</w:t>
            </w:r>
            <w:r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Ndryshimi ligjor për sigurimin e aksesit në procesin e votimit për personat me aftësi të kufizuara që nuk mund të largohen nga rezidenca e tyre.</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Udhëzime nga KQZ</w:t>
            </w:r>
            <w:r w:rsidR="00D514C9" w:rsidRPr="00024D5A">
              <w:rPr>
                <w:rFonts w:ascii="Garamond" w:eastAsia="Times New Roman" w:hAnsi="Garamond"/>
                <w:sz w:val="14"/>
                <w:szCs w:val="16"/>
                <w:lang w:eastAsia="en-US"/>
              </w:rPr>
              <w:t>ë-ja</w:t>
            </w:r>
            <w:r w:rsidRPr="00024D5A">
              <w:rPr>
                <w:rFonts w:ascii="Garamond" w:eastAsia="Times New Roman" w:hAnsi="Garamond"/>
                <w:sz w:val="14"/>
                <w:szCs w:val="16"/>
                <w:lang w:eastAsia="en-US"/>
              </w:rPr>
              <w:t xml:space="preserve"> për akses për votuesit me probleme t</w:t>
            </w:r>
            <w:r w:rsidR="00070BC1" w:rsidRPr="00024D5A">
              <w:rPr>
                <w:rFonts w:ascii="Garamond" w:eastAsia="Times New Roman" w:hAnsi="Garamond"/>
                <w:sz w:val="14"/>
                <w:szCs w:val="16"/>
                <w:lang w:eastAsia="en-US"/>
              </w:rPr>
              <w:t>ë</w:t>
            </w:r>
            <w:r w:rsidRPr="00024D5A">
              <w:rPr>
                <w:rFonts w:ascii="Garamond" w:eastAsia="Times New Roman" w:hAnsi="Garamond"/>
                <w:sz w:val="14"/>
                <w:szCs w:val="16"/>
                <w:lang w:eastAsia="en-US"/>
              </w:rPr>
              <w:t xml:space="preserve"> zhvillimit intelektual dhe psikosocial</w:t>
            </w:r>
            <w:r w:rsidR="00D514C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w:t>
            </w:r>
          </w:p>
        </w:tc>
        <w:tc>
          <w:tcPr>
            <w:tcW w:w="334" w:type="pct"/>
          </w:tcPr>
          <w:p w14:paraId="60F12DE8"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N/A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 xml:space="preserve">N/A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N/A</w:t>
            </w:r>
          </w:p>
        </w:tc>
        <w:tc>
          <w:tcPr>
            <w:tcW w:w="815" w:type="pct"/>
          </w:tcPr>
          <w:p w14:paraId="1F7B0FB3"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1 raport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 xml:space="preserve">Kodi zgjedhor i ndryshuar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1 udhëzim nga KQZ</w:t>
            </w:r>
          </w:p>
        </w:tc>
        <w:tc>
          <w:tcPr>
            <w:tcW w:w="815" w:type="pct"/>
            <w:noWrap/>
          </w:tcPr>
          <w:p w14:paraId="4F160784"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453" w:type="pct"/>
          </w:tcPr>
          <w:p w14:paraId="1B2B235B"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KQZ;</w:t>
            </w:r>
            <w:r w:rsidRPr="00024D5A">
              <w:rPr>
                <w:rFonts w:ascii="Garamond" w:eastAsia="Times New Roman" w:hAnsi="Garamond"/>
                <w:sz w:val="14"/>
                <w:szCs w:val="16"/>
                <w:lang w:eastAsia="en-US"/>
              </w:rPr>
              <w:br/>
              <w:t xml:space="preserve">MD; </w:t>
            </w:r>
            <w:r w:rsidRPr="00024D5A">
              <w:rPr>
                <w:rFonts w:ascii="Garamond" w:eastAsia="Times New Roman" w:hAnsi="Garamond"/>
                <w:sz w:val="14"/>
                <w:szCs w:val="16"/>
                <w:lang w:eastAsia="en-US"/>
              </w:rPr>
              <w:br/>
              <w:t>Parlamenti;</w:t>
            </w:r>
          </w:p>
        </w:tc>
        <w:tc>
          <w:tcPr>
            <w:tcW w:w="586" w:type="pct"/>
          </w:tcPr>
          <w:p w14:paraId="60F809B6"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r>
      <w:tr w:rsidR="001464FD" w:rsidRPr="00024D5A" w14:paraId="68236AC9" w14:textId="77777777" w:rsidTr="003A52F2">
        <w:trPr>
          <w:trHeight w:val="1320"/>
        </w:trPr>
        <w:tc>
          <w:tcPr>
            <w:tcW w:w="418" w:type="pct"/>
            <w:vMerge/>
            <w:vAlign w:val="center"/>
          </w:tcPr>
          <w:p w14:paraId="68C53A04" w14:textId="77777777" w:rsidR="003E1630" w:rsidRPr="00024D5A" w:rsidRDefault="003E1630" w:rsidP="00791B1A">
            <w:pPr>
              <w:rPr>
                <w:rFonts w:ascii="Garamond" w:eastAsia="Times New Roman" w:hAnsi="Garamond"/>
                <w:b/>
                <w:bCs/>
                <w:sz w:val="14"/>
                <w:szCs w:val="16"/>
                <w:lang w:eastAsia="en-US"/>
              </w:rPr>
            </w:pPr>
          </w:p>
        </w:tc>
        <w:tc>
          <w:tcPr>
            <w:tcW w:w="665" w:type="pct"/>
          </w:tcPr>
          <w:p w14:paraId="714F8CEF" w14:textId="2CBFBBF6"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Masa </w:t>
            </w:r>
            <w:r w:rsidR="00D514C9" w:rsidRPr="00024D5A">
              <w:rPr>
                <w:rFonts w:ascii="Garamond" w:eastAsia="Times New Roman" w:hAnsi="Garamond"/>
                <w:sz w:val="14"/>
                <w:szCs w:val="16"/>
                <w:lang w:eastAsia="en-US"/>
              </w:rPr>
              <w:t xml:space="preserve">prioritare </w:t>
            </w:r>
            <w:r w:rsidRPr="00024D5A">
              <w:rPr>
                <w:rFonts w:ascii="Garamond" w:eastAsia="Times New Roman" w:hAnsi="Garamond"/>
                <w:sz w:val="14"/>
                <w:szCs w:val="16"/>
                <w:lang w:eastAsia="en-US"/>
              </w:rPr>
              <w:t>1.2</w:t>
            </w:r>
            <w:r w:rsidR="007075B1">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Rritje e ndërgjegjësimit për pjesëmarrjen e personave me aftësi të kufizuara në proceset zgjedhore, jo vetëm si votues.</w:t>
            </w:r>
          </w:p>
        </w:tc>
        <w:tc>
          <w:tcPr>
            <w:tcW w:w="914" w:type="pct"/>
          </w:tcPr>
          <w:p w14:paraId="13DE92BB" w14:textId="3E6258C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 e rritjes se numrit të personave me AK që janë pjesë e komisioneve zgjedhore.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 e rritjes se numrit t</w:t>
            </w:r>
            <w:r w:rsidR="0059189E" w:rsidRPr="00024D5A">
              <w:rPr>
                <w:rFonts w:ascii="Garamond" w:eastAsia="Times New Roman" w:hAnsi="Garamond"/>
                <w:sz w:val="14"/>
                <w:szCs w:val="16"/>
                <w:lang w:eastAsia="en-US"/>
              </w:rPr>
              <w:t xml:space="preserve">ë </w:t>
            </w:r>
            <w:r w:rsidRPr="00024D5A">
              <w:rPr>
                <w:rFonts w:ascii="Garamond" w:eastAsia="Times New Roman" w:hAnsi="Garamond"/>
                <w:sz w:val="14"/>
                <w:szCs w:val="16"/>
                <w:lang w:eastAsia="en-US"/>
              </w:rPr>
              <w:t>personave me AK q</w:t>
            </w:r>
            <w:r w:rsidR="004D2BF5" w:rsidRPr="00024D5A">
              <w:rPr>
                <w:rFonts w:ascii="Garamond" w:eastAsia="Times New Roman" w:hAnsi="Garamond"/>
                <w:sz w:val="14"/>
                <w:szCs w:val="16"/>
                <w:lang w:eastAsia="en-US"/>
              </w:rPr>
              <w:t>ë</w:t>
            </w:r>
            <w:r w:rsidRPr="00024D5A">
              <w:rPr>
                <w:rFonts w:ascii="Garamond" w:eastAsia="Times New Roman" w:hAnsi="Garamond"/>
                <w:sz w:val="14"/>
                <w:szCs w:val="16"/>
                <w:lang w:eastAsia="en-US"/>
              </w:rPr>
              <w:t xml:space="preserve"> janë vëzhgues zgjedhorë. </w:t>
            </w:r>
          </w:p>
        </w:tc>
        <w:tc>
          <w:tcPr>
            <w:tcW w:w="334" w:type="pct"/>
          </w:tcPr>
          <w:p w14:paraId="5CAFC49B"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N/A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N/A</w:t>
            </w:r>
          </w:p>
        </w:tc>
        <w:tc>
          <w:tcPr>
            <w:tcW w:w="815" w:type="pct"/>
          </w:tcPr>
          <w:p w14:paraId="5E1662BF" w14:textId="231D1C68"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10</w:t>
            </w:r>
            <w:r w:rsidR="00F03D3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nga vlerësimi bazë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15</w:t>
            </w:r>
            <w:r w:rsidR="00F03D3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nga vlerësimi bazë</w:t>
            </w:r>
          </w:p>
        </w:tc>
        <w:tc>
          <w:tcPr>
            <w:tcW w:w="815" w:type="pct"/>
          </w:tcPr>
          <w:p w14:paraId="1BD71D92" w14:textId="1C48A152"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30</w:t>
            </w:r>
            <w:r w:rsidR="00F03D3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nga vlerësimi bazë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25</w:t>
            </w:r>
            <w:r w:rsidR="00F03D3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nga vlerësimi bazë</w:t>
            </w:r>
          </w:p>
        </w:tc>
        <w:tc>
          <w:tcPr>
            <w:tcW w:w="453" w:type="pct"/>
          </w:tcPr>
          <w:p w14:paraId="269617E6"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KQZ;</w:t>
            </w:r>
          </w:p>
          <w:p w14:paraId="671F8C53" w14:textId="1E672ED2" w:rsidR="003E1630" w:rsidRPr="00024D5A" w:rsidRDefault="005743A8" w:rsidP="00791B1A">
            <w:pPr>
              <w:rPr>
                <w:rFonts w:ascii="Garamond" w:eastAsia="Times New Roman" w:hAnsi="Garamond" w:cs="Arial"/>
                <w:sz w:val="14"/>
                <w:szCs w:val="16"/>
                <w:lang w:eastAsia="en-US"/>
              </w:rPr>
            </w:pPr>
            <w:r w:rsidRPr="00024D5A">
              <w:rPr>
                <w:rFonts w:ascii="Garamond" w:eastAsia="Times New Roman" w:hAnsi="Garamond" w:cs="Arial"/>
                <w:sz w:val="14"/>
                <w:szCs w:val="16"/>
                <w:lang w:eastAsia="en-US"/>
              </w:rPr>
              <w:t>MSHPV</w:t>
            </w:r>
            <w:r w:rsidR="00D514C9" w:rsidRPr="00024D5A">
              <w:rPr>
                <w:rFonts w:ascii="Garamond" w:eastAsia="Times New Roman" w:hAnsi="Garamond" w:cs="Arial"/>
                <w:sz w:val="14"/>
                <w:szCs w:val="16"/>
                <w:lang w:eastAsia="en-US"/>
              </w:rPr>
              <w:t>;</w:t>
            </w:r>
          </w:p>
          <w:p w14:paraId="405727B7" w14:textId="291511A0"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cs="Arial"/>
                <w:sz w:val="14"/>
                <w:szCs w:val="16"/>
                <w:lang w:eastAsia="en-US"/>
              </w:rPr>
              <w:t>AMVV</w:t>
            </w:r>
            <w:r w:rsidR="00D514C9" w:rsidRPr="00024D5A">
              <w:rPr>
                <w:rFonts w:ascii="Garamond" w:eastAsia="Times New Roman" w:hAnsi="Garamond" w:cs="Arial"/>
                <w:sz w:val="14"/>
                <w:szCs w:val="16"/>
                <w:lang w:eastAsia="en-US"/>
              </w:rPr>
              <w:t>;</w:t>
            </w:r>
            <w:r w:rsidRPr="00024D5A">
              <w:rPr>
                <w:rFonts w:ascii="Garamond" w:eastAsia="Times New Roman" w:hAnsi="Garamond" w:cs="Arial"/>
                <w:sz w:val="14"/>
                <w:szCs w:val="16"/>
                <w:lang w:eastAsia="en-US"/>
              </w:rPr>
              <w:t xml:space="preserve"> </w:t>
            </w:r>
            <w:r w:rsidRPr="00024D5A">
              <w:rPr>
                <w:rFonts w:ascii="Garamond" w:eastAsia="Times New Roman" w:hAnsi="Garamond" w:cs="Arial"/>
                <w:sz w:val="14"/>
                <w:szCs w:val="16"/>
                <w:lang w:eastAsia="en-US"/>
              </w:rPr>
              <w:br/>
            </w:r>
            <w:r w:rsidR="003245E7" w:rsidRPr="00024D5A">
              <w:rPr>
                <w:rFonts w:ascii="Garamond" w:eastAsia="Times New Roman" w:hAnsi="Garamond"/>
                <w:sz w:val="14"/>
                <w:szCs w:val="16"/>
                <w:lang w:eastAsia="en-US"/>
              </w:rPr>
              <w:t>NJVV</w:t>
            </w:r>
            <w:r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br/>
            </w:r>
            <w:r w:rsidR="00BA4F73" w:rsidRPr="00024D5A">
              <w:rPr>
                <w:rFonts w:ascii="Garamond" w:eastAsia="Times New Roman" w:hAnsi="Garamond"/>
                <w:sz w:val="14"/>
                <w:szCs w:val="16"/>
                <w:lang w:eastAsia="en-US"/>
              </w:rPr>
              <w:t>OJF</w:t>
            </w:r>
            <w:r w:rsidR="00D514C9" w:rsidRPr="00024D5A">
              <w:rPr>
                <w:rFonts w:ascii="Garamond" w:eastAsia="Times New Roman" w:hAnsi="Garamond"/>
                <w:sz w:val="14"/>
                <w:szCs w:val="16"/>
                <w:lang w:eastAsia="en-US"/>
              </w:rPr>
              <w:t>.</w:t>
            </w:r>
          </w:p>
        </w:tc>
        <w:tc>
          <w:tcPr>
            <w:tcW w:w="586" w:type="pct"/>
          </w:tcPr>
          <w:p w14:paraId="6A9B6FF8"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r>
      <w:tr w:rsidR="001464FD" w:rsidRPr="00024D5A" w14:paraId="399C1374" w14:textId="77777777" w:rsidTr="003A52F2">
        <w:trPr>
          <w:trHeight w:val="2190"/>
        </w:trPr>
        <w:tc>
          <w:tcPr>
            <w:tcW w:w="418" w:type="pct"/>
            <w:vMerge/>
            <w:vAlign w:val="center"/>
          </w:tcPr>
          <w:p w14:paraId="31C49E3A" w14:textId="77777777" w:rsidR="003E1630" w:rsidRPr="00024D5A" w:rsidRDefault="003E1630" w:rsidP="00791B1A">
            <w:pPr>
              <w:rPr>
                <w:rFonts w:ascii="Garamond" w:eastAsia="Times New Roman" w:hAnsi="Garamond"/>
                <w:b/>
                <w:bCs/>
                <w:sz w:val="14"/>
                <w:szCs w:val="16"/>
                <w:lang w:eastAsia="en-US"/>
              </w:rPr>
            </w:pPr>
          </w:p>
        </w:tc>
        <w:tc>
          <w:tcPr>
            <w:tcW w:w="665" w:type="pct"/>
          </w:tcPr>
          <w:p w14:paraId="5EF6DE8D" w14:textId="12292DF4"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Masa prioritare 2.1</w:t>
            </w:r>
            <w:r w:rsidR="007075B1">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Rritje e aksesit për pjesëmarrje t</w:t>
            </w:r>
            <w:r w:rsidR="00070BC1" w:rsidRPr="00024D5A">
              <w:rPr>
                <w:rFonts w:ascii="Garamond" w:eastAsia="Times New Roman" w:hAnsi="Garamond"/>
                <w:sz w:val="14"/>
                <w:szCs w:val="16"/>
                <w:lang w:eastAsia="en-US"/>
              </w:rPr>
              <w:t>ë</w:t>
            </w:r>
            <w:r w:rsidRPr="00024D5A">
              <w:rPr>
                <w:rFonts w:ascii="Garamond" w:eastAsia="Times New Roman" w:hAnsi="Garamond"/>
                <w:sz w:val="14"/>
                <w:szCs w:val="16"/>
                <w:lang w:eastAsia="en-US"/>
              </w:rPr>
              <w:t xml:space="preserve"> </w:t>
            </w:r>
            <w:r w:rsidR="00070BC1" w:rsidRPr="00024D5A">
              <w:rPr>
                <w:rFonts w:ascii="Garamond" w:eastAsia="Times New Roman" w:hAnsi="Garamond"/>
                <w:sz w:val="14"/>
                <w:szCs w:val="16"/>
                <w:lang w:eastAsia="en-US"/>
              </w:rPr>
              <w:t xml:space="preserve">personave </w:t>
            </w:r>
            <w:r w:rsidRPr="00024D5A">
              <w:rPr>
                <w:rFonts w:ascii="Garamond" w:eastAsia="Times New Roman" w:hAnsi="Garamond"/>
                <w:sz w:val="14"/>
                <w:szCs w:val="16"/>
                <w:lang w:eastAsia="en-US"/>
              </w:rPr>
              <w:t xml:space="preserve">me </w:t>
            </w:r>
            <w:r w:rsidR="00070BC1" w:rsidRPr="00024D5A">
              <w:rPr>
                <w:rFonts w:ascii="Garamond" w:eastAsia="Times New Roman" w:hAnsi="Garamond"/>
                <w:sz w:val="14"/>
                <w:szCs w:val="16"/>
                <w:lang w:eastAsia="en-US"/>
              </w:rPr>
              <w:t xml:space="preserve">aftësi </w:t>
            </w:r>
            <w:r w:rsidRPr="00024D5A">
              <w:rPr>
                <w:rFonts w:ascii="Garamond" w:eastAsia="Times New Roman" w:hAnsi="Garamond"/>
                <w:sz w:val="14"/>
                <w:szCs w:val="16"/>
                <w:lang w:eastAsia="en-US"/>
              </w:rPr>
              <w:t>t</w:t>
            </w:r>
            <w:r w:rsidR="00070BC1" w:rsidRPr="00024D5A">
              <w:rPr>
                <w:rFonts w:ascii="Garamond" w:eastAsia="Times New Roman" w:hAnsi="Garamond"/>
                <w:sz w:val="14"/>
                <w:szCs w:val="16"/>
                <w:lang w:eastAsia="en-US"/>
              </w:rPr>
              <w:t>ë</w:t>
            </w:r>
            <w:r w:rsidRPr="00024D5A">
              <w:rPr>
                <w:rFonts w:ascii="Garamond" w:eastAsia="Times New Roman" w:hAnsi="Garamond"/>
                <w:sz w:val="14"/>
                <w:szCs w:val="16"/>
                <w:lang w:eastAsia="en-US"/>
              </w:rPr>
              <w:t xml:space="preserve"> </w:t>
            </w:r>
            <w:r w:rsidR="00070BC1" w:rsidRPr="00024D5A">
              <w:rPr>
                <w:rFonts w:ascii="Garamond" w:eastAsia="Times New Roman" w:hAnsi="Garamond"/>
                <w:sz w:val="14"/>
                <w:szCs w:val="16"/>
                <w:lang w:eastAsia="en-US"/>
              </w:rPr>
              <w:t xml:space="preserve">kufizuara </w:t>
            </w:r>
            <w:r w:rsidRPr="00024D5A">
              <w:rPr>
                <w:rFonts w:ascii="Garamond" w:eastAsia="Times New Roman" w:hAnsi="Garamond"/>
                <w:sz w:val="14"/>
                <w:szCs w:val="16"/>
                <w:lang w:eastAsia="en-US"/>
              </w:rPr>
              <w:t>në aktivitete kulturore dhe sportive</w:t>
            </w:r>
            <w:r w:rsidR="00D514C9" w:rsidRPr="00024D5A">
              <w:rPr>
                <w:rFonts w:ascii="Garamond" w:eastAsia="Times New Roman" w:hAnsi="Garamond"/>
                <w:sz w:val="14"/>
                <w:szCs w:val="16"/>
                <w:lang w:eastAsia="en-US"/>
              </w:rPr>
              <w:t>.</w:t>
            </w:r>
          </w:p>
        </w:tc>
        <w:tc>
          <w:tcPr>
            <w:tcW w:w="914" w:type="pct"/>
          </w:tcPr>
          <w:p w14:paraId="3FC4AC00"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Numri i institucioneve kulturore dhe sportive (teatro, muze, qendra kulturore, palestra) që plotësojnë standardet e aksesueshmërisë për personat me aftësi të kufizuara. Marrëveshje bashkëpunimi e MTKS me organizatat e personave me aftësi të kufizuara, për promovimin e pjesëmarrjes së artistëve dhe sportisteve me AK në aktivitetet kulturore/artistike dhe sportive.</w:t>
            </w:r>
          </w:p>
        </w:tc>
        <w:tc>
          <w:tcPr>
            <w:tcW w:w="334" w:type="pct"/>
          </w:tcPr>
          <w:p w14:paraId="7707619A" w14:textId="36B90FF1"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Të dhënat te regjistri i MTKS</w:t>
            </w:r>
            <w:r w:rsidR="00D514C9" w:rsidRPr="00024D5A">
              <w:rPr>
                <w:rFonts w:ascii="Garamond" w:eastAsia="Times New Roman" w:hAnsi="Garamond"/>
                <w:sz w:val="14"/>
                <w:szCs w:val="16"/>
                <w:lang w:eastAsia="en-US"/>
              </w:rPr>
              <w:t>-së</w:t>
            </w:r>
            <w:r w:rsidRPr="00024D5A">
              <w:rPr>
                <w:rFonts w:ascii="Garamond" w:eastAsia="Times New Roman" w:hAnsi="Garamond"/>
                <w:sz w:val="14"/>
                <w:szCs w:val="16"/>
                <w:lang w:eastAsia="en-US"/>
              </w:rPr>
              <w:t xml:space="preserve"> </w:t>
            </w:r>
          </w:p>
        </w:tc>
        <w:tc>
          <w:tcPr>
            <w:tcW w:w="815" w:type="pct"/>
          </w:tcPr>
          <w:p w14:paraId="71383678" w14:textId="695F64D8"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10% nga vlerësimi baz</w:t>
            </w:r>
            <w:r w:rsidR="00F03215" w:rsidRPr="00024D5A">
              <w:rPr>
                <w:rFonts w:ascii="Garamond" w:eastAsia="Times New Roman" w:hAnsi="Garamond"/>
                <w:sz w:val="14"/>
                <w:szCs w:val="16"/>
                <w:lang w:eastAsia="en-US"/>
              </w:rPr>
              <w:t>ë</w:t>
            </w:r>
            <w:r w:rsidRPr="00024D5A">
              <w:rPr>
                <w:rFonts w:ascii="Garamond" w:eastAsia="Times New Roman" w:hAnsi="Garamond"/>
                <w:sz w:val="14"/>
                <w:szCs w:val="16"/>
                <w:lang w:eastAsia="en-US"/>
              </w:rPr>
              <w:t xml:space="preserve">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Marrëveshja e hartuar</w:t>
            </w:r>
          </w:p>
        </w:tc>
        <w:tc>
          <w:tcPr>
            <w:tcW w:w="815" w:type="pct"/>
          </w:tcPr>
          <w:p w14:paraId="148E9E98" w14:textId="1E65344E"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30</w:t>
            </w:r>
            <w:r w:rsidR="00F03D3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nga vlerësimi bazë </w:t>
            </w:r>
          </w:p>
        </w:tc>
        <w:tc>
          <w:tcPr>
            <w:tcW w:w="453" w:type="pct"/>
          </w:tcPr>
          <w:p w14:paraId="3E66F094" w14:textId="75F6FFB6"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MTKS;</w:t>
            </w:r>
            <w:r w:rsidRPr="00024D5A">
              <w:rPr>
                <w:rFonts w:ascii="Garamond" w:eastAsia="Times New Roman" w:hAnsi="Garamond"/>
                <w:sz w:val="14"/>
                <w:szCs w:val="16"/>
                <w:lang w:eastAsia="en-US"/>
              </w:rPr>
              <w:br/>
              <w:t>MSHMS;</w:t>
            </w:r>
            <w:r w:rsidRPr="00024D5A">
              <w:rPr>
                <w:rFonts w:ascii="Garamond" w:eastAsia="Times New Roman" w:hAnsi="Garamond"/>
                <w:sz w:val="14"/>
                <w:szCs w:val="16"/>
                <w:lang w:eastAsia="en-US"/>
              </w:rPr>
              <w:br/>
            </w:r>
            <w:r w:rsidR="00BA4F73" w:rsidRPr="00024D5A">
              <w:rPr>
                <w:rFonts w:ascii="Garamond" w:eastAsia="Times New Roman" w:hAnsi="Garamond"/>
                <w:sz w:val="14"/>
                <w:szCs w:val="16"/>
                <w:lang w:eastAsia="en-US"/>
              </w:rPr>
              <w:t>OJF</w:t>
            </w:r>
            <w:r w:rsidR="00F03215" w:rsidRPr="00024D5A">
              <w:rPr>
                <w:rFonts w:ascii="Garamond" w:eastAsia="Times New Roman" w:hAnsi="Garamond"/>
                <w:sz w:val="14"/>
                <w:szCs w:val="16"/>
                <w:lang w:eastAsia="en-US"/>
              </w:rPr>
              <w:t>.</w:t>
            </w:r>
          </w:p>
        </w:tc>
        <w:tc>
          <w:tcPr>
            <w:tcW w:w="586" w:type="pct"/>
          </w:tcPr>
          <w:p w14:paraId="0E2842EC"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r>
      <w:tr w:rsidR="001464FD" w:rsidRPr="00024D5A" w14:paraId="483BBA57" w14:textId="77777777" w:rsidTr="003A52F2">
        <w:trPr>
          <w:trHeight w:val="2025"/>
        </w:trPr>
        <w:tc>
          <w:tcPr>
            <w:tcW w:w="418" w:type="pct"/>
            <w:vMerge/>
            <w:vAlign w:val="center"/>
          </w:tcPr>
          <w:p w14:paraId="33A31A10" w14:textId="77777777" w:rsidR="003E1630" w:rsidRPr="00024D5A" w:rsidRDefault="003E1630" w:rsidP="00791B1A">
            <w:pPr>
              <w:rPr>
                <w:rFonts w:ascii="Garamond" w:eastAsia="Times New Roman" w:hAnsi="Garamond"/>
                <w:b/>
                <w:bCs/>
                <w:sz w:val="14"/>
                <w:szCs w:val="16"/>
                <w:lang w:eastAsia="en-US"/>
              </w:rPr>
            </w:pPr>
          </w:p>
        </w:tc>
        <w:tc>
          <w:tcPr>
            <w:tcW w:w="665" w:type="pct"/>
          </w:tcPr>
          <w:p w14:paraId="132BB840" w14:textId="2FD2B3FC"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Masa prioritare 2.2</w:t>
            </w:r>
            <w:r w:rsidR="000856CC">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Ngritja dhe fuqizimi i kapaciteteve</w:t>
            </w:r>
            <w:r w:rsidR="00F03215" w:rsidRPr="00024D5A">
              <w:rPr>
                <w:rFonts w:ascii="Garamond" w:eastAsia="Times New Roman" w:hAnsi="Garamond"/>
                <w:sz w:val="14"/>
                <w:szCs w:val="16"/>
                <w:lang w:eastAsia="en-US"/>
              </w:rPr>
              <w:t>.</w:t>
            </w:r>
          </w:p>
        </w:tc>
        <w:tc>
          <w:tcPr>
            <w:tcW w:w="914" w:type="pct"/>
          </w:tcPr>
          <w:p w14:paraId="0F4819F6" w14:textId="6C7DB0A9"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Trajnimi dhe specializimi i mësuesve të edukimit fizik për të punuar me fëmijë me aftësi të kufizuara, plan individual përgatitur nga mësuesit.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Përfshirja në vijimësi e të paktën një përfaqësuesi t</w:t>
            </w:r>
            <w:r w:rsidR="00070BC1" w:rsidRPr="00024D5A">
              <w:rPr>
                <w:rFonts w:ascii="Garamond" w:eastAsia="Times New Roman" w:hAnsi="Garamond"/>
                <w:sz w:val="14"/>
                <w:szCs w:val="16"/>
                <w:lang w:eastAsia="en-US"/>
              </w:rPr>
              <w:t>ë</w:t>
            </w:r>
            <w:r w:rsidRPr="00024D5A">
              <w:rPr>
                <w:rFonts w:ascii="Garamond" w:eastAsia="Times New Roman" w:hAnsi="Garamond"/>
                <w:sz w:val="14"/>
                <w:szCs w:val="16"/>
                <w:lang w:eastAsia="en-US"/>
              </w:rPr>
              <w:t xml:space="preserve"> personave me aftësi të kufizuara si anëtar i Komitetit Kombëtar të Sporteve. Bashkëpunimi me organizata t</w:t>
            </w:r>
            <w:r w:rsidR="00070BC1" w:rsidRPr="00024D5A">
              <w:rPr>
                <w:rFonts w:ascii="Garamond" w:eastAsia="Times New Roman" w:hAnsi="Garamond"/>
                <w:sz w:val="14"/>
                <w:szCs w:val="16"/>
                <w:lang w:eastAsia="en-US"/>
              </w:rPr>
              <w:t>ë</w:t>
            </w:r>
            <w:r w:rsidRPr="00024D5A">
              <w:rPr>
                <w:rFonts w:ascii="Garamond" w:eastAsia="Times New Roman" w:hAnsi="Garamond"/>
                <w:sz w:val="14"/>
                <w:szCs w:val="16"/>
                <w:lang w:eastAsia="en-US"/>
              </w:rPr>
              <w:t xml:space="preserve"> specializuara/Olimpiku Special</w:t>
            </w:r>
            <w:r w:rsidR="00F03215"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w:t>
            </w:r>
          </w:p>
        </w:tc>
        <w:tc>
          <w:tcPr>
            <w:tcW w:w="334" w:type="pct"/>
          </w:tcPr>
          <w:p w14:paraId="5C18BA5F"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N/A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N/A</w:t>
            </w:r>
          </w:p>
        </w:tc>
        <w:tc>
          <w:tcPr>
            <w:tcW w:w="815" w:type="pct"/>
            <w:noWrap/>
          </w:tcPr>
          <w:p w14:paraId="3BB2BDB5" w14:textId="74937136"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50</w:t>
            </w:r>
            <w:r w:rsidR="00F03D3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nga vlerësimi bazë</w:t>
            </w:r>
          </w:p>
        </w:tc>
        <w:tc>
          <w:tcPr>
            <w:tcW w:w="815" w:type="pct"/>
            <w:noWrap/>
          </w:tcPr>
          <w:p w14:paraId="53249182" w14:textId="43ACE6D5"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80</w:t>
            </w:r>
            <w:r w:rsidR="00F03D3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nga vlerësimi bazë</w:t>
            </w:r>
          </w:p>
        </w:tc>
        <w:tc>
          <w:tcPr>
            <w:tcW w:w="453" w:type="pct"/>
          </w:tcPr>
          <w:p w14:paraId="3CEF1061" w14:textId="71B939A2"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MTKS;</w:t>
            </w:r>
            <w:r w:rsidRPr="00024D5A">
              <w:rPr>
                <w:rFonts w:ascii="Garamond" w:eastAsia="Times New Roman" w:hAnsi="Garamond"/>
                <w:sz w:val="14"/>
                <w:szCs w:val="16"/>
                <w:lang w:eastAsia="en-US"/>
              </w:rPr>
              <w:br/>
              <w:t xml:space="preserve">MSHMS; </w:t>
            </w:r>
            <w:r w:rsidRPr="00024D5A">
              <w:rPr>
                <w:rFonts w:ascii="Garamond" w:eastAsia="Times New Roman" w:hAnsi="Garamond"/>
                <w:sz w:val="14"/>
                <w:szCs w:val="16"/>
                <w:lang w:eastAsia="en-US"/>
              </w:rPr>
              <w:br/>
            </w:r>
            <w:r w:rsidR="00BA4F73" w:rsidRPr="00024D5A">
              <w:rPr>
                <w:rFonts w:ascii="Garamond" w:eastAsia="Times New Roman" w:hAnsi="Garamond"/>
                <w:sz w:val="14"/>
                <w:szCs w:val="16"/>
                <w:lang w:eastAsia="en-US"/>
              </w:rPr>
              <w:t>OJF</w:t>
            </w:r>
            <w:r w:rsidR="00F03215" w:rsidRPr="00024D5A">
              <w:rPr>
                <w:rFonts w:ascii="Garamond" w:eastAsia="Times New Roman" w:hAnsi="Garamond"/>
                <w:sz w:val="14"/>
                <w:szCs w:val="16"/>
                <w:lang w:eastAsia="en-US"/>
              </w:rPr>
              <w:t>.</w:t>
            </w:r>
          </w:p>
        </w:tc>
        <w:tc>
          <w:tcPr>
            <w:tcW w:w="586" w:type="pct"/>
          </w:tcPr>
          <w:p w14:paraId="3A541F26"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r>
    </w:tbl>
    <w:p w14:paraId="5DEA850E" w14:textId="77777777" w:rsidR="003E1630" w:rsidRPr="00024D5A" w:rsidRDefault="003E1630" w:rsidP="00791B1A">
      <w:pPr>
        <w:rPr>
          <w:rFonts w:ascii="Garamond" w:eastAsia="Times New Roman" w:hAnsi="Garamond"/>
          <w:lang w:eastAsia="en-US"/>
        </w:rPr>
      </w:pPr>
    </w:p>
    <w:p w14:paraId="7A9A9AA5" w14:textId="77777777" w:rsidR="003A52F2" w:rsidRPr="00024D5A" w:rsidRDefault="003A52F2" w:rsidP="00791B1A">
      <w:pPr>
        <w:pStyle w:val="Heading2"/>
        <w:spacing w:before="0"/>
        <w:rPr>
          <w:rFonts w:ascii="Garamond" w:hAnsi="Garamond"/>
          <w:color w:val="auto"/>
          <w:sz w:val="24"/>
          <w:lang w:eastAsia="en-US"/>
        </w:rPr>
      </w:pPr>
      <w:bookmarkStart w:id="66" w:name="_Toc231489664"/>
    </w:p>
    <w:p w14:paraId="39BB890A" w14:textId="77777777" w:rsidR="003A52F2" w:rsidRPr="00024D5A" w:rsidRDefault="003A52F2" w:rsidP="003A52F2">
      <w:pPr>
        <w:pStyle w:val="Heading2"/>
        <w:keepNext w:val="0"/>
        <w:widowControl w:val="0"/>
        <w:spacing w:before="0"/>
        <w:rPr>
          <w:rFonts w:ascii="Garamond" w:hAnsi="Garamond"/>
          <w:color w:val="auto"/>
          <w:sz w:val="24"/>
          <w:lang w:eastAsia="en-US"/>
        </w:rPr>
      </w:pPr>
    </w:p>
    <w:p w14:paraId="10DD1474" w14:textId="77777777" w:rsidR="00F03215" w:rsidRPr="00024D5A" w:rsidRDefault="00F03215" w:rsidP="003A52F2">
      <w:pPr>
        <w:pStyle w:val="Heading2"/>
        <w:keepNext w:val="0"/>
        <w:widowControl w:val="0"/>
        <w:spacing w:before="0"/>
        <w:rPr>
          <w:rFonts w:ascii="Garamond" w:hAnsi="Garamond"/>
          <w:color w:val="auto"/>
          <w:sz w:val="24"/>
          <w:lang w:eastAsia="en-US"/>
        </w:rPr>
      </w:pPr>
    </w:p>
    <w:p w14:paraId="08FF45E0" w14:textId="69E4FD7A" w:rsidR="003E1630" w:rsidRPr="00024D5A" w:rsidRDefault="00B27B08" w:rsidP="00F03215">
      <w:pPr>
        <w:pStyle w:val="Heading2"/>
        <w:keepNext w:val="0"/>
        <w:widowControl w:val="0"/>
        <w:spacing w:before="0"/>
        <w:ind w:firstLine="288"/>
        <w:rPr>
          <w:rFonts w:ascii="Garamond" w:hAnsi="Garamond"/>
          <w:color w:val="auto"/>
          <w:sz w:val="24"/>
          <w:lang w:eastAsia="en-US"/>
        </w:rPr>
      </w:pPr>
      <w:r w:rsidRPr="00024D5A">
        <w:rPr>
          <w:rFonts w:ascii="Garamond" w:hAnsi="Garamond"/>
          <w:color w:val="auto"/>
          <w:sz w:val="24"/>
          <w:lang w:eastAsia="en-US"/>
        </w:rPr>
        <w:t>5</w:t>
      </w:r>
      <w:r w:rsidR="005743A8" w:rsidRPr="00024D5A">
        <w:rPr>
          <w:rFonts w:ascii="Garamond" w:hAnsi="Garamond"/>
          <w:color w:val="auto"/>
          <w:sz w:val="24"/>
          <w:lang w:eastAsia="en-US"/>
        </w:rPr>
        <w:t>.8 Bashkëpunimi</w:t>
      </w:r>
      <w:bookmarkEnd w:id="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357"/>
        <w:gridCol w:w="1591"/>
        <w:gridCol w:w="813"/>
        <w:gridCol w:w="1466"/>
        <w:gridCol w:w="1161"/>
        <w:gridCol w:w="1232"/>
        <w:gridCol w:w="886"/>
      </w:tblGrid>
      <w:tr w:rsidR="003E1630" w:rsidRPr="00024D5A" w14:paraId="15BF2835" w14:textId="77777777" w:rsidTr="00EA5154">
        <w:trPr>
          <w:trHeight w:val="20"/>
        </w:trPr>
        <w:tc>
          <w:tcPr>
            <w:tcW w:w="451" w:type="pct"/>
            <w:shd w:val="clear" w:color="auto" w:fill="C0E5F3"/>
            <w:vAlign w:val="center"/>
          </w:tcPr>
          <w:p w14:paraId="5D609C1D" w14:textId="5E97CE5C" w:rsidR="003E1630" w:rsidRPr="00024D5A" w:rsidRDefault="003E1630" w:rsidP="00F03215">
            <w:pPr>
              <w:jc w:val="center"/>
              <w:rPr>
                <w:rFonts w:ascii="Garamond" w:eastAsia="Times New Roman" w:hAnsi="Garamond"/>
                <w:sz w:val="14"/>
                <w:szCs w:val="20"/>
                <w:lang w:eastAsia="en-US"/>
              </w:rPr>
            </w:pPr>
          </w:p>
        </w:tc>
        <w:tc>
          <w:tcPr>
            <w:tcW w:w="725" w:type="pct"/>
            <w:shd w:val="clear" w:color="auto" w:fill="C0E5F3"/>
            <w:vAlign w:val="center"/>
          </w:tcPr>
          <w:p w14:paraId="5E51DC80" w14:textId="77777777" w:rsidR="003E1630" w:rsidRPr="00024D5A" w:rsidRDefault="005743A8" w:rsidP="00F03215">
            <w:pPr>
              <w:jc w:val="center"/>
              <w:rPr>
                <w:rFonts w:ascii="Garamond" w:eastAsia="Times New Roman" w:hAnsi="Garamond"/>
                <w:b/>
                <w:bCs/>
                <w:sz w:val="14"/>
                <w:szCs w:val="16"/>
                <w:lang w:eastAsia="en-US"/>
              </w:rPr>
            </w:pPr>
            <w:r w:rsidRPr="00024D5A">
              <w:rPr>
                <w:rFonts w:ascii="Garamond" w:eastAsia="Times New Roman" w:hAnsi="Garamond"/>
                <w:b/>
                <w:bCs/>
                <w:sz w:val="14"/>
                <w:szCs w:val="16"/>
                <w:lang w:eastAsia="en-US"/>
              </w:rPr>
              <w:t>Objektivat</w:t>
            </w:r>
          </w:p>
        </w:tc>
        <w:tc>
          <w:tcPr>
            <w:tcW w:w="851" w:type="pct"/>
            <w:shd w:val="clear" w:color="auto" w:fill="C0E5F3"/>
            <w:vAlign w:val="center"/>
          </w:tcPr>
          <w:p w14:paraId="0584FDC9" w14:textId="77777777" w:rsidR="003E1630" w:rsidRPr="00024D5A" w:rsidRDefault="005743A8" w:rsidP="00F03215">
            <w:pPr>
              <w:jc w:val="center"/>
              <w:rPr>
                <w:rFonts w:ascii="Garamond" w:eastAsia="Times New Roman" w:hAnsi="Garamond"/>
                <w:b/>
                <w:bCs/>
                <w:sz w:val="14"/>
                <w:szCs w:val="16"/>
                <w:lang w:eastAsia="en-US"/>
              </w:rPr>
            </w:pPr>
            <w:r w:rsidRPr="00024D5A">
              <w:rPr>
                <w:rFonts w:ascii="Garamond" w:eastAsia="Times New Roman" w:hAnsi="Garamond"/>
                <w:b/>
                <w:bCs/>
                <w:sz w:val="14"/>
                <w:szCs w:val="16"/>
                <w:lang w:eastAsia="en-US"/>
              </w:rPr>
              <w:t>Treguesi</w:t>
            </w:r>
          </w:p>
        </w:tc>
        <w:tc>
          <w:tcPr>
            <w:tcW w:w="435" w:type="pct"/>
            <w:shd w:val="clear" w:color="auto" w:fill="C0E5F3"/>
            <w:vAlign w:val="center"/>
          </w:tcPr>
          <w:p w14:paraId="5A08AEFB" w14:textId="77777777" w:rsidR="003E1630" w:rsidRPr="00024D5A" w:rsidRDefault="005743A8" w:rsidP="00F03215">
            <w:pPr>
              <w:jc w:val="center"/>
              <w:rPr>
                <w:rFonts w:ascii="Garamond" w:eastAsia="Times New Roman" w:hAnsi="Garamond"/>
                <w:b/>
                <w:bCs/>
                <w:sz w:val="14"/>
                <w:szCs w:val="16"/>
                <w:lang w:eastAsia="en-US"/>
              </w:rPr>
            </w:pPr>
            <w:r w:rsidRPr="00024D5A">
              <w:rPr>
                <w:rFonts w:ascii="Garamond" w:eastAsia="Times New Roman" w:hAnsi="Garamond"/>
                <w:b/>
                <w:bCs/>
                <w:sz w:val="14"/>
                <w:szCs w:val="16"/>
                <w:lang w:eastAsia="en-US"/>
              </w:rPr>
              <w:t>Vlera bazë</w:t>
            </w:r>
          </w:p>
        </w:tc>
        <w:tc>
          <w:tcPr>
            <w:tcW w:w="784" w:type="pct"/>
            <w:shd w:val="clear" w:color="auto" w:fill="C0E5F3"/>
            <w:vAlign w:val="center"/>
          </w:tcPr>
          <w:p w14:paraId="1A2DBE69" w14:textId="77777777" w:rsidR="003E1630" w:rsidRPr="00024D5A" w:rsidRDefault="005743A8" w:rsidP="00F03215">
            <w:pPr>
              <w:jc w:val="center"/>
              <w:rPr>
                <w:rFonts w:ascii="Garamond" w:eastAsia="Times New Roman" w:hAnsi="Garamond"/>
                <w:b/>
                <w:bCs/>
                <w:sz w:val="14"/>
                <w:szCs w:val="16"/>
                <w:lang w:eastAsia="en-US"/>
              </w:rPr>
            </w:pPr>
            <w:r w:rsidRPr="00024D5A">
              <w:rPr>
                <w:rFonts w:ascii="Garamond" w:eastAsia="Times New Roman" w:hAnsi="Garamond"/>
                <w:b/>
                <w:bCs/>
                <w:sz w:val="14"/>
                <w:szCs w:val="16"/>
                <w:lang w:eastAsia="en-US"/>
              </w:rPr>
              <w:t>Synimi 2027</w:t>
            </w:r>
          </w:p>
        </w:tc>
        <w:tc>
          <w:tcPr>
            <w:tcW w:w="621" w:type="pct"/>
            <w:shd w:val="clear" w:color="auto" w:fill="C0E5F3"/>
            <w:vAlign w:val="center"/>
          </w:tcPr>
          <w:p w14:paraId="67EE72D9" w14:textId="77777777" w:rsidR="003E1630" w:rsidRPr="00024D5A" w:rsidRDefault="005743A8" w:rsidP="00F03215">
            <w:pPr>
              <w:jc w:val="center"/>
              <w:rPr>
                <w:rFonts w:ascii="Garamond" w:eastAsia="Times New Roman" w:hAnsi="Garamond"/>
                <w:b/>
                <w:bCs/>
                <w:sz w:val="14"/>
                <w:szCs w:val="16"/>
                <w:lang w:eastAsia="en-US"/>
              </w:rPr>
            </w:pPr>
            <w:r w:rsidRPr="00024D5A">
              <w:rPr>
                <w:rFonts w:ascii="Garamond" w:eastAsia="Times New Roman" w:hAnsi="Garamond"/>
                <w:b/>
                <w:bCs/>
                <w:sz w:val="14"/>
                <w:szCs w:val="16"/>
                <w:lang w:eastAsia="en-US"/>
              </w:rPr>
              <w:t>Synimi 2030</w:t>
            </w:r>
          </w:p>
        </w:tc>
        <w:tc>
          <w:tcPr>
            <w:tcW w:w="659" w:type="pct"/>
            <w:shd w:val="clear" w:color="auto" w:fill="C0E5F3"/>
            <w:vAlign w:val="center"/>
          </w:tcPr>
          <w:p w14:paraId="41B8CB38" w14:textId="77777777" w:rsidR="003E1630" w:rsidRPr="00024D5A" w:rsidRDefault="005743A8" w:rsidP="00F03215">
            <w:pPr>
              <w:jc w:val="center"/>
              <w:rPr>
                <w:rFonts w:ascii="Garamond" w:eastAsia="Times New Roman" w:hAnsi="Garamond"/>
                <w:b/>
                <w:bCs/>
                <w:sz w:val="14"/>
                <w:szCs w:val="16"/>
                <w:lang w:eastAsia="en-US"/>
              </w:rPr>
            </w:pPr>
            <w:r w:rsidRPr="00024D5A">
              <w:rPr>
                <w:rFonts w:ascii="Garamond" w:eastAsia="Times New Roman" w:hAnsi="Garamond"/>
                <w:b/>
                <w:bCs/>
                <w:sz w:val="14"/>
                <w:szCs w:val="16"/>
                <w:lang w:eastAsia="en-US"/>
              </w:rPr>
              <w:t>Burimet dhe mjetet e verifikimit</w:t>
            </w:r>
          </w:p>
        </w:tc>
        <w:tc>
          <w:tcPr>
            <w:tcW w:w="475" w:type="pct"/>
            <w:shd w:val="clear" w:color="auto" w:fill="C0E5F3"/>
            <w:vAlign w:val="center"/>
          </w:tcPr>
          <w:p w14:paraId="6958FBC2" w14:textId="77777777" w:rsidR="003E1630" w:rsidRPr="00024D5A" w:rsidRDefault="005743A8" w:rsidP="00F03215">
            <w:pPr>
              <w:jc w:val="center"/>
              <w:rPr>
                <w:rFonts w:ascii="Garamond" w:eastAsia="Times New Roman" w:hAnsi="Garamond"/>
                <w:b/>
                <w:bCs/>
                <w:sz w:val="14"/>
                <w:szCs w:val="16"/>
                <w:lang w:eastAsia="en-US"/>
              </w:rPr>
            </w:pPr>
            <w:r w:rsidRPr="00024D5A">
              <w:rPr>
                <w:rFonts w:ascii="Garamond" w:eastAsia="Times New Roman" w:hAnsi="Garamond"/>
                <w:b/>
                <w:bCs/>
                <w:sz w:val="14"/>
                <w:szCs w:val="16"/>
                <w:lang w:eastAsia="en-US"/>
              </w:rPr>
              <w:t>Referenca në dok. të tjera</w:t>
            </w:r>
          </w:p>
        </w:tc>
      </w:tr>
      <w:tr w:rsidR="003E1630" w:rsidRPr="00024D5A" w14:paraId="3F591643" w14:textId="77777777" w:rsidTr="00EA5154">
        <w:trPr>
          <w:trHeight w:val="20"/>
        </w:trPr>
        <w:tc>
          <w:tcPr>
            <w:tcW w:w="451" w:type="pct"/>
            <w:shd w:val="clear" w:color="auto" w:fill="D8F1D0"/>
          </w:tcPr>
          <w:p w14:paraId="61762DDA" w14:textId="77777777" w:rsidR="003E1630" w:rsidRPr="00024D5A" w:rsidRDefault="005743A8" w:rsidP="00405855">
            <w:pPr>
              <w:rPr>
                <w:rFonts w:ascii="Garamond" w:eastAsia="Times New Roman" w:hAnsi="Garamond"/>
                <w:b/>
                <w:bCs/>
                <w:sz w:val="14"/>
                <w:szCs w:val="16"/>
                <w:lang w:eastAsia="en-US"/>
              </w:rPr>
            </w:pPr>
            <w:r w:rsidRPr="00024D5A">
              <w:rPr>
                <w:rFonts w:ascii="Garamond" w:eastAsia="Times New Roman" w:hAnsi="Garamond"/>
                <w:b/>
                <w:bCs/>
                <w:sz w:val="14"/>
                <w:szCs w:val="16"/>
                <w:lang w:eastAsia="en-US"/>
              </w:rPr>
              <w:t xml:space="preserve">Qëllimi i politikës </w:t>
            </w:r>
          </w:p>
        </w:tc>
        <w:tc>
          <w:tcPr>
            <w:tcW w:w="725" w:type="pct"/>
            <w:shd w:val="clear" w:color="auto" w:fill="D8F1D0"/>
          </w:tcPr>
          <w:p w14:paraId="0DC9F1AB" w14:textId="21EA111E"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Qëllimi i politikës</w:t>
            </w:r>
            <w:r w:rsidR="00F958F2">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Krijimi i sinergjive ndërmjet institucioneve dhe sektorëve të ndryshëm për nxitjen dhe monitorimin e të drejtave të personave me aftësi të kufizuara në mënyrë të plotë, të vazhdueshme dhe të qëndrueshme. </w:t>
            </w:r>
          </w:p>
        </w:tc>
        <w:tc>
          <w:tcPr>
            <w:tcW w:w="851" w:type="pct"/>
            <w:shd w:val="clear" w:color="auto" w:fill="D8F1D0"/>
          </w:tcPr>
          <w:p w14:paraId="5F056BAC" w14:textId="77777777" w:rsidR="00B901A7"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Numri i marrëveshjeve formale të bashkëpunimit (MoU) ose mekanizmave të përbashkët funksionalë të krijuar ndërmjet institucioneve dhe sektorëve për nxitjen dhe monitorimin e të drejtave të personave me aftësi të kufizuara. Plane sociale të përgatitura nga bashkitë; </w:t>
            </w:r>
          </w:p>
          <w:p w14:paraId="23DDD7D4" w14:textId="77777777" w:rsidR="00B901A7"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Raporte për monitorimin e PKVPAK; </w:t>
            </w:r>
          </w:p>
          <w:p w14:paraId="1748EF10" w14:textId="3F3CFDE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Raporte për zbatimin e KDPAK</w:t>
            </w:r>
            <w:r w:rsidR="00B901A7" w:rsidRPr="00024D5A">
              <w:rPr>
                <w:rFonts w:ascii="Garamond" w:eastAsia="Times New Roman" w:hAnsi="Garamond"/>
                <w:sz w:val="14"/>
                <w:szCs w:val="16"/>
                <w:lang w:eastAsia="en-US"/>
              </w:rPr>
              <w:t>-së</w:t>
            </w:r>
            <w:r w:rsidR="00E0118B" w:rsidRPr="00024D5A">
              <w:rPr>
                <w:rFonts w:ascii="Garamond" w:eastAsia="Times New Roman" w:hAnsi="Garamond"/>
                <w:sz w:val="14"/>
                <w:szCs w:val="16"/>
                <w:lang w:eastAsia="en-US"/>
              </w:rPr>
              <w:t>.</w:t>
            </w:r>
          </w:p>
        </w:tc>
        <w:tc>
          <w:tcPr>
            <w:tcW w:w="435" w:type="pct"/>
            <w:shd w:val="clear" w:color="auto" w:fill="D8F1D0"/>
          </w:tcPr>
          <w:p w14:paraId="6407E64B"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N/A</w:t>
            </w:r>
            <w:r w:rsidRPr="00024D5A">
              <w:rPr>
                <w:rFonts w:ascii="Garamond" w:eastAsia="Times New Roman" w:hAnsi="Garamond"/>
                <w:sz w:val="14"/>
                <w:szCs w:val="16"/>
                <w:lang w:eastAsia="en-US"/>
              </w:rPr>
              <w:br/>
              <w:t>N/A</w:t>
            </w:r>
            <w:r w:rsidRPr="00024D5A">
              <w:rPr>
                <w:rFonts w:ascii="Garamond" w:eastAsia="Times New Roman" w:hAnsi="Garamond"/>
                <w:sz w:val="14"/>
                <w:szCs w:val="16"/>
                <w:lang w:eastAsia="en-US"/>
              </w:rPr>
              <w:br/>
              <w:t>N/A</w:t>
            </w:r>
            <w:r w:rsidRPr="00024D5A">
              <w:rPr>
                <w:rFonts w:ascii="Garamond" w:eastAsia="Times New Roman" w:hAnsi="Garamond"/>
                <w:sz w:val="14"/>
                <w:szCs w:val="16"/>
                <w:lang w:eastAsia="en-US"/>
              </w:rPr>
              <w:br/>
              <w:t>N/A</w:t>
            </w:r>
          </w:p>
        </w:tc>
        <w:tc>
          <w:tcPr>
            <w:tcW w:w="784" w:type="pct"/>
            <w:shd w:val="clear" w:color="auto" w:fill="D8F1D0"/>
          </w:tcPr>
          <w:p w14:paraId="7A0829C3" w14:textId="28A097D0" w:rsidR="00E0118B"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15% Marrëveshje bashkëpunimi </w:t>
            </w:r>
            <w:r w:rsidR="00F51A27" w:rsidRPr="00024D5A">
              <w:rPr>
                <w:rFonts w:ascii="Garamond" w:eastAsia="Times New Roman" w:hAnsi="Garamond"/>
                <w:sz w:val="14"/>
                <w:szCs w:val="16"/>
                <w:lang w:eastAsia="en-US"/>
              </w:rPr>
              <w:t>bashki</w:t>
            </w:r>
            <w:r w:rsidR="00E0118B" w:rsidRPr="00024D5A">
              <w:rPr>
                <w:rFonts w:ascii="Garamond" w:eastAsia="Times New Roman" w:hAnsi="Garamond"/>
                <w:sz w:val="14"/>
                <w:szCs w:val="16"/>
                <w:lang w:eastAsia="en-US"/>
              </w:rPr>
              <w:t>–</w:t>
            </w:r>
            <w:r w:rsidR="00BA4F73" w:rsidRPr="00024D5A">
              <w:rPr>
                <w:rFonts w:ascii="Garamond" w:eastAsia="Times New Roman" w:hAnsi="Garamond"/>
                <w:sz w:val="14"/>
                <w:szCs w:val="16"/>
                <w:lang w:eastAsia="en-US"/>
              </w:rPr>
              <w:t>OJF</w:t>
            </w:r>
            <w:r w:rsidRPr="00024D5A">
              <w:rPr>
                <w:rFonts w:ascii="Garamond" w:eastAsia="Times New Roman" w:hAnsi="Garamond"/>
                <w:sz w:val="14"/>
                <w:szCs w:val="16"/>
                <w:lang w:eastAsia="en-US"/>
              </w:rPr>
              <w:t xml:space="preserve"> nga vlerësimi bazë; </w:t>
            </w:r>
          </w:p>
          <w:p w14:paraId="34BB9F01" w14:textId="77777777" w:rsidR="00E0118B"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20% </w:t>
            </w:r>
            <w:r w:rsidR="00E0118B" w:rsidRPr="00024D5A">
              <w:rPr>
                <w:rFonts w:ascii="Garamond" w:eastAsia="Times New Roman" w:hAnsi="Garamond"/>
                <w:sz w:val="14"/>
                <w:szCs w:val="16"/>
                <w:lang w:eastAsia="en-US"/>
              </w:rPr>
              <w:t xml:space="preserve">plane </w:t>
            </w:r>
            <w:r w:rsidRPr="00024D5A">
              <w:rPr>
                <w:rFonts w:ascii="Garamond" w:eastAsia="Times New Roman" w:hAnsi="Garamond"/>
                <w:sz w:val="14"/>
                <w:szCs w:val="16"/>
                <w:lang w:eastAsia="en-US"/>
              </w:rPr>
              <w:t xml:space="preserve">sociale vendore në bashki nga vlerësimi bazë; </w:t>
            </w:r>
          </w:p>
          <w:p w14:paraId="1E1AAEE7" w14:textId="60893700"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10% </w:t>
            </w:r>
            <w:r w:rsidR="00E0118B" w:rsidRPr="00024D5A">
              <w:rPr>
                <w:rFonts w:ascii="Garamond" w:eastAsia="Times New Roman" w:hAnsi="Garamond"/>
                <w:sz w:val="14"/>
                <w:szCs w:val="16"/>
                <w:lang w:eastAsia="en-US"/>
              </w:rPr>
              <w:t xml:space="preserve">raporte </w:t>
            </w:r>
            <w:r w:rsidRPr="00024D5A">
              <w:rPr>
                <w:rFonts w:ascii="Garamond" w:eastAsia="Times New Roman" w:hAnsi="Garamond"/>
                <w:sz w:val="14"/>
                <w:szCs w:val="16"/>
                <w:lang w:eastAsia="en-US"/>
              </w:rPr>
              <w:t>nga vlerësimi bazë;</w:t>
            </w:r>
            <w:r w:rsidRPr="00024D5A">
              <w:rPr>
                <w:rFonts w:ascii="Garamond" w:eastAsia="Times New Roman" w:hAnsi="Garamond"/>
                <w:sz w:val="14"/>
                <w:szCs w:val="16"/>
                <w:lang w:eastAsia="en-US"/>
              </w:rPr>
              <w:br/>
              <w:t>Guida metodologjike</w:t>
            </w:r>
            <w:r w:rsidR="00E0118B" w:rsidRPr="00024D5A">
              <w:rPr>
                <w:rFonts w:ascii="Garamond" w:eastAsia="Times New Roman" w:hAnsi="Garamond"/>
                <w:sz w:val="14"/>
                <w:szCs w:val="16"/>
                <w:lang w:eastAsia="en-US"/>
              </w:rPr>
              <w:t>.</w:t>
            </w:r>
          </w:p>
        </w:tc>
        <w:tc>
          <w:tcPr>
            <w:tcW w:w="621" w:type="pct"/>
            <w:shd w:val="clear" w:color="auto" w:fill="D8F1D0"/>
          </w:tcPr>
          <w:p w14:paraId="00B49DBA" w14:textId="74249254"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35% Marrëveshje bashkëpunimi </w:t>
            </w:r>
            <w:r w:rsidR="00F51A27" w:rsidRPr="00024D5A">
              <w:rPr>
                <w:rFonts w:ascii="Garamond" w:eastAsia="Times New Roman" w:hAnsi="Garamond"/>
                <w:sz w:val="14"/>
                <w:szCs w:val="16"/>
                <w:lang w:eastAsia="en-US"/>
              </w:rPr>
              <w:t>bashki</w:t>
            </w:r>
            <w:r w:rsidR="00E0118B" w:rsidRPr="00024D5A">
              <w:rPr>
                <w:rFonts w:ascii="Garamond" w:eastAsia="Times New Roman" w:hAnsi="Garamond"/>
                <w:sz w:val="14"/>
                <w:szCs w:val="16"/>
                <w:lang w:eastAsia="en-US"/>
              </w:rPr>
              <w:t>–</w:t>
            </w:r>
            <w:r w:rsidR="00BA4F73" w:rsidRPr="00024D5A">
              <w:rPr>
                <w:rFonts w:ascii="Garamond" w:eastAsia="Times New Roman" w:hAnsi="Garamond"/>
                <w:sz w:val="14"/>
                <w:szCs w:val="16"/>
                <w:lang w:eastAsia="en-US"/>
              </w:rPr>
              <w:t>OJF</w:t>
            </w:r>
            <w:r w:rsidRPr="00024D5A">
              <w:rPr>
                <w:rFonts w:ascii="Garamond" w:eastAsia="Times New Roman" w:hAnsi="Garamond"/>
                <w:sz w:val="14"/>
                <w:szCs w:val="16"/>
                <w:lang w:eastAsia="en-US"/>
              </w:rPr>
              <w:t xml:space="preserve"> nga vlerësimi bazë; 40% Plane sociale vendore në bashki nga vlerësimi bazë; 30% Raporte nga vlerësimi bazë 1 Guidë; </w:t>
            </w:r>
          </w:p>
        </w:tc>
        <w:tc>
          <w:tcPr>
            <w:tcW w:w="659" w:type="pct"/>
            <w:shd w:val="clear" w:color="auto" w:fill="D8F1D0"/>
          </w:tcPr>
          <w:p w14:paraId="2C1398D3"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MSHMS;</w:t>
            </w:r>
          </w:p>
          <w:p w14:paraId="06DAAF99" w14:textId="02543335" w:rsidR="003E1630" w:rsidRPr="00024D5A" w:rsidRDefault="005743A8" w:rsidP="00791B1A">
            <w:pPr>
              <w:rPr>
                <w:rFonts w:ascii="Garamond" w:eastAsia="Times New Roman" w:hAnsi="Garamond" w:cs="Arial"/>
                <w:sz w:val="14"/>
                <w:szCs w:val="16"/>
                <w:lang w:eastAsia="en-US"/>
              </w:rPr>
            </w:pPr>
            <w:r w:rsidRPr="00024D5A">
              <w:rPr>
                <w:rFonts w:ascii="Garamond" w:eastAsia="Times New Roman" w:hAnsi="Garamond" w:cs="Arial"/>
                <w:sz w:val="14"/>
                <w:szCs w:val="16"/>
                <w:lang w:eastAsia="en-US"/>
              </w:rPr>
              <w:t>MSHPV</w:t>
            </w:r>
            <w:r w:rsidR="00DD7CA4" w:rsidRPr="00024D5A">
              <w:rPr>
                <w:rFonts w:ascii="Garamond" w:eastAsia="Times New Roman" w:hAnsi="Garamond" w:cs="Arial"/>
                <w:sz w:val="14"/>
                <w:szCs w:val="16"/>
                <w:lang w:eastAsia="en-US"/>
              </w:rPr>
              <w:t>;</w:t>
            </w:r>
          </w:p>
          <w:p w14:paraId="0E8F3081" w14:textId="0882F0D3"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cs="Arial"/>
                <w:sz w:val="14"/>
                <w:szCs w:val="16"/>
                <w:lang w:eastAsia="en-US"/>
              </w:rPr>
              <w:t>AMVV</w:t>
            </w:r>
            <w:r w:rsidR="00DD7CA4" w:rsidRPr="00024D5A">
              <w:rPr>
                <w:rFonts w:ascii="Garamond" w:eastAsia="Times New Roman" w:hAnsi="Garamond" w:cs="Arial"/>
                <w:sz w:val="14"/>
                <w:szCs w:val="16"/>
                <w:lang w:eastAsia="en-US"/>
              </w:rPr>
              <w:t>;</w:t>
            </w:r>
            <w:r w:rsidRPr="00024D5A">
              <w:rPr>
                <w:rFonts w:ascii="Garamond" w:eastAsia="Times New Roman" w:hAnsi="Garamond" w:cs="Arial"/>
                <w:sz w:val="14"/>
                <w:szCs w:val="16"/>
                <w:lang w:eastAsia="en-US"/>
              </w:rPr>
              <w:t xml:space="preserve"> </w:t>
            </w:r>
            <w:r w:rsidRPr="00024D5A">
              <w:rPr>
                <w:rFonts w:ascii="Garamond" w:eastAsia="Times New Roman" w:hAnsi="Garamond"/>
                <w:sz w:val="14"/>
                <w:szCs w:val="16"/>
                <w:lang w:eastAsia="en-US"/>
              </w:rPr>
              <w:br/>
            </w:r>
            <w:r w:rsidR="003245E7" w:rsidRPr="00024D5A">
              <w:rPr>
                <w:rFonts w:ascii="Garamond" w:eastAsia="Times New Roman" w:hAnsi="Garamond"/>
                <w:sz w:val="14"/>
                <w:szCs w:val="16"/>
                <w:lang w:eastAsia="en-US"/>
              </w:rPr>
              <w:t>NJVV</w:t>
            </w:r>
            <w:r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br/>
              <w:t xml:space="preserve">KKAK; </w:t>
            </w:r>
            <w:r w:rsidRPr="00024D5A">
              <w:rPr>
                <w:rFonts w:ascii="Garamond" w:eastAsia="Times New Roman" w:hAnsi="Garamond"/>
                <w:sz w:val="14"/>
                <w:szCs w:val="16"/>
                <w:lang w:eastAsia="en-US"/>
              </w:rPr>
              <w:br/>
              <w:t xml:space="preserve">Të gjitha </w:t>
            </w:r>
            <w:r w:rsidR="00DE49E5" w:rsidRPr="00024D5A">
              <w:rPr>
                <w:rFonts w:ascii="Garamond" w:eastAsia="Times New Roman" w:hAnsi="Garamond"/>
                <w:sz w:val="14"/>
                <w:szCs w:val="16"/>
                <w:lang w:eastAsia="en-US"/>
              </w:rPr>
              <w:t>institucionet</w:t>
            </w:r>
            <w:r w:rsidRPr="00024D5A">
              <w:rPr>
                <w:rFonts w:ascii="Garamond" w:eastAsia="Times New Roman" w:hAnsi="Garamond"/>
                <w:sz w:val="14"/>
                <w:szCs w:val="16"/>
                <w:lang w:eastAsia="en-US"/>
              </w:rPr>
              <w:t xml:space="preserve">; </w:t>
            </w:r>
            <w:r w:rsidRPr="00024D5A">
              <w:rPr>
                <w:rFonts w:ascii="Garamond" w:eastAsia="Times New Roman" w:hAnsi="Garamond"/>
                <w:sz w:val="14"/>
                <w:szCs w:val="16"/>
                <w:lang w:eastAsia="en-US"/>
              </w:rPr>
              <w:br/>
              <w:t xml:space="preserve">KMD; </w:t>
            </w:r>
            <w:r w:rsidRPr="00024D5A">
              <w:rPr>
                <w:rFonts w:ascii="Garamond" w:eastAsia="Times New Roman" w:hAnsi="Garamond"/>
                <w:sz w:val="14"/>
                <w:szCs w:val="16"/>
                <w:lang w:eastAsia="en-US"/>
              </w:rPr>
              <w:br/>
            </w:r>
            <w:r w:rsidR="00BA4F73" w:rsidRPr="00024D5A">
              <w:rPr>
                <w:rFonts w:ascii="Garamond" w:eastAsia="Times New Roman" w:hAnsi="Garamond"/>
                <w:sz w:val="14"/>
                <w:szCs w:val="16"/>
                <w:lang w:eastAsia="en-US"/>
              </w:rPr>
              <w:t>OJF</w:t>
            </w:r>
            <w:r w:rsidRPr="00024D5A">
              <w:rPr>
                <w:rFonts w:ascii="Garamond" w:eastAsia="Times New Roman" w:hAnsi="Garamond"/>
                <w:sz w:val="14"/>
                <w:szCs w:val="16"/>
                <w:lang w:eastAsia="en-US"/>
              </w:rPr>
              <w:t xml:space="preserve">; </w:t>
            </w:r>
            <w:r w:rsidRPr="00024D5A">
              <w:rPr>
                <w:rFonts w:ascii="Garamond" w:eastAsia="Times New Roman" w:hAnsi="Garamond"/>
                <w:sz w:val="14"/>
                <w:szCs w:val="16"/>
                <w:lang w:eastAsia="en-US"/>
              </w:rPr>
              <w:br/>
            </w:r>
            <w:r w:rsidR="00DE49E5" w:rsidRPr="00024D5A">
              <w:rPr>
                <w:rFonts w:ascii="Garamond" w:eastAsia="Times New Roman" w:hAnsi="Garamond"/>
                <w:sz w:val="14"/>
                <w:szCs w:val="16"/>
                <w:lang w:eastAsia="en-US"/>
              </w:rPr>
              <w:t xml:space="preserve">raporte </w:t>
            </w:r>
            <w:r w:rsidRPr="00024D5A">
              <w:rPr>
                <w:rFonts w:ascii="Garamond" w:eastAsia="Times New Roman" w:hAnsi="Garamond"/>
                <w:sz w:val="14"/>
                <w:szCs w:val="16"/>
                <w:lang w:eastAsia="en-US"/>
              </w:rPr>
              <w:t>monitorim</w:t>
            </w:r>
            <w:r w:rsidR="00DE49E5" w:rsidRPr="00024D5A">
              <w:rPr>
                <w:rFonts w:ascii="Garamond" w:eastAsia="Times New Roman" w:hAnsi="Garamond"/>
                <w:sz w:val="14"/>
                <w:szCs w:val="16"/>
                <w:lang w:eastAsia="en-US"/>
              </w:rPr>
              <w:t>.</w:t>
            </w:r>
          </w:p>
        </w:tc>
        <w:tc>
          <w:tcPr>
            <w:tcW w:w="475" w:type="pct"/>
            <w:shd w:val="clear" w:color="auto" w:fill="D8F1D0"/>
          </w:tcPr>
          <w:p w14:paraId="26446B44" w14:textId="020A773A"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OZHQ;</w:t>
            </w:r>
            <w:r w:rsidRPr="00024D5A">
              <w:rPr>
                <w:rFonts w:ascii="Garamond" w:hAnsi="Garamond"/>
                <w:sz w:val="14"/>
              </w:rPr>
              <w:br/>
            </w:r>
            <w:r w:rsidRPr="00024D5A">
              <w:rPr>
                <w:rFonts w:ascii="Garamond" w:eastAsia="Times New Roman" w:hAnsi="Garamond"/>
                <w:sz w:val="14"/>
                <w:szCs w:val="16"/>
                <w:lang w:eastAsia="en-US"/>
              </w:rPr>
              <w:t xml:space="preserve">Dokumenti i programit të BE-së EU për Përfshirjen Sociale; Strategjia e BE-së për të Drejtat e Personave me Aftësi të Kufizuara </w:t>
            </w:r>
            <w:r w:rsidR="008639DB" w:rsidRPr="00024D5A">
              <w:rPr>
                <w:rFonts w:ascii="Garamond" w:eastAsia="Times New Roman" w:hAnsi="Garamond"/>
                <w:sz w:val="14"/>
                <w:szCs w:val="16"/>
                <w:lang w:eastAsia="en-US"/>
              </w:rPr>
              <w:t>2021–2030</w:t>
            </w:r>
            <w:r w:rsidRPr="00024D5A">
              <w:rPr>
                <w:rFonts w:ascii="Garamond" w:eastAsia="Times New Roman" w:hAnsi="Garamond"/>
                <w:sz w:val="14"/>
                <w:szCs w:val="16"/>
                <w:lang w:eastAsia="en-US"/>
              </w:rPr>
              <w:t xml:space="preserve">; </w:t>
            </w:r>
            <w:r w:rsidRPr="00024D5A">
              <w:rPr>
                <w:rFonts w:ascii="Garamond" w:hAnsi="Garamond"/>
                <w:sz w:val="14"/>
              </w:rPr>
              <w:br/>
            </w:r>
            <w:r w:rsidRPr="00024D5A">
              <w:rPr>
                <w:rFonts w:ascii="Garamond" w:eastAsia="Times New Roman" w:hAnsi="Garamond"/>
                <w:sz w:val="14"/>
                <w:szCs w:val="16"/>
                <w:lang w:eastAsia="en-US"/>
              </w:rPr>
              <w:t xml:space="preserve">Strategjia Kombëtare për Zhvillim dhe Integrim Evropian (SKZHIE); </w:t>
            </w:r>
          </w:p>
          <w:p w14:paraId="29D3D9D9" w14:textId="762856BF"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Dokumenti i Politikave të Përfshirjes Sociale</w:t>
            </w:r>
            <w:r w:rsidR="00DE49E5" w:rsidRPr="00024D5A">
              <w:rPr>
                <w:rFonts w:ascii="Garamond" w:eastAsia="Times New Roman" w:hAnsi="Garamond"/>
                <w:sz w:val="14"/>
                <w:szCs w:val="16"/>
                <w:lang w:eastAsia="en-US"/>
              </w:rPr>
              <w:t>.</w:t>
            </w:r>
          </w:p>
        </w:tc>
      </w:tr>
      <w:tr w:rsidR="003A52F2" w:rsidRPr="00024D5A" w14:paraId="5AA8854B" w14:textId="77777777" w:rsidTr="00EA5154">
        <w:trPr>
          <w:trHeight w:val="20"/>
        </w:trPr>
        <w:tc>
          <w:tcPr>
            <w:tcW w:w="451" w:type="pct"/>
            <w:shd w:val="clear" w:color="auto" w:fill="CAEDFA"/>
            <w:vAlign w:val="center"/>
          </w:tcPr>
          <w:p w14:paraId="47B32C21" w14:textId="77777777" w:rsidR="003A52F2" w:rsidRPr="00024D5A" w:rsidRDefault="003A52F2" w:rsidP="00791B1A">
            <w:pPr>
              <w:rPr>
                <w:rFonts w:ascii="Garamond" w:eastAsia="Times New Roman" w:hAnsi="Garamond"/>
                <w:sz w:val="14"/>
                <w:szCs w:val="20"/>
                <w:lang w:eastAsia="en-US"/>
              </w:rPr>
            </w:pPr>
            <w:r w:rsidRPr="00024D5A">
              <w:rPr>
                <w:rFonts w:ascii="Garamond" w:eastAsia="Times New Roman" w:hAnsi="Garamond"/>
                <w:sz w:val="14"/>
                <w:szCs w:val="20"/>
                <w:lang w:eastAsia="en-US"/>
              </w:rPr>
              <w:t> </w:t>
            </w:r>
          </w:p>
          <w:p w14:paraId="3FB0D95C" w14:textId="77777777" w:rsidR="003A52F2" w:rsidRPr="00024D5A" w:rsidRDefault="003A52F2" w:rsidP="00791B1A">
            <w:pPr>
              <w:rPr>
                <w:rFonts w:ascii="Garamond" w:eastAsia="Times New Roman" w:hAnsi="Garamond"/>
                <w:sz w:val="14"/>
                <w:szCs w:val="20"/>
                <w:lang w:eastAsia="en-US"/>
              </w:rPr>
            </w:pPr>
            <w:r w:rsidRPr="00024D5A">
              <w:rPr>
                <w:rFonts w:ascii="Garamond" w:eastAsia="Times New Roman" w:hAnsi="Garamond"/>
                <w:sz w:val="14"/>
                <w:szCs w:val="20"/>
                <w:lang w:eastAsia="en-US"/>
              </w:rPr>
              <w:t> </w:t>
            </w:r>
          </w:p>
          <w:p w14:paraId="7E8F836C" w14:textId="77777777" w:rsidR="003A52F2" w:rsidRPr="00024D5A" w:rsidRDefault="003A52F2" w:rsidP="00791B1A">
            <w:pPr>
              <w:rPr>
                <w:rFonts w:ascii="Garamond" w:eastAsia="Times New Roman" w:hAnsi="Garamond"/>
                <w:sz w:val="14"/>
                <w:szCs w:val="20"/>
                <w:lang w:eastAsia="en-US"/>
              </w:rPr>
            </w:pPr>
            <w:r w:rsidRPr="00024D5A">
              <w:rPr>
                <w:rFonts w:ascii="Garamond" w:eastAsia="Times New Roman" w:hAnsi="Garamond"/>
                <w:sz w:val="14"/>
                <w:szCs w:val="20"/>
                <w:lang w:eastAsia="en-US"/>
              </w:rPr>
              <w:t> </w:t>
            </w:r>
          </w:p>
          <w:p w14:paraId="57B7E1EA" w14:textId="62B1C0BE" w:rsidR="003A52F2" w:rsidRPr="00024D5A" w:rsidRDefault="003A52F2" w:rsidP="00791B1A">
            <w:pPr>
              <w:rPr>
                <w:rFonts w:ascii="Garamond" w:eastAsia="Times New Roman" w:hAnsi="Garamond"/>
                <w:sz w:val="14"/>
                <w:szCs w:val="20"/>
                <w:lang w:eastAsia="en-US"/>
              </w:rPr>
            </w:pPr>
            <w:r w:rsidRPr="00024D5A">
              <w:rPr>
                <w:rFonts w:ascii="Garamond" w:eastAsia="Times New Roman" w:hAnsi="Garamond"/>
                <w:sz w:val="14"/>
                <w:szCs w:val="20"/>
                <w:lang w:eastAsia="en-US"/>
              </w:rPr>
              <w:t> </w:t>
            </w:r>
          </w:p>
        </w:tc>
        <w:tc>
          <w:tcPr>
            <w:tcW w:w="725" w:type="pct"/>
            <w:shd w:val="clear" w:color="auto" w:fill="CAEDFA"/>
          </w:tcPr>
          <w:p w14:paraId="4462C0CC" w14:textId="1C37DE42" w:rsidR="003A52F2" w:rsidRPr="00024D5A" w:rsidRDefault="003A52F2"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Objektivi </w:t>
            </w:r>
            <w:r w:rsidR="00C63DB2" w:rsidRPr="00024D5A">
              <w:rPr>
                <w:rFonts w:ascii="Garamond" w:eastAsia="Times New Roman" w:hAnsi="Garamond"/>
                <w:sz w:val="14"/>
                <w:szCs w:val="16"/>
                <w:lang w:eastAsia="en-US"/>
              </w:rPr>
              <w:t xml:space="preserve">specifik </w:t>
            </w:r>
            <w:r w:rsidRPr="00024D5A">
              <w:rPr>
                <w:rFonts w:ascii="Garamond" w:eastAsia="Times New Roman" w:hAnsi="Garamond"/>
                <w:sz w:val="14"/>
                <w:szCs w:val="16"/>
                <w:lang w:eastAsia="en-US"/>
              </w:rPr>
              <w:t>1</w:t>
            </w:r>
            <w:r w:rsidR="00AC5DA9">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Forcimi i bashkëpunimit institucional ndërmjet strukturave qendrore dhe pushtetit vendor dhe ndërveprimi me OPAK në të gjitha nivelet.</w:t>
            </w:r>
          </w:p>
        </w:tc>
        <w:tc>
          <w:tcPr>
            <w:tcW w:w="851" w:type="pct"/>
            <w:shd w:val="clear" w:color="auto" w:fill="CAEDFA"/>
          </w:tcPr>
          <w:p w14:paraId="1B8B3671" w14:textId="47317FE9" w:rsidR="003A52F2" w:rsidRPr="00024D5A" w:rsidRDefault="003A52F2"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Bashki që kanë hartuar Plane sociale të aftësisë së kufizuar, në përputhje me Planin Kombëtar të Veprimit për Aftësinë e Kufizuar;</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 xml:space="preserve">Rritje progresive e fondit social në çdo vit, nga të ardhurat vetë bashkive + buxhet nga MF; </w:t>
            </w:r>
            <w:r w:rsidR="002B62EA" w:rsidRPr="00024D5A">
              <w:rPr>
                <w:rFonts w:ascii="Garamond" w:eastAsia="Times New Roman" w:hAnsi="Garamond"/>
                <w:sz w:val="14"/>
                <w:szCs w:val="16"/>
                <w:lang w:eastAsia="en-US"/>
              </w:rPr>
              <w:t xml:space="preserve">guida </w:t>
            </w:r>
            <w:r w:rsidRPr="00024D5A">
              <w:rPr>
                <w:rFonts w:ascii="Garamond" w:eastAsia="Times New Roman" w:hAnsi="Garamond"/>
                <w:sz w:val="14"/>
                <w:szCs w:val="16"/>
                <w:lang w:eastAsia="en-US"/>
              </w:rPr>
              <w:t xml:space="preserve">metodologjike për bashkitë për vlerësimin e nevojave të personave me aftësi të kufizuara; Marrëveshje </w:t>
            </w:r>
            <w:r w:rsidR="002B62EA" w:rsidRPr="00024D5A">
              <w:rPr>
                <w:rFonts w:ascii="Garamond" w:eastAsia="Times New Roman" w:hAnsi="Garamond"/>
                <w:sz w:val="14"/>
                <w:szCs w:val="16"/>
                <w:lang w:eastAsia="en-US"/>
              </w:rPr>
              <w:t>bashki–</w:t>
            </w:r>
            <w:r w:rsidRPr="00024D5A">
              <w:rPr>
                <w:rFonts w:ascii="Garamond" w:eastAsia="Times New Roman" w:hAnsi="Garamond"/>
                <w:sz w:val="14"/>
                <w:szCs w:val="16"/>
                <w:lang w:eastAsia="en-US"/>
              </w:rPr>
              <w:t>OJF për bashkëpunim;</w:t>
            </w:r>
            <w:r w:rsidRPr="00024D5A">
              <w:rPr>
                <w:rFonts w:ascii="Garamond" w:eastAsia="Times New Roman" w:hAnsi="Garamond"/>
                <w:sz w:val="14"/>
                <w:szCs w:val="16"/>
                <w:lang w:eastAsia="en-US"/>
              </w:rPr>
              <w:br/>
              <w:t>Konferenca çdo vit për monitorimin e zbatimit të PKVPAK</w:t>
            </w:r>
            <w:r w:rsidR="002B62EA" w:rsidRPr="00024D5A">
              <w:rPr>
                <w:rFonts w:ascii="Garamond" w:eastAsia="Times New Roman" w:hAnsi="Garamond"/>
                <w:sz w:val="14"/>
                <w:szCs w:val="16"/>
                <w:lang w:eastAsia="en-US"/>
              </w:rPr>
              <w:t>-së.</w:t>
            </w:r>
          </w:p>
        </w:tc>
        <w:tc>
          <w:tcPr>
            <w:tcW w:w="435" w:type="pct"/>
            <w:shd w:val="clear" w:color="auto" w:fill="CAEDFA"/>
          </w:tcPr>
          <w:p w14:paraId="46B448D8" w14:textId="77777777" w:rsidR="003A52F2" w:rsidRPr="00024D5A" w:rsidRDefault="003A52F2"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N/A</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 xml:space="preserve">N/A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 xml:space="preserve">N/A </w:t>
            </w:r>
          </w:p>
        </w:tc>
        <w:tc>
          <w:tcPr>
            <w:tcW w:w="784" w:type="pct"/>
            <w:shd w:val="clear" w:color="auto" w:fill="CAEDFA"/>
          </w:tcPr>
          <w:p w14:paraId="0D5B5E5D" w14:textId="4D0F3909" w:rsidR="003A52F2" w:rsidRPr="00024D5A" w:rsidRDefault="003A52F2"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20</w:t>
            </w:r>
            <w:r w:rsidR="00F03D3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e bashkive nga vlerësimi bazë</w:t>
            </w:r>
            <w:r w:rsidR="00F51A27"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20</w:t>
            </w:r>
            <w:r w:rsidR="00F03D3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e përfituesve nga vlerësimi bazë përfitojnë shërbime nga rritje fond</w:t>
            </w:r>
            <w:r w:rsidR="00F51A27"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w:t>
            </w:r>
          </w:p>
        </w:tc>
        <w:tc>
          <w:tcPr>
            <w:tcW w:w="621" w:type="pct"/>
            <w:shd w:val="clear" w:color="auto" w:fill="CAEDFA"/>
          </w:tcPr>
          <w:p w14:paraId="053FCBBD" w14:textId="0CBDAF07" w:rsidR="003A52F2" w:rsidRPr="00024D5A" w:rsidRDefault="003A52F2"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40</w:t>
            </w:r>
            <w:r w:rsidR="00F03D3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e bashkive nga vlerësimi bazë</w:t>
            </w:r>
            <w:r w:rsidR="00F51A27"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35</w:t>
            </w:r>
            <w:r w:rsidR="00F03D3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e përfituesve nga vlerësimi bazë përfitojnë shërbime nga rritje fondi</w:t>
            </w:r>
            <w:r w:rsidR="00F51A27" w:rsidRPr="00024D5A">
              <w:rPr>
                <w:rFonts w:ascii="Garamond" w:eastAsia="Times New Roman" w:hAnsi="Garamond"/>
                <w:sz w:val="14"/>
                <w:szCs w:val="16"/>
                <w:lang w:eastAsia="en-US"/>
              </w:rPr>
              <w:t>.</w:t>
            </w:r>
          </w:p>
        </w:tc>
        <w:tc>
          <w:tcPr>
            <w:tcW w:w="659" w:type="pct"/>
            <w:shd w:val="clear" w:color="auto" w:fill="CAEDFA"/>
          </w:tcPr>
          <w:p w14:paraId="7B77BCBE" w14:textId="77777777" w:rsidR="003A52F2" w:rsidRPr="00024D5A" w:rsidRDefault="003A52F2"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MSHMS; </w:t>
            </w:r>
          </w:p>
          <w:p w14:paraId="3B90AFDF" w14:textId="77777777" w:rsidR="003A52F2" w:rsidRPr="00024D5A" w:rsidRDefault="003A52F2" w:rsidP="00791B1A">
            <w:pPr>
              <w:rPr>
                <w:rFonts w:ascii="Garamond" w:eastAsia="Times New Roman" w:hAnsi="Garamond" w:cs="Arial"/>
                <w:sz w:val="14"/>
                <w:szCs w:val="16"/>
                <w:lang w:eastAsia="en-US"/>
              </w:rPr>
            </w:pPr>
            <w:r w:rsidRPr="00024D5A">
              <w:rPr>
                <w:rFonts w:ascii="Garamond" w:eastAsia="Times New Roman" w:hAnsi="Garamond" w:cs="Arial"/>
                <w:sz w:val="14"/>
                <w:szCs w:val="16"/>
                <w:lang w:eastAsia="en-US"/>
              </w:rPr>
              <w:t>MSHPV</w:t>
            </w:r>
          </w:p>
          <w:p w14:paraId="38B7D8C0" w14:textId="13A29007" w:rsidR="003A52F2" w:rsidRPr="00024D5A" w:rsidRDefault="003A52F2" w:rsidP="00791B1A">
            <w:pPr>
              <w:rPr>
                <w:rFonts w:ascii="Garamond" w:eastAsia="Times New Roman" w:hAnsi="Garamond"/>
                <w:sz w:val="14"/>
                <w:szCs w:val="16"/>
                <w:lang w:eastAsia="en-US"/>
              </w:rPr>
            </w:pPr>
            <w:r w:rsidRPr="00024D5A">
              <w:rPr>
                <w:rFonts w:ascii="Garamond" w:eastAsia="Times New Roman" w:hAnsi="Garamond" w:cs="Arial"/>
                <w:sz w:val="14"/>
                <w:szCs w:val="16"/>
                <w:lang w:eastAsia="en-US"/>
              </w:rPr>
              <w:t xml:space="preserve">AMVV </w:t>
            </w:r>
            <w:r w:rsidRPr="00024D5A">
              <w:rPr>
                <w:rFonts w:ascii="Garamond" w:eastAsia="Times New Roman" w:hAnsi="Garamond" w:cs="Arial"/>
                <w:sz w:val="14"/>
                <w:szCs w:val="16"/>
                <w:lang w:eastAsia="en-US"/>
              </w:rPr>
              <w:br/>
            </w:r>
            <w:r w:rsidRPr="00024D5A">
              <w:rPr>
                <w:rFonts w:ascii="Garamond" w:eastAsia="Times New Roman" w:hAnsi="Garamond"/>
                <w:sz w:val="14"/>
                <w:szCs w:val="16"/>
                <w:lang w:eastAsia="en-US"/>
              </w:rPr>
              <w:t xml:space="preserve">NJVV; </w:t>
            </w:r>
            <w:r w:rsidRPr="00024D5A">
              <w:rPr>
                <w:rFonts w:ascii="Garamond" w:eastAsia="Times New Roman" w:hAnsi="Garamond"/>
                <w:sz w:val="14"/>
                <w:szCs w:val="16"/>
                <w:lang w:eastAsia="en-US"/>
              </w:rPr>
              <w:br/>
              <w:t xml:space="preserve">KKAK; </w:t>
            </w:r>
            <w:r w:rsidRPr="00024D5A">
              <w:rPr>
                <w:rFonts w:ascii="Garamond" w:eastAsia="Times New Roman" w:hAnsi="Garamond"/>
                <w:sz w:val="14"/>
                <w:szCs w:val="16"/>
                <w:lang w:eastAsia="en-US"/>
              </w:rPr>
              <w:br/>
              <w:t xml:space="preserve">Të gjitha Institucionet; </w:t>
            </w:r>
            <w:r w:rsidRPr="00024D5A">
              <w:rPr>
                <w:rFonts w:ascii="Garamond" w:eastAsia="Times New Roman" w:hAnsi="Garamond"/>
                <w:sz w:val="14"/>
                <w:szCs w:val="16"/>
                <w:lang w:eastAsia="en-US"/>
              </w:rPr>
              <w:br/>
              <w:t xml:space="preserve">OJF; </w:t>
            </w:r>
            <w:r w:rsidRPr="00024D5A">
              <w:rPr>
                <w:rFonts w:ascii="Garamond" w:eastAsia="Times New Roman" w:hAnsi="Garamond"/>
                <w:sz w:val="14"/>
                <w:szCs w:val="16"/>
                <w:lang w:eastAsia="en-US"/>
              </w:rPr>
              <w:br/>
              <w:t>Raporte monitorimi</w:t>
            </w:r>
            <w:r w:rsidR="00F51A27" w:rsidRPr="00024D5A">
              <w:rPr>
                <w:rFonts w:ascii="Garamond" w:eastAsia="Times New Roman" w:hAnsi="Garamond"/>
                <w:sz w:val="14"/>
                <w:szCs w:val="16"/>
                <w:lang w:eastAsia="en-US"/>
              </w:rPr>
              <w:t>.</w:t>
            </w:r>
          </w:p>
        </w:tc>
        <w:tc>
          <w:tcPr>
            <w:tcW w:w="475" w:type="pct"/>
            <w:shd w:val="clear" w:color="auto" w:fill="CAEDFA"/>
          </w:tcPr>
          <w:p w14:paraId="00031652" w14:textId="3ACEDB2C" w:rsidR="003A52F2" w:rsidRPr="00024D5A" w:rsidRDefault="003A52F2"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OZHQ; Konventa për të Drejtat e Personave me Aftësi të Kufizuara;</w:t>
            </w:r>
            <w:r w:rsidRPr="00024D5A">
              <w:rPr>
                <w:rFonts w:ascii="Garamond" w:hAnsi="Garamond"/>
                <w:sz w:val="14"/>
              </w:rPr>
              <w:br/>
            </w:r>
            <w:r w:rsidRPr="00024D5A">
              <w:rPr>
                <w:rFonts w:ascii="Garamond" w:eastAsia="Times New Roman" w:hAnsi="Garamond"/>
                <w:sz w:val="14"/>
                <w:szCs w:val="16"/>
                <w:lang w:eastAsia="en-US"/>
              </w:rPr>
              <w:t xml:space="preserve">Dokumenti i programi të BE-së EU për Përfshirjen Sociale; Strategjia e BE-së për të Drejtat e Personave me Aftësi të Kufizuara </w:t>
            </w:r>
            <w:r w:rsidR="008639DB" w:rsidRPr="00024D5A">
              <w:rPr>
                <w:rFonts w:ascii="Garamond" w:eastAsia="Times New Roman" w:hAnsi="Garamond"/>
                <w:sz w:val="14"/>
                <w:szCs w:val="16"/>
                <w:lang w:eastAsia="en-US"/>
              </w:rPr>
              <w:t>2021–2030</w:t>
            </w:r>
            <w:r w:rsidRPr="00024D5A">
              <w:rPr>
                <w:rFonts w:ascii="Garamond" w:eastAsia="Times New Roman" w:hAnsi="Garamond"/>
                <w:sz w:val="14"/>
                <w:szCs w:val="16"/>
                <w:lang w:eastAsia="en-US"/>
              </w:rPr>
              <w:t xml:space="preserve">; </w:t>
            </w:r>
            <w:r w:rsidRPr="00024D5A">
              <w:rPr>
                <w:rFonts w:ascii="Garamond" w:hAnsi="Garamond"/>
                <w:sz w:val="14"/>
              </w:rPr>
              <w:br/>
            </w:r>
            <w:r w:rsidRPr="00024D5A">
              <w:rPr>
                <w:rFonts w:ascii="Garamond" w:eastAsia="Times New Roman" w:hAnsi="Garamond"/>
                <w:sz w:val="14"/>
                <w:szCs w:val="16"/>
                <w:lang w:eastAsia="en-US"/>
              </w:rPr>
              <w:t xml:space="preserve">Strategjia Kombëtare për Zhvillim dhe Integrim Evropian (SKZHIE); </w:t>
            </w:r>
          </w:p>
          <w:p w14:paraId="117BEFBB" w14:textId="5B98BDCB" w:rsidR="003A52F2" w:rsidRPr="00024D5A" w:rsidRDefault="003A52F2"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Dokumenti i Politikave t</w:t>
            </w:r>
            <w:r w:rsidR="00070BC1" w:rsidRPr="00024D5A">
              <w:rPr>
                <w:rFonts w:ascii="Garamond" w:eastAsia="Times New Roman" w:hAnsi="Garamond"/>
                <w:sz w:val="14"/>
                <w:szCs w:val="16"/>
                <w:lang w:eastAsia="en-US"/>
              </w:rPr>
              <w:t xml:space="preserve">ë </w:t>
            </w:r>
            <w:r w:rsidRPr="00024D5A">
              <w:rPr>
                <w:rFonts w:ascii="Garamond" w:eastAsia="Times New Roman" w:hAnsi="Garamond"/>
                <w:sz w:val="14"/>
                <w:szCs w:val="16"/>
                <w:lang w:eastAsia="en-US"/>
              </w:rPr>
              <w:t>Përfshirjes Sociale</w:t>
            </w:r>
            <w:r w:rsidR="00F51A27" w:rsidRPr="00024D5A">
              <w:rPr>
                <w:rFonts w:ascii="Garamond" w:eastAsia="Times New Roman" w:hAnsi="Garamond"/>
                <w:sz w:val="14"/>
                <w:szCs w:val="16"/>
                <w:lang w:eastAsia="en-US"/>
              </w:rPr>
              <w:t>.</w:t>
            </w:r>
          </w:p>
        </w:tc>
      </w:tr>
      <w:tr w:rsidR="0047308B" w:rsidRPr="00024D5A" w14:paraId="5148857E" w14:textId="77777777" w:rsidTr="00EA5154">
        <w:trPr>
          <w:trHeight w:val="20"/>
        </w:trPr>
        <w:tc>
          <w:tcPr>
            <w:tcW w:w="451" w:type="pct"/>
            <w:vMerge w:val="restart"/>
            <w:shd w:val="clear" w:color="auto" w:fill="CAEDFA"/>
          </w:tcPr>
          <w:p w14:paraId="5C43EFDA" w14:textId="0882EAD0" w:rsidR="0047308B" w:rsidRPr="00024D5A" w:rsidRDefault="0047308B" w:rsidP="00405855">
            <w:pPr>
              <w:rPr>
                <w:rFonts w:ascii="Garamond" w:eastAsia="Times New Roman" w:hAnsi="Garamond"/>
                <w:sz w:val="14"/>
                <w:szCs w:val="20"/>
                <w:lang w:eastAsia="en-US"/>
              </w:rPr>
            </w:pPr>
            <w:r w:rsidRPr="00024D5A">
              <w:rPr>
                <w:rFonts w:ascii="Garamond" w:eastAsia="Times New Roman" w:hAnsi="Garamond"/>
                <w:sz w:val="14"/>
                <w:szCs w:val="20"/>
                <w:lang w:eastAsia="en-US"/>
              </w:rPr>
              <w:t> </w:t>
            </w:r>
            <w:r w:rsidRPr="00024D5A">
              <w:rPr>
                <w:rFonts w:ascii="Garamond" w:eastAsia="Times New Roman" w:hAnsi="Garamond"/>
                <w:b/>
                <w:bCs/>
                <w:sz w:val="14"/>
                <w:szCs w:val="16"/>
                <w:lang w:eastAsia="en-US"/>
              </w:rPr>
              <w:t xml:space="preserve">Objektivi </w:t>
            </w:r>
            <w:r w:rsidR="00405855" w:rsidRPr="00024D5A">
              <w:rPr>
                <w:rFonts w:ascii="Garamond" w:eastAsia="Times New Roman" w:hAnsi="Garamond"/>
                <w:b/>
                <w:bCs/>
                <w:sz w:val="14"/>
                <w:szCs w:val="16"/>
                <w:lang w:eastAsia="en-US"/>
              </w:rPr>
              <w:t>strategjik</w:t>
            </w:r>
          </w:p>
          <w:p w14:paraId="355571E3" w14:textId="77777777" w:rsidR="0047308B" w:rsidRPr="00024D5A" w:rsidRDefault="0047308B" w:rsidP="00405855">
            <w:pPr>
              <w:rPr>
                <w:rFonts w:ascii="Garamond" w:eastAsia="Times New Roman" w:hAnsi="Garamond"/>
                <w:sz w:val="14"/>
                <w:szCs w:val="20"/>
                <w:lang w:eastAsia="en-US"/>
              </w:rPr>
            </w:pPr>
            <w:r w:rsidRPr="00024D5A">
              <w:rPr>
                <w:rFonts w:ascii="Garamond" w:eastAsia="Times New Roman" w:hAnsi="Garamond"/>
                <w:sz w:val="14"/>
                <w:szCs w:val="20"/>
                <w:lang w:eastAsia="en-US"/>
              </w:rPr>
              <w:t> </w:t>
            </w:r>
          </w:p>
          <w:p w14:paraId="29FED653" w14:textId="77777777" w:rsidR="0047308B" w:rsidRPr="00024D5A" w:rsidRDefault="0047308B" w:rsidP="00405855">
            <w:pPr>
              <w:rPr>
                <w:rFonts w:ascii="Garamond" w:eastAsia="Times New Roman" w:hAnsi="Garamond"/>
                <w:sz w:val="14"/>
                <w:szCs w:val="20"/>
                <w:lang w:eastAsia="en-US"/>
              </w:rPr>
            </w:pPr>
            <w:r w:rsidRPr="00024D5A">
              <w:rPr>
                <w:rFonts w:ascii="Garamond" w:eastAsia="Times New Roman" w:hAnsi="Garamond"/>
                <w:sz w:val="14"/>
                <w:szCs w:val="20"/>
                <w:lang w:eastAsia="en-US"/>
              </w:rPr>
              <w:t> </w:t>
            </w:r>
          </w:p>
          <w:p w14:paraId="389D35DC" w14:textId="30710538" w:rsidR="0047308B" w:rsidRPr="00024D5A" w:rsidRDefault="0047308B" w:rsidP="00405855">
            <w:pPr>
              <w:rPr>
                <w:rFonts w:ascii="Garamond" w:eastAsia="Times New Roman" w:hAnsi="Garamond"/>
                <w:sz w:val="14"/>
                <w:szCs w:val="20"/>
                <w:lang w:eastAsia="en-US"/>
              </w:rPr>
            </w:pPr>
            <w:r w:rsidRPr="00024D5A">
              <w:rPr>
                <w:rFonts w:ascii="Garamond" w:eastAsia="Times New Roman" w:hAnsi="Garamond"/>
                <w:sz w:val="14"/>
                <w:szCs w:val="20"/>
                <w:lang w:eastAsia="en-US"/>
              </w:rPr>
              <w:t> </w:t>
            </w:r>
          </w:p>
        </w:tc>
        <w:tc>
          <w:tcPr>
            <w:tcW w:w="725" w:type="pct"/>
            <w:vMerge w:val="restart"/>
            <w:shd w:val="clear" w:color="auto" w:fill="CAEDFA"/>
          </w:tcPr>
          <w:p w14:paraId="02281CCE" w14:textId="55CB1973" w:rsidR="0047308B" w:rsidRPr="00024D5A" w:rsidRDefault="0047308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Objektivi specifik 2</w:t>
            </w:r>
            <w:r w:rsidR="00AC5DA9">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Përmirësimi i funksionimit të KKAK lidhur me koordinimin e politikave publike në nivel horizontal dhe vertikal, të dedikuara për personat me aftësi të kufizuara.</w:t>
            </w:r>
          </w:p>
        </w:tc>
        <w:tc>
          <w:tcPr>
            <w:tcW w:w="851" w:type="pct"/>
            <w:shd w:val="clear" w:color="auto" w:fill="CAEDFA"/>
          </w:tcPr>
          <w:p w14:paraId="57E5C32E" w14:textId="77777777" w:rsidR="0047308B" w:rsidRPr="00024D5A" w:rsidRDefault="0047308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Depozitim informacioni nga Ministritë në KKAK për diskutim për çdo nisëm ligjore;</w:t>
            </w:r>
          </w:p>
        </w:tc>
        <w:tc>
          <w:tcPr>
            <w:tcW w:w="435" w:type="pct"/>
            <w:shd w:val="clear" w:color="auto" w:fill="CAEDFA"/>
          </w:tcPr>
          <w:p w14:paraId="247DAC55" w14:textId="77777777" w:rsidR="0047308B" w:rsidRPr="00024D5A" w:rsidRDefault="0047308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Sipas rasteve</w:t>
            </w:r>
          </w:p>
        </w:tc>
        <w:tc>
          <w:tcPr>
            <w:tcW w:w="784" w:type="pct"/>
            <w:shd w:val="clear" w:color="auto" w:fill="CAEDFA"/>
          </w:tcPr>
          <w:p w14:paraId="04490396" w14:textId="77777777" w:rsidR="0047308B" w:rsidRPr="00024D5A" w:rsidRDefault="0047308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621" w:type="pct"/>
            <w:shd w:val="clear" w:color="auto" w:fill="CAEDFA"/>
          </w:tcPr>
          <w:p w14:paraId="001B48A5" w14:textId="77777777" w:rsidR="0047308B" w:rsidRPr="00024D5A" w:rsidRDefault="0047308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659" w:type="pct"/>
            <w:vMerge w:val="restart"/>
            <w:shd w:val="clear" w:color="auto" w:fill="CAEDFA"/>
          </w:tcPr>
          <w:p w14:paraId="31BE896E" w14:textId="27390C70" w:rsidR="0047308B" w:rsidRPr="00024D5A" w:rsidRDefault="0047308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MSHMS; </w:t>
            </w:r>
            <w:r w:rsidRPr="00024D5A">
              <w:rPr>
                <w:rFonts w:ascii="Garamond" w:eastAsia="Times New Roman" w:hAnsi="Garamond"/>
                <w:sz w:val="14"/>
                <w:szCs w:val="16"/>
                <w:lang w:eastAsia="en-US"/>
              </w:rPr>
              <w:br/>
              <w:t xml:space="preserve">NJVV; </w:t>
            </w:r>
            <w:r w:rsidRPr="00024D5A">
              <w:rPr>
                <w:rFonts w:ascii="Garamond" w:eastAsia="Times New Roman" w:hAnsi="Garamond"/>
                <w:sz w:val="14"/>
                <w:szCs w:val="16"/>
                <w:lang w:eastAsia="en-US"/>
              </w:rPr>
              <w:br/>
              <w:t xml:space="preserve">KKAK; </w:t>
            </w:r>
            <w:r w:rsidRPr="00024D5A">
              <w:rPr>
                <w:rFonts w:ascii="Garamond" w:eastAsia="Times New Roman" w:hAnsi="Garamond"/>
                <w:sz w:val="14"/>
                <w:szCs w:val="16"/>
                <w:lang w:eastAsia="en-US"/>
              </w:rPr>
              <w:br/>
              <w:t>GDMAK;</w:t>
            </w:r>
            <w:r w:rsidRPr="00024D5A">
              <w:rPr>
                <w:rFonts w:ascii="Garamond" w:eastAsia="Times New Roman" w:hAnsi="Garamond"/>
                <w:sz w:val="14"/>
                <w:szCs w:val="16"/>
                <w:lang w:eastAsia="en-US"/>
              </w:rPr>
              <w:br/>
              <w:t xml:space="preserve">Të gjitha </w:t>
            </w:r>
            <w:r w:rsidR="00405855" w:rsidRPr="00024D5A">
              <w:rPr>
                <w:rFonts w:ascii="Garamond" w:eastAsia="Times New Roman" w:hAnsi="Garamond"/>
                <w:sz w:val="14"/>
                <w:szCs w:val="16"/>
                <w:lang w:eastAsia="en-US"/>
              </w:rPr>
              <w:t>institucionet</w:t>
            </w:r>
            <w:r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br/>
              <w:t>OJF;</w:t>
            </w:r>
            <w:r w:rsidRPr="00024D5A">
              <w:rPr>
                <w:rFonts w:ascii="Garamond" w:eastAsia="Times New Roman" w:hAnsi="Garamond"/>
                <w:sz w:val="14"/>
                <w:szCs w:val="16"/>
                <w:lang w:eastAsia="en-US"/>
              </w:rPr>
              <w:br/>
              <w:t>Raporte monitorimi</w:t>
            </w:r>
            <w:r w:rsidR="00405855" w:rsidRPr="00024D5A">
              <w:rPr>
                <w:rFonts w:ascii="Garamond" w:eastAsia="Times New Roman" w:hAnsi="Garamond"/>
                <w:sz w:val="14"/>
                <w:szCs w:val="16"/>
                <w:lang w:eastAsia="en-US"/>
              </w:rPr>
              <w:t>.</w:t>
            </w:r>
          </w:p>
        </w:tc>
        <w:tc>
          <w:tcPr>
            <w:tcW w:w="475" w:type="pct"/>
            <w:vMerge w:val="restart"/>
            <w:shd w:val="clear" w:color="auto" w:fill="CAEDFA"/>
          </w:tcPr>
          <w:p w14:paraId="75AB103C" w14:textId="726BBCA8" w:rsidR="0047308B" w:rsidRPr="00024D5A" w:rsidRDefault="0047308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OZHQ; </w:t>
            </w:r>
            <w:r w:rsidRPr="00024D5A">
              <w:rPr>
                <w:rFonts w:ascii="Garamond" w:hAnsi="Garamond"/>
                <w:sz w:val="14"/>
              </w:rPr>
              <w:br/>
            </w:r>
            <w:r w:rsidRPr="00024D5A">
              <w:rPr>
                <w:rFonts w:ascii="Garamond" w:eastAsia="Times New Roman" w:hAnsi="Garamond"/>
                <w:sz w:val="14"/>
                <w:szCs w:val="16"/>
                <w:lang w:eastAsia="en-US"/>
              </w:rPr>
              <w:t>Konventa për të Drejtat e Personave me Aftësi të Kufizuara;</w:t>
            </w:r>
            <w:r w:rsidRPr="00024D5A">
              <w:rPr>
                <w:rFonts w:ascii="Garamond" w:hAnsi="Garamond"/>
                <w:sz w:val="14"/>
              </w:rPr>
              <w:br/>
            </w:r>
            <w:r w:rsidRPr="00024D5A">
              <w:rPr>
                <w:rFonts w:ascii="Garamond" w:eastAsia="Times New Roman" w:hAnsi="Garamond"/>
                <w:sz w:val="14"/>
                <w:szCs w:val="16"/>
                <w:lang w:eastAsia="en-US"/>
              </w:rPr>
              <w:t xml:space="preserve">Dokumenti i </w:t>
            </w:r>
            <w:r w:rsidR="00405855" w:rsidRPr="00024D5A">
              <w:rPr>
                <w:rFonts w:ascii="Garamond" w:eastAsia="Times New Roman" w:hAnsi="Garamond"/>
                <w:sz w:val="14"/>
                <w:szCs w:val="16"/>
                <w:lang w:eastAsia="en-US"/>
              </w:rPr>
              <w:t xml:space="preserve">Programit </w:t>
            </w:r>
            <w:r w:rsidRPr="00024D5A">
              <w:rPr>
                <w:rFonts w:ascii="Garamond" w:eastAsia="Times New Roman" w:hAnsi="Garamond"/>
                <w:sz w:val="14"/>
                <w:szCs w:val="16"/>
                <w:lang w:eastAsia="en-US"/>
              </w:rPr>
              <w:t xml:space="preserve">të BE-së EU për Përfshirjen Sociale; Strategjia e BE-së për të Drejtat e Personave me Aftësi të Kufizuara </w:t>
            </w:r>
            <w:r w:rsidR="008639DB" w:rsidRPr="00024D5A">
              <w:rPr>
                <w:rFonts w:ascii="Garamond" w:eastAsia="Times New Roman" w:hAnsi="Garamond"/>
                <w:sz w:val="14"/>
                <w:szCs w:val="16"/>
                <w:lang w:eastAsia="en-US"/>
              </w:rPr>
              <w:t>2021–2030</w:t>
            </w:r>
            <w:r w:rsidRPr="00024D5A">
              <w:rPr>
                <w:rFonts w:ascii="Garamond" w:eastAsia="Times New Roman" w:hAnsi="Garamond"/>
                <w:sz w:val="14"/>
                <w:szCs w:val="16"/>
                <w:lang w:eastAsia="en-US"/>
              </w:rPr>
              <w:t xml:space="preserve">; </w:t>
            </w:r>
            <w:r w:rsidRPr="00024D5A">
              <w:rPr>
                <w:rFonts w:ascii="Garamond" w:hAnsi="Garamond"/>
                <w:sz w:val="14"/>
              </w:rPr>
              <w:br/>
            </w:r>
            <w:r w:rsidRPr="00024D5A">
              <w:rPr>
                <w:rFonts w:ascii="Garamond" w:eastAsia="Times New Roman" w:hAnsi="Garamond"/>
                <w:sz w:val="14"/>
                <w:szCs w:val="16"/>
                <w:lang w:eastAsia="en-US"/>
              </w:rPr>
              <w:t>Strategjia Kombëtare për Zhvillim dhe Integrim Evropian (SKZHIE);</w:t>
            </w:r>
          </w:p>
          <w:p w14:paraId="3E9ABCC4" w14:textId="76998291" w:rsidR="0047308B" w:rsidRPr="00024D5A" w:rsidRDefault="0047308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Dokumenti i Politikave të Përfshirjes Sociale</w:t>
            </w:r>
            <w:r w:rsidR="00405855" w:rsidRPr="00024D5A">
              <w:rPr>
                <w:rFonts w:ascii="Garamond" w:eastAsia="Times New Roman" w:hAnsi="Garamond"/>
                <w:sz w:val="14"/>
                <w:szCs w:val="16"/>
                <w:lang w:eastAsia="en-US"/>
              </w:rPr>
              <w:t>.</w:t>
            </w:r>
          </w:p>
        </w:tc>
      </w:tr>
      <w:tr w:rsidR="0047308B" w:rsidRPr="00024D5A" w14:paraId="1F7AE753" w14:textId="77777777" w:rsidTr="00EA5154">
        <w:trPr>
          <w:trHeight w:val="20"/>
        </w:trPr>
        <w:tc>
          <w:tcPr>
            <w:tcW w:w="451" w:type="pct"/>
            <w:vMerge/>
            <w:shd w:val="clear" w:color="auto" w:fill="CAEDFA"/>
          </w:tcPr>
          <w:p w14:paraId="663607E4" w14:textId="25BCEFB0" w:rsidR="0047308B" w:rsidRPr="00024D5A" w:rsidRDefault="0047308B" w:rsidP="00791B1A">
            <w:pPr>
              <w:rPr>
                <w:rFonts w:ascii="Garamond" w:eastAsia="Times New Roman" w:hAnsi="Garamond"/>
                <w:b/>
                <w:bCs/>
                <w:sz w:val="14"/>
                <w:szCs w:val="16"/>
                <w:lang w:eastAsia="en-US"/>
              </w:rPr>
            </w:pPr>
          </w:p>
        </w:tc>
        <w:tc>
          <w:tcPr>
            <w:tcW w:w="725" w:type="pct"/>
            <w:vMerge/>
            <w:vAlign w:val="center"/>
          </w:tcPr>
          <w:p w14:paraId="41D99CDB" w14:textId="77777777" w:rsidR="0047308B" w:rsidRPr="00024D5A" w:rsidRDefault="0047308B" w:rsidP="00791B1A">
            <w:pPr>
              <w:rPr>
                <w:rFonts w:ascii="Garamond" w:eastAsia="Times New Roman" w:hAnsi="Garamond"/>
                <w:sz w:val="14"/>
                <w:szCs w:val="16"/>
                <w:lang w:eastAsia="en-US"/>
              </w:rPr>
            </w:pPr>
          </w:p>
        </w:tc>
        <w:tc>
          <w:tcPr>
            <w:tcW w:w="851" w:type="pct"/>
            <w:shd w:val="clear" w:color="auto" w:fill="CAEDFA"/>
          </w:tcPr>
          <w:p w14:paraId="54634E08" w14:textId="59B7C10D" w:rsidR="0047308B" w:rsidRPr="00024D5A" w:rsidRDefault="0047308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Pjesëmarrje të përfaqësuesve të OJF-ve në mbledhjet e komisioneve parlamentare;</w:t>
            </w:r>
          </w:p>
        </w:tc>
        <w:tc>
          <w:tcPr>
            <w:tcW w:w="435" w:type="pct"/>
            <w:shd w:val="clear" w:color="auto" w:fill="CAEDFA"/>
          </w:tcPr>
          <w:p w14:paraId="00B565E5" w14:textId="77777777" w:rsidR="0047308B" w:rsidRPr="00024D5A" w:rsidRDefault="0047308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Në rastet kur ftohen</w:t>
            </w:r>
          </w:p>
        </w:tc>
        <w:tc>
          <w:tcPr>
            <w:tcW w:w="784" w:type="pct"/>
            <w:shd w:val="clear" w:color="auto" w:fill="CAEDFA"/>
          </w:tcPr>
          <w:p w14:paraId="4A12C5A0" w14:textId="77777777" w:rsidR="0047308B" w:rsidRPr="00024D5A" w:rsidRDefault="0047308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Në rastet kur ftohen</w:t>
            </w:r>
          </w:p>
        </w:tc>
        <w:tc>
          <w:tcPr>
            <w:tcW w:w="621" w:type="pct"/>
            <w:shd w:val="clear" w:color="auto" w:fill="CAEDFA"/>
          </w:tcPr>
          <w:p w14:paraId="4D34773F" w14:textId="77777777" w:rsidR="0047308B" w:rsidRPr="00024D5A" w:rsidRDefault="0047308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Në rastet kur ftohen</w:t>
            </w:r>
          </w:p>
        </w:tc>
        <w:tc>
          <w:tcPr>
            <w:tcW w:w="659" w:type="pct"/>
            <w:vMerge/>
            <w:vAlign w:val="center"/>
          </w:tcPr>
          <w:p w14:paraId="70CF954F" w14:textId="77777777" w:rsidR="0047308B" w:rsidRPr="00024D5A" w:rsidRDefault="0047308B" w:rsidP="00791B1A">
            <w:pPr>
              <w:rPr>
                <w:rFonts w:ascii="Garamond" w:eastAsia="Times New Roman" w:hAnsi="Garamond"/>
                <w:sz w:val="14"/>
                <w:szCs w:val="16"/>
                <w:lang w:eastAsia="en-US"/>
              </w:rPr>
            </w:pPr>
          </w:p>
        </w:tc>
        <w:tc>
          <w:tcPr>
            <w:tcW w:w="475" w:type="pct"/>
            <w:vMerge/>
            <w:vAlign w:val="center"/>
          </w:tcPr>
          <w:p w14:paraId="669FE757" w14:textId="77777777" w:rsidR="0047308B" w:rsidRPr="00024D5A" w:rsidRDefault="0047308B" w:rsidP="00791B1A">
            <w:pPr>
              <w:rPr>
                <w:rFonts w:ascii="Garamond" w:eastAsia="Times New Roman" w:hAnsi="Garamond"/>
                <w:sz w:val="14"/>
                <w:szCs w:val="16"/>
                <w:lang w:eastAsia="en-US"/>
              </w:rPr>
            </w:pPr>
          </w:p>
        </w:tc>
      </w:tr>
      <w:tr w:rsidR="0047308B" w:rsidRPr="00024D5A" w14:paraId="0F1C002E" w14:textId="77777777" w:rsidTr="00EA5154">
        <w:trPr>
          <w:trHeight w:val="20"/>
        </w:trPr>
        <w:tc>
          <w:tcPr>
            <w:tcW w:w="451" w:type="pct"/>
            <w:vMerge/>
            <w:shd w:val="clear" w:color="auto" w:fill="CAEDFA"/>
          </w:tcPr>
          <w:p w14:paraId="49091226" w14:textId="208E5A30" w:rsidR="0047308B" w:rsidRPr="00024D5A" w:rsidRDefault="0047308B" w:rsidP="00791B1A">
            <w:pPr>
              <w:rPr>
                <w:rFonts w:ascii="Garamond" w:eastAsia="Times New Roman" w:hAnsi="Garamond"/>
                <w:b/>
                <w:bCs/>
                <w:sz w:val="14"/>
                <w:szCs w:val="16"/>
                <w:lang w:eastAsia="en-US"/>
              </w:rPr>
            </w:pPr>
          </w:p>
        </w:tc>
        <w:tc>
          <w:tcPr>
            <w:tcW w:w="725" w:type="pct"/>
            <w:vMerge/>
            <w:vAlign w:val="center"/>
          </w:tcPr>
          <w:p w14:paraId="7C0A2214" w14:textId="77777777" w:rsidR="0047308B" w:rsidRPr="00024D5A" w:rsidRDefault="0047308B" w:rsidP="00791B1A">
            <w:pPr>
              <w:rPr>
                <w:rFonts w:ascii="Garamond" w:eastAsia="Times New Roman" w:hAnsi="Garamond"/>
                <w:sz w:val="14"/>
                <w:szCs w:val="16"/>
                <w:lang w:eastAsia="en-US"/>
              </w:rPr>
            </w:pPr>
          </w:p>
        </w:tc>
        <w:tc>
          <w:tcPr>
            <w:tcW w:w="851" w:type="pct"/>
            <w:shd w:val="clear" w:color="auto" w:fill="CAEDFA"/>
          </w:tcPr>
          <w:p w14:paraId="2BCA5726" w14:textId="77777777" w:rsidR="0047308B" w:rsidRPr="00024D5A" w:rsidRDefault="0047308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Raport i përgatitur nga Sekretariati mbi aktivitetin vjetor të KKAK;</w:t>
            </w:r>
          </w:p>
        </w:tc>
        <w:tc>
          <w:tcPr>
            <w:tcW w:w="435" w:type="pct"/>
            <w:shd w:val="clear" w:color="auto" w:fill="CAEDFA"/>
          </w:tcPr>
          <w:p w14:paraId="0C7E0647" w14:textId="77777777" w:rsidR="0047308B" w:rsidRPr="00024D5A" w:rsidRDefault="0047308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784" w:type="pct"/>
            <w:shd w:val="clear" w:color="auto" w:fill="CAEDFA"/>
          </w:tcPr>
          <w:p w14:paraId="59C3917B" w14:textId="19DFC5E5" w:rsidR="0047308B" w:rsidRPr="00024D5A" w:rsidRDefault="0047308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1</w:t>
            </w:r>
            <w:r w:rsidR="007675EC"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në vit</w:t>
            </w:r>
          </w:p>
        </w:tc>
        <w:tc>
          <w:tcPr>
            <w:tcW w:w="621" w:type="pct"/>
            <w:shd w:val="clear" w:color="auto" w:fill="CAEDFA"/>
          </w:tcPr>
          <w:p w14:paraId="3EB104A9" w14:textId="77777777" w:rsidR="0047308B" w:rsidRPr="00024D5A" w:rsidRDefault="0047308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659" w:type="pct"/>
            <w:vMerge/>
            <w:vAlign w:val="center"/>
          </w:tcPr>
          <w:p w14:paraId="280C8D3B" w14:textId="77777777" w:rsidR="0047308B" w:rsidRPr="00024D5A" w:rsidRDefault="0047308B" w:rsidP="00791B1A">
            <w:pPr>
              <w:rPr>
                <w:rFonts w:ascii="Garamond" w:eastAsia="Times New Roman" w:hAnsi="Garamond"/>
                <w:sz w:val="14"/>
                <w:szCs w:val="16"/>
                <w:lang w:eastAsia="en-US"/>
              </w:rPr>
            </w:pPr>
          </w:p>
        </w:tc>
        <w:tc>
          <w:tcPr>
            <w:tcW w:w="475" w:type="pct"/>
            <w:vMerge/>
            <w:vAlign w:val="center"/>
          </w:tcPr>
          <w:p w14:paraId="0492CF01" w14:textId="77777777" w:rsidR="0047308B" w:rsidRPr="00024D5A" w:rsidRDefault="0047308B" w:rsidP="00791B1A">
            <w:pPr>
              <w:rPr>
                <w:rFonts w:ascii="Garamond" w:eastAsia="Times New Roman" w:hAnsi="Garamond"/>
                <w:sz w:val="14"/>
                <w:szCs w:val="16"/>
                <w:lang w:eastAsia="en-US"/>
              </w:rPr>
            </w:pPr>
          </w:p>
        </w:tc>
      </w:tr>
      <w:tr w:rsidR="0047308B" w:rsidRPr="00024D5A" w14:paraId="17D34551" w14:textId="77777777" w:rsidTr="00EA5154">
        <w:trPr>
          <w:trHeight w:val="20"/>
        </w:trPr>
        <w:tc>
          <w:tcPr>
            <w:tcW w:w="451" w:type="pct"/>
            <w:vMerge/>
            <w:shd w:val="clear" w:color="auto" w:fill="CAEDFA"/>
            <w:vAlign w:val="bottom"/>
          </w:tcPr>
          <w:p w14:paraId="403F9BA2" w14:textId="33A91F5A" w:rsidR="0047308B" w:rsidRPr="00024D5A" w:rsidRDefault="0047308B" w:rsidP="00791B1A">
            <w:pPr>
              <w:rPr>
                <w:rFonts w:ascii="Garamond" w:eastAsia="Times New Roman" w:hAnsi="Garamond"/>
                <w:sz w:val="14"/>
                <w:szCs w:val="20"/>
                <w:lang w:eastAsia="en-US"/>
              </w:rPr>
            </w:pPr>
          </w:p>
        </w:tc>
        <w:tc>
          <w:tcPr>
            <w:tcW w:w="725" w:type="pct"/>
            <w:vMerge/>
            <w:vAlign w:val="center"/>
          </w:tcPr>
          <w:p w14:paraId="63427529" w14:textId="77777777" w:rsidR="0047308B" w:rsidRPr="00024D5A" w:rsidRDefault="0047308B" w:rsidP="00791B1A">
            <w:pPr>
              <w:rPr>
                <w:rFonts w:ascii="Garamond" w:eastAsia="Times New Roman" w:hAnsi="Garamond"/>
                <w:sz w:val="14"/>
                <w:szCs w:val="16"/>
                <w:lang w:eastAsia="en-US"/>
              </w:rPr>
            </w:pPr>
          </w:p>
        </w:tc>
        <w:tc>
          <w:tcPr>
            <w:tcW w:w="851" w:type="pct"/>
            <w:shd w:val="clear" w:color="auto" w:fill="CAEDFA"/>
          </w:tcPr>
          <w:p w14:paraId="07958189" w14:textId="77777777" w:rsidR="0047308B" w:rsidRPr="00024D5A" w:rsidRDefault="0047308B" w:rsidP="00791B1A">
            <w:pPr>
              <w:rPr>
                <w:rFonts w:ascii="Garamond" w:eastAsia="Times New Roman" w:hAnsi="Garamond"/>
                <w:sz w:val="14"/>
                <w:szCs w:val="20"/>
                <w:lang w:eastAsia="en-US"/>
              </w:rPr>
            </w:pPr>
            <w:r w:rsidRPr="00024D5A">
              <w:rPr>
                <w:rFonts w:ascii="Garamond" w:eastAsia="Times New Roman" w:hAnsi="Garamond"/>
                <w:sz w:val="14"/>
                <w:szCs w:val="20"/>
                <w:lang w:eastAsia="en-US"/>
              </w:rPr>
              <w:t> </w:t>
            </w:r>
          </w:p>
        </w:tc>
        <w:tc>
          <w:tcPr>
            <w:tcW w:w="435" w:type="pct"/>
            <w:shd w:val="clear" w:color="auto" w:fill="CAEDFA"/>
          </w:tcPr>
          <w:p w14:paraId="0D971DDE" w14:textId="77777777" w:rsidR="0047308B" w:rsidRPr="00024D5A" w:rsidRDefault="0047308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784" w:type="pct"/>
            <w:shd w:val="clear" w:color="auto" w:fill="CAEDFA"/>
          </w:tcPr>
          <w:p w14:paraId="796190DB" w14:textId="77777777" w:rsidR="0047308B" w:rsidRPr="00024D5A" w:rsidRDefault="0047308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621" w:type="pct"/>
            <w:shd w:val="clear" w:color="auto" w:fill="CAEDFA"/>
          </w:tcPr>
          <w:p w14:paraId="2EFF1F24" w14:textId="77777777" w:rsidR="0047308B" w:rsidRPr="00024D5A" w:rsidRDefault="0047308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659" w:type="pct"/>
            <w:vMerge/>
            <w:vAlign w:val="center"/>
          </w:tcPr>
          <w:p w14:paraId="0C5A6C0B" w14:textId="77777777" w:rsidR="0047308B" w:rsidRPr="00024D5A" w:rsidRDefault="0047308B" w:rsidP="00791B1A">
            <w:pPr>
              <w:rPr>
                <w:rFonts w:ascii="Garamond" w:eastAsia="Times New Roman" w:hAnsi="Garamond"/>
                <w:sz w:val="14"/>
                <w:szCs w:val="16"/>
                <w:lang w:eastAsia="en-US"/>
              </w:rPr>
            </w:pPr>
          </w:p>
        </w:tc>
        <w:tc>
          <w:tcPr>
            <w:tcW w:w="475" w:type="pct"/>
            <w:vMerge/>
            <w:vAlign w:val="center"/>
          </w:tcPr>
          <w:p w14:paraId="03EF8BCF" w14:textId="77777777" w:rsidR="0047308B" w:rsidRPr="00024D5A" w:rsidRDefault="0047308B" w:rsidP="00791B1A">
            <w:pPr>
              <w:rPr>
                <w:rFonts w:ascii="Garamond" w:eastAsia="Times New Roman" w:hAnsi="Garamond"/>
                <w:sz w:val="14"/>
                <w:szCs w:val="16"/>
                <w:lang w:eastAsia="en-US"/>
              </w:rPr>
            </w:pPr>
          </w:p>
        </w:tc>
      </w:tr>
      <w:tr w:rsidR="0047308B" w:rsidRPr="00024D5A" w14:paraId="62C19AAC" w14:textId="77777777" w:rsidTr="00EA5154">
        <w:trPr>
          <w:trHeight w:val="20"/>
        </w:trPr>
        <w:tc>
          <w:tcPr>
            <w:tcW w:w="451" w:type="pct"/>
            <w:vMerge/>
            <w:shd w:val="clear" w:color="auto" w:fill="CAEDFA"/>
            <w:vAlign w:val="center"/>
          </w:tcPr>
          <w:p w14:paraId="1F16E1FC" w14:textId="5C02E850" w:rsidR="0047308B" w:rsidRPr="00024D5A" w:rsidRDefault="0047308B" w:rsidP="00791B1A">
            <w:pPr>
              <w:rPr>
                <w:rFonts w:ascii="Garamond" w:eastAsia="Times New Roman" w:hAnsi="Garamond"/>
                <w:sz w:val="14"/>
                <w:szCs w:val="20"/>
                <w:lang w:eastAsia="en-US"/>
              </w:rPr>
            </w:pPr>
          </w:p>
        </w:tc>
        <w:tc>
          <w:tcPr>
            <w:tcW w:w="725" w:type="pct"/>
            <w:vMerge/>
            <w:vAlign w:val="center"/>
          </w:tcPr>
          <w:p w14:paraId="4BE844CE" w14:textId="77777777" w:rsidR="0047308B" w:rsidRPr="00024D5A" w:rsidRDefault="0047308B" w:rsidP="00791B1A">
            <w:pPr>
              <w:rPr>
                <w:rFonts w:ascii="Garamond" w:eastAsia="Times New Roman" w:hAnsi="Garamond"/>
                <w:sz w:val="14"/>
                <w:szCs w:val="16"/>
                <w:lang w:eastAsia="en-US"/>
              </w:rPr>
            </w:pPr>
          </w:p>
        </w:tc>
        <w:tc>
          <w:tcPr>
            <w:tcW w:w="851" w:type="pct"/>
            <w:shd w:val="clear" w:color="auto" w:fill="CAEDFA"/>
          </w:tcPr>
          <w:p w14:paraId="28A47EE2" w14:textId="42EE739E" w:rsidR="0047308B" w:rsidRPr="00024D5A" w:rsidRDefault="0047308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Takime me Grupin e Deputeteve Miq të Aftësisë së Kufizuar</w:t>
            </w:r>
            <w:r w:rsidR="00405855" w:rsidRPr="00024D5A">
              <w:rPr>
                <w:rFonts w:ascii="Garamond" w:eastAsia="Times New Roman" w:hAnsi="Garamond"/>
                <w:sz w:val="14"/>
                <w:szCs w:val="16"/>
                <w:lang w:eastAsia="en-US"/>
              </w:rPr>
              <w:t>.</w:t>
            </w:r>
          </w:p>
        </w:tc>
        <w:tc>
          <w:tcPr>
            <w:tcW w:w="435" w:type="pct"/>
            <w:shd w:val="clear" w:color="auto" w:fill="CAEDFA"/>
          </w:tcPr>
          <w:p w14:paraId="49A47B18" w14:textId="77777777" w:rsidR="0047308B" w:rsidRPr="00024D5A" w:rsidRDefault="0047308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2 takime</w:t>
            </w:r>
          </w:p>
        </w:tc>
        <w:tc>
          <w:tcPr>
            <w:tcW w:w="784" w:type="pct"/>
            <w:shd w:val="clear" w:color="auto" w:fill="CAEDFA"/>
            <w:noWrap/>
          </w:tcPr>
          <w:p w14:paraId="46131D23" w14:textId="436542B6" w:rsidR="0047308B" w:rsidRPr="00024D5A" w:rsidRDefault="0047308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2 takime</w:t>
            </w:r>
            <w:r w:rsidR="007675EC"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çdo vit</w:t>
            </w:r>
          </w:p>
        </w:tc>
        <w:tc>
          <w:tcPr>
            <w:tcW w:w="621" w:type="pct"/>
            <w:shd w:val="clear" w:color="auto" w:fill="CAEDFA"/>
          </w:tcPr>
          <w:p w14:paraId="6651A440" w14:textId="564F0C8C" w:rsidR="0047308B" w:rsidRPr="00024D5A" w:rsidRDefault="0047308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2 takime</w:t>
            </w:r>
            <w:r w:rsidR="007675EC"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çdo vit</w:t>
            </w:r>
          </w:p>
        </w:tc>
        <w:tc>
          <w:tcPr>
            <w:tcW w:w="659" w:type="pct"/>
            <w:vMerge/>
            <w:vAlign w:val="center"/>
          </w:tcPr>
          <w:p w14:paraId="6517119A" w14:textId="77777777" w:rsidR="0047308B" w:rsidRPr="00024D5A" w:rsidRDefault="0047308B" w:rsidP="00791B1A">
            <w:pPr>
              <w:rPr>
                <w:rFonts w:ascii="Garamond" w:eastAsia="Times New Roman" w:hAnsi="Garamond"/>
                <w:sz w:val="14"/>
                <w:szCs w:val="16"/>
                <w:lang w:eastAsia="en-US"/>
              </w:rPr>
            </w:pPr>
          </w:p>
        </w:tc>
        <w:tc>
          <w:tcPr>
            <w:tcW w:w="475" w:type="pct"/>
            <w:vMerge/>
            <w:vAlign w:val="center"/>
          </w:tcPr>
          <w:p w14:paraId="410B1F6E" w14:textId="77777777" w:rsidR="0047308B" w:rsidRPr="00024D5A" w:rsidRDefault="0047308B" w:rsidP="00791B1A">
            <w:pPr>
              <w:rPr>
                <w:rFonts w:ascii="Garamond" w:eastAsia="Times New Roman" w:hAnsi="Garamond"/>
                <w:sz w:val="14"/>
                <w:szCs w:val="16"/>
                <w:lang w:eastAsia="en-US"/>
              </w:rPr>
            </w:pPr>
          </w:p>
        </w:tc>
      </w:tr>
      <w:tr w:rsidR="0047308B" w:rsidRPr="00024D5A" w14:paraId="561D06FB" w14:textId="77777777" w:rsidTr="00EA5154">
        <w:trPr>
          <w:trHeight w:val="20"/>
        </w:trPr>
        <w:tc>
          <w:tcPr>
            <w:tcW w:w="451" w:type="pct"/>
            <w:vMerge/>
            <w:shd w:val="clear" w:color="auto" w:fill="CAEDFA"/>
            <w:vAlign w:val="bottom"/>
          </w:tcPr>
          <w:p w14:paraId="38579EEA" w14:textId="3D79D219" w:rsidR="0047308B" w:rsidRPr="00024D5A" w:rsidRDefault="0047308B" w:rsidP="00791B1A">
            <w:pPr>
              <w:rPr>
                <w:rFonts w:ascii="Garamond" w:eastAsia="Times New Roman" w:hAnsi="Garamond"/>
                <w:sz w:val="14"/>
                <w:szCs w:val="20"/>
                <w:lang w:eastAsia="en-US"/>
              </w:rPr>
            </w:pPr>
          </w:p>
        </w:tc>
        <w:tc>
          <w:tcPr>
            <w:tcW w:w="725" w:type="pct"/>
            <w:vMerge/>
            <w:vAlign w:val="center"/>
          </w:tcPr>
          <w:p w14:paraId="1478361A" w14:textId="77777777" w:rsidR="0047308B" w:rsidRPr="00024D5A" w:rsidRDefault="0047308B" w:rsidP="00791B1A">
            <w:pPr>
              <w:rPr>
                <w:rFonts w:ascii="Garamond" w:eastAsia="Times New Roman" w:hAnsi="Garamond"/>
                <w:sz w:val="14"/>
                <w:szCs w:val="16"/>
                <w:lang w:eastAsia="en-US"/>
              </w:rPr>
            </w:pPr>
          </w:p>
        </w:tc>
        <w:tc>
          <w:tcPr>
            <w:tcW w:w="851" w:type="pct"/>
            <w:shd w:val="clear" w:color="auto" w:fill="CAEDFA"/>
          </w:tcPr>
          <w:p w14:paraId="62C034AC" w14:textId="77777777" w:rsidR="0047308B" w:rsidRPr="00024D5A" w:rsidRDefault="0047308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435" w:type="pct"/>
            <w:shd w:val="clear" w:color="auto" w:fill="CAEDFA"/>
          </w:tcPr>
          <w:p w14:paraId="02B1914A" w14:textId="77777777" w:rsidR="0047308B" w:rsidRPr="00024D5A" w:rsidRDefault="0047308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784" w:type="pct"/>
            <w:shd w:val="clear" w:color="auto" w:fill="CAEDFA"/>
          </w:tcPr>
          <w:p w14:paraId="711F7F73" w14:textId="77777777" w:rsidR="0047308B" w:rsidRPr="00024D5A" w:rsidRDefault="0047308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621" w:type="pct"/>
            <w:shd w:val="clear" w:color="auto" w:fill="CAEDFA"/>
          </w:tcPr>
          <w:p w14:paraId="60694821" w14:textId="77777777" w:rsidR="0047308B" w:rsidRPr="00024D5A" w:rsidRDefault="0047308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659" w:type="pct"/>
            <w:vMerge/>
            <w:vAlign w:val="center"/>
          </w:tcPr>
          <w:p w14:paraId="4200F361" w14:textId="77777777" w:rsidR="0047308B" w:rsidRPr="00024D5A" w:rsidRDefault="0047308B" w:rsidP="00791B1A">
            <w:pPr>
              <w:rPr>
                <w:rFonts w:ascii="Garamond" w:eastAsia="Times New Roman" w:hAnsi="Garamond"/>
                <w:sz w:val="14"/>
                <w:szCs w:val="16"/>
                <w:lang w:eastAsia="en-US"/>
              </w:rPr>
            </w:pPr>
          </w:p>
        </w:tc>
        <w:tc>
          <w:tcPr>
            <w:tcW w:w="475" w:type="pct"/>
            <w:vMerge/>
            <w:vAlign w:val="center"/>
          </w:tcPr>
          <w:p w14:paraId="39859E77" w14:textId="77777777" w:rsidR="0047308B" w:rsidRPr="00024D5A" w:rsidRDefault="0047308B" w:rsidP="00791B1A">
            <w:pPr>
              <w:rPr>
                <w:rFonts w:ascii="Garamond" w:eastAsia="Times New Roman" w:hAnsi="Garamond"/>
                <w:sz w:val="14"/>
                <w:szCs w:val="16"/>
                <w:lang w:eastAsia="en-US"/>
              </w:rPr>
            </w:pPr>
          </w:p>
        </w:tc>
      </w:tr>
      <w:tr w:rsidR="0047308B" w:rsidRPr="00024D5A" w14:paraId="136B3204" w14:textId="77777777" w:rsidTr="00EA5154">
        <w:trPr>
          <w:trHeight w:val="20"/>
        </w:trPr>
        <w:tc>
          <w:tcPr>
            <w:tcW w:w="451" w:type="pct"/>
            <w:shd w:val="clear" w:color="auto" w:fill="CAEDFA"/>
            <w:vAlign w:val="bottom"/>
          </w:tcPr>
          <w:p w14:paraId="32A1BD86" w14:textId="77777777" w:rsidR="0047308B" w:rsidRPr="00024D5A" w:rsidRDefault="0047308B" w:rsidP="00791B1A">
            <w:pPr>
              <w:rPr>
                <w:rFonts w:ascii="Garamond" w:eastAsia="Times New Roman" w:hAnsi="Garamond"/>
                <w:sz w:val="14"/>
                <w:szCs w:val="20"/>
                <w:lang w:eastAsia="en-US"/>
              </w:rPr>
            </w:pPr>
            <w:r w:rsidRPr="00024D5A">
              <w:rPr>
                <w:rFonts w:ascii="Garamond" w:eastAsia="Times New Roman" w:hAnsi="Garamond"/>
                <w:sz w:val="14"/>
                <w:szCs w:val="20"/>
                <w:lang w:eastAsia="en-US"/>
              </w:rPr>
              <w:t> </w:t>
            </w:r>
          </w:p>
        </w:tc>
        <w:tc>
          <w:tcPr>
            <w:tcW w:w="725" w:type="pct"/>
            <w:shd w:val="clear" w:color="auto" w:fill="CAEDFA"/>
          </w:tcPr>
          <w:p w14:paraId="5D2B79E1" w14:textId="623B3423" w:rsidR="0047308B" w:rsidRPr="00024D5A" w:rsidRDefault="0047308B" w:rsidP="00405855">
            <w:pPr>
              <w:rPr>
                <w:rFonts w:ascii="Garamond" w:eastAsia="Times New Roman" w:hAnsi="Garamond"/>
                <w:sz w:val="14"/>
                <w:szCs w:val="16"/>
                <w:lang w:eastAsia="en-US"/>
              </w:rPr>
            </w:pPr>
            <w:r w:rsidRPr="00024D5A">
              <w:rPr>
                <w:rFonts w:ascii="Garamond" w:eastAsia="Times New Roman" w:hAnsi="Garamond"/>
                <w:sz w:val="14"/>
                <w:szCs w:val="16"/>
                <w:lang w:eastAsia="en-US"/>
              </w:rPr>
              <w:t>Objektivi specifik 3</w:t>
            </w:r>
            <w:r w:rsidR="00AC5DA9">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Ngritja e një sistemi </w:t>
            </w:r>
          </w:p>
          <w:p w14:paraId="06FFCED6" w14:textId="44C25EFA" w:rsidR="0047308B" w:rsidRPr="00024D5A" w:rsidRDefault="0047308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administrativ të qëndrueshëm, për matjen e indikatorëve të monitorimit, në reference dhe përputhje me treguesit e OZHQ</w:t>
            </w:r>
            <w:r w:rsidR="00A2057C" w:rsidRPr="00024D5A">
              <w:rPr>
                <w:rFonts w:ascii="Garamond" w:eastAsia="Times New Roman" w:hAnsi="Garamond"/>
                <w:sz w:val="14"/>
                <w:szCs w:val="16"/>
                <w:lang w:eastAsia="en-US"/>
              </w:rPr>
              <w:t>-së</w:t>
            </w:r>
            <w:r w:rsidRPr="00024D5A">
              <w:rPr>
                <w:rFonts w:ascii="Garamond" w:eastAsia="Times New Roman" w:hAnsi="Garamond"/>
                <w:sz w:val="14"/>
                <w:szCs w:val="16"/>
                <w:lang w:eastAsia="en-US"/>
              </w:rPr>
              <w:t xml:space="preserve"> për aftësinë e kufizuar.</w:t>
            </w:r>
          </w:p>
        </w:tc>
        <w:tc>
          <w:tcPr>
            <w:tcW w:w="851" w:type="pct"/>
            <w:shd w:val="clear" w:color="auto" w:fill="CAEDFA"/>
          </w:tcPr>
          <w:p w14:paraId="1EAE9707" w14:textId="59B59C82" w:rsidR="0047308B" w:rsidRPr="00024D5A" w:rsidRDefault="0047308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VKM e rishikuar për mbledhje të dhënash;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Përfshirje e të dhënave për aftësinë e kufizuar në anketimet e INSTAT</w:t>
            </w:r>
            <w:r w:rsidR="00405855"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SILC, LFS dhe EHIS, lidhur me aftësinë e kufizuar, rekomandime për përmirësime;</w:t>
            </w:r>
            <w:r w:rsidRPr="00024D5A">
              <w:rPr>
                <w:rFonts w:ascii="Garamond" w:eastAsia="Times New Roman" w:hAnsi="Garamond"/>
                <w:sz w:val="14"/>
                <w:szCs w:val="16"/>
                <w:lang w:eastAsia="en-US"/>
              </w:rPr>
              <w:br/>
              <w:t>Ngritja dhe funksionimi i GNSPS</w:t>
            </w:r>
            <w:r w:rsidR="00405855" w:rsidRPr="00024D5A">
              <w:rPr>
                <w:rFonts w:ascii="Garamond" w:eastAsia="Times New Roman" w:hAnsi="Garamond"/>
                <w:sz w:val="14"/>
                <w:szCs w:val="16"/>
                <w:lang w:eastAsia="en-US"/>
              </w:rPr>
              <w:t>-së.</w:t>
            </w:r>
          </w:p>
        </w:tc>
        <w:tc>
          <w:tcPr>
            <w:tcW w:w="435" w:type="pct"/>
            <w:shd w:val="clear" w:color="auto" w:fill="CAEDFA"/>
          </w:tcPr>
          <w:p w14:paraId="2AE4A341" w14:textId="77777777" w:rsidR="0047308B" w:rsidRPr="00024D5A" w:rsidRDefault="0047308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N/A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N/A</w:t>
            </w:r>
          </w:p>
        </w:tc>
        <w:tc>
          <w:tcPr>
            <w:tcW w:w="784" w:type="pct"/>
            <w:shd w:val="clear" w:color="auto" w:fill="CAEDFA"/>
          </w:tcPr>
          <w:p w14:paraId="2057B64A" w14:textId="77777777" w:rsidR="0047308B" w:rsidRPr="00024D5A" w:rsidRDefault="0047308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1 VKM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Sipas rekomandimeve</w:t>
            </w:r>
          </w:p>
        </w:tc>
        <w:tc>
          <w:tcPr>
            <w:tcW w:w="621" w:type="pct"/>
            <w:shd w:val="clear" w:color="auto" w:fill="CAEDFA"/>
          </w:tcPr>
          <w:p w14:paraId="5FF90385" w14:textId="77777777" w:rsidR="0047308B" w:rsidRPr="00024D5A" w:rsidRDefault="0047308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Sipas rekomandimeve</w:t>
            </w:r>
          </w:p>
        </w:tc>
        <w:tc>
          <w:tcPr>
            <w:tcW w:w="659" w:type="pct"/>
            <w:shd w:val="clear" w:color="auto" w:fill="CAEDFA"/>
          </w:tcPr>
          <w:p w14:paraId="6F08E436" w14:textId="39784BC5" w:rsidR="0047308B" w:rsidRPr="00024D5A" w:rsidRDefault="0047308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MSHMS; </w:t>
            </w:r>
            <w:r w:rsidRPr="00024D5A">
              <w:rPr>
                <w:rFonts w:ascii="Garamond" w:eastAsia="Times New Roman" w:hAnsi="Garamond"/>
                <w:sz w:val="14"/>
                <w:szCs w:val="16"/>
                <w:lang w:eastAsia="en-US"/>
              </w:rPr>
              <w:br/>
              <w:t>INSTAT;</w:t>
            </w:r>
            <w:r w:rsidRPr="00024D5A">
              <w:rPr>
                <w:rFonts w:ascii="Garamond" w:eastAsia="Times New Roman" w:hAnsi="Garamond"/>
                <w:sz w:val="14"/>
                <w:szCs w:val="16"/>
                <w:lang w:eastAsia="en-US"/>
              </w:rPr>
              <w:br/>
              <w:t>NJVV;</w:t>
            </w:r>
            <w:r w:rsidRPr="00024D5A">
              <w:rPr>
                <w:rFonts w:ascii="Garamond" w:eastAsia="Times New Roman" w:hAnsi="Garamond"/>
                <w:sz w:val="14"/>
                <w:szCs w:val="16"/>
                <w:lang w:eastAsia="en-US"/>
              </w:rPr>
              <w:br/>
              <w:t>KKAK;</w:t>
            </w:r>
            <w:r w:rsidRPr="00024D5A">
              <w:rPr>
                <w:rFonts w:ascii="Garamond" w:eastAsia="Times New Roman" w:hAnsi="Garamond"/>
                <w:sz w:val="14"/>
                <w:szCs w:val="16"/>
                <w:lang w:eastAsia="en-US"/>
              </w:rPr>
              <w:br/>
              <w:t xml:space="preserve">Të gjitha </w:t>
            </w:r>
            <w:r w:rsidR="0072242A" w:rsidRPr="00024D5A">
              <w:rPr>
                <w:rFonts w:ascii="Garamond" w:eastAsia="Times New Roman" w:hAnsi="Garamond"/>
                <w:sz w:val="14"/>
                <w:szCs w:val="16"/>
                <w:lang w:eastAsia="en-US"/>
              </w:rPr>
              <w:t>institucionet</w:t>
            </w:r>
            <w:r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br/>
              <w:t>OJF;</w:t>
            </w:r>
            <w:r w:rsidRPr="00024D5A">
              <w:rPr>
                <w:rFonts w:ascii="Garamond" w:eastAsia="Times New Roman" w:hAnsi="Garamond"/>
                <w:sz w:val="14"/>
                <w:szCs w:val="16"/>
                <w:lang w:eastAsia="en-US"/>
              </w:rPr>
              <w:br/>
              <w:t>Raporte monitorimi</w:t>
            </w:r>
            <w:r w:rsidR="0072242A" w:rsidRPr="00024D5A">
              <w:rPr>
                <w:rFonts w:ascii="Garamond" w:eastAsia="Times New Roman" w:hAnsi="Garamond"/>
                <w:sz w:val="14"/>
                <w:szCs w:val="16"/>
                <w:lang w:eastAsia="en-US"/>
              </w:rPr>
              <w:t>.</w:t>
            </w:r>
          </w:p>
        </w:tc>
        <w:tc>
          <w:tcPr>
            <w:tcW w:w="475" w:type="pct"/>
            <w:shd w:val="clear" w:color="auto" w:fill="CAEDFA"/>
          </w:tcPr>
          <w:p w14:paraId="4327DA83" w14:textId="74A90001" w:rsidR="0047308B" w:rsidRPr="00024D5A" w:rsidRDefault="0047308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OZHQ;</w:t>
            </w:r>
            <w:r w:rsidRPr="00024D5A">
              <w:rPr>
                <w:rFonts w:ascii="Garamond" w:hAnsi="Garamond"/>
                <w:sz w:val="14"/>
              </w:rPr>
              <w:br/>
            </w:r>
            <w:r w:rsidRPr="00024D5A">
              <w:rPr>
                <w:rFonts w:ascii="Garamond" w:eastAsia="Times New Roman" w:hAnsi="Garamond"/>
                <w:sz w:val="14"/>
                <w:szCs w:val="16"/>
                <w:lang w:eastAsia="en-US"/>
              </w:rPr>
              <w:t xml:space="preserve">Dokumenti i </w:t>
            </w:r>
            <w:r w:rsidR="0072242A" w:rsidRPr="00024D5A">
              <w:rPr>
                <w:rFonts w:ascii="Garamond" w:eastAsia="Times New Roman" w:hAnsi="Garamond"/>
                <w:sz w:val="14"/>
                <w:szCs w:val="16"/>
                <w:lang w:eastAsia="en-US"/>
              </w:rPr>
              <w:t xml:space="preserve">Programit </w:t>
            </w:r>
            <w:r w:rsidRPr="00024D5A">
              <w:rPr>
                <w:rFonts w:ascii="Garamond" w:eastAsia="Times New Roman" w:hAnsi="Garamond"/>
                <w:sz w:val="14"/>
                <w:szCs w:val="16"/>
                <w:lang w:eastAsia="en-US"/>
              </w:rPr>
              <w:t xml:space="preserve">të BE-së EU për Përfshirjen Sociale; Strategjia e BE-së për të Drejtat e Personave me Aftësi të Kufizuara </w:t>
            </w:r>
            <w:r w:rsidR="008639DB" w:rsidRPr="00024D5A">
              <w:rPr>
                <w:rFonts w:ascii="Garamond" w:eastAsia="Times New Roman" w:hAnsi="Garamond"/>
                <w:sz w:val="14"/>
                <w:szCs w:val="16"/>
                <w:lang w:eastAsia="en-US"/>
              </w:rPr>
              <w:t>2021–2030</w:t>
            </w:r>
            <w:r w:rsidRPr="00024D5A">
              <w:rPr>
                <w:rFonts w:ascii="Garamond" w:eastAsia="Times New Roman" w:hAnsi="Garamond"/>
                <w:sz w:val="14"/>
                <w:szCs w:val="16"/>
                <w:lang w:eastAsia="en-US"/>
              </w:rPr>
              <w:t xml:space="preserve">; </w:t>
            </w:r>
            <w:r w:rsidRPr="00024D5A">
              <w:rPr>
                <w:rFonts w:ascii="Garamond" w:hAnsi="Garamond"/>
                <w:sz w:val="14"/>
              </w:rPr>
              <w:br/>
            </w:r>
            <w:r w:rsidRPr="00024D5A">
              <w:rPr>
                <w:rFonts w:ascii="Garamond" w:eastAsia="Times New Roman" w:hAnsi="Garamond"/>
                <w:sz w:val="14"/>
                <w:szCs w:val="16"/>
                <w:lang w:eastAsia="en-US"/>
              </w:rPr>
              <w:t xml:space="preserve">Strategjia Kombëtare për Zhvillim dhe Integrim Evropian (SKZHIE); </w:t>
            </w:r>
          </w:p>
          <w:p w14:paraId="6AF6A6D5" w14:textId="27362FEA" w:rsidR="0047308B" w:rsidRPr="00024D5A" w:rsidRDefault="0047308B"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Dokumenti i Politikave të Përfshirjes Sociale</w:t>
            </w:r>
            <w:r w:rsidR="0072242A" w:rsidRPr="00024D5A">
              <w:rPr>
                <w:rFonts w:ascii="Garamond" w:eastAsia="Times New Roman" w:hAnsi="Garamond"/>
                <w:sz w:val="14"/>
                <w:szCs w:val="16"/>
                <w:lang w:eastAsia="en-US"/>
              </w:rPr>
              <w:t>.</w:t>
            </w:r>
          </w:p>
        </w:tc>
      </w:tr>
      <w:tr w:rsidR="003E1630" w:rsidRPr="00024D5A" w14:paraId="25D4AAA7" w14:textId="77777777" w:rsidTr="00EA5154">
        <w:trPr>
          <w:trHeight w:val="20"/>
        </w:trPr>
        <w:tc>
          <w:tcPr>
            <w:tcW w:w="451" w:type="pct"/>
            <w:shd w:val="clear" w:color="auto" w:fill="CAEDFA"/>
            <w:vAlign w:val="bottom"/>
          </w:tcPr>
          <w:p w14:paraId="126A8804" w14:textId="77777777" w:rsidR="003E1630" w:rsidRPr="00024D5A" w:rsidRDefault="005743A8" w:rsidP="00791B1A">
            <w:pPr>
              <w:rPr>
                <w:rFonts w:ascii="Garamond" w:eastAsia="Times New Roman" w:hAnsi="Garamond"/>
                <w:sz w:val="14"/>
                <w:szCs w:val="20"/>
                <w:lang w:eastAsia="en-US"/>
              </w:rPr>
            </w:pPr>
            <w:r w:rsidRPr="00024D5A">
              <w:rPr>
                <w:rFonts w:ascii="Garamond" w:eastAsia="Times New Roman" w:hAnsi="Garamond"/>
                <w:sz w:val="14"/>
                <w:szCs w:val="20"/>
                <w:lang w:eastAsia="en-US"/>
              </w:rPr>
              <w:t> </w:t>
            </w:r>
          </w:p>
        </w:tc>
        <w:tc>
          <w:tcPr>
            <w:tcW w:w="725" w:type="pct"/>
            <w:shd w:val="clear" w:color="auto" w:fill="CAEDFA"/>
          </w:tcPr>
          <w:p w14:paraId="1BF0BCA6" w14:textId="439494B4"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Objektivi specifik 4</w:t>
            </w:r>
            <w:r w:rsidR="00AC5DA9">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Nxitja e bashkëpunimit rajonal për zbatimin e KDPAK.</w:t>
            </w:r>
          </w:p>
        </w:tc>
        <w:tc>
          <w:tcPr>
            <w:tcW w:w="851" w:type="pct"/>
            <w:shd w:val="clear" w:color="auto" w:fill="CAEDFA"/>
          </w:tcPr>
          <w:p w14:paraId="7D81F2CF"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Organizimi i një konference rajonale; Organizimi i një vizite studimore në vendet Evropiane dhe të Ballkanit;</w:t>
            </w:r>
          </w:p>
        </w:tc>
        <w:tc>
          <w:tcPr>
            <w:tcW w:w="435" w:type="pct"/>
            <w:shd w:val="clear" w:color="auto" w:fill="CAEDFA"/>
          </w:tcPr>
          <w:p w14:paraId="7D4CEC7A"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784" w:type="pct"/>
            <w:shd w:val="clear" w:color="auto" w:fill="CAEDFA"/>
          </w:tcPr>
          <w:p w14:paraId="0B18F923"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1 konferencë</w:t>
            </w:r>
          </w:p>
        </w:tc>
        <w:tc>
          <w:tcPr>
            <w:tcW w:w="621" w:type="pct"/>
            <w:shd w:val="clear" w:color="auto" w:fill="CAEDFA"/>
          </w:tcPr>
          <w:p w14:paraId="581A6E15"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1 vizitë studimore</w:t>
            </w:r>
          </w:p>
        </w:tc>
        <w:tc>
          <w:tcPr>
            <w:tcW w:w="659" w:type="pct"/>
            <w:shd w:val="clear" w:color="auto" w:fill="CAEDFA"/>
          </w:tcPr>
          <w:p w14:paraId="08FE0894" w14:textId="6D99B75E"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MSHMS</w:t>
            </w:r>
            <w:r w:rsidR="0072242A"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br/>
            </w:r>
            <w:r w:rsidR="003245E7" w:rsidRPr="00024D5A">
              <w:rPr>
                <w:rFonts w:ascii="Garamond" w:eastAsia="Times New Roman" w:hAnsi="Garamond"/>
                <w:sz w:val="14"/>
                <w:szCs w:val="16"/>
                <w:lang w:eastAsia="en-US"/>
              </w:rPr>
              <w:t>NJVV</w:t>
            </w:r>
            <w:r w:rsidR="0072242A"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br/>
              <w:t>KKAK</w:t>
            </w:r>
            <w:r w:rsidR="0072242A"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br/>
              <w:t xml:space="preserve">Të gjitha </w:t>
            </w:r>
            <w:r w:rsidR="0072242A" w:rsidRPr="00024D5A">
              <w:rPr>
                <w:rFonts w:ascii="Garamond" w:eastAsia="Times New Roman" w:hAnsi="Garamond"/>
                <w:sz w:val="14"/>
                <w:szCs w:val="16"/>
                <w:lang w:eastAsia="en-US"/>
              </w:rPr>
              <w:t>institucionet;</w:t>
            </w:r>
            <w:r w:rsidRPr="00024D5A">
              <w:rPr>
                <w:rFonts w:ascii="Garamond" w:eastAsia="Times New Roman" w:hAnsi="Garamond"/>
                <w:sz w:val="14"/>
                <w:szCs w:val="16"/>
                <w:lang w:eastAsia="en-US"/>
              </w:rPr>
              <w:br/>
            </w:r>
            <w:r w:rsidR="00BA4F73" w:rsidRPr="00024D5A">
              <w:rPr>
                <w:rFonts w:ascii="Garamond" w:eastAsia="Times New Roman" w:hAnsi="Garamond"/>
                <w:sz w:val="14"/>
                <w:szCs w:val="16"/>
                <w:lang w:eastAsia="en-US"/>
              </w:rPr>
              <w:t>OJF</w:t>
            </w:r>
            <w:r w:rsidR="0072242A"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br/>
              <w:t>Raporte monitorimi</w:t>
            </w:r>
            <w:r w:rsidR="0072242A" w:rsidRPr="00024D5A">
              <w:rPr>
                <w:rFonts w:ascii="Garamond" w:eastAsia="Times New Roman" w:hAnsi="Garamond"/>
                <w:sz w:val="14"/>
                <w:szCs w:val="16"/>
                <w:lang w:eastAsia="en-US"/>
              </w:rPr>
              <w:t>.</w:t>
            </w:r>
          </w:p>
        </w:tc>
        <w:tc>
          <w:tcPr>
            <w:tcW w:w="475" w:type="pct"/>
            <w:shd w:val="clear" w:color="auto" w:fill="B7DEE8"/>
          </w:tcPr>
          <w:p w14:paraId="149BCD4A" w14:textId="07C82C13"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OZHQ;</w:t>
            </w:r>
            <w:r w:rsidRPr="00024D5A">
              <w:rPr>
                <w:rFonts w:ascii="Garamond" w:hAnsi="Garamond"/>
                <w:sz w:val="14"/>
              </w:rPr>
              <w:br/>
            </w:r>
            <w:r w:rsidRPr="00024D5A">
              <w:rPr>
                <w:rFonts w:ascii="Garamond" w:eastAsia="Times New Roman" w:hAnsi="Garamond"/>
                <w:sz w:val="14"/>
                <w:szCs w:val="16"/>
                <w:lang w:eastAsia="en-US"/>
              </w:rPr>
              <w:t xml:space="preserve">Dokumenti i </w:t>
            </w:r>
            <w:r w:rsidR="0072242A" w:rsidRPr="00024D5A">
              <w:rPr>
                <w:rFonts w:ascii="Garamond" w:eastAsia="Times New Roman" w:hAnsi="Garamond"/>
                <w:sz w:val="14"/>
                <w:szCs w:val="16"/>
                <w:lang w:eastAsia="en-US"/>
              </w:rPr>
              <w:t xml:space="preserve">Programit </w:t>
            </w:r>
            <w:r w:rsidRPr="00024D5A">
              <w:rPr>
                <w:rFonts w:ascii="Garamond" w:eastAsia="Times New Roman" w:hAnsi="Garamond"/>
                <w:sz w:val="14"/>
                <w:szCs w:val="16"/>
                <w:lang w:eastAsia="en-US"/>
              </w:rPr>
              <w:t xml:space="preserve">të BE-së EU për Përfshirjen Sociale; Strategjia e BE-së për të Drejtat e Personave me Aftësi të Kufizuara </w:t>
            </w:r>
            <w:r w:rsidR="008639DB" w:rsidRPr="00024D5A">
              <w:rPr>
                <w:rFonts w:ascii="Garamond" w:eastAsia="Times New Roman" w:hAnsi="Garamond"/>
                <w:sz w:val="14"/>
                <w:szCs w:val="16"/>
                <w:lang w:eastAsia="en-US"/>
              </w:rPr>
              <w:t>2021–2030</w:t>
            </w:r>
            <w:r w:rsidRPr="00024D5A">
              <w:rPr>
                <w:rFonts w:ascii="Garamond" w:eastAsia="Times New Roman" w:hAnsi="Garamond"/>
                <w:sz w:val="14"/>
                <w:szCs w:val="16"/>
                <w:lang w:eastAsia="en-US"/>
              </w:rPr>
              <w:t xml:space="preserve"> </w:t>
            </w:r>
            <w:r w:rsidRPr="00024D5A">
              <w:rPr>
                <w:rFonts w:ascii="Garamond" w:hAnsi="Garamond"/>
                <w:sz w:val="14"/>
              </w:rPr>
              <w:br/>
            </w:r>
            <w:r w:rsidRPr="00024D5A">
              <w:rPr>
                <w:rFonts w:ascii="Garamond" w:eastAsia="Times New Roman" w:hAnsi="Garamond"/>
                <w:sz w:val="14"/>
                <w:szCs w:val="16"/>
                <w:lang w:eastAsia="en-US"/>
              </w:rPr>
              <w:t>Strategjia Kombëtare për Zhvillim dhe Integrim Evropian (SKZHIE);</w:t>
            </w:r>
          </w:p>
          <w:p w14:paraId="381F5A36" w14:textId="12722CA3"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Dokumenti i Politikave të Përfshirjes Sociale</w:t>
            </w:r>
            <w:r w:rsidR="0072242A" w:rsidRPr="00024D5A">
              <w:rPr>
                <w:rFonts w:ascii="Garamond" w:eastAsia="Times New Roman" w:hAnsi="Garamond"/>
                <w:sz w:val="14"/>
                <w:szCs w:val="16"/>
                <w:lang w:eastAsia="en-US"/>
              </w:rPr>
              <w:t>.</w:t>
            </w:r>
          </w:p>
        </w:tc>
      </w:tr>
      <w:tr w:rsidR="003E1630" w:rsidRPr="00024D5A" w14:paraId="508B306C" w14:textId="77777777" w:rsidTr="00EA5154">
        <w:trPr>
          <w:trHeight w:val="20"/>
        </w:trPr>
        <w:tc>
          <w:tcPr>
            <w:tcW w:w="451" w:type="pct"/>
            <w:vMerge w:val="restart"/>
          </w:tcPr>
          <w:p w14:paraId="6AA384C2" w14:textId="77777777" w:rsidR="003E1630" w:rsidRPr="00024D5A" w:rsidRDefault="005743A8" w:rsidP="0031688D">
            <w:pPr>
              <w:rPr>
                <w:rFonts w:ascii="Garamond" w:eastAsia="Times New Roman" w:hAnsi="Garamond"/>
                <w:b/>
                <w:bCs/>
                <w:sz w:val="14"/>
                <w:szCs w:val="20"/>
                <w:lang w:eastAsia="en-US"/>
              </w:rPr>
            </w:pPr>
            <w:r w:rsidRPr="00024D5A">
              <w:rPr>
                <w:rFonts w:ascii="Garamond" w:eastAsia="Times New Roman" w:hAnsi="Garamond"/>
                <w:b/>
                <w:bCs/>
                <w:sz w:val="14"/>
                <w:szCs w:val="20"/>
                <w:lang w:eastAsia="en-US"/>
              </w:rPr>
              <w:t>Masat prioritare</w:t>
            </w:r>
          </w:p>
        </w:tc>
        <w:tc>
          <w:tcPr>
            <w:tcW w:w="725" w:type="pct"/>
          </w:tcPr>
          <w:p w14:paraId="1E28FA3E" w14:textId="2817537E"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Masa prioritare 1.1</w:t>
            </w:r>
            <w:r w:rsidR="000856CC">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Orientimi i bashkive për të fuqizuar bashkëpunimin me MSHMS.</w:t>
            </w:r>
          </w:p>
        </w:tc>
        <w:tc>
          <w:tcPr>
            <w:tcW w:w="851" w:type="pct"/>
          </w:tcPr>
          <w:p w14:paraId="3288A044" w14:textId="77777777" w:rsidR="0031688D"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Bashkitë përfitojnë nga shtesa e përvitshme e fondit për shërbime për personat me aftësi të kufizuara në bashkëpunim me MSHMS; </w:t>
            </w:r>
          </w:p>
          <w:p w14:paraId="2514E85A" w14:textId="458234C9"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Personat me aftësi të kufizuara përfitojnë nga shërbimet që shtohen në bashki</w:t>
            </w:r>
            <w:r w:rsidR="0031688D" w:rsidRPr="00024D5A">
              <w:rPr>
                <w:rFonts w:ascii="Garamond" w:eastAsia="Times New Roman" w:hAnsi="Garamond"/>
                <w:sz w:val="14"/>
                <w:szCs w:val="16"/>
                <w:lang w:eastAsia="en-US"/>
              </w:rPr>
              <w:t>.</w:t>
            </w:r>
          </w:p>
        </w:tc>
        <w:tc>
          <w:tcPr>
            <w:tcW w:w="435" w:type="pct"/>
          </w:tcPr>
          <w:p w14:paraId="2E2297A4"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N/A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 xml:space="preserve"> N/A</w:t>
            </w:r>
          </w:p>
        </w:tc>
        <w:tc>
          <w:tcPr>
            <w:tcW w:w="784" w:type="pct"/>
          </w:tcPr>
          <w:p w14:paraId="00204B58"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 20% e bashkive nga vlerësimi bazë;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 xml:space="preserve"> 20% e përfituesve nga vlerësimi bazë përfitojnë shërbime nga rritje fondi;</w:t>
            </w:r>
          </w:p>
        </w:tc>
        <w:tc>
          <w:tcPr>
            <w:tcW w:w="621" w:type="pct"/>
          </w:tcPr>
          <w:p w14:paraId="71F71D7F" w14:textId="27B14866"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40</w:t>
            </w:r>
            <w:r w:rsidR="00F03D3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e bashkive nga vlerësimi bazë;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35</w:t>
            </w:r>
            <w:r w:rsidR="00F03D39"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e përfituesve nga vlerësimi baze përfitojnë shërbime nga rritje fondi;</w:t>
            </w:r>
          </w:p>
        </w:tc>
        <w:tc>
          <w:tcPr>
            <w:tcW w:w="659" w:type="pct"/>
          </w:tcPr>
          <w:p w14:paraId="303389A0"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MSHMS;</w:t>
            </w:r>
          </w:p>
          <w:p w14:paraId="443383FC" w14:textId="62A6C07F" w:rsidR="003E1630" w:rsidRPr="00024D5A" w:rsidRDefault="003245E7"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NJVV</w:t>
            </w:r>
            <w:r w:rsidR="005743A8" w:rsidRPr="00024D5A">
              <w:rPr>
                <w:rFonts w:ascii="Garamond" w:eastAsia="Times New Roman" w:hAnsi="Garamond"/>
                <w:sz w:val="14"/>
                <w:szCs w:val="16"/>
                <w:lang w:eastAsia="en-US"/>
              </w:rPr>
              <w:t>;</w:t>
            </w:r>
            <w:r w:rsidR="005743A8" w:rsidRPr="00024D5A">
              <w:rPr>
                <w:rFonts w:ascii="Garamond" w:eastAsia="Times New Roman" w:hAnsi="Garamond"/>
                <w:sz w:val="14"/>
                <w:szCs w:val="16"/>
                <w:lang w:eastAsia="en-US"/>
              </w:rPr>
              <w:br/>
              <w:t>KKAK;</w:t>
            </w:r>
            <w:r w:rsidR="005743A8" w:rsidRPr="00024D5A">
              <w:rPr>
                <w:rFonts w:ascii="Garamond" w:eastAsia="Times New Roman" w:hAnsi="Garamond"/>
                <w:sz w:val="14"/>
                <w:szCs w:val="16"/>
                <w:lang w:eastAsia="en-US"/>
              </w:rPr>
              <w:br/>
              <w:t>Të gjitha Institucionet;</w:t>
            </w:r>
            <w:r w:rsidR="005743A8" w:rsidRPr="00024D5A">
              <w:rPr>
                <w:rFonts w:ascii="Garamond" w:eastAsia="Times New Roman" w:hAnsi="Garamond"/>
                <w:sz w:val="14"/>
                <w:szCs w:val="16"/>
                <w:lang w:eastAsia="en-US"/>
              </w:rPr>
              <w:br/>
            </w:r>
            <w:r w:rsidR="00BA4F73" w:rsidRPr="00024D5A">
              <w:rPr>
                <w:rFonts w:ascii="Garamond" w:eastAsia="Times New Roman" w:hAnsi="Garamond"/>
                <w:sz w:val="14"/>
                <w:szCs w:val="16"/>
                <w:lang w:eastAsia="en-US"/>
              </w:rPr>
              <w:t>OJF</w:t>
            </w:r>
            <w:r w:rsidR="005743A8" w:rsidRPr="00024D5A">
              <w:rPr>
                <w:rFonts w:ascii="Garamond" w:eastAsia="Times New Roman" w:hAnsi="Garamond"/>
                <w:sz w:val="14"/>
                <w:szCs w:val="16"/>
                <w:lang w:eastAsia="en-US"/>
              </w:rPr>
              <w:t>;</w:t>
            </w:r>
            <w:r w:rsidR="005743A8" w:rsidRPr="00024D5A">
              <w:rPr>
                <w:rFonts w:ascii="Garamond" w:eastAsia="Times New Roman" w:hAnsi="Garamond"/>
                <w:sz w:val="14"/>
                <w:szCs w:val="16"/>
                <w:lang w:eastAsia="en-US"/>
              </w:rPr>
              <w:br/>
              <w:t>SHSSH;</w:t>
            </w:r>
            <w:r w:rsidR="005743A8" w:rsidRPr="00024D5A">
              <w:rPr>
                <w:rFonts w:ascii="Garamond" w:eastAsia="Times New Roman" w:hAnsi="Garamond"/>
                <w:sz w:val="14"/>
                <w:szCs w:val="16"/>
                <w:lang w:eastAsia="en-US"/>
              </w:rPr>
              <w:br/>
              <w:t>Raporte monitorimi;</w:t>
            </w:r>
          </w:p>
        </w:tc>
        <w:tc>
          <w:tcPr>
            <w:tcW w:w="475" w:type="pct"/>
          </w:tcPr>
          <w:p w14:paraId="075B319E"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r>
      <w:tr w:rsidR="003E1630" w:rsidRPr="00024D5A" w14:paraId="2921E337" w14:textId="77777777" w:rsidTr="00EA5154">
        <w:trPr>
          <w:trHeight w:val="20"/>
        </w:trPr>
        <w:tc>
          <w:tcPr>
            <w:tcW w:w="451" w:type="pct"/>
            <w:vMerge/>
            <w:vAlign w:val="center"/>
          </w:tcPr>
          <w:p w14:paraId="06CD77A7" w14:textId="77777777" w:rsidR="003E1630" w:rsidRPr="00024D5A" w:rsidRDefault="003E1630" w:rsidP="00791B1A">
            <w:pPr>
              <w:rPr>
                <w:rFonts w:ascii="Garamond" w:eastAsia="Times New Roman" w:hAnsi="Garamond"/>
                <w:b/>
                <w:bCs/>
                <w:sz w:val="14"/>
                <w:szCs w:val="20"/>
                <w:lang w:eastAsia="en-US"/>
              </w:rPr>
            </w:pPr>
          </w:p>
        </w:tc>
        <w:tc>
          <w:tcPr>
            <w:tcW w:w="725" w:type="pct"/>
          </w:tcPr>
          <w:p w14:paraId="13740209" w14:textId="4689864F"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Masa prioritare 1.2</w:t>
            </w:r>
            <w:r w:rsidR="000856CC">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Fuqizimi i rolit të bashkive dhe promovimi i tyre në njohjen dhe përmbushjen e nevojave të PAK në territorin e tyre. </w:t>
            </w:r>
          </w:p>
        </w:tc>
        <w:tc>
          <w:tcPr>
            <w:tcW w:w="851" w:type="pct"/>
          </w:tcPr>
          <w:p w14:paraId="5A80925C" w14:textId="77777777" w:rsidR="0031688D"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Guida metodologjike për vlerësimi real të nevojave të personave me aftësi të kufizuara; </w:t>
            </w:r>
          </w:p>
          <w:p w14:paraId="647EC7DE" w14:textId="527040F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Konferenca vjetore në përshpejtimin e hapave promovues për realizimin e të drejtave të personave me aftësi të kufizuara</w:t>
            </w:r>
            <w:r w:rsidR="0031688D" w:rsidRPr="00024D5A">
              <w:rPr>
                <w:rFonts w:ascii="Garamond" w:eastAsia="Times New Roman" w:hAnsi="Garamond"/>
                <w:sz w:val="14"/>
                <w:szCs w:val="16"/>
                <w:lang w:eastAsia="en-US"/>
              </w:rPr>
              <w:t>.</w:t>
            </w:r>
          </w:p>
        </w:tc>
        <w:tc>
          <w:tcPr>
            <w:tcW w:w="435" w:type="pct"/>
          </w:tcPr>
          <w:p w14:paraId="6EC67D1E"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N/A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N/A</w:t>
            </w:r>
          </w:p>
        </w:tc>
        <w:tc>
          <w:tcPr>
            <w:tcW w:w="784" w:type="pct"/>
          </w:tcPr>
          <w:p w14:paraId="4FBAD033" w14:textId="79652B3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1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1</w:t>
            </w:r>
            <w:r w:rsidR="007675EC"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vit </w:t>
            </w:r>
          </w:p>
        </w:tc>
        <w:tc>
          <w:tcPr>
            <w:tcW w:w="621" w:type="pct"/>
          </w:tcPr>
          <w:p w14:paraId="4CD2085F" w14:textId="2FD99E10"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1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1</w:t>
            </w:r>
            <w:r w:rsidR="007675EC"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vit </w:t>
            </w:r>
          </w:p>
        </w:tc>
        <w:tc>
          <w:tcPr>
            <w:tcW w:w="659" w:type="pct"/>
          </w:tcPr>
          <w:p w14:paraId="3098082B" w14:textId="06044C85"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MSHMS;</w:t>
            </w:r>
            <w:r w:rsidRPr="00024D5A">
              <w:rPr>
                <w:rFonts w:ascii="Garamond" w:eastAsia="Times New Roman" w:hAnsi="Garamond"/>
                <w:sz w:val="14"/>
                <w:szCs w:val="16"/>
                <w:lang w:eastAsia="en-US"/>
              </w:rPr>
              <w:br/>
            </w:r>
            <w:r w:rsidR="003245E7" w:rsidRPr="00024D5A">
              <w:rPr>
                <w:rFonts w:ascii="Garamond" w:eastAsia="Times New Roman" w:hAnsi="Garamond"/>
                <w:sz w:val="14"/>
                <w:szCs w:val="16"/>
                <w:lang w:eastAsia="en-US"/>
              </w:rPr>
              <w:t>NJVV</w:t>
            </w:r>
            <w:r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br/>
              <w:t xml:space="preserve">KKAK; </w:t>
            </w:r>
            <w:r w:rsidRPr="00024D5A">
              <w:rPr>
                <w:rFonts w:ascii="Garamond" w:eastAsia="Times New Roman" w:hAnsi="Garamond"/>
                <w:sz w:val="14"/>
                <w:szCs w:val="16"/>
                <w:lang w:eastAsia="en-US"/>
              </w:rPr>
              <w:br/>
              <w:t>Të gjitha Institucionet;</w:t>
            </w:r>
            <w:r w:rsidRPr="00024D5A">
              <w:rPr>
                <w:rFonts w:ascii="Garamond" w:eastAsia="Times New Roman" w:hAnsi="Garamond"/>
                <w:sz w:val="14"/>
                <w:szCs w:val="16"/>
                <w:lang w:eastAsia="en-US"/>
              </w:rPr>
              <w:br/>
              <w:t>KMD;</w:t>
            </w:r>
            <w:r w:rsidRPr="00024D5A">
              <w:rPr>
                <w:rFonts w:ascii="Garamond" w:eastAsia="Times New Roman" w:hAnsi="Garamond"/>
                <w:sz w:val="14"/>
                <w:szCs w:val="16"/>
                <w:lang w:eastAsia="en-US"/>
              </w:rPr>
              <w:br/>
            </w:r>
            <w:r w:rsidR="00BA4F73" w:rsidRPr="00024D5A">
              <w:rPr>
                <w:rFonts w:ascii="Garamond" w:eastAsia="Times New Roman" w:hAnsi="Garamond"/>
                <w:sz w:val="14"/>
                <w:szCs w:val="16"/>
                <w:lang w:eastAsia="en-US"/>
              </w:rPr>
              <w:t>OJF</w:t>
            </w:r>
            <w:r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br/>
              <w:t>Raporte monitorimi;</w:t>
            </w:r>
          </w:p>
        </w:tc>
        <w:tc>
          <w:tcPr>
            <w:tcW w:w="475" w:type="pct"/>
          </w:tcPr>
          <w:p w14:paraId="537E236D"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r>
      <w:tr w:rsidR="003E1630" w:rsidRPr="00024D5A" w14:paraId="096300ED" w14:textId="77777777" w:rsidTr="00EA5154">
        <w:trPr>
          <w:trHeight w:val="20"/>
        </w:trPr>
        <w:tc>
          <w:tcPr>
            <w:tcW w:w="451" w:type="pct"/>
            <w:vMerge/>
            <w:vAlign w:val="center"/>
          </w:tcPr>
          <w:p w14:paraId="14168DEC" w14:textId="77777777" w:rsidR="003E1630" w:rsidRPr="00024D5A" w:rsidRDefault="003E1630" w:rsidP="00791B1A">
            <w:pPr>
              <w:rPr>
                <w:rFonts w:ascii="Garamond" w:eastAsia="Times New Roman" w:hAnsi="Garamond"/>
                <w:b/>
                <w:bCs/>
                <w:sz w:val="14"/>
                <w:szCs w:val="20"/>
                <w:lang w:eastAsia="en-US"/>
              </w:rPr>
            </w:pPr>
          </w:p>
        </w:tc>
        <w:tc>
          <w:tcPr>
            <w:tcW w:w="725" w:type="pct"/>
          </w:tcPr>
          <w:p w14:paraId="404F6183" w14:textId="00444FC4"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Masa prioritare 2.1</w:t>
            </w:r>
            <w:r w:rsidR="000856CC">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Ndjekje dhe monitorim të situatës së ndryshimeve legjislative që lidhen me fushën e aftësisë së kufizuar.</w:t>
            </w:r>
          </w:p>
        </w:tc>
        <w:tc>
          <w:tcPr>
            <w:tcW w:w="851" w:type="pct"/>
          </w:tcPr>
          <w:p w14:paraId="405CC312" w14:textId="3E61855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Nisma ligjore nga institucione, që diskutohen në KKAK; Deputetët e GDMAK në takime direkte me PAK</w:t>
            </w:r>
            <w:r w:rsidR="0031688D" w:rsidRPr="00024D5A">
              <w:rPr>
                <w:rFonts w:ascii="Garamond" w:eastAsia="Times New Roman" w:hAnsi="Garamond"/>
                <w:sz w:val="14"/>
                <w:szCs w:val="16"/>
                <w:lang w:eastAsia="en-US"/>
              </w:rPr>
              <w:t>.</w:t>
            </w:r>
          </w:p>
        </w:tc>
        <w:tc>
          <w:tcPr>
            <w:tcW w:w="435" w:type="pct"/>
          </w:tcPr>
          <w:p w14:paraId="41B45345"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N/A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 xml:space="preserve"> 2 takime </w:t>
            </w:r>
          </w:p>
        </w:tc>
        <w:tc>
          <w:tcPr>
            <w:tcW w:w="784" w:type="pct"/>
          </w:tcPr>
          <w:p w14:paraId="3DEB4DB7" w14:textId="4EF77B93"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Në varësi të nismave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2 takime</w:t>
            </w:r>
            <w:r w:rsidR="007675EC"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vit </w:t>
            </w:r>
          </w:p>
        </w:tc>
        <w:tc>
          <w:tcPr>
            <w:tcW w:w="621" w:type="pct"/>
          </w:tcPr>
          <w:p w14:paraId="0711428C" w14:textId="200CC346"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Në varësi të nismave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2 takime</w:t>
            </w:r>
            <w:r w:rsidR="007675EC"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vit </w:t>
            </w:r>
          </w:p>
        </w:tc>
        <w:tc>
          <w:tcPr>
            <w:tcW w:w="659" w:type="pct"/>
          </w:tcPr>
          <w:p w14:paraId="3C3298E7" w14:textId="68ED7466"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MSHMS;</w:t>
            </w:r>
            <w:r w:rsidRPr="00024D5A">
              <w:rPr>
                <w:rFonts w:ascii="Garamond" w:eastAsia="Times New Roman" w:hAnsi="Garamond"/>
                <w:sz w:val="14"/>
                <w:szCs w:val="16"/>
                <w:lang w:eastAsia="en-US"/>
              </w:rPr>
              <w:br/>
            </w:r>
            <w:r w:rsidR="003245E7" w:rsidRPr="00024D5A">
              <w:rPr>
                <w:rFonts w:ascii="Garamond" w:eastAsia="Times New Roman" w:hAnsi="Garamond"/>
                <w:sz w:val="14"/>
                <w:szCs w:val="16"/>
                <w:lang w:eastAsia="en-US"/>
              </w:rPr>
              <w:t>NJVV</w:t>
            </w:r>
            <w:r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br/>
              <w:t>KKAK;</w:t>
            </w:r>
            <w:r w:rsidRPr="00024D5A">
              <w:rPr>
                <w:rFonts w:ascii="Garamond" w:eastAsia="Times New Roman" w:hAnsi="Garamond"/>
                <w:sz w:val="14"/>
                <w:szCs w:val="16"/>
                <w:lang w:eastAsia="en-US"/>
              </w:rPr>
              <w:br/>
              <w:t>Të gjitha Institucionet;</w:t>
            </w:r>
            <w:r w:rsidRPr="00024D5A">
              <w:rPr>
                <w:rFonts w:ascii="Garamond" w:eastAsia="Times New Roman" w:hAnsi="Garamond"/>
                <w:sz w:val="14"/>
                <w:szCs w:val="16"/>
                <w:lang w:eastAsia="en-US"/>
              </w:rPr>
              <w:br/>
            </w:r>
            <w:r w:rsidR="00BA4F73" w:rsidRPr="00024D5A">
              <w:rPr>
                <w:rFonts w:ascii="Garamond" w:eastAsia="Times New Roman" w:hAnsi="Garamond"/>
                <w:sz w:val="14"/>
                <w:szCs w:val="16"/>
                <w:lang w:eastAsia="en-US"/>
              </w:rPr>
              <w:t>OJF</w:t>
            </w:r>
            <w:r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br/>
              <w:t>Raporte monitorimi;</w:t>
            </w:r>
          </w:p>
        </w:tc>
        <w:tc>
          <w:tcPr>
            <w:tcW w:w="475" w:type="pct"/>
          </w:tcPr>
          <w:p w14:paraId="7C20978D"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r>
      <w:tr w:rsidR="003E1630" w:rsidRPr="00024D5A" w14:paraId="333389C0" w14:textId="77777777" w:rsidTr="00EA5154">
        <w:trPr>
          <w:trHeight w:val="20"/>
        </w:trPr>
        <w:tc>
          <w:tcPr>
            <w:tcW w:w="451" w:type="pct"/>
            <w:vMerge/>
            <w:vAlign w:val="center"/>
          </w:tcPr>
          <w:p w14:paraId="36272B96" w14:textId="77777777" w:rsidR="003E1630" w:rsidRPr="00024D5A" w:rsidRDefault="003E1630" w:rsidP="00791B1A">
            <w:pPr>
              <w:rPr>
                <w:rFonts w:ascii="Garamond" w:eastAsia="Times New Roman" w:hAnsi="Garamond"/>
                <w:b/>
                <w:bCs/>
                <w:sz w:val="14"/>
                <w:szCs w:val="20"/>
                <w:lang w:eastAsia="en-US"/>
              </w:rPr>
            </w:pPr>
          </w:p>
        </w:tc>
        <w:tc>
          <w:tcPr>
            <w:tcW w:w="725" w:type="pct"/>
          </w:tcPr>
          <w:p w14:paraId="17BFE8C5" w14:textId="57B4CFA5"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Masa prioritare 2.2</w:t>
            </w:r>
            <w:r w:rsidR="000856CC">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Ndërtimi i një Plani Vjetor aktivitetesh të KKAK.</w:t>
            </w:r>
          </w:p>
        </w:tc>
        <w:tc>
          <w:tcPr>
            <w:tcW w:w="851" w:type="pct"/>
          </w:tcPr>
          <w:p w14:paraId="385187C9"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Plani Vjetor i Punës e KKAK;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 xml:space="preserve">Raport vjetor për aktivitetin e KKAK përgatitur nga Sekretariati i KKAK;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Përgatitja e raportit të radhës për zbatimin e Konventës;</w:t>
            </w:r>
          </w:p>
          <w:p w14:paraId="2AD30908" w14:textId="77777777" w:rsidR="003E1630" w:rsidRPr="00024D5A" w:rsidRDefault="003E1630" w:rsidP="00791B1A">
            <w:pPr>
              <w:rPr>
                <w:rFonts w:ascii="Garamond" w:eastAsia="Times New Roman" w:hAnsi="Garamond"/>
                <w:sz w:val="14"/>
                <w:szCs w:val="16"/>
                <w:lang w:eastAsia="en-US"/>
              </w:rPr>
            </w:pPr>
          </w:p>
          <w:p w14:paraId="7D0E37AB" w14:textId="3E451D9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Numri i rasteve t</w:t>
            </w:r>
            <w:r w:rsidR="000726DB" w:rsidRPr="00024D5A">
              <w:rPr>
                <w:rFonts w:ascii="Garamond" w:eastAsia="Times New Roman" w:hAnsi="Garamond"/>
                <w:sz w:val="14"/>
                <w:szCs w:val="16"/>
                <w:lang w:eastAsia="en-US"/>
              </w:rPr>
              <w:t>ë</w:t>
            </w:r>
            <w:r w:rsidRPr="00024D5A">
              <w:rPr>
                <w:rFonts w:ascii="Garamond" w:eastAsia="Times New Roman" w:hAnsi="Garamond"/>
                <w:sz w:val="14"/>
                <w:szCs w:val="16"/>
                <w:lang w:eastAsia="en-US"/>
              </w:rPr>
              <w:t xml:space="preserve"> raportuara/ankesuara p</w:t>
            </w:r>
            <w:r w:rsidR="000726DB" w:rsidRPr="00024D5A">
              <w:rPr>
                <w:rFonts w:ascii="Garamond" w:eastAsia="Times New Roman" w:hAnsi="Garamond"/>
                <w:sz w:val="14"/>
                <w:szCs w:val="16"/>
                <w:lang w:eastAsia="en-US"/>
              </w:rPr>
              <w:t>ë</w:t>
            </w:r>
            <w:r w:rsidRPr="00024D5A">
              <w:rPr>
                <w:rFonts w:ascii="Garamond" w:eastAsia="Times New Roman" w:hAnsi="Garamond"/>
                <w:sz w:val="14"/>
                <w:szCs w:val="16"/>
                <w:lang w:eastAsia="en-US"/>
              </w:rPr>
              <w:t>r trajtim t</w:t>
            </w:r>
            <w:r w:rsidR="000726DB" w:rsidRPr="00024D5A">
              <w:rPr>
                <w:rFonts w:ascii="Garamond" w:eastAsia="Times New Roman" w:hAnsi="Garamond"/>
                <w:sz w:val="14"/>
                <w:szCs w:val="16"/>
                <w:lang w:eastAsia="en-US"/>
              </w:rPr>
              <w:t>ë</w:t>
            </w:r>
            <w:r w:rsidRPr="00024D5A">
              <w:rPr>
                <w:rFonts w:ascii="Garamond" w:eastAsia="Times New Roman" w:hAnsi="Garamond"/>
                <w:sz w:val="14"/>
                <w:szCs w:val="16"/>
                <w:lang w:eastAsia="en-US"/>
              </w:rPr>
              <w:t xml:space="preserve"> pabarabart</w:t>
            </w:r>
            <w:r w:rsidR="000726DB" w:rsidRPr="00024D5A">
              <w:rPr>
                <w:rFonts w:ascii="Garamond" w:eastAsia="Times New Roman" w:hAnsi="Garamond"/>
                <w:sz w:val="14"/>
                <w:szCs w:val="16"/>
                <w:lang w:eastAsia="en-US"/>
              </w:rPr>
              <w:t>ë</w:t>
            </w:r>
            <w:r w:rsidRPr="00024D5A">
              <w:rPr>
                <w:rFonts w:ascii="Garamond" w:eastAsia="Times New Roman" w:hAnsi="Garamond"/>
                <w:sz w:val="14"/>
                <w:szCs w:val="16"/>
                <w:lang w:eastAsia="en-US"/>
              </w:rPr>
              <w:t xml:space="preserve"> ose diskriminues ndaj personave me aft</w:t>
            </w:r>
            <w:r w:rsidR="000726DB" w:rsidRPr="00024D5A">
              <w:rPr>
                <w:rFonts w:ascii="Garamond" w:eastAsia="Times New Roman" w:hAnsi="Garamond"/>
                <w:sz w:val="14"/>
                <w:szCs w:val="16"/>
                <w:lang w:eastAsia="en-US"/>
              </w:rPr>
              <w:t>ë</w:t>
            </w:r>
            <w:r w:rsidRPr="00024D5A">
              <w:rPr>
                <w:rFonts w:ascii="Garamond" w:eastAsia="Times New Roman" w:hAnsi="Garamond"/>
                <w:sz w:val="14"/>
                <w:szCs w:val="16"/>
                <w:lang w:eastAsia="en-US"/>
              </w:rPr>
              <w:t>si t</w:t>
            </w:r>
            <w:r w:rsidR="000726DB" w:rsidRPr="00024D5A">
              <w:rPr>
                <w:rFonts w:ascii="Garamond" w:eastAsia="Times New Roman" w:hAnsi="Garamond"/>
                <w:sz w:val="14"/>
                <w:szCs w:val="16"/>
                <w:lang w:eastAsia="en-US"/>
              </w:rPr>
              <w:t>ë</w:t>
            </w:r>
            <w:r w:rsidRPr="00024D5A">
              <w:rPr>
                <w:rFonts w:ascii="Garamond" w:eastAsia="Times New Roman" w:hAnsi="Garamond"/>
                <w:sz w:val="14"/>
                <w:szCs w:val="16"/>
                <w:lang w:eastAsia="en-US"/>
              </w:rPr>
              <w:t xml:space="preserve"> kufizuara</w:t>
            </w:r>
            <w:r w:rsidR="0031688D" w:rsidRPr="00024D5A">
              <w:rPr>
                <w:rFonts w:ascii="Garamond" w:eastAsia="Times New Roman" w:hAnsi="Garamond"/>
                <w:sz w:val="14"/>
                <w:szCs w:val="16"/>
                <w:lang w:eastAsia="en-US"/>
              </w:rPr>
              <w:t>.</w:t>
            </w:r>
          </w:p>
        </w:tc>
        <w:tc>
          <w:tcPr>
            <w:tcW w:w="435" w:type="pct"/>
          </w:tcPr>
          <w:p w14:paraId="257A8B11" w14:textId="7A081ACC"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N/A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1</w:t>
            </w:r>
            <w:r w:rsidR="007675EC"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vit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p>
          <w:p w14:paraId="6935CD09"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1</w:t>
            </w:r>
          </w:p>
          <w:p w14:paraId="5007C582" w14:textId="77777777" w:rsidR="003E1630" w:rsidRPr="00024D5A" w:rsidRDefault="003E1630" w:rsidP="00791B1A">
            <w:pPr>
              <w:rPr>
                <w:rFonts w:ascii="Garamond" w:eastAsia="Times New Roman" w:hAnsi="Garamond"/>
                <w:sz w:val="14"/>
                <w:szCs w:val="16"/>
                <w:lang w:eastAsia="en-US"/>
              </w:rPr>
            </w:pPr>
          </w:p>
          <w:p w14:paraId="5530F400" w14:textId="77777777" w:rsidR="003E1630" w:rsidRPr="00024D5A" w:rsidRDefault="003E1630" w:rsidP="00791B1A">
            <w:pPr>
              <w:rPr>
                <w:rFonts w:ascii="Garamond" w:eastAsia="Times New Roman" w:hAnsi="Garamond"/>
                <w:sz w:val="14"/>
                <w:szCs w:val="16"/>
                <w:lang w:eastAsia="en-US"/>
              </w:rPr>
            </w:pPr>
          </w:p>
          <w:p w14:paraId="520D93CB" w14:textId="77777777" w:rsidR="003E1630" w:rsidRPr="00024D5A" w:rsidRDefault="003E1630" w:rsidP="00791B1A">
            <w:pPr>
              <w:rPr>
                <w:rFonts w:ascii="Garamond" w:eastAsia="Times New Roman" w:hAnsi="Garamond"/>
                <w:sz w:val="14"/>
                <w:szCs w:val="16"/>
                <w:lang w:eastAsia="en-US"/>
              </w:rPr>
            </w:pPr>
          </w:p>
        </w:tc>
        <w:tc>
          <w:tcPr>
            <w:tcW w:w="784" w:type="pct"/>
          </w:tcPr>
          <w:p w14:paraId="6DEBACE2" w14:textId="24DF0EF3"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1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1</w:t>
            </w:r>
            <w:r w:rsidR="007675EC"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vit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p>
          <w:p w14:paraId="055447A7"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1</w:t>
            </w:r>
          </w:p>
          <w:p w14:paraId="0D4D745D" w14:textId="77777777" w:rsidR="003E1630" w:rsidRPr="00024D5A" w:rsidRDefault="003E1630" w:rsidP="00791B1A">
            <w:pPr>
              <w:rPr>
                <w:rFonts w:ascii="Garamond" w:eastAsia="Times New Roman" w:hAnsi="Garamond"/>
                <w:sz w:val="14"/>
                <w:szCs w:val="16"/>
                <w:lang w:eastAsia="en-US"/>
              </w:rPr>
            </w:pPr>
          </w:p>
          <w:p w14:paraId="6F75CB14" w14:textId="77777777" w:rsidR="003E1630" w:rsidRPr="00024D5A" w:rsidRDefault="003E1630" w:rsidP="00791B1A">
            <w:pPr>
              <w:rPr>
                <w:rFonts w:ascii="Garamond" w:eastAsia="Times New Roman" w:hAnsi="Garamond"/>
                <w:sz w:val="14"/>
                <w:szCs w:val="16"/>
                <w:lang w:eastAsia="en-US"/>
              </w:rPr>
            </w:pPr>
          </w:p>
          <w:p w14:paraId="14FCC06B" w14:textId="77777777" w:rsidR="003E1630" w:rsidRPr="00024D5A" w:rsidRDefault="003E1630" w:rsidP="00791B1A">
            <w:pPr>
              <w:rPr>
                <w:rFonts w:ascii="Garamond" w:eastAsia="Times New Roman" w:hAnsi="Garamond"/>
                <w:sz w:val="14"/>
                <w:szCs w:val="16"/>
                <w:lang w:eastAsia="en-US"/>
              </w:rPr>
            </w:pPr>
          </w:p>
          <w:p w14:paraId="3F6E8FFA" w14:textId="1F458885"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Minim</w:t>
            </w:r>
            <w:r w:rsidR="00DA2152" w:rsidRPr="00024D5A">
              <w:rPr>
                <w:rFonts w:ascii="Garamond" w:eastAsia="Times New Roman" w:hAnsi="Garamond"/>
                <w:sz w:val="14"/>
                <w:szCs w:val="16"/>
                <w:lang w:eastAsia="en-US"/>
              </w:rPr>
              <w:t>um</w:t>
            </w:r>
            <w:r w:rsidRPr="00024D5A">
              <w:rPr>
                <w:rFonts w:ascii="Garamond" w:eastAsia="Times New Roman" w:hAnsi="Garamond"/>
                <w:sz w:val="14"/>
                <w:szCs w:val="16"/>
                <w:lang w:eastAsia="en-US"/>
              </w:rPr>
              <w:t xml:space="preserve"> 50 raste n</w:t>
            </w:r>
            <w:r w:rsidR="002447A2" w:rsidRPr="00024D5A">
              <w:rPr>
                <w:rFonts w:ascii="Garamond" w:eastAsia="Times New Roman" w:hAnsi="Garamond"/>
                <w:sz w:val="14"/>
                <w:szCs w:val="16"/>
                <w:lang w:eastAsia="en-US"/>
              </w:rPr>
              <w:t>ë</w:t>
            </w:r>
            <w:r w:rsidRPr="00024D5A">
              <w:rPr>
                <w:rFonts w:ascii="Garamond" w:eastAsia="Times New Roman" w:hAnsi="Garamond"/>
                <w:sz w:val="14"/>
                <w:szCs w:val="16"/>
                <w:lang w:eastAsia="en-US"/>
              </w:rPr>
              <w:t xml:space="preserve"> vit</w:t>
            </w:r>
          </w:p>
        </w:tc>
        <w:tc>
          <w:tcPr>
            <w:tcW w:w="621" w:type="pct"/>
          </w:tcPr>
          <w:p w14:paraId="0F965220" w14:textId="5BF4C02F"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1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t>1</w:t>
            </w:r>
            <w:r w:rsidR="007675EC"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vit </w:t>
            </w:r>
            <w:r w:rsidRPr="00024D5A">
              <w:rPr>
                <w:rFonts w:ascii="Garamond" w:eastAsia="Times New Roman" w:hAnsi="Garamond"/>
                <w:sz w:val="14"/>
                <w:szCs w:val="16"/>
                <w:lang w:eastAsia="en-US"/>
              </w:rPr>
              <w:br/>
            </w:r>
            <w:r w:rsidRPr="00024D5A">
              <w:rPr>
                <w:rFonts w:ascii="Garamond" w:eastAsia="Times New Roman" w:hAnsi="Garamond"/>
                <w:sz w:val="14"/>
                <w:szCs w:val="16"/>
                <w:lang w:eastAsia="en-US"/>
              </w:rPr>
              <w:br/>
            </w:r>
          </w:p>
          <w:p w14:paraId="14D9431C"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br/>
              <w:t>1</w:t>
            </w:r>
          </w:p>
          <w:p w14:paraId="6DF04676" w14:textId="77777777" w:rsidR="003E1630" w:rsidRPr="00024D5A" w:rsidRDefault="003E1630" w:rsidP="00791B1A">
            <w:pPr>
              <w:rPr>
                <w:rFonts w:ascii="Garamond" w:eastAsia="Times New Roman" w:hAnsi="Garamond"/>
                <w:sz w:val="14"/>
                <w:szCs w:val="16"/>
                <w:lang w:eastAsia="en-US"/>
              </w:rPr>
            </w:pPr>
          </w:p>
          <w:p w14:paraId="35CC0D09" w14:textId="77777777" w:rsidR="003E1630" w:rsidRPr="00024D5A" w:rsidRDefault="003E1630" w:rsidP="00791B1A">
            <w:pPr>
              <w:rPr>
                <w:rFonts w:ascii="Garamond" w:eastAsia="Times New Roman" w:hAnsi="Garamond"/>
                <w:sz w:val="14"/>
                <w:szCs w:val="16"/>
                <w:lang w:eastAsia="en-US"/>
              </w:rPr>
            </w:pPr>
          </w:p>
          <w:p w14:paraId="701CE8F5" w14:textId="77777777" w:rsidR="003E1630" w:rsidRPr="00024D5A" w:rsidRDefault="003E1630" w:rsidP="00791B1A">
            <w:pPr>
              <w:rPr>
                <w:rFonts w:ascii="Garamond" w:eastAsia="Times New Roman" w:hAnsi="Garamond"/>
                <w:sz w:val="14"/>
                <w:szCs w:val="16"/>
                <w:lang w:eastAsia="en-US"/>
              </w:rPr>
            </w:pPr>
          </w:p>
          <w:p w14:paraId="20220547" w14:textId="0C89FC5F"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Min</w:t>
            </w:r>
            <w:r w:rsidR="002447A2"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50 raste n</w:t>
            </w:r>
            <w:r w:rsidR="002447A2" w:rsidRPr="00024D5A">
              <w:rPr>
                <w:rFonts w:ascii="Garamond" w:eastAsia="Times New Roman" w:hAnsi="Garamond"/>
                <w:sz w:val="14"/>
                <w:szCs w:val="16"/>
                <w:lang w:eastAsia="en-US"/>
              </w:rPr>
              <w:t xml:space="preserve">ë </w:t>
            </w:r>
            <w:r w:rsidRPr="00024D5A">
              <w:rPr>
                <w:rFonts w:ascii="Garamond" w:eastAsia="Times New Roman" w:hAnsi="Garamond"/>
                <w:sz w:val="14"/>
                <w:szCs w:val="16"/>
                <w:lang w:eastAsia="en-US"/>
              </w:rPr>
              <w:t>vit</w:t>
            </w:r>
          </w:p>
        </w:tc>
        <w:tc>
          <w:tcPr>
            <w:tcW w:w="659" w:type="pct"/>
          </w:tcPr>
          <w:p w14:paraId="54313B73" w14:textId="33237DC3"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MSHMS;</w:t>
            </w:r>
            <w:r w:rsidRPr="00024D5A">
              <w:rPr>
                <w:rFonts w:ascii="Garamond" w:eastAsia="Times New Roman" w:hAnsi="Garamond"/>
                <w:sz w:val="14"/>
                <w:szCs w:val="16"/>
                <w:lang w:eastAsia="en-US"/>
              </w:rPr>
              <w:br/>
            </w:r>
            <w:r w:rsidR="003245E7" w:rsidRPr="00024D5A">
              <w:rPr>
                <w:rFonts w:ascii="Garamond" w:eastAsia="Times New Roman" w:hAnsi="Garamond"/>
                <w:sz w:val="14"/>
                <w:szCs w:val="16"/>
                <w:lang w:eastAsia="en-US"/>
              </w:rPr>
              <w:t>NJVV</w:t>
            </w:r>
            <w:r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br/>
              <w:t>KKAK;</w:t>
            </w:r>
            <w:r w:rsidRPr="00024D5A">
              <w:rPr>
                <w:rFonts w:ascii="Garamond" w:eastAsia="Times New Roman" w:hAnsi="Garamond"/>
                <w:sz w:val="14"/>
                <w:szCs w:val="16"/>
                <w:lang w:eastAsia="en-US"/>
              </w:rPr>
              <w:br/>
              <w:t xml:space="preserve">Të gjitha Institucionet; </w:t>
            </w:r>
            <w:r w:rsidRPr="00024D5A">
              <w:rPr>
                <w:rFonts w:ascii="Garamond" w:eastAsia="Times New Roman" w:hAnsi="Garamond"/>
                <w:sz w:val="14"/>
                <w:szCs w:val="16"/>
                <w:lang w:eastAsia="en-US"/>
              </w:rPr>
              <w:br/>
            </w:r>
            <w:r w:rsidR="00BA4F73" w:rsidRPr="00024D5A">
              <w:rPr>
                <w:rFonts w:ascii="Garamond" w:eastAsia="Times New Roman" w:hAnsi="Garamond"/>
                <w:sz w:val="14"/>
                <w:szCs w:val="16"/>
                <w:lang w:eastAsia="en-US"/>
              </w:rPr>
              <w:t>OJF</w:t>
            </w:r>
            <w:r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br/>
              <w:t>Raporte monitorimi;</w:t>
            </w:r>
          </w:p>
          <w:p w14:paraId="7FC28FA1" w14:textId="77777777" w:rsidR="003E1630" w:rsidRPr="00024D5A" w:rsidRDefault="003E1630" w:rsidP="00791B1A">
            <w:pPr>
              <w:rPr>
                <w:rFonts w:ascii="Garamond" w:eastAsia="Times New Roman" w:hAnsi="Garamond"/>
                <w:sz w:val="14"/>
                <w:szCs w:val="16"/>
                <w:lang w:eastAsia="en-US"/>
              </w:rPr>
            </w:pPr>
          </w:p>
          <w:p w14:paraId="660D000F" w14:textId="77777777" w:rsidR="003E1630" w:rsidRPr="00024D5A" w:rsidRDefault="003E1630" w:rsidP="00791B1A">
            <w:pPr>
              <w:rPr>
                <w:rFonts w:ascii="Garamond" w:eastAsia="Times New Roman" w:hAnsi="Garamond"/>
                <w:sz w:val="14"/>
                <w:szCs w:val="16"/>
                <w:lang w:eastAsia="en-US"/>
              </w:rPr>
            </w:pPr>
          </w:p>
          <w:p w14:paraId="1BC820EF" w14:textId="77777777" w:rsidR="003E1630" w:rsidRPr="00024D5A" w:rsidRDefault="003E1630" w:rsidP="00791B1A">
            <w:pPr>
              <w:rPr>
                <w:rFonts w:ascii="Garamond" w:eastAsia="Times New Roman" w:hAnsi="Garamond"/>
                <w:sz w:val="14"/>
                <w:szCs w:val="16"/>
                <w:lang w:eastAsia="en-US"/>
              </w:rPr>
            </w:pPr>
          </w:p>
          <w:p w14:paraId="67A4305C" w14:textId="77777777" w:rsidR="003E1630" w:rsidRPr="00024D5A" w:rsidRDefault="003E1630" w:rsidP="00791B1A">
            <w:pPr>
              <w:rPr>
                <w:rFonts w:ascii="Garamond" w:eastAsia="Times New Roman" w:hAnsi="Garamond"/>
                <w:sz w:val="14"/>
                <w:szCs w:val="16"/>
                <w:lang w:eastAsia="en-US"/>
              </w:rPr>
            </w:pPr>
          </w:p>
          <w:p w14:paraId="20E03AD3"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KMD</w:t>
            </w:r>
          </w:p>
        </w:tc>
        <w:tc>
          <w:tcPr>
            <w:tcW w:w="475" w:type="pct"/>
          </w:tcPr>
          <w:p w14:paraId="553D7EBA"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r>
      <w:tr w:rsidR="003E1630" w:rsidRPr="00024D5A" w14:paraId="7FA91CA0" w14:textId="77777777" w:rsidTr="00EA5154">
        <w:trPr>
          <w:trHeight w:val="20"/>
        </w:trPr>
        <w:tc>
          <w:tcPr>
            <w:tcW w:w="451" w:type="pct"/>
            <w:vMerge/>
            <w:vAlign w:val="center"/>
          </w:tcPr>
          <w:p w14:paraId="5B385EF8" w14:textId="77777777" w:rsidR="003E1630" w:rsidRPr="00024D5A" w:rsidRDefault="003E1630" w:rsidP="00791B1A">
            <w:pPr>
              <w:rPr>
                <w:rFonts w:ascii="Garamond" w:eastAsia="Times New Roman" w:hAnsi="Garamond"/>
                <w:b/>
                <w:bCs/>
                <w:sz w:val="14"/>
                <w:szCs w:val="20"/>
                <w:lang w:eastAsia="en-US"/>
              </w:rPr>
            </w:pPr>
          </w:p>
        </w:tc>
        <w:tc>
          <w:tcPr>
            <w:tcW w:w="725" w:type="pct"/>
          </w:tcPr>
          <w:p w14:paraId="1CA0303B" w14:textId="7183A893"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Masa prioritare 3.1</w:t>
            </w:r>
            <w:r w:rsidR="000856CC">
              <w:rPr>
                <w:rFonts w:ascii="Garamond" w:eastAsia="Times New Roman" w:hAnsi="Garamond"/>
                <w:sz w:val="14"/>
                <w:szCs w:val="16"/>
                <w:lang w:eastAsia="en-US"/>
              </w:rPr>
              <w:t xml:space="preserve">: </w:t>
            </w:r>
            <w:r w:rsidRPr="00024D5A">
              <w:rPr>
                <w:rFonts w:ascii="Garamond" w:eastAsia="Times New Roman" w:hAnsi="Garamond"/>
                <w:sz w:val="14"/>
                <w:szCs w:val="16"/>
                <w:lang w:eastAsia="en-US"/>
              </w:rPr>
              <w:t>Përmirësim i akteve ligjore e nënligjore.</w:t>
            </w:r>
          </w:p>
        </w:tc>
        <w:tc>
          <w:tcPr>
            <w:tcW w:w="851" w:type="pct"/>
          </w:tcPr>
          <w:p w14:paraId="4B0CBBBB" w14:textId="77777777" w:rsidR="0031688D"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xml:space="preserve">VKM e rishikuar për mbledhjen e statistikave; Trajnim me pikat fokale të ministrive; </w:t>
            </w:r>
          </w:p>
          <w:p w14:paraId="4866FCA2" w14:textId="608D6639"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Ngritja e grupit GNSPS</w:t>
            </w:r>
            <w:r w:rsidR="0031688D" w:rsidRPr="00024D5A">
              <w:rPr>
                <w:rFonts w:ascii="Garamond" w:eastAsia="Times New Roman" w:hAnsi="Garamond"/>
                <w:sz w:val="14"/>
                <w:szCs w:val="16"/>
                <w:lang w:eastAsia="en-US"/>
              </w:rPr>
              <w:t>.</w:t>
            </w:r>
          </w:p>
        </w:tc>
        <w:tc>
          <w:tcPr>
            <w:tcW w:w="435" w:type="pct"/>
          </w:tcPr>
          <w:p w14:paraId="31F6AB58"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N/A</w:t>
            </w:r>
          </w:p>
        </w:tc>
        <w:tc>
          <w:tcPr>
            <w:tcW w:w="784" w:type="pct"/>
          </w:tcPr>
          <w:p w14:paraId="5F18164D"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1 VKM sipas rekomandimeve</w:t>
            </w:r>
          </w:p>
        </w:tc>
        <w:tc>
          <w:tcPr>
            <w:tcW w:w="621" w:type="pct"/>
            <w:noWrap/>
          </w:tcPr>
          <w:p w14:paraId="3A1C5ED1"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659" w:type="pct"/>
          </w:tcPr>
          <w:p w14:paraId="6D6E3F68" w14:textId="6EB2D844"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MSHMS;</w:t>
            </w:r>
            <w:r w:rsidRPr="00024D5A">
              <w:rPr>
                <w:rFonts w:ascii="Garamond" w:eastAsia="Times New Roman" w:hAnsi="Garamond"/>
                <w:sz w:val="14"/>
                <w:szCs w:val="16"/>
                <w:lang w:eastAsia="en-US"/>
              </w:rPr>
              <w:br/>
              <w:t>INSTAT;</w:t>
            </w:r>
            <w:r w:rsidRPr="00024D5A">
              <w:rPr>
                <w:rFonts w:ascii="Garamond" w:eastAsia="Times New Roman" w:hAnsi="Garamond"/>
                <w:sz w:val="14"/>
                <w:szCs w:val="16"/>
                <w:lang w:eastAsia="en-US"/>
              </w:rPr>
              <w:br/>
            </w:r>
            <w:r w:rsidR="003245E7" w:rsidRPr="00024D5A">
              <w:rPr>
                <w:rFonts w:ascii="Garamond" w:eastAsia="Times New Roman" w:hAnsi="Garamond"/>
                <w:sz w:val="14"/>
                <w:szCs w:val="16"/>
                <w:lang w:eastAsia="en-US"/>
              </w:rPr>
              <w:t>NJVV</w:t>
            </w:r>
            <w:r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br/>
              <w:t>KKAK;</w:t>
            </w:r>
            <w:r w:rsidRPr="00024D5A">
              <w:rPr>
                <w:rFonts w:ascii="Garamond" w:eastAsia="Times New Roman" w:hAnsi="Garamond"/>
                <w:sz w:val="14"/>
                <w:szCs w:val="16"/>
                <w:lang w:eastAsia="en-US"/>
              </w:rPr>
              <w:br/>
              <w:t>Të gjitha Institucionet;</w:t>
            </w:r>
            <w:r w:rsidRPr="00024D5A">
              <w:rPr>
                <w:rFonts w:ascii="Garamond" w:eastAsia="Times New Roman" w:hAnsi="Garamond"/>
                <w:sz w:val="14"/>
                <w:szCs w:val="16"/>
                <w:lang w:eastAsia="en-US"/>
              </w:rPr>
              <w:br/>
            </w:r>
            <w:r w:rsidR="00BA4F73" w:rsidRPr="00024D5A">
              <w:rPr>
                <w:rFonts w:ascii="Garamond" w:eastAsia="Times New Roman" w:hAnsi="Garamond"/>
                <w:sz w:val="14"/>
                <w:szCs w:val="16"/>
                <w:lang w:eastAsia="en-US"/>
              </w:rPr>
              <w:t>OJF</w:t>
            </w:r>
            <w:r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br/>
              <w:t>Raporte monitorimi</w:t>
            </w:r>
            <w:r w:rsidR="0031688D" w:rsidRPr="00024D5A">
              <w:rPr>
                <w:rFonts w:ascii="Garamond" w:eastAsia="Times New Roman" w:hAnsi="Garamond"/>
                <w:sz w:val="14"/>
                <w:szCs w:val="16"/>
                <w:lang w:eastAsia="en-US"/>
              </w:rPr>
              <w:t>.</w:t>
            </w:r>
          </w:p>
        </w:tc>
        <w:tc>
          <w:tcPr>
            <w:tcW w:w="475" w:type="pct"/>
          </w:tcPr>
          <w:p w14:paraId="39835D8F"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r>
      <w:tr w:rsidR="003E1630" w:rsidRPr="00024D5A" w14:paraId="6246303C" w14:textId="77777777" w:rsidTr="00EA5154">
        <w:trPr>
          <w:trHeight w:val="20"/>
        </w:trPr>
        <w:tc>
          <w:tcPr>
            <w:tcW w:w="451" w:type="pct"/>
            <w:vMerge/>
            <w:vAlign w:val="center"/>
          </w:tcPr>
          <w:p w14:paraId="15BC12A0" w14:textId="77777777" w:rsidR="003E1630" w:rsidRPr="00024D5A" w:rsidRDefault="003E1630" w:rsidP="00791B1A">
            <w:pPr>
              <w:rPr>
                <w:rFonts w:ascii="Garamond" w:eastAsia="Times New Roman" w:hAnsi="Garamond"/>
                <w:b/>
                <w:bCs/>
                <w:sz w:val="14"/>
                <w:szCs w:val="20"/>
                <w:lang w:eastAsia="en-US"/>
              </w:rPr>
            </w:pPr>
          </w:p>
        </w:tc>
        <w:tc>
          <w:tcPr>
            <w:tcW w:w="725" w:type="pct"/>
          </w:tcPr>
          <w:p w14:paraId="6B233833" w14:textId="559EFB6F"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Masa prioritare 4.1</w:t>
            </w:r>
            <w:r w:rsidR="000856CC">
              <w:rPr>
                <w:rFonts w:ascii="Garamond" w:eastAsia="Times New Roman" w:hAnsi="Garamond"/>
                <w:sz w:val="14"/>
                <w:szCs w:val="16"/>
                <w:lang w:eastAsia="en-US"/>
              </w:rPr>
              <w:t>:</w:t>
            </w:r>
            <w:r w:rsidRPr="00024D5A">
              <w:rPr>
                <w:rFonts w:ascii="Garamond" w:eastAsia="Times New Roman" w:hAnsi="Garamond"/>
                <w:sz w:val="14"/>
                <w:szCs w:val="16"/>
                <w:lang w:eastAsia="en-US"/>
              </w:rPr>
              <w:t xml:space="preserve"> Organizim dhe pjesëmarrje në aktivitete ndërkombëtare.</w:t>
            </w:r>
          </w:p>
        </w:tc>
        <w:tc>
          <w:tcPr>
            <w:tcW w:w="851" w:type="pct"/>
          </w:tcPr>
          <w:p w14:paraId="412FDF95"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Konferenca rajonale për shkëmbim eksperiencash. Vizitë studimore në vendet Evropiane dhe të Ballkanit.</w:t>
            </w:r>
          </w:p>
        </w:tc>
        <w:tc>
          <w:tcPr>
            <w:tcW w:w="435" w:type="pct"/>
          </w:tcPr>
          <w:p w14:paraId="64A13610"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c>
          <w:tcPr>
            <w:tcW w:w="784" w:type="pct"/>
          </w:tcPr>
          <w:p w14:paraId="17A3E2F9"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1 konferencë</w:t>
            </w:r>
          </w:p>
        </w:tc>
        <w:tc>
          <w:tcPr>
            <w:tcW w:w="621" w:type="pct"/>
          </w:tcPr>
          <w:p w14:paraId="05473829"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1 vizitë studimore</w:t>
            </w:r>
          </w:p>
        </w:tc>
        <w:tc>
          <w:tcPr>
            <w:tcW w:w="659" w:type="pct"/>
          </w:tcPr>
          <w:p w14:paraId="18423E3C" w14:textId="40225A35"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MSHMS;</w:t>
            </w:r>
            <w:r w:rsidRPr="00024D5A">
              <w:rPr>
                <w:rFonts w:ascii="Garamond" w:eastAsia="Times New Roman" w:hAnsi="Garamond"/>
                <w:sz w:val="14"/>
                <w:szCs w:val="16"/>
                <w:lang w:eastAsia="en-US"/>
              </w:rPr>
              <w:br/>
            </w:r>
            <w:r w:rsidR="003245E7" w:rsidRPr="00024D5A">
              <w:rPr>
                <w:rFonts w:ascii="Garamond" w:eastAsia="Times New Roman" w:hAnsi="Garamond"/>
                <w:sz w:val="14"/>
                <w:szCs w:val="16"/>
                <w:lang w:eastAsia="en-US"/>
              </w:rPr>
              <w:t>NJVV</w:t>
            </w:r>
            <w:r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br/>
              <w:t xml:space="preserve">KKAK; </w:t>
            </w:r>
            <w:r w:rsidRPr="00024D5A">
              <w:rPr>
                <w:rFonts w:ascii="Garamond" w:eastAsia="Times New Roman" w:hAnsi="Garamond"/>
                <w:sz w:val="14"/>
                <w:szCs w:val="16"/>
                <w:lang w:eastAsia="en-US"/>
              </w:rPr>
              <w:br/>
              <w:t>Të gjitha Institucionet;</w:t>
            </w:r>
            <w:r w:rsidRPr="00024D5A">
              <w:rPr>
                <w:rFonts w:ascii="Garamond" w:eastAsia="Times New Roman" w:hAnsi="Garamond"/>
                <w:sz w:val="14"/>
                <w:szCs w:val="16"/>
                <w:lang w:eastAsia="en-US"/>
              </w:rPr>
              <w:br/>
            </w:r>
            <w:r w:rsidR="00BA4F73" w:rsidRPr="00024D5A">
              <w:rPr>
                <w:rFonts w:ascii="Garamond" w:eastAsia="Times New Roman" w:hAnsi="Garamond"/>
                <w:sz w:val="14"/>
                <w:szCs w:val="16"/>
                <w:lang w:eastAsia="en-US"/>
              </w:rPr>
              <w:t>OJF</w:t>
            </w:r>
            <w:r w:rsidRPr="00024D5A">
              <w:rPr>
                <w:rFonts w:ascii="Garamond" w:eastAsia="Times New Roman" w:hAnsi="Garamond"/>
                <w:sz w:val="14"/>
                <w:szCs w:val="16"/>
                <w:lang w:eastAsia="en-US"/>
              </w:rPr>
              <w:t>;</w:t>
            </w:r>
            <w:r w:rsidRPr="00024D5A">
              <w:rPr>
                <w:rFonts w:ascii="Garamond" w:eastAsia="Times New Roman" w:hAnsi="Garamond"/>
                <w:sz w:val="14"/>
                <w:szCs w:val="16"/>
                <w:lang w:eastAsia="en-US"/>
              </w:rPr>
              <w:br/>
              <w:t>Raporte monitorimi</w:t>
            </w:r>
            <w:r w:rsidR="0031688D" w:rsidRPr="00024D5A">
              <w:rPr>
                <w:rFonts w:ascii="Garamond" w:eastAsia="Times New Roman" w:hAnsi="Garamond"/>
                <w:sz w:val="14"/>
                <w:szCs w:val="16"/>
                <w:lang w:eastAsia="en-US"/>
              </w:rPr>
              <w:t>.</w:t>
            </w:r>
          </w:p>
        </w:tc>
        <w:tc>
          <w:tcPr>
            <w:tcW w:w="475" w:type="pct"/>
          </w:tcPr>
          <w:p w14:paraId="405A4642" w14:textId="77777777" w:rsidR="003E1630" w:rsidRPr="00024D5A" w:rsidRDefault="005743A8" w:rsidP="00791B1A">
            <w:pPr>
              <w:rPr>
                <w:rFonts w:ascii="Garamond" w:eastAsia="Times New Roman" w:hAnsi="Garamond"/>
                <w:sz w:val="14"/>
                <w:szCs w:val="16"/>
                <w:lang w:eastAsia="en-US"/>
              </w:rPr>
            </w:pPr>
            <w:r w:rsidRPr="00024D5A">
              <w:rPr>
                <w:rFonts w:ascii="Garamond" w:eastAsia="Times New Roman" w:hAnsi="Garamond"/>
                <w:sz w:val="14"/>
                <w:szCs w:val="16"/>
                <w:lang w:eastAsia="en-US"/>
              </w:rPr>
              <w:t> </w:t>
            </w:r>
          </w:p>
        </w:tc>
      </w:tr>
    </w:tbl>
    <w:p w14:paraId="6D425C82" w14:textId="77777777" w:rsidR="0031688D" w:rsidRPr="00024D5A" w:rsidRDefault="0031688D" w:rsidP="00387E5A">
      <w:pPr>
        <w:pStyle w:val="Heading1"/>
        <w:spacing w:before="0" w:line="240" w:lineRule="auto"/>
        <w:ind w:firstLine="284"/>
        <w:jc w:val="both"/>
        <w:rPr>
          <w:rStyle w:val="IntenseReference"/>
          <w:rFonts w:ascii="Garamond" w:hAnsi="Garamond"/>
          <w:color w:val="auto"/>
          <w:sz w:val="24"/>
          <w:szCs w:val="24"/>
          <w:lang w:val="sq-AL" w:eastAsia="en-US"/>
        </w:rPr>
      </w:pPr>
      <w:bookmarkStart w:id="67" w:name="_Toc231489665"/>
    </w:p>
    <w:p w14:paraId="18F0CE2D" w14:textId="5A619949" w:rsidR="003E1630" w:rsidRPr="00024D5A" w:rsidRDefault="00B27B08" w:rsidP="00387E5A">
      <w:pPr>
        <w:pStyle w:val="Heading1"/>
        <w:spacing w:before="0" w:line="240" w:lineRule="auto"/>
        <w:ind w:firstLine="284"/>
        <w:jc w:val="both"/>
        <w:rPr>
          <w:rStyle w:val="IntenseReference"/>
          <w:rFonts w:ascii="Garamond" w:hAnsi="Garamond"/>
          <w:color w:val="auto"/>
          <w:sz w:val="24"/>
          <w:szCs w:val="24"/>
          <w:lang w:val="sq-AL" w:eastAsia="en-US"/>
        </w:rPr>
      </w:pPr>
      <w:r w:rsidRPr="00024D5A">
        <w:rPr>
          <w:rStyle w:val="IntenseReference"/>
          <w:rFonts w:ascii="Garamond" w:hAnsi="Garamond"/>
          <w:color w:val="auto"/>
          <w:sz w:val="24"/>
          <w:szCs w:val="24"/>
          <w:lang w:val="sq-AL" w:eastAsia="en-US"/>
        </w:rPr>
        <w:t>6</w:t>
      </w:r>
      <w:r w:rsidR="005743A8" w:rsidRPr="00024D5A">
        <w:rPr>
          <w:rStyle w:val="IntenseReference"/>
          <w:rFonts w:ascii="Garamond" w:hAnsi="Garamond"/>
          <w:color w:val="auto"/>
          <w:sz w:val="24"/>
          <w:szCs w:val="24"/>
          <w:lang w:val="sq-AL" w:eastAsia="en-US"/>
        </w:rPr>
        <w:t xml:space="preserve">. </w:t>
      </w:r>
      <w:bookmarkStart w:id="68" w:name="_Toc96283402"/>
      <w:bookmarkStart w:id="69" w:name="_Toc88481599"/>
      <w:r w:rsidR="005743A8" w:rsidRPr="00024D5A">
        <w:rPr>
          <w:rStyle w:val="IntenseReference"/>
          <w:rFonts w:ascii="Garamond" w:hAnsi="Garamond"/>
          <w:color w:val="auto"/>
          <w:sz w:val="24"/>
          <w:szCs w:val="24"/>
          <w:lang w:val="sq-AL" w:eastAsia="en-US"/>
        </w:rPr>
        <w:t xml:space="preserve">VLERËSIMI DHE IMPAKTI EKONOMIK DHE FINANCIAR I </w:t>
      </w:r>
      <w:bookmarkEnd w:id="68"/>
      <w:bookmarkEnd w:id="69"/>
      <w:r w:rsidR="005743A8" w:rsidRPr="00024D5A">
        <w:rPr>
          <w:rStyle w:val="IntenseReference"/>
          <w:rFonts w:ascii="Garamond" w:hAnsi="Garamond"/>
          <w:color w:val="auto"/>
          <w:sz w:val="24"/>
          <w:szCs w:val="24"/>
          <w:lang w:val="sq-AL" w:eastAsia="en-US"/>
        </w:rPr>
        <w:t>PLANIT</w:t>
      </w:r>
      <w:r w:rsidR="008F29FA" w:rsidRPr="00024D5A">
        <w:rPr>
          <w:rStyle w:val="IntenseReference"/>
          <w:rFonts w:ascii="Garamond" w:hAnsi="Garamond"/>
          <w:color w:val="auto"/>
          <w:sz w:val="24"/>
          <w:szCs w:val="24"/>
          <w:lang w:val="sq-AL" w:eastAsia="en-US"/>
        </w:rPr>
        <w:t xml:space="preserve"> </w:t>
      </w:r>
      <w:r w:rsidR="005743A8" w:rsidRPr="00024D5A">
        <w:rPr>
          <w:rStyle w:val="IntenseReference"/>
          <w:rFonts w:ascii="Garamond" w:hAnsi="Garamond"/>
          <w:color w:val="auto"/>
          <w:sz w:val="24"/>
          <w:szCs w:val="24"/>
          <w:lang w:val="sq-AL" w:eastAsia="en-US"/>
        </w:rPr>
        <w:t>KOMBËTAR TË VEPRIMIT PËR PERSONAT ME AFTËSI TË KUFIZUAR</w:t>
      </w:r>
      <w:r w:rsidR="00170447" w:rsidRPr="00024D5A">
        <w:rPr>
          <w:rStyle w:val="IntenseReference"/>
          <w:rFonts w:ascii="Garamond" w:hAnsi="Garamond"/>
          <w:color w:val="auto"/>
          <w:sz w:val="24"/>
          <w:szCs w:val="24"/>
          <w:lang w:val="sq-AL" w:eastAsia="en-US"/>
        </w:rPr>
        <w:t>A</w:t>
      </w:r>
      <w:r w:rsidR="005743A8" w:rsidRPr="00024D5A">
        <w:rPr>
          <w:rStyle w:val="IntenseReference"/>
          <w:rFonts w:ascii="Garamond" w:hAnsi="Garamond"/>
          <w:color w:val="auto"/>
          <w:sz w:val="24"/>
          <w:szCs w:val="24"/>
          <w:lang w:val="sq-AL" w:eastAsia="en-US"/>
        </w:rPr>
        <w:t xml:space="preserve"> </w:t>
      </w:r>
      <w:r w:rsidR="00657405" w:rsidRPr="00024D5A">
        <w:rPr>
          <w:rStyle w:val="IntenseReference"/>
          <w:rFonts w:ascii="Garamond" w:hAnsi="Garamond"/>
          <w:color w:val="auto"/>
          <w:sz w:val="24"/>
          <w:szCs w:val="24"/>
          <w:lang w:val="sq-AL" w:eastAsia="en-US"/>
        </w:rPr>
        <w:t>2026–2030</w:t>
      </w:r>
      <w:bookmarkEnd w:id="67"/>
    </w:p>
    <w:p w14:paraId="69F7B659" w14:textId="0FAC91A3" w:rsidR="00B30A67" w:rsidRPr="00024D5A" w:rsidRDefault="00B30A67" w:rsidP="00387E5A">
      <w:pPr>
        <w:ind w:firstLine="284"/>
        <w:jc w:val="both"/>
        <w:rPr>
          <w:rFonts w:ascii="Garamond" w:hAnsi="Garamond"/>
          <w:lang w:eastAsia="en-US"/>
        </w:rPr>
      </w:pPr>
      <w:r w:rsidRPr="00024D5A">
        <w:rPr>
          <w:rFonts w:ascii="Garamond" w:hAnsi="Garamond"/>
          <w:lang w:eastAsia="en-US"/>
        </w:rPr>
        <w:t>Ky kapitull paraqet shpërndarjen e kostove treguese dhe burimet financiare për financimin e aktiviteteve</w:t>
      </w:r>
      <w:bookmarkStart w:id="70" w:name="_Hlk89013352"/>
      <w:r w:rsidRPr="00024D5A">
        <w:rPr>
          <w:rFonts w:ascii="Garamond" w:hAnsi="Garamond"/>
          <w:lang w:eastAsia="en-US"/>
        </w:rPr>
        <w:t xml:space="preserve"> për zbatimin e PKVPAK </w:t>
      </w:r>
      <w:r w:rsidR="00657405" w:rsidRPr="00024D5A">
        <w:rPr>
          <w:rFonts w:ascii="Garamond" w:hAnsi="Garamond"/>
          <w:lang w:eastAsia="en-US"/>
        </w:rPr>
        <w:t>2026–2030</w:t>
      </w:r>
      <w:bookmarkEnd w:id="70"/>
      <w:r w:rsidRPr="00024D5A">
        <w:rPr>
          <w:rFonts w:ascii="Garamond" w:hAnsi="Garamond"/>
          <w:lang w:eastAsia="en-US"/>
        </w:rPr>
        <w:t xml:space="preserve">. Kostimi i Planit është realizuar në bazë të metodologjive dhe praktikës së planifikimit buxhetor, me qëllim përcaktimin e kostove indikative mbështetur në objektivat dhe treguesit e përcaktuar për arritjen e tyre, si dhe në produktet e identifikuara për secilin aktivitet. </w:t>
      </w:r>
    </w:p>
    <w:p w14:paraId="5F1B6373" w14:textId="6E4A4B07" w:rsidR="00B30A67" w:rsidRPr="00024D5A" w:rsidRDefault="00B30A67" w:rsidP="00387E5A">
      <w:pPr>
        <w:ind w:firstLine="284"/>
        <w:jc w:val="both"/>
        <w:rPr>
          <w:rFonts w:ascii="Garamond" w:hAnsi="Garamond"/>
          <w:lang w:eastAsia="en-US"/>
        </w:rPr>
      </w:pPr>
      <w:r w:rsidRPr="00024D5A">
        <w:rPr>
          <w:rFonts w:ascii="Garamond" w:hAnsi="Garamond"/>
          <w:lang w:eastAsia="en-US"/>
        </w:rPr>
        <w:t>Procesi i kostimit u mbështet në konsultimin me Programin Buxhetor Afatmesëm 2026</w:t>
      </w:r>
      <w:r w:rsidR="0047308B" w:rsidRPr="00024D5A">
        <w:rPr>
          <w:rFonts w:ascii="Garamond" w:hAnsi="Garamond"/>
          <w:lang w:eastAsia="en-US"/>
        </w:rPr>
        <w:t>–</w:t>
      </w:r>
      <w:r w:rsidRPr="00024D5A">
        <w:rPr>
          <w:rFonts w:ascii="Garamond" w:hAnsi="Garamond"/>
          <w:lang w:eastAsia="en-US"/>
        </w:rPr>
        <w:t>2028 (faza II), të të gjitha ministrive që kanë masa në këtë plan, dhe institucionet e varësisë që janë përfshirë në zbatimin e Planit Kombëtar të Veprimit për personat me aftësi të kufizuar</w:t>
      </w:r>
      <w:r w:rsidR="00170447" w:rsidRPr="00024D5A">
        <w:rPr>
          <w:rFonts w:ascii="Garamond" w:hAnsi="Garamond"/>
          <w:lang w:eastAsia="en-US"/>
        </w:rPr>
        <w:t>a</w:t>
      </w:r>
      <w:r w:rsidRPr="00024D5A">
        <w:rPr>
          <w:rFonts w:ascii="Garamond" w:hAnsi="Garamond"/>
          <w:lang w:eastAsia="en-US"/>
        </w:rPr>
        <w:t xml:space="preserve"> në </w:t>
      </w:r>
      <w:r w:rsidRPr="00024D5A">
        <w:rPr>
          <w:rFonts w:ascii="Garamond" w:hAnsi="Garamond"/>
          <w:i/>
          <w:iCs/>
          <w:lang w:eastAsia="en-US"/>
        </w:rPr>
        <w:t>tetë fushat</w:t>
      </w:r>
      <w:r w:rsidRPr="00024D5A">
        <w:rPr>
          <w:rFonts w:ascii="Garamond" w:hAnsi="Garamond"/>
          <w:lang w:eastAsia="en-US"/>
        </w:rPr>
        <w:t xml:space="preserve"> e saj, si dhe në kostot historike nga zbatimi i strategjisë kombëtare të mbrojtjes sociale 2024</w:t>
      </w:r>
      <w:r w:rsidR="00043F56" w:rsidRPr="00024D5A">
        <w:rPr>
          <w:rFonts w:ascii="Garamond" w:hAnsi="Garamond"/>
          <w:lang w:eastAsia="en-US"/>
        </w:rPr>
        <w:t>–</w:t>
      </w:r>
      <w:r w:rsidRPr="00024D5A">
        <w:rPr>
          <w:rFonts w:ascii="Garamond" w:hAnsi="Garamond"/>
          <w:lang w:eastAsia="en-US"/>
        </w:rPr>
        <w:t xml:space="preserve">2030 sipas VKM-së </w:t>
      </w:r>
      <w:r w:rsidRPr="00024D5A">
        <w:rPr>
          <w:rFonts w:ascii="Garamond" w:eastAsia="SimSun" w:hAnsi="Garamond"/>
          <w:lang w:eastAsia="en-US"/>
        </w:rPr>
        <w:t>nr. 152, datë 13.3.2024</w:t>
      </w:r>
      <w:r w:rsidRPr="00024D5A">
        <w:rPr>
          <w:rFonts w:ascii="Garamond" w:hAnsi="Garamond"/>
          <w:lang w:eastAsia="en-US"/>
        </w:rPr>
        <w:t xml:space="preserve">, Strategjisë së Shëndetësisë dhe të tjera </w:t>
      </w:r>
      <w:r w:rsidR="0002249E" w:rsidRPr="00024D5A">
        <w:rPr>
          <w:rFonts w:ascii="Garamond" w:hAnsi="Garamond"/>
          <w:lang w:eastAsia="en-US"/>
        </w:rPr>
        <w:t>dokumente,</w:t>
      </w:r>
      <w:r w:rsidRPr="00024D5A">
        <w:rPr>
          <w:rFonts w:ascii="Garamond" w:hAnsi="Garamond"/>
          <w:lang w:eastAsia="en-US"/>
        </w:rPr>
        <w:t xml:space="preserve"> si dhe kostot e produkteve të PBA-së, p</w:t>
      </w:r>
      <w:r w:rsidR="002B6C8E" w:rsidRPr="00024D5A">
        <w:rPr>
          <w:rFonts w:ascii="Garamond" w:hAnsi="Garamond"/>
          <w:lang w:eastAsia="en-US"/>
        </w:rPr>
        <w:t>ë</w:t>
      </w:r>
      <w:r w:rsidRPr="00024D5A">
        <w:rPr>
          <w:rFonts w:ascii="Garamond" w:hAnsi="Garamond"/>
          <w:lang w:eastAsia="en-US"/>
        </w:rPr>
        <w:t>r Ministrit</w:t>
      </w:r>
      <w:r w:rsidR="002B6C8E" w:rsidRPr="00024D5A">
        <w:rPr>
          <w:rFonts w:ascii="Garamond" w:hAnsi="Garamond"/>
          <w:lang w:eastAsia="en-US"/>
        </w:rPr>
        <w:t>ë</w:t>
      </w:r>
      <w:r w:rsidRPr="00024D5A">
        <w:rPr>
          <w:rFonts w:ascii="Garamond" w:hAnsi="Garamond"/>
          <w:lang w:eastAsia="en-US"/>
        </w:rPr>
        <w:t>, dhe Institucionet respekti</w:t>
      </w:r>
      <w:r w:rsidR="00AC6CE7" w:rsidRPr="00024D5A">
        <w:rPr>
          <w:rFonts w:ascii="Garamond" w:hAnsi="Garamond"/>
          <w:lang w:eastAsia="en-US"/>
        </w:rPr>
        <w:t>v</w:t>
      </w:r>
      <w:r w:rsidRPr="00024D5A">
        <w:rPr>
          <w:rFonts w:ascii="Garamond" w:hAnsi="Garamond"/>
          <w:lang w:eastAsia="en-US"/>
        </w:rPr>
        <w:t xml:space="preserve">e. </w:t>
      </w:r>
    </w:p>
    <w:p w14:paraId="38C31AEE" w14:textId="655F1F68" w:rsidR="00B30A67" w:rsidRPr="00024D5A" w:rsidRDefault="00B30A67" w:rsidP="00387E5A">
      <w:pPr>
        <w:ind w:firstLine="284"/>
        <w:jc w:val="both"/>
        <w:rPr>
          <w:rFonts w:ascii="Garamond" w:hAnsi="Garamond"/>
          <w:lang w:eastAsia="en-US"/>
        </w:rPr>
      </w:pPr>
      <w:r w:rsidRPr="00024D5A">
        <w:rPr>
          <w:rFonts w:ascii="Garamond" w:hAnsi="Garamond"/>
          <w:lang w:eastAsia="en-US"/>
        </w:rPr>
        <w:t xml:space="preserve">Plani i </w:t>
      </w:r>
      <w:r w:rsidR="0002249E" w:rsidRPr="00024D5A">
        <w:rPr>
          <w:rFonts w:ascii="Garamond" w:hAnsi="Garamond"/>
          <w:lang w:eastAsia="en-US"/>
        </w:rPr>
        <w:t xml:space="preserve">veprimit </w:t>
      </w:r>
      <w:r w:rsidRPr="00024D5A">
        <w:rPr>
          <w:rFonts w:ascii="Garamond" w:hAnsi="Garamond"/>
          <w:lang w:eastAsia="en-US"/>
        </w:rPr>
        <w:t>për zbatimin e kësaj strategjie shoqërohet me një kostim analitik të secilës masë, i cili mbështetet nga detajimi i hollësishëm i shpenzimeve për çdo aktivitet.</w:t>
      </w:r>
    </w:p>
    <w:p w14:paraId="2FECE25F" w14:textId="39EB1D27" w:rsidR="00B30A67" w:rsidRPr="00024D5A" w:rsidRDefault="00B30A67" w:rsidP="00387E5A">
      <w:pPr>
        <w:ind w:firstLine="284"/>
        <w:jc w:val="both"/>
        <w:rPr>
          <w:rFonts w:ascii="Garamond" w:hAnsi="Garamond"/>
          <w:lang w:eastAsia="en-US"/>
        </w:rPr>
      </w:pPr>
      <w:r w:rsidRPr="00024D5A">
        <w:rPr>
          <w:rFonts w:ascii="Garamond" w:hAnsi="Garamond"/>
          <w:lang w:eastAsia="en-US"/>
        </w:rPr>
        <w:t xml:space="preserve">Gjatë procesit të kostimit janë identifikuar shpenzimet për secilin aktivitet të detajuar dhe ato janë klasifikuar sipas kategorive të paracaktuara të </w:t>
      </w:r>
      <w:r w:rsidR="0002249E" w:rsidRPr="00024D5A">
        <w:rPr>
          <w:rFonts w:ascii="Garamond" w:hAnsi="Garamond"/>
          <w:lang w:eastAsia="en-US"/>
        </w:rPr>
        <w:t>shpenzimeve</w:t>
      </w:r>
      <w:r w:rsidR="00EA3B63" w:rsidRPr="00024D5A">
        <w:rPr>
          <w:rStyle w:val="FootnoteReference"/>
          <w:rFonts w:ascii="Garamond" w:hAnsi="Garamond"/>
          <w:lang w:eastAsia="en-US"/>
        </w:rPr>
        <w:footnoteReference w:id="91"/>
      </w:r>
      <w:r w:rsidRPr="00024D5A">
        <w:rPr>
          <w:rFonts w:ascii="Garamond" w:hAnsi="Garamond"/>
          <w:lang w:eastAsia="en-US"/>
        </w:rPr>
        <w:t>.</w:t>
      </w:r>
    </w:p>
    <w:p w14:paraId="2DB51C0C" w14:textId="77777777" w:rsidR="00B30A67" w:rsidRPr="00024D5A" w:rsidRDefault="00B30A67" w:rsidP="00387E5A">
      <w:pPr>
        <w:ind w:firstLine="284"/>
        <w:jc w:val="both"/>
        <w:rPr>
          <w:rFonts w:ascii="Garamond" w:eastAsia="SimSun" w:hAnsi="Garamond"/>
          <w:lang w:eastAsia="en-US"/>
        </w:rPr>
      </w:pPr>
      <w:r w:rsidRPr="00024D5A">
        <w:rPr>
          <w:rFonts w:ascii="Garamond" w:hAnsi="Garamond"/>
          <w:lang w:eastAsia="en-US"/>
        </w:rPr>
        <w:t>Metodologjia e përdorur për kostimin dhe ndarjen e tyre bazohet në një strukturë të qartë klasifikimi, e cila parashikon ndarjen e shpenzimeve në kategoritë e mëposhtme</w:t>
      </w:r>
      <w:r w:rsidRPr="00024D5A">
        <w:rPr>
          <w:rFonts w:ascii="Garamond" w:eastAsia="SimSun" w:hAnsi="Garamond"/>
          <w:lang w:eastAsia="en-US"/>
        </w:rPr>
        <w:t>:</w:t>
      </w:r>
    </w:p>
    <w:p w14:paraId="43B8A106" w14:textId="445010E6" w:rsidR="00387E5A" w:rsidRPr="00024D5A" w:rsidRDefault="00387E5A" w:rsidP="00387E5A">
      <w:pPr>
        <w:ind w:firstLine="284"/>
        <w:rPr>
          <w:rFonts w:ascii="Garamond" w:hAnsi="Garamond"/>
        </w:rPr>
      </w:pPr>
      <w:r w:rsidRPr="00024D5A">
        <w:rPr>
          <w:rFonts w:ascii="Garamond" w:hAnsi="Garamond"/>
        </w:rPr>
        <w:t>- Paga dhe sigurime shoqërore;</w:t>
      </w:r>
    </w:p>
    <w:p w14:paraId="1D063AA0" w14:textId="2CF7A52B" w:rsidR="00387E5A" w:rsidRPr="00024D5A" w:rsidRDefault="00387E5A" w:rsidP="00387E5A">
      <w:pPr>
        <w:autoSpaceDE w:val="0"/>
        <w:autoSpaceDN w:val="0"/>
        <w:adjustRightInd w:val="0"/>
        <w:ind w:firstLine="284"/>
        <w:jc w:val="both"/>
        <w:rPr>
          <w:rFonts w:ascii="Garamond" w:hAnsi="Garamond" w:cs="Garamond"/>
          <w:lang w:eastAsia="en-US"/>
        </w:rPr>
      </w:pPr>
      <w:r w:rsidRPr="00024D5A">
        <w:rPr>
          <w:rFonts w:ascii="Garamond" w:hAnsi="Garamond"/>
        </w:rPr>
        <w:t xml:space="preserve">- </w:t>
      </w:r>
      <w:r w:rsidRPr="00024D5A">
        <w:rPr>
          <w:rFonts w:ascii="Garamond" w:hAnsi="Garamond" w:cs="Garamond"/>
          <w:lang w:eastAsia="en-US"/>
        </w:rPr>
        <w:t>Shpenzime operative;</w:t>
      </w:r>
    </w:p>
    <w:p w14:paraId="1303BEA1" w14:textId="4F97AA08" w:rsidR="00387E5A" w:rsidRPr="00024D5A" w:rsidRDefault="00387E5A" w:rsidP="00387E5A">
      <w:pPr>
        <w:autoSpaceDE w:val="0"/>
        <w:autoSpaceDN w:val="0"/>
        <w:adjustRightInd w:val="0"/>
        <w:ind w:firstLine="284"/>
        <w:jc w:val="both"/>
        <w:rPr>
          <w:rFonts w:ascii="Garamond" w:hAnsi="Garamond" w:cs="Garamond"/>
          <w:lang w:eastAsia="en-US"/>
        </w:rPr>
      </w:pPr>
      <w:r w:rsidRPr="00024D5A">
        <w:rPr>
          <w:rFonts w:ascii="Garamond" w:hAnsi="Garamond"/>
        </w:rPr>
        <w:t xml:space="preserve">- </w:t>
      </w:r>
      <w:r w:rsidRPr="00024D5A">
        <w:rPr>
          <w:rFonts w:ascii="Garamond" w:hAnsi="Garamond" w:cs="Garamond"/>
          <w:lang w:eastAsia="en-US"/>
        </w:rPr>
        <w:t>Trajnime, studime, asistenca teknike etj.;</w:t>
      </w:r>
    </w:p>
    <w:p w14:paraId="11B4EA4D" w14:textId="258544C5" w:rsidR="00387E5A" w:rsidRPr="00024D5A" w:rsidRDefault="00387E5A" w:rsidP="00387E5A">
      <w:pPr>
        <w:autoSpaceDE w:val="0"/>
        <w:autoSpaceDN w:val="0"/>
        <w:adjustRightInd w:val="0"/>
        <w:ind w:firstLine="284"/>
        <w:jc w:val="both"/>
        <w:rPr>
          <w:rFonts w:ascii="Garamond" w:hAnsi="Garamond" w:cs="Garamond"/>
          <w:lang w:eastAsia="en-US"/>
        </w:rPr>
      </w:pPr>
      <w:r w:rsidRPr="00024D5A">
        <w:rPr>
          <w:rFonts w:ascii="Garamond" w:hAnsi="Garamond"/>
        </w:rPr>
        <w:t>-</w:t>
      </w:r>
      <w:r w:rsidRPr="00024D5A">
        <w:rPr>
          <w:rFonts w:ascii="Garamond" w:hAnsi="Garamond" w:cs="Wingdings"/>
          <w:lang w:eastAsia="en-US"/>
        </w:rPr>
        <w:t xml:space="preserve"> </w:t>
      </w:r>
      <w:r w:rsidRPr="00024D5A">
        <w:rPr>
          <w:rFonts w:ascii="Garamond" w:hAnsi="Garamond" w:cs="Garamond"/>
          <w:lang w:eastAsia="en-US"/>
        </w:rPr>
        <w:t>Investime.</w:t>
      </w:r>
    </w:p>
    <w:p w14:paraId="648D4E35" w14:textId="77777777" w:rsidR="00387E5A" w:rsidRPr="00024D5A" w:rsidRDefault="00387E5A" w:rsidP="00387E5A">
      <w:pPr>
        <w:autoSpaceDE w:val="0"/>
        <w:autoSpaceDN w:val="0"/>
        <w:adjustRightInd w:val="0"/>
        <w:ind w:firstLine="284"/>
        <w:jc w:val="both"/>
        <w:rPr>
          <w:rFonts w:ascii="Garamond" w:hAnsi="Garamond" w:cs="Garamond"/>
          <w:lang w:eastAsia="en-US"/>
        </w:rPr>
      </w:pPr>
      <w:r w:rsidRPr="00024D5A">
        <w:rPr>
          <w:rFonts w:ascii="Garamond" w:hAnsi="Garamond" w:cs="Garamond"/>
          <w:lang w:eastAsia="en-US"/>
        </w:rPr>
        <w:t>Ky klasifikim mundëson një paraqitje të qartë dhe të strukturuar të kostove, duke lehtësuar analizën, planifikimin dhe monitorimin e tyre.</w:t>
      </w:r>
    </w:p>
    <w:p w14:paraId="1BFE36F9" w14:textId="77777777" w:rsidR="00387E5A" w:rsidRPr="00024D5A" w:rsidRDefault="00387E5A" w:rsidP="00387E5A">
      <w:pPr>
        <w:autoSpaceDE w:val="0"/>
        <w:autoSpaceDN w:val="0"/>
        <w:adjustRightInd w:val="0"/>
        <w:ind w:firstLine="284"/>
        <w:jc w:val="both"/>
        <w:rPr>
          <w:rFonts w:ascii="Garamond" w:hAnsi="Garamond" w:cs="Garamond"/>
          <w:lang w:eastAsia="en-US"/>
        </w:rPr>
      </w:pPr>
      <w:r w:rsidRPr="00024D5A">
        <w:rPr>
          <w:rFonts w:ascii="Garamond" w:hAnsi="Garamond" w:cs="Garamond"/>
          <w:lang w:eastAsia="en-US"/>
        </w:rPr>
        <w:t xml:space="preserve">Përllogaritjet janë realizuar sipas viteve financiare, duke paraqitur një shpërndarje të qartë të fondeve/për aktivitet/për objektiv/për qëllim, për secilën fushë përkatëse. </w:t>
      </w:r>
    </w:p>
    <w:p w14:paraId="028FC1A2" w14:textId="7D16BC8C" w:rsidR="00387E5A" w:rsidRPr="00024D5A" w:rsidRDefault="00387E5A" w:rsidP="00387E5A">
      <w:pPr>
        <w:autoSpaceDE w:val="0"/>
        <w:autoSpaceDN w:val="0"/>
        <w:adjustRightInd w:val="0"/>
        <w:ind w:firstLine="284"/>
        <w:jc w:val="both"/>
        <w:rPr>
          <w:rFonts w:ascii="Garamond" w:hAnsi="Garamond" w:cs="Garamond"/>
          <w:lang w:eastAsia="en-US"/>
        </w:rPr>
      </w:pPr>
      <w:r w:rsidRPr="00024D5A">
        <w:rPr>
          <w:rFonts w:ascii="Garamond" w:hAnsi="Garamond" w:cs="Garamond"/>
          <w:lang w:eastAsia="en-US"/>
        </w:rPr>
        <w:t xml:space="preserve">Kostoja totale për zbatimin e Planit të Veprimit për periudhën </w:t>
      </w:r>
      <w:r w:rsidR="00657405" w:rsidRPr="00024D5A">
        <w:rPr>
          <w:rFonts w:ascii="Garamond" w:hAnsi="Garamond" w:cs="Garamond"/>
          <w:lang w:eastAsia="en-US"/>
        </w:rPr>
        <w:t>2026–2030</w:t>
      </w:r>
      <w:r w:rsidRPr="00024D5A">
        <w:rPr>
          <w:rFonts w:ascii="Garamond" w:hAnsi="Garamond" w:cs="Garamond"/>
          <w:lang w:eastAsia="en-US"/>
        </w:rPr>
        <w:t xml:space="preserve"> është vlerësuar në një vlerë prej 7 551 673 435 (</w:t>
      </w:r>
      <w:r w:rsidR="0002249E" w:rsidRPr="00024D5A">
        <w:rPr>
          <w:rFonts w:ascii="Garamond" w:hAnsi="Garamond" w:cs="Garamond"/>
          <w:lang w:eastAsia="en-US"/>
        </w:rPr>
        <w:t xml:space="preserve">shtatë </w:t>
      </w:r>
      <w:r w:rsidRPr="00024D5A">
        <w:rPr>
          <w:rFonts w:ascii="Garamond" w:hAnsi="Garamond" w:cs="Garamond"/>
          <w:lang w:eastAsia="en-US"/>
        </w:rPr>
        <w:t>miliardë e pesëqind e pesëdhjetë e një milionë e gjashtëqind e shtatëdhjetë e tre mijë e katërqind e tridhjetë e pesë) lekë</w:t>
      </w:r>
      <w:r w:rsidR="0002249E" w:rsidRPr="00024D5A">
        <w:rPr>
          <w:rFonts w:ascii="Garamond" w:hAnsi="Garamond" w:cs="Garamond"/>
          <w:lang w:eastAsia="en-US"/>
        </w:rPr>
        <w:t>sh</w:t>
      </w:r>
      <w:r w:rsidRPr="00024D5A">
        <w:rPr>
          <w:rFonts w:ascii="Garamond" w:hAnsi="Garamond" w:cs="Garamond"/>
          <w:lang w:eastAsia="en-US"/>
        </w:rPr>
        <w:t xml:space="preserve">. </w:t>
      </w:r>
    </w:p>
    <w:p w14:paraId="600408CA" w14:textId="77777777" w:rsidR="00387E5A" w:rsidRPr="00024D5A" w:rsidRDefault="00387E5A" w:rsidP="00387E5A">
      <w:pPr>
        <w:autoSpaceDE w:val="0"/>
        <w:autoSpaceDN w:val="0"/>
        <w:adjustRightInd w:val="0"/>
        <w:ind w:firstLine="284"/>
        <w:jc w:val="both"/>
        <w:rPr>
          <w:rFonts w:ascii="Garamond" w:hAnsi="Garamond" w:cs="Garamond"/>
          <w:lang w:eastAsia="en-US"/>
        </w:rPr>
      </w:pPr>
      <w:r w:rsidRPr="00024D5A">
        <w:rPr>
          <w:rFonts w:ascii="Garamond" w:hAnsi="Garamond" w:cs="Garamond"/>
          <w:lang w:eastAsia="en-US"/>
        </w:rPr>
        <w:t>E cila shpërndahet si më poshtë:</w:t>
      </w:r>
    </w:p>
    <w:p w14:paraId="15D21C48" w14:textId="600BF136" w:rsidR="00387E5A" w:rsidRPr="00024D5A" w:rsidRDefault="00387E5A" w:rsidP="00387E5A">
      <w:pPr>
        <w:autoSpaceDE w:val="0"/>
        <w:autoSpaceDN w:val="0"/>
        <w:adjustRightInd w:val="0"/>
        <w:ind w:firstLine="284"/>
        <w:jc w:val="both"/>
        <w:rPr>
          <w:rFonts w:ascii="Garamond" w:hAnsi="Garamond" w:cs="Garamond"/>
          <w:lang w:eastAsia="en-US"/>
        </w:rPr>
      </w:pPr>
      <w:r w:rsidRPr="00024D5A">
        <w:rPr>
          <w:rFonts w:ascii="Garamond" w:hAnsi="Garamond"/>
        </w:rPr>
        <w:t xml:space="preserve">- </w:t>
      </w:r>
      <w:r w:rsidRPr="00024D5A">
        <w:rPr>
          <w:rFonts w:ascii="Garamond" w:hAnsi="Garamond" w:cs="Garamond"/>
          <w:lang w:eastAsia="en-US"/>
        </w:rPr>
        <w:t>5 996 262 113 (</w:t>
      </w:r>
      <w:r w:rsidR="00224BA7" w:rsidRPr="00024D5A">
        <w:rPr>
          <w:rFonts w:ascii="Garamond" w:hAnsi="Garamond" w:cs="Garamond"/>
          <w:lang w:eastAsia="en-US"/>
        </w:rPr>
        <w:t xml:space="preserve">pesë </w:t>
      </w:r>
      <w:r w:rsidRPr="00024D5A">
        <w:rPr>
          <w:rFonts w:ascii="Garamond" w:hAnsi="Garamond" w:cs="Garamond"/>
          <w:lang w:eastAsia="en-US"/>
        </w:rPr>
        <w:t>miliardë e nëntëqind e nëntëdhjetë e gjashtë milionë e dyqind e gjashtëdhjetë e dy mijë e njëqind e trembëdhjetë.) lekë, të planifikuara nga Buxheti i Shtetit;</w:t>
      </w:r>
    </w:p>
    <w:p w14:paraId="3893BA0B" w14:textId="3967DD90" w:rsidR="00387E5A" w:rsidRPr="00024D5A" w:rsidRDefault="00387E5A" w:rsidP="00387E5A">
      <w:pPr>
        <w:autoSpaceDE w:val="0"/>
        <w:autoSpaceDN w:val="0"/>
        <w:adjustRightInd w:val="0"/>
        <w:ind w:firstLine="284"/>
        <w:jc w:val="both"/>
        <w:rPr>
          <w:rFonts w:ascii="Garamond" w:hAnsi="Garamond" w:cs="Garamond"/>
          <w:lang w:eastAsia="en-US"/>
        </w:rPr>
      </w:pPr>
      <w:r w:rsidRPr="00024D5A">
        <w:rPr>
          <w:rFonts w:ascii="Garamond" w:hAnsi="Garamond"/>
        </w:rPr>
        <w:t xml:space="preserve">- </w:t>
      </w:r>
      <w:r w:rsidRPr="00024D5A">
        <w:rPr>
          <w:rFonts w:ascii="Garamond" w:hAnsi="Garamond" w:cs="Garamond"/>
          <w:lang w:eastAsia="en-US"/>
        </w:rPr>
        <w:t>148 032 909 (</w:t>
      </w:r>
      <w:r w:rsidR="00224BA7" w:rsidRPr="00024D5A">
        <w:rPr>
          <w:rFonts w:ascii="Garamond" w:hAnsi="Garamond" w:cs="Garamond"/>
          <w:lang w:eastAsia="en-US"/>
        </w:rPr>
        <w:t xml:space="preserve">njëqind </w:t>
      </w:r>
      <w:r w:rsidRPr="00024D5A">
        <w:rPr>
          <w:rFonts w:ascii="Garamond" w:hAnsi="Garamond" w:cs="Garamond"/>
          <w:lang w:eastAsia="en-US"/>
        </w:rPr>
        <w:t>e dyzet e tetë milionë e tridhjetë e dy mijë e nëntëqind e nëntë) lekë, të parashikuar për t’u siguruara nga donator/financim i huaj;</w:t>
      </w:r>
    </w:p>
    <w:p w14:paraId="16550134" w14:textId="1A86262B" w:rsidR="00387E5A" w:rsidRPr="00024D5A" w:rsidRDefault="00387E5A" w:rsidP="00387E5A">
      <w:pPr>
        <w:autoSpaceDE w:val="0"/>
        <w:autoSpaceDN w:val="0"/>
        <w:adjustRightInd w:val="0"/>
        <w:ind w:firstLine="284"/>
        <w:jc w:val="both"/>
        <w:rPr>
          <w:rFonts w:ascii="Garamond" w:hAnsi="Garamond" w:cs="Garamond"/>
          <w:lang w:eastAsia="en-US"/>
        </w:rPr>
      </w:pPr>
      <w:r w:rsidRPr="00024D5A">
        <w:rPr>
          <w:rFonts w:ascii="Garamond" w:hAnsi="Garamond"/>
        </w:rPr>
        <w:t xml:space="preserve">- </w:t>
      </w:r>
      <w:r w:rsidRPr="00024D5A">
        <w:rPr>
          <w:rFonts w:ascii="Garamond" w:hAnsi="Garamond" w:cs="Garamond"/>
          <w:lang w:eastAsia="en-US"/>
        </w:rPr>
        <w:t>1 407 378 413 (</w:t>
      </w:r>
      <w:r w:rsidR="00224BA7" w:rsidRPr="00024D5A">
        <w:rPr>
          <w:rFonts w:ascii="Garamond" w:hAnsi="Garamond" w:cs="Garamond"/>
          <w:lang w:eastAsia="en-US"/>
        </w:rPr>
        <w:t xml:space="preserve">një </w:t>
      </w:r>
      <w:r w:rsidRPr="00024D5A">
        <w:rPr>
          <w:rFonts w:ascii="Garamond" w:hAnsi="Garamond" w:cs="Garamond"/>
          <w:lang w:eastAsia="en-US"/>
        </w:rPr>
        <w:t>miliardë e katërqind e shtatë milionë e treqind e shtatëdhjetë e tetë mijë e katërqind e trembëdhjetë) lekë, hendek financiar, i cili mund të mbulohet përmes:</w:t>
      </w:r>
    </w:p>
    <w:p w14:paraId="561BED20" w14:textId="6014758A" w:rsidR="00387E5A" w:rsidRPr="00024D5A" w:rsidRDefault="00387E5A" w:rsidP="00387E5A">
      <w:pPr>
        <w:autoSpaceDE w:val="0"/>
        <w:autoSpaceDN w:val="0"/>
        <w:adjustRightInd w:val="0"/>
        <w:ind w:firstLine="284"/>
        <w:jc w:val="both"/>
        <w:rPr>
          <w:rFonts w:ascii="Garamond" w:hAnsi="Garamond"/>
          <w:lang w:eastAsia="en-US"/>
        </w:rPr>
      </w:pPr>
      <w:r w:rsidRPr="00024D5A">
        <w:rPr>
          <w:rFonts w:ascii="Garamond" w:hAnsi="Garamond"/>
        </w:rPr>
        <w:t xml:space="preserve">- </w:t>
      </w:r>
      <w:r w:rsidRPr="00024D5A">
        <w:rPr>
          <w:rFonts w:ascii="Garamond" w:hAnsi="Garamond" w:cs="Garamond"/>
          <w:lang w:eastAsia="en-US"/>
        </w:rPr>
        <w:t>rishikimit dhe prioritizimit të masave brenda tavaneve të Programit Buxhetor Afatmesëm gjatë cikleve të ardhshme buxhetore;</w:t>
      </w:r>
    </w:p>
    <w:p w14:paraId="0864B82C" w14:textId="59859E6B" w:rsidR="00387E5A" w:rsidRPr="00024D5A" w:rsidRDefault="00387E5A" w:rsidP="00387E5A">
      <w:pPr>
        <w:autoSpaceDE w:val="0"/>
        <w:autoSpaceDN w:val="0"/>
        <w:adjustRightInd w:val="0"/>
        <w:ind w:firstLine="284"/>
        <w:jc w:val="both"/>
        <w:rPr>
          <w:rFonts w:ascii="Garamond" w:hAnsi="Garamond"/>
          <w:lang w:eastAsia="en-US"/>
        </w:rPr>
      </w:pPr>
      <w:r w:rsidRPr="00024D5A">
        <w:rPr>
          <w:rFonts w:ascii="Garamond" w:hAnsi="Garamond"/>
        </w:rPr>
        <w:t xml:space="preserve">- </w:t>
      </w:r>
      <w:r w:rsidRPr="00024D5A">
        <w:rPr>
          <w:rFonts w:ascii="Garamond" w:hAnsi="Garamond" w:cs="Garamond"/>
          <w:lang w:eastAsia="en-US"/>
        </w:rPr>
        <w:t xml:space="preserve">mobilizimit të fondeve nga instrumentet e asistencës së huaj, nëpërmjet </w:t>
      </w:r>
      <w:r w:rsidR="00224BA7" w:rsidRPr="00024D5A">
        <w:rPr>
          <w:rFonts w:ascii="Garamond" w:hAnsi="Garamond" w:cs="Garamond"/>
          <w:lang w:eastAsia="en-US"/>
        </w:rPr>
        <w:t>organizatave</w:t>
      </w:r>
      <w:r w:rsidRPr="00024D5A">
        <w:rPr>
          <w:rFonts w:ascii="Garamond" w:hAnsi="Garamond" w:cs="Garamond"/>
          <w:lang w:eastAsia="en-US"/>
        </w:rPr>
        <w:t xml:space="preserve"> të UN</w:t>
      </w:r>
      <w:r w:rsidR="00224BA7" w:rsidRPr="00024D5A">
        <w:rPr>
          <w:rFonts w:ascii="Garamond" w:hAnsi="Garamond" w:cs="Garamond"/>
          <w:lang w:eastAsia="en-US"/>
        </w:rPr>
        <w:t>-së</w:t>
      </w:r>
      <w:r w:rsidRPr="00024D5A">
        <w:rPr>
          <w:rFonts w:ascii="Garamond" w:hAnsi="Garamond" w:cs="Garamond"/>
          <w:lang w:eastAsia="en-US"/>
        </w:rPr>
        <w:t>,</w:t>
      </w:r>
      <w:r w:rsidR="00A92F2B" w:rsidRPr="00024D5A">
        <w:rPr>
          <w:rFonts w:ascii="Garamond" w:hAnsi="Garamond" w:cs="Garamond"/>
          <w:lang w:eastAsia="en-US"/>
        </w:rPr>
        <w:t xml:space="preserve"> </w:t>
      </w:r>
      <w:r w:rsidRPr="00024D5A">
        <w:rPr>
          <w:rFonts w:ascii="Garamond" w:hAnsi="Garamond" w:cs="Garamond"/>
          <w:lang w:eastAsia="en-US"/>
        </w:rPr>
        <w:t>WHO etj</w:t>
      </w:r>
      <w:r w:rsidR="00224BA7" w:rsidRPr="00024D5A">
        <w:rPr>
          <w:rFonts w:ascii="Garamond" w:hAnsi="Garamond" w:cs="Garamond"/>
          <w:lang w:eastAsia="en-US"/>
        </w:rPr>
        <w:t>.</w:t>
      </w:r>
      <w:r w:rsidRPr="00024D5A">
        <w:rPr>
          <w:rFonts w:ascii="Garamond" w:hAnsi="Garamond" w:cs="Garamond"/>
          <w:lang w:eastAsia="en-US"/>
        </w:rPr>
        <w:t>,</w:t>
      </w:r>
      <w:r w:rsidR="008F29FA" w:rsidRPr="00024D5A">
        <w:rPr>
          <w:rFonts w:ascii="Garamond" w:hAnsi="Garamond" w:cs="Garamond"/>
          <w:lang w:eastAsia="en-US"/>
        </w:rPr>
        <w:t xml:space="preserve"> </w:t>
      </w:r>
      <w:r w:rsidRPr="00024D5A">
        <w:rPr>
          <w:rFonts w:ascii="Garamond" w:hAnsi="Garamond" w:cs="Garamond"/>
          <w:lang w:eastAsia="en-US"/>
        </w:rPr>
        <w:t>përfshirë edhe programet e Bashkimit Evropian (si p.sh. IPA) dhe projekte të tjera të financuara nga partnerët zhvillimorë ndër</w:t>
      </w:r>
      <w:r w:rsidR="00224BA7" w:rsidRPr="00024D5A">
        <w:rPr>
          <w:rFonts w:ascii="Garamond" w:hAnsi="Garamond" w:cs="Garamond"/>
          <w:lang w:eastAsia="en-US"/>
        </w:rPr>
        <w:t>k</w:t>
      </w:r>
      <w:r w:rsidRPr="00024D5A">
        <w:rPr>
          <w:rFonts w:ascii="Garamond" w:hAnsi="Garamond" w:cs="Garamond"/>
          <w:lang w:eastAsia="en-US"/>
        </w:rPr>
        <w:t>ombëtarë. Programimi i këtyre fondeve realizohet në përputhje me ciklet shumëvjeçare të planifikimit dhe kuadrot përkatëse të bashkëpunimit (marrëveshje/memorandume mirëkuptimi), mbi bazën e prioriteteve të dakordësuara me palën shqiptare. Në këtë kontekst, angazhimet buxhetore reflektohen në mënyrë të fazuar në periudhat pasuese, duke integruar gradualisht edhe nevojat e pambuluara të identifikuara në kuadër të strategjisë aktuale të (PVPAK)</w:t>
      </w:r>
      <w:r w:rsidR="009B2661" w:rsidRPr="00024D5A">
        <w:rPr>
          <w:rFonts w:ascii="Garamond" w:hAnsi="Garamond" w:cs="Garamond"/>
          <w:lang w:eastAsia="en-US"/>
        </w:rPr>
        <w:t>:</w:t>
      </w:r>
    </w:p>
    <w:p w14:paraId="1AFA37C5" w14:textId="4FEB2ADC" w:rsidR="00387E5A" w:rsidRPr="00024D5A" w:rsidRDefault="00387E5A" w:rsidP="00387E5A">
      <w:pPr>
        <w:autoSpaceDE w:val="0"/>
        <w:autoSpaceDN w:val="0"/>
        <w:adjustRightInd w:val="0"/>
        <w:ind w:firstLine="284"/>
        <w:jc w:val="both"/>
        <w:rPr>
          <w:rFonts w:ascii="Garamond" w:hAnsi="Garamond"/>
          <w:lang w:eastAsia="en-US"/>
        </w:rPr>
      </w:pPr>
      <w:r w:rsidRPr="00024D5A">
        <w:rPr>
          <w:rFonts w:ascii="Garamond" w:hAnsi="Garamond"/>
        </w:rPr>
        <w:t xml:space="preserve">- </w:t>
      </w:r>
      <w:r w:rsidRPr="00024D5A">
        <w:rPr>
          <w:rFonts w:ascii="Garamond" w:hAnsi="Garamond" w:cs="Garamond"/>
          <w:lang w:eastAsia="en-US"/>
        </w:rPr>
        <w:t>zgjerimit të bashkëpunimit me organizata ndërkombëtare dhe donatorë bilateralë për financimin e ndërhyrjeve specifike; si dhe shfrytëzimit të skemave të bashkëfinancimit dhe mekanizmave të tjerë financiarë, aty ku është e aplikueshme</w:t>
      </w:r>
    </w:p>
    <w:p w14:paraId="4BA92ADD" w14:textId="54A18761" w:rsidR="00B30A67" w:rsidRPr="00024D5A" w:rsidRDefault="00B30A67" w:rsidP="00387E5A">
      <w:pPr>
        <w:ind w:firstLine="284"/>
        <w:jc w:val="both"/>
        <w:rPr>
          <w:rFonts w:ascii="Garamond" w:hAnsi="Garamond"/>
          <w:lang w:eastAsia="en-US"/>
        </w:rPr>
      </w:pPr>
      <w:r w:rsidRPr="00024D5A">
        <w:rPr>
          <w:rFonts w:ascii="Garamond" w:eastAsia="SimSun" w:hAnsi="Garamond"/>
          <w:lang w:eastAsia="en-US"/>
        </w:rPr>
        <w:t xml:space="preserve">Tabela e mëposhtme, pasqyron në detaje kostot financiare, burimet e financimit dhe hendekun financiar përgjatë periudhës </w:t>
      </w:r>
      <w:r w:rsidR="00657405" w:rsidRPr="00024D5A">
        <w:rPr>
          <w:rFonts w:ascii="Garamond" w:eastAsia="SimSun" w:hAnsi="Garamond"/>
          <w:lang w:eastAsia="en-US"/>
        </w:rPr>
        <w:t>2026–2030</w:t>
      </w:r>
      <w:r w:rsidRPr="00024D5A">
        <w:rPr>
          <w:rFonts w:ascii="Garamond" w:eastAsia="SimSun" w:hAnsi="Garamond"/>
          <w:lang w:eastAsia="en-US"/>
        </w:rPr>
        <w:t xml:space="preserve">, për secilën fushë, në </w:t>
      </w:r>
      <w:r w:rsidR="009B2661" w:rsidRPr="00024D5A">
        <w:rPr>
          <w:rFonts w:ascii="Garamond" w:eastAsia="SimSun" w:hAnsi="Garamond"/>
          <w:lang w:eastAsia="en-US"/>
        </w:rPr>
        <w:t xml:space="preserve">lekë dhe në euro, me </w:t>
      </w:r>
      <w:r w:rsidRPr="00024D5A">
        <w:rPr>
          <w:rFonts w:ascii="Garamond" w:eastAsia="SimSun" w:hAnsi="Garamond"/>
          <w:lang w:eastAsia="en-US"/>
        </w:rPr>
        <w:t xml:space="preserve">një </w:t>
      </w:r>
      <w:r w:rsidRPr="00024D5A">
        <w:rPr>
          <w:rFonts w:ascii="Garamond" w:hAnsi="Garamond"/>
          <w:lang w:eastAsia="en-US"/>
        </w:rPr>
        <w:t>kurs mesatar për referencë është përllogaritur me 96 lek</w:t>
      </w:r>
      <w:r w:rsidR="00E755A6" w:rsidRPr="00024D5A">
        <w:rPr>
          <w:rFonts w:ascii="Garamond" w:hAnsi="Garamond"/>
          <w:lang w:eastAsia="en-US"/>
        </w:rPr>
        <w:t>ë</w:t>
      </w:r>
      <w:r w:rsidRPr="00024D5A">
        <w:rPr>
          <w:rFonts w:ascii="Garamond" w:hAnsi="Garamond"/>
          <w:lang w:eastAsia="en-US"/>
        </w:rPr>
        <w:t xml:space="preserve"> për 1 euro.</w:t>
      </w:r>
    </w:p>
    <w:p w14:paraId="53D382C2" w14:textId="77777777" w:rsidR="009B2661" w:rsidRPr="00024D5A" w:rsidRDefault="009B2661" w:rsidP="00387E5A">
      <w:pPr>
        <w:ind w:firstLine="284"/>
        <w:jc w:val="both"/>
        <w:rPr>
          <w:rFonts w:ascii="Garamond" w:hAnsi="Garamond"/>
          <w:lang w:eastAsia="en-US"/>
        </w:rPr>
      </w:pPr>
    </w:p>
    <w:tbl>
      <w:tblPr>
        <w:tblStyle w:val="MediumGrid3-Accent11"/>
        <w:tblW w:w="9507" w:type="dxa"/>
        <w:tblLook w:val="04A0" w:firstRow="1" w:lastRow="0" w:firstColumn="1" w:lastColumn="0" w:noHBand="0" w:noVBand="1"/>
      </w:tblPr>
      <w:tblGrid>
        <w:gridCol w:w="594"/>
        <w:gridCol w:w="2761"/>
        <w:gridCol w:w="1755"/>
        <w:gridCol w:w="1556"/>
        <w:gridCol w:w="1357"/>
        <w:gridCol w:w="1484"/>
      </w:tblGrid>
      <w:tr w:rsidR="004F6BE2" w:rsidRPr="00024D5A" w14:paraId="03C69884" w14:textId="77777777" w:rsidTr="009B2661">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94" w:type="dxa"/>
            <w:noWrap/>
            <w:vAlign w:val="center"/>
            <w:hideMark/>
          </w:tcPr>
          <w:p w14:paraId="2B37AB29" w14:textId="5C396653" w:rsidR="004F6BE2" w:rsidRPr="00024D5A" w:rsidRDefault="004F6BE2" w:rsidP="009B2661">
            <w:pPr>
              <w:jc w:val="center"/>
              <w:rPr>
                <w:rFonts w:ascii="Garamond" w:eastAsia="Times New Roman" w:hAnsi="Garamond"/>
                <w:color w:val="auto"/>
                <w:sz w:val="20"/>
                <w:szCs w:val="20"/>
                <w:lang w:eastAsia="en-US"/>
              </w:rPr>
            </w:pPr>
          </w:p>
        </w:tc>
        <w:tc>
          <w:tcPr>
            <w:tcW w:w="2761" w:type="dxa"/>
            <w:vAlign w:val="center"/>
            <w:hideMark/>
          </w:tcPr>
          <w:p w14:paraId="11AE02D6" w14:textId="17B9FB65" w:rsidR="004F6BE2" w:rsidRPr="00024D5A" w:rsidRDefault="004F6BE2" w:rsidP="009B2661">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olor w:val="auto"/>
                <w:sz w:val="20"/>
                <w:szCs w:val="20"/>
                <w:lang w:eastAsia="en-US"/>
              </w:rPr>
            </w:pPr>
            <w:r w:rsidRPr="00024D5A">
              <w:rPr>
                <w:rFonts w:ascii="Garamond" w:hAnsi="Garamond"/>
                <w:color w:val="auto"/>
                <w:sz w:val="20"/>
                <w:szCs w:val="20"/>
              </w:rPr>
              <w:t>FUSHAT</w:t>
            </w:r>
          </w:p>
        </w:tc>
        <w:tc>
          <w:tcPr>
            <w:tcW w:w="1755" w:type="dxa"/>
            <w:vAlign w:val="center"/>
            <w:hideMark/>
          </w:tcPr>
          <w:p w14:paraId="5BAF9565" w14:textId="2ACA8710" w:rsidR="004F6BE2" w:rsidRPr="00024D5A" w:rsidRDefault="004F6BE2" w:rsidP="009B2661">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olor w:val="auto"/>
                <w:sz w:val="20"/>
                <w:szCs w:val="20"/>
                <w:lang w:eastAsia="en-US"/>
              </w:rPr>
            </w:pPr>
            <w:r w:rsidRPr="00024D5A">
              <w:rPr>
                <w:rFonts w:ascii="Garamond" w:hAnsi="Garamond"/>
                <w:color w:val="auto"/>
                <w:sz w:val="20"/>
                <w:szCs w:val="20"/>
              </w:rPr>
              <w:t>Kosto</w:t>
            </w:r>
            <w:r w:rsidR="009B2661" w:rsidRPr="00024D5A">
              <w:rPr>
                <w:rFonts w:ascii="Garamond" w:hAnsi="Garamond"/>
                <w:color w:val="auto"/>
                <w:sz w:val="20"/>
                <w:szCs w:val="20"/>
              </w:rPr>
              <w:t>ja</w:t>
            </w:r>
            <w:r w:rsidRPr="00024D5A">
              <w:rPr>
                <w:rFonts w:ascii="Garamond" w:hAnsi="Garamond"/>
                <w:color w:val="auto"/>
                <w:sz w:val="20"/>
                <w:szCs w:val="20"/>
              </w:rPr>
              <w:t xml:space="preserve"> </w:t>
            </w:r>
            <w:r w:rsidR="009B2661" w:rsidRPr="00024D5A">
              <w:rPr>
                <w:rFonts w:ascii="Garamond" w:hAnsi="Garamond"/>
                <w:color w:val="auto"/>
                <w:sz w:val="20"/>
                <w:szCs w:val="20"/>
              </w:rPr>
              <w:t>totale</w:t>
            </w:r>
          </w:p>
        </w:tc>
        <w:tc>
          <w:tcPr>
            <w:tcW w:w="1556" w:type="dxa"/>
            <w:vAlign w:val="center"/>
            <w:hideMark/>
          </w:tcPr>
          <w:p w14:paraId="7A0332BB" w14:textId="4E2EEFBD" w:rsidR="004F6BE2" w:rsidRPr="00024D5A" w:rsidRDefault="004F6BE2" w:rsidP="009B2661">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olor w:val="auto"/>
                <w:sz w:val="20"/>
                <w:szCs w:val="20"/>
                <w:lang w:eastAsia="en-US"/>
              </w:rPr>
            </w:pPr>
            <w:r w:rsidRPr="00024D5A">
              <w:rPr>
                <w:rFonts w:ascii="Garamond" w:hAnsi="Garamond"/>
                <w:color w:val="auto"/>
                <w:sz w:val="20"/>
                <w:szCs w:val="20"/>
              </w:rPr>
              <w:t>Kosto</w:t>
            </w:r>
            <w:r w:rsidR="009B2661" w:rsidRPr="00024D5A">
              <w:rPr>
                <w:rFonts w:ascii="Garamond" w:hAnsi="Garamond"/>
                <w:color w:val="auto"/>
                <w:sz w:val="20"/>
                <w:szCs w:val="20"/>
              </w:rPr>
              <w:t>ja</w:t>
            </w:r>
            <w:r w:rsidRPr="00024D5A">
              <w:rPr>
                <w:rFonts w:ascii="Garamond" w:hAnsi="Garamond"/>
                <w:color w:val="auto"/>
                <w:sz w:val="20"/>
                <w:szCs w:val="20"/>
              </w:rPr>
              <w:t xml:space="preserve"> nga </w:t>
            </w:r>
            <w:r w:rsidR="009B2661" w:rsidRPr="00024D5A">
              <w:rPr>
                <w:rFonts w:ascii="Garamond" w:hAnsi="Garamond"/>
                <w:color w:val="auto"/>
                <w:sz w:val="20"/>
                <w:szCs w:val="20"/>
              </w:rPr>
              <w:t>buxheti i shtetit</w:t>
            </w:r>
          </w:p>
        </w:tc>
        <w:tc>
          <w:tcPr>
            <w:tcW w:w="1357" w:type="dxa"/>
            <w:vAlign w:val="center"/>
            <w:hideMark/>
          </w:tcPr>
          <w:p w14:paraId="67BE377A" w14:textId="1B981CA8" w:rsidR="004F6BE2" w:rsidRPr="00024D5A" w:rsidRDefault="004F6BE2" w:rsidP="009B2661">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olor w:val="auto"/>
                <w:sz w:val="20"/>
                <w:szCs w:val="20"/>
                <w:lang w:eastAsia="en-US"/>
              </w:rPr>
            </w:pPr>
            <w:r w:rsidRPr="00024D5A">
              <w:rPr>
                <w:rFonts w:ascii="Garamond" w:hAnsi="Garamond"/>
                <w:color w:val="auto"/>
                <w:sz w:val="20"/>
                <w:szCs w:val="20"/>
              </w:rPr>
              <w:t>Financim i</w:t>
            </w:r>
            <w:r w:rsidR="008F29FA" w:rsidRPr="00024D5A">
              <w:rPr>
                <w:rFonts w:ascii="Garamond" w:hAnsi="Garamond"/>
                <w:color w:val="auto"/>
                <w:sz w:val="20"/>
                <w:szCs w:val="20"/>
              </w:rPr>
              <w:t xml:space="preserve"> </w:t>
            </w:r>
            <w:r w:rsidRPr="00024D5A">
              <w:rPr>
                <w:rFonts w:ascii="Garamond" w:hAnsi="Garamond"/>
                <w:color w:val="auto"/>
                <w:sz w:val="20"/>
                <w:szCs w:val="20"/>
              </w:rPr>
              <w:t>huaj</w:t>
            </w:r>
          </w:p>
        </w:tc>
        <w:tc>
          <w:tcPr>
            <w:tcW w:w="1484" w:type="dxa"/>
            <w:vAlign w:val="center"/>
            <w:hideMark/>
          </w:tcPr>
          <w:p w14:paraId="076333CB" w14:textId="744C233E" w:rsidR="004F6BE2" w:rsidRPr="00024D5A" w:rsidRDefault="004F6BE2" w:rsidP="009B2661">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olor w:val="auto"/>
                <w:sz w:val="20"/>
                <w:szCs w:val="20"/>
                <w:lang w:eastAsia="en-US"/>
              </w:rPr>
            </w:pPr>
            <w:r w:rsidRPr="00024D5A">
              <w:rPr>
                <w:rFonts w:ascii="Garamond" w:hAnsi="Garamond"/>
                <w:color w:val="auto"/>
                <w:sz w:val="20"/>
                <w:szCs w:val="20"/>
              </w:rPr>
              <w:t>Hendeku financiar</w:t>
            </w:r>
          </w:p>
        </w:tc>
      </w:tr>
      <w:tr w:rsidR="004F6BE2" w:rsidRPr="00024D5A" w14:paraId="0BD2CA28" w14:textId="77777777" w:rsidTr="009B2661">
        <w:trPr>
          <w:trHeight w:val="20"/>
        </w:trPr>
        <w:tc>
          <w:tcPr>
            <w:cnfStyle w:val="001000000000" w:firstRow="0" w:lastRow="0" w:firstColumn="1" w:lastColumn="0" w:oddVBand="0" w:evenVBand="0" w:oddHBand="0" w:evenHBand="0" w:firstRowFirstColumn="0" w:firstRowLastColumn="0" w:lastRowFirstColumn="0" w:lastRowLastColumn="0"/>
            <w:tcW w:w="594" w:type="dxa"/>
            <w:hideMark/>
          </w:tcPr>
          <w:p w14:paraId="74D5A20B" w14:textId="392A9EA2" w:rsidR="004F6BE2" w:rsidRPr="00024D5A" w:rsidRDefault="004F6BE2" w:rsidP="00E755A6">
            <w:pPr>
              <w:jc w:val="center"/>
              <w:rPr>
                <w:rFonts w:ascii="Garamond" w:eastAsia="Times New Roman" w:hAnsi="Garamond"/>
                <w:color w:val="auto"/>
                <w:sz w:val="20"/>
                <w:szCs w:val="20"/>
                <w:lang w:eastAsia="en-US"/>
              </w:rPr>
            </w:pPr>
            <w:r w:rsidRPr="00024D5A">
              <w:rPr>
                <w:rFonts w:ascii="Garamond" w:hAnsi="Garamond"/>
                <w:color w:val="auto"/>
                <w:sz w:val="20"/>
                <w:szCs w:val="20"/>
              </w:rPr>
              <w:t>I</w:t>
            </w:r>
          </w:p>
        </w:tc>
        <w:tc>
          <w:tcPr>
            <w:tcW w:w="2761" w:type="dxa"/>
            <w:hideMark/>
          </w:tcPr>
          <w:p w14:paraId="42B672A3" w14:textId="0C988EEF" w:rsidR="004F6BE2" w:rsidRPr="00024D5A" w:rsidRDefault="009B2661" w:rsidP="00387E5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eastAsia="en-US"/>
              </w:rPr>
            </w:pPr>
            <w:r w:rsidRPr="00024D5A">
              <w:rPr>
                <w:rFonts w:ascii="Garamond" w:hAnsi="Garamond"/>
                <w:sz w:val="20"/>
                <w:szCs w:val="20"/>
              </w:rPr>
              <w:t>Aksesueshmëria</w:t>
            </w:r>
          </w:p>
        </w:tc>
        <w:tc>
          <w:tcPr>
            <w:tcW w:w="1755" w:type="dxa"/>
            <w:hideMark/>
          </w:tcPr>
          <w:p w14:paraId="6C58AD9B" w14:textId="30A8DC69" w:rsidR="004F6BE2" w:rsidRPr="00024D5A" w:rsidRDefault="004F6BE2" w:rsidP="00E755A6">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szCs w:val="20"/>
                <w:lang w:eastAsia="en-US"/>
              </w:rPr>
            </w:pPr>
            <w:r w:rsidRPr="00024D5A">
              <w:rPr>
                <w:rFonts w:ascii="Garamond" w:hAnsi="Garamond"/>
                <w:sz w:val="20"/>
                <w:szCs w:val="20"/>
              </w:rPr>
              <w:t>270,066,182</w:t>
            </w:r>
          </w:p>
        </w:tc>
        <w:tc>
          <w:tcPr>
            <w:tcW w:w="1556" w:type="dxa"/>
            <w:hideMark/>
          </w:tcPr>
          <w:p w14:paraId="2108FDB5" w14:textId="40F4FFB2" w:rsidR="004F6BE2" w:rsidRPr="00024D5A" w:rsidRDefault="004F6BE2" w:rsidP="00E755A6">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szCs w:val="20"/>
                <w:lang w:eastAsia="en-US"/>
              </w:rPr>
            </w:pPr>
            <w:r w:rsidRPr="00024D5A">
              <w:rPr>
                <w:rFonts w:ascii="Garamond" w:hAnsi="Garamond"/>
                <w:sz w:val="20"/>
                <w:szCs w:val="20"/>
              </w:rPr>
              <w:t>182,506,182</w:t>
            </w:r>
          </w:p>
        </w:tc>
        <w:tc>
          <w:tcPr>
            <w:tcW w:w="1357" w:type="dxa"/>
            <w:hideMark/>
          </w:tcPr>
          <w:p w14:paraId="70F9DFE5" w14:textId="7EA67FDA" w:rsidR="004F6BE2" w:rsidRPr="00024D5A" w:rsidRDefault="004F6BE2" w:rsidP="00E755A6">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szCs w:val="20"/>
                <w:lang w:eastAsia="en-US"/>
              </w:rPr>
            </w:pPr>
            <w:r w:rsidRPr="00024D5A">
              <w:rPr>
                <w:rFonts w:ascii="Garamond" w:hAnsi="Garamond"/>
                <w:sz w:val="20"/>
                <w:szCs w:val="20"/>
              </w:rPr>
              <w:t>25,250,000</w:t>
            </w:r>
          </w:p>
        </w:tc>
        <w:tc>
          <w:tcPr>
            <w:tcW w:w="1484" w:type="dxa"/>
            <w:hideMark/>
          </w:tcPr>
          <w:p w14:paraId="3D0F378C" w14:textId="5C50564E" w:rsidR="004F6BE2" w:rsidRPr="00024D5A" w:rsidRDefault="004F6BE2" w:rsidP="00E755A6">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eastAsia="en-US"/>
              </w:rPr>
            </w:pPr>
            <w:r w:rsidRPr="00024D5A">
              <w:rPr>
                <w:rFonts w:ascii="Garamond" w:hAnsi="Garamond"/>
                <w:sz w:val="20"/>
                <w:szCs w:val="20"/>
              </w:rPr>
              <w:t>62,310,000</w:t>
            </w:r>
          </w:p>
        </w:tc>
      </w:tr>
      <w:tr w:rsidR="004F6BE2" w:rsidRPr="00024D5A" w14:paraId="324B77C8" w14:textId="77777777" w:rsidTr="009B2661">
        <w:trPr>
          <w:trHeight w:val="20"/>
        </w:trPr>
        <w:tc>
          <w:tcPr>
            <w:cnfStyle w:val="001000000000" w:firstRow="0" w:lastRow="0" w:firstColumn="1" w:lastColumn="0" w:oddVBand="0" w:evenVBand="0" w:oddHBand="0" w:evenHBand="0" w:firstRowFirstColumn="0" w:firstRowLastColumn="0" w:lastRowFirstColumn="0" w:lastRowLastColumn="0"/>
            <w:tcW w:w="594" w:type="dxa"/>
            <w:hideMark/>
          </w:tcPr>
          <w:p w14:paraId="30A22145" w14:textId="183213D1" w:rsidR="004F6BE2" w:rsidRPr="00024D5A" w:rsidRDefault="004F6BE2" w:rsidP="00E755A6">
            <w:pPr>
              <w:jc w:val="center"/>
              <w:rPr>
                <w:rFonts w:ascii="Garamond" w:eastAsia="Times New Roman" w:hAnsi="Garamond"/>
                <w:color w:val="auto"/>
                <w:sz w:val="20"/>
                <w:szCs w:val="20"/>
                <w:lang w:eastAsia="en-US"/>
              </w:rPr>
            </w:pPr>
            <w:r w:rsidRPr="00024D5A">
              <w:rPr>
                <w:rFonts w:ascii="Garamond" w:hAnsi="Garamond"/>
                <w:color w:val="auto"/>
                <w:sz w:val="20"/>
                <w:szCs w:val="20"/>
              </w:rPr>
              <w:t>II</w:t>
            </w:r>
          </w:p>
        </w:tc>
        <w:tc>
          <w:tcPr>
            <w:tcW w:w="2761" w:type="dxa"/>
            <w:hideMark/>
          </w:tcPr>
          <w:p w14:paraId="56E32B82" w14:textId="27B6D915" w:rsidR="004F6BE2" w:rsidRPr="00024D5A" w:rsidRDefault="009B2661" w:rsidP="00387E5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eastAsia="en-US"/>
              </w:rPr>
            </w:pPr>
            <w:r w:rsidRPr="00024D5A">
              <w:rPr>
                <w:rFonts w:ascii="Garamond" w:hAnsi="Garamond"/>
                <w:sz w:val="20"/>
                <w:szCs w:val="20"/>
              </w:rPr>
              <w:t>Drejtësia</w:t>
            </w:r>
          </w:p>
        </w:tc>
        <w:tc>
          <w:tcPr>
            <w:tcW w:w="1755" w:type="dxa"/>
            <w:hideMark/>
          </w:tcPr>
          <w:p w14:paraId="6408F317" w14:textId="35FB4EFD" w:rsidR="004F6BE2" w:rsidRPr="00024D5A" w:rsidRDefault="004F6BE2" w:rsidP="00E755A6">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szCs w:val="20"/>
                <w:lang w:eastAsia="en-US"/>
              </w:rPr>
            </w:pPr>
            <w:r w:rsidRPr="00024D5A">
              <w:rPr>
                <w:rFonts w:ascii="Garamond" w:hAnsi="Garamond"/>
                <w:sz w:val="20"/>
                <w:szCs w:val="20"/>
              </w:rPr>
              <w:t>1,004,095,909</w:t>
            </w:r>
          </w:p>
        </w:tc>
        <w:tc>
          <w:tcPr>
            <w:tcW w:w="1556" w:type="dxa"/>
            <w:hideMark/>
          </w:tcPr>
          <w:p w14:paraId="4662A387" w14:textId="76CE593E" w:rsidR="004F6BE2" w:rsidRPr="00024D5A" w:rsidRDefault="004F6BE2" w:rsidP="00E755A6">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szCs w:val="20"/>
                <w:lang w:eastAsia="en-US"/>
              </w:rPr>
            </w:pPr>
            <w:r w:rsidRPr="00024D5A">
              <w:rPr>
                <w:rFonts w:ascii="Garamond" w:hAnsi="Garamond"/>
                <w:sz w:val="20"/>
                <w:szCs w:val="20"/>
              </w:rPr>
              <w:t>897,799,545</w:t>
            </w:r>
          </w:p>
        </w:tc>
        <w:tc>
          <w:tcPr>
            <w:tcW w:w="1357" w:type="dxa"/>
            <w:hideMark/>
          </w:tcPr>
          <w:p w14:paraId="51285AA4" w14:textId="0DE582AF" w:rsidR="004F6BE2" w:rsidRPr="00024D5A" w:rsidRDefault="004F6BE2" w:rsidP="00E755A6">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szCs w:val="20"/>
                <w:lang w:eastAsia="en-US"/>
              </w:rPr>
            </w:pPr>
            <w:r w:rsidRPr="00024D5A">
              <w:rPr>
                <w:rFonts w:ascii="Garamond" w:hAnsi="Garamond"/>
                <w:sz w:val="20"/>
                <w:szCs w:val="20"/>
              </w:rPr>
              <w:t>18,614,000</w:t>
            </w:r>
          </w:p>
        </w:tc>
        <w:tc>
          <w:tcPr>
            <w:tcW w:w="1484" w:type="dxa"/>
            <w:hideMark/>
          </w:tcPr>
          <w:p w14:paraId="142A354D" w14:textId="1911FDF0" w:rsidR="004F6BE2" w:rsidRPr="00024D5A" w:rsidRDefault="004F6BE2" w:rsidP="00E755A6">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eastAsia="en-US"/>
              </w:rPr>
            </w:pPr>
            <w:r w:rsidRPr="00024D5A">
              <w:rPr>
                <w:rFonts w:ascii="Garamond" w:hAnsi="Garamond"/>
                <w:sz w:val="20"/>
                <w:szCs w:val="20"/>
              </w:rPr>
              <w:t>87,682,364</w:t>
            </w:r>
          </w:p>
        </w:tc>
      </w:tr>
      <w:tr w:rsidR="004F6BE2" w:rsidRPr="00024D5A" w14:paraId="5233EBAF" w14:textId="77777777" w:rsidTr="009B2661">
        <w:trPr>
          <w:trHeight w:val="20"/>
        </w:trPr>
        <w:tc>
          <w:tcPr>
            <w:cnfStyle w:val="001000000000" w:firstRow="0" w:lastRow="0" w:firstColumn="1" w:lastColumn="0" w:oddVBand="0" w:evenVBand="0" w:oddHBand="0" w:evenHBand="0" w:firstRowFirstColumn="0" w:firstRowLastColumn="0" w:lastRowFirstColumn="0" w:lastRowLastColumn="0"/>
            <w:tcW w:w="594" w:type="dxa"/>
            <w:hideMark/>
          </w:tcPr>
          <w:p w14:paraId="143EFEF6" w14:textId="170313A3" w:rsidR="004F6BE2" w:rsidRPr="00024D5A" w:rsidRDefault="004F6BE2" w:rsidP="00E755A6">
            <w:pPr>
              <w:jc w:val="center"/>
              <w:rPr>
                <w:rFonts w:ascii="Garamond" w:eastAsia="Times New Roman" w:hAnsi="Garamond"/>
                <w:color w:val="auto"/>
                <w:sz w:val="20"/>
                <w:szCs w:val="20"/>
                <w:lang w:eastAsia="en-US"/>
              </w:rPr>
            </w:pPr>
            <w:r w:rsidRPr="00024D5A">
              <w:rPr>
                <w:rFonts w:ascii="Garamond" w:hAnsi="Garamond"/>
                <w:color w:val="auto"/>
                <w:sz w:val="20"/>
                <w:szCs w:val="20"/>
              </w:rPr>
              <w:t>III</w:t>
            </w:r>
          </w:p>
        </w:tc>
        <w:tc>
          <w:tcPr>
            <w:tcW w:w="2761" w:type="dxa"/>
            <w:hideMark/>
          </w:tcPr>
          <w:p w14:paraId="4FC7EBE6" w14:textId="6306B758" w:rsidR="004F6BE2" w:rsidRPr="00024D5A" w:rsidRDefault="009B2661" w:rsidP="00387E5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eastAsia="en-US"/>
              </w:rPr>
            </w:pPr>
            <w:r w:rsidRPr="00024D5A">
              <w:rPr>
                <w:rFonts w:ascii="Garamond" w:hAnsi="Garamond"/>
                <w:sz w:val="20"/>
                <w:szCs w:val="20"/>
              </w:rPr>
              <w:t>Punësimi dhe aftësimi</w:t>
            </w:r>
          </w:p>
        </w:tc>
        <w:tc>
          <w:tcPr>
            <w:tcW w:w="1755" w:type="dxa"/>
            <w:hideMark/>
          </w:tcPr>
          <w:p w14:paraId="43B1A9CD" w14:textId="1E707A98" w:rsidR="004F6BE2" w:rsidRPr="00024D5A" w:rsidRDefault="004F6BE2" w:rsidP="00E755A6">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szCs w:val="20"/>
                <w:lang w:eastAsia="en-US"/>
              </w:rPr>
            </w:pPr>
            <w:r w:rsidRPr="00024D5A">
              <w:rPr>
                <w:rFonts w:ascii="Garamond" w:hAnsi="Garamond"/>
                <w:sz w:val="20"/>
                <w:szCs w:val="20"/>
              </w:rPr>
              <w:t>1,803,979,747</w:t>
            </w:r>
          </w:p>
        </w:tc>
        <w:tc>
          <w:tcPr>
            <w:tcW w:w="1556" w:type="dxa"/>
            <w:hideMark/>
          </w:tcPr>
          <w:p w14:paraId="11CBEFBF" w14:textId="445E9DB4" w:rsidR="004F6BE2" w:rsidRPr="00024D5A" w:rsidRDefault="004F6BE2" w:rsidP="00E755A6">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szCs w:val="20"/>
                <w:lang w:eastAsia="en-US"/>
              </w:rPr>
            </w:pPr>
            <w:r w:rsidRPr="00024D5A">
              <w:rPr>
                <w:rFonts w:ascii="Garamond" w:hAnsi="Garamond"/>
                <w:sz w:val="20"/>
                <w:szCs w:val="20"/>
              </w:rPr>
              <w:t>1,551,414,293</w:t>
            </w:r>
          </w:p>
        </w:tc>
        <w:tc>
          <w:tcPr>
            <w:tcW w:w="1357" w:type="dxa"/>
            <w:hideMark/>
          </w:tcPr>
          <w:p w14:paraId="57B936CC" w14:textId="71C4723A" w:rsidR="004F6BE2" w:rsidRPr="00024D5A" w:rsidRDefault="004F6BE2" w:rsidP="00E755A6">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szCs w:val="20"/>
                <w:lang w:eastAsia="en-US"/>
              </w:rPr>
            </w:pPr>
            <w:r w:rsidRPr="00024D5A">
              <w:rPr>
                <w:rFonts w:ascii="Garamond" w:hAnsi="Garamond"/>
                <w:sz w:val="20"/>
                <w:szCs w:val="20"/>
              </w:rPr>
              <w:t>-</w:t>
            </w:r>
          </w:p>
        </w:tc>
        <w:tc>
          <w:tcPr>
            <w:tcW w:w="1484" w:type="dxa"/>
            <w:hideMark/>
          </w:tcPr>
          <w:p w14:paraId="777803BA" w14:textId="0F47F090" w:rsidR="004F6BE2" w:rsidRPr="00024D5A" w:rsidRDefault="004F6BE2" w:rsidP="00E755A6">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eastAsia="en-US"/>
              </w:rPr>
            </w:pPr>
            <w:r w:rsidRPr="00024D5A">
              <w:rPr>
                <w:rFonts w:ascii="Garamond" w:hAnsi="Garamond"/>
                <w:sz w:val="20"/>
                <w:szCs w:val="20"/>
              </w:rPr>
              <w:t>252,565,455</w:t>
            </w:r>
          </w:p>
        </w:tc>
      </w:tr>
      <w:tr w:rsidR="004F6BE2" w:rsidRPr="00024D5A" w14:paraId="53AB9D63" w14:textId="77777777" w:rsidTr="009B2661">
        <w:trPr>
          <w:trHeight w:val="20"/>
        </w:trPr>
        <w:tc>
          <w:tcPr>
            <w:cnfStyle w:val="001000000000" w:firstRow="0" w:lastRow="0" w:firstColumn="1" w:lastColumn="0" w:oddVBand="0" w:evenVBand="0" w:oddHBand="0" w:evenHBand="0" w:firstRowFirstColumn="0" w:firstRowLastColumn="0" w:lastRowFirstColumn="0" w:lastRowLastColumn="0"/>
            <w:tcW w:w="594" w:type="dxa"/>
            <w:hideMark/>
          </w:tcPr>
          <w:p w14:paraId="2CE56ED1" w14:textId="7BA95D39" w:rsidR="004F6BE2" w:rsidRPr="00024D5A" w:rsidRDefault="004F6BE2" w:rsidP="00E755A6">
            <w:pPr>
              <w:jc w:val="center"/>
              <w:rPr>
                <w:rFonts w:ascii="Garamond" w:eastAsia="Times New Roman" w:hAnsi="Garamond"/>
                <w:color w:val="auto"/>
                <w:sz w:val="20"/>
                <w:szCs w:val="20"/>
                <w:lang w:eastAsia="en-US"/>
              </w:rPr>
            </w:pPr>
            <w:r w:rsidRPr="00024D5A">
              <w:rPr>
                <w:rFonts w:ascii="Garamond" w:hAnsi="Garamond"/>
                <w:color w:val="auto"/>
                <w:sz w:val="20"/>
                <w:szCs w:val="20"/>
              </w:rPr>
              <w:t>IV</w:t>
            </w:r>
          </w:p>
        </w:tc>
        <w:tc>
          <w:tcPr>
            <w:tcW w:w="2761" w:type="dxa"/>
            <w:hideMark/>
          </w:tcPr>
          <w:p w14:paraId="78D92462" w14:textId="0F8E686B" w:rsidR="004F6BE2" w:rsidRPr="00024D5A" w:rsidRDefault="009B2661" w:rsidP="00387E5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eastAsia="en-US"/>
              </w:rPr>
            </w:pPr>
            <w:r w:rsidRPr="00024D5A">
              <w:rPr>
                <w:rFonts w:ascii="Garamond" w:hAnsi="Garamond"/>
                <w:sz w:val="20"/>
                <w:szCs w:val="20"/>
              </w:rPr>
              <w:t>Arsimi</w:t>
            </w:r>
          </w:p>
        </w:tc>
        <w:tc>
          <w:tcPr>
            <w:tcW w:w="1755" w:type="dxa"/>
            <w:hideMark/>
          </w:tcPr>
          <w:p w14:paraId="3D55C959" w14:textId="3379E3F7" w:rsidR="004F6BE2" w:rsidRPr="00024D5A" w:rsidRDefault="004F6BE2" w:rsidP="00E755A6">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szCs w:val="20"/>
                <w:lang w:eastAsia="en-US"/>
              </w:rPr>
            </w:pPr>
            <w:r w:rsidRPr="00024D5A">
              <w:rPr>
                <w:rFonts w:ascii="Garamond" w:hAnsi="Garamond"/>
                <w:sz w:val="20"/>
                <w:szCs w:val="20"/>
              </w:rPr>
              <w:t>2,940,437,818</w:t>
            </w:r>
          </w:p>
        </w:tc>
        <w:tc>
          <w:tcPr>
            <w:tcW w:w="1556" w:type="dxa"/>
            <w:hideMark/>
          </w:tcPr>
          <w:p w14:paraId="1F1A3E04" w14:textId="0A73D33E" w:rsidR="004F6BE2" w:rsidRPr="00024D5A" w:rsidRDefault="004F6BE2" w:rsidP="00E755A6">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szCs w:val="20"/>
                <w:lang w:eastAsia="en-US"/>
              </w:rPr>
            </w:pPr>
            <w:r w:rsidRPr="00024D5A">
              <w:rPr>
                <w:rFonts w:ascii="Garamond" w:hAnsi="Garamond"/>
                <w:sz w:val="20"/>
                <w:szCs w:val="20"/>
              </w:rPr>
              <w:t>2,256,785,091</w:t>
            </w:r>
          </w:p>
        </w:tc>
        <w:tc>
          <w:tcPr>
            <w:tcW w:w="1357" w:type="dxa"/>
            <w:hideMark/>
          </w:tcPr>
          <w:p w14:paraId="4CC9DB65" w14:textId="39A068E0" w:rsidR="004F6BE2" w:rsidRPr="00024D5A" w:rsidRDefault="004F6BE2" w:rsidP="00E755A6">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szCs w:val="20"/>
                <w:lang w:eastAsia="en-US"/>
              </w:rPr>
            </w:pPr>
            <w:r w:rsidRPr="00024D5A">
              <w:rPr>
                <w:rFonts w:ascii="Garamond" w:hAnsi="Garamond"/>
                <w:sz w:val="20"/>
                <w:szCs w:val="20"/>
              </w:rPr>
              <w:t>16,298,000</w:t>
            </w:r>
          </w:p>
        </w:tc>
        <w:tc>
          <w:tcPr>
            <w:tcW w:w="1484" w:type="dxa"/>
            <w:hideMark/>
          </w:tcPr>
          <w:p w14:paraId="76F29784" w14:textId="1EE1A0F2" w:rsidR="004F6BE2" w:rsidRPr="00024D5A" w:rsidRDefault="004F6BE2" w:rsidP="00E755A6">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eastAsia="en-US"/>
              </w:rPr>
            </w:pPr>
            <w:r w:rsidRPr="00024D5A">
              <w:rPr>
                <w:rFonts w:ascii="Garamond" w:hAnsi="Garamond"/>
                <w:sz w:val="20"/>
                <w:szCs w:val="20"/>
              </w:rPr>
              <w:t>667,354,727</w:t>
            </w:r>
          </w:p>
        </w:tc>
      </w:tr>
      <w:tr w:rsidR="004F6BE2" w:rsidRPr="00024D5A" w14:paraId="16A6E49C" w14:textId="77777777" w:rsidTr="009B2661">
        <w:trPr>
          <w:trHeight w:val="20"/>
        </w:trPr>
        <w:tc>
          <w:tcPr>
            <w:cnfStyle w:val="001000000000" w:firstRow="0" w:lastRow="0" w:firstColumn="1" w:lastColumn="0" w:oddVBand="0" w:evenVBand="0" w:oddHBand="0" w:evenHBand="0" w:firstRowFirstColumn="0" w:firstRowLastColumn="0" w:lastRowFirstColumn="0" w:lastRowLastColumn="0"/>
            <w:tcW w:w="594" w:type="dxa"/>
            <w:hideMark/>
          </w:tcPr>
          <w:p w14:paraId="79C1B128" w14:textId="51239802" w:rsidR="004F6BE2" w:rsidRPr="00024D5A" w:rsidRDefault="004F6BE2" w:rsidP="00E755A6">
            <w:pPr>
              <w:jc w:val="center"/>
              <w:rPr>
                <w:rFonts w:ascii="Garamond" w:eastAsia="Times New Roman" w:hAnsi="Garamond"/>
                <w:color w:val="auto"/>
                <w:sz w:val="20"/>
                <w:szCs w:val="20"/>
                <w:lang w:eastAsia="en-US"/>
              </w:rPr>
            </w:pPr>
            <w:r w:rsidRPr="00024D5A">
              <w:rPr>
                <w:rFonts w:ascii="Garamond" w:hAnsi="Garamond"/>
                <w:color w:val="auto"/>
                <w:sz w:val="20"/>
                <w:szCs w:val="20"/>
              </w:rPr>
              <w:t>V</w:t>
            </w:r>
          </w:p>
        </w:tc>
        <w:tc>
          <w:tcPr>
            <w:tcW w:w="2761" w:type="dxa"/>
            <w:hideMark/>
          </w:tcPr>
          <w:p w14:paraId="16B655B4" w14:textId="41903E9C" w:rsidR="004F6BE2" w:rsidRPr="00024D5A" w:rsidRDefault="009B2661" w:rsidP="009B2661">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eastAsia="en-US"/>
              </w:rPr>
            </w:pPr>
            <w:r w:rsidRPr="00024D5A">
              <w:rPr>
                <w:rFonts w:ascii="Garamond" w:hAnsi="Garamond"/>
                <w:sz w:val="20"/>
                <w:szCs w:val="20"/>
              </w:rPr>
              <w:t>Mbrojtja sociale</w:t>
            </w:r>
          </w:p>
        </w:tc>
        <w:tc>
          <w:tcPr>
            <w:tcW w:w="1755" w:type="dxa"/>
            <w:hideMark/>
          </w:tcPr>
          <w:p w14:paraId="6C028BC4" w14:textId="23EB7E28" w:rsidR="004F6BE2" w:rsidRPr="00024D5A" w:rsidRDefault="004F6BE2" w:rsidP="00E755A6">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szCs w:val="20"/>
                <w:lang w:eastAsia="en-US"/>
              </w:rPr>
            </w:pPr>
            <w:r w:rsidRPr="00024D5A">
              <w:rPr>
                <w:rFonts w:ascii="Garamond" w:hAnsi="Garamond"/>
                <w:sz w:val="20"/>
                <w:szCs w:val="20"/>
              </w:rPr>
              <w:t>506,674,500</w:t>
            </w:r>
          </w:p>
        </w:tc>
        <w:tc>
          <w:tcPr>
            <w:tcW w:w="1556" w:type="dxa"/>
            <w:hideMark/>
          </w:tcPr>
          <w:p w14:paraId="38B8D2F1" w14:textId="5A928161" w:rsidR="004F6BE2" w:rsidRPr="00024D5A" w:rsidRDefault="004F6BE2" w:rsidP="00E755A6">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szCs w:val="20"/>
                <w:lang w:eastAsia="en-US"/>
              </w:rPr>
            </w:pPr>
            <w:r w:rsidRPr="00024D5A">
              <w:rPr>
                <w:rFonts w:ascii="Garamond" w:hAnsi="Garamond"/>
                <w:sz w:val="20"/>
                <w:szCs w:val="20"/>
              </w:rPr>
              <w:t>366,749,682</w:t>
            </w:r>
          </w:p>
        </w:tc>
        <w:tc>
          <w:tcPr>
            <w:tcW w:w="1357" w:type="dxa"/>
            <w:hideMark/>
          </w:tcPr>
          <w:p w14:paraId="2581413E" w14:textId="737FC15E" w:rsidR="004F6BE2" w:rsidRPr="00024D5A" w:rsidRDefault="004F6BE2" w:rsidP="00E755A6">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szCs w:val="20"/>
                <w:lang w:eastAsia="en-US"/>
              </w:rPr>
            </w:pPr>
            <w:r w:rsidRPr="00024D5A">
              <w:rPr>
                <w:rFonts w:ascii="Garamond" w:hAnsi="Garamond"/>
                <w:sz w:val="20"/>
                <w:szCs w:val="20"/>
              </w:rPr>
              <w:t>5,725,000</w:t>
            </w:r>
          </w:p>
        </w:tc>
        <w:tc>
          <w:tcPr>
            <w:tcW w:w="1484" w:type="dxa"/>
            <w:hideMark/>
          </w:tcPr>
          <w:p w14:paraId="6AB0AB42" w14:textId="76FE4C83" w:rsidR="004F6BE2" w:rsidRPr="00024D5A" w:rsidRDefault="004F6BE2" w:rsidP="00E755A6">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eastAsia="en-US"/>
              </w:rPr>
            </w:pPr>
            <w:r w:rsidRPr="00024D5A">
              <w:rPr>
                <w:rFonts w:ascii="Garamond" w:hAnsi="Garamond"/>
                <w:sz w:val="20"/>
                <w:szCs w:val="20"/>
              </w:rPr>
              <w:t>134,199,818</w:t>
            </w:r>
          </w:p>
        </w:tc>
      </w:tr>
      <w:tr w:rsidR="004F6BE2" w:rsidRPr="00024D5A" w14:paraId="13A309A2" w14:textId="77777777" w:rsidTr="009B2661">
        <w:trPr>
          <w:trHeight w:val="20"/>
        </w:trPr>
        <w:tc>
          <w:tcPr>
            <w:cnfStyle w:val="001000000000" w:firstRow="0" w:lastRow="0" w:firstColumn="1" w:lastColumn="0" w:oddVBand="0" w:evenVBand="0" w:oddHBand="0" w:evenHBand="0" w:firstRowFirstColumn="0" w:firstRowLastColumn="0" w:lastRowFirstColumn="0" w:lastRowLastColumn="0"/>
            <w:tcW w:w="594" w:type="dxa"/>
            <w:hideMark/>
          </w:tcPr>
          <w:p w14:paraId="1B9D0226" w14:textId="1CC1B376" w:rsidR="004F6BE2" w:rsidRPr="00024D5A" w:rsidRDefault="004F6BE2" w:rsidP="00E755A6">
            <w:pPr>
              <w:jc w:val="center"/>
              <w:rPr>
                <w:rFonts w:ascii="Garamond" w:eastAsia="Times New Roman" w:hAnsi="Garamond"/>
                <w:color w:val="auto"/>
                <w:sz w:val="20"/>
                <w:szCs w:val="20"/>
                <w:lang w:eastAsia="en-US"/>
              </w:rPr>
            </w:pPr>
            <w:r w:rsidRPr="00024D5A">
              <w:rPr>
                <w:rFonts w:ascii="Garamond" w:hAnsi="Garamond"/>
                <w:color w:val="auto"/>
                <w:sz w:val="20"/>
                <w:szCs w:val="20"/>
              </w:rPr>
              <w:t>VI</w:t>
            </w:r>
          </w:p>
        </w:tc>
        <w:tc>
          <w:tcPr>
            <w:tcW w:w="2761" w:type="dxa"/>
            <w:hideMark/>
          </w:tcPr>
          <w:p w14:paraId="71683E99" w14:textId="113CDB27" w:rsidR="004F6BE2" w:rsidRPr="00024D5A" w:rsidRDefault="009B2661" w:rsidP="009B2661">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eastAsia="en-US"/>
              </w:rPr>
            </w:pPr>
            <w:r w:rsidRPr="00024D5A">
              <w:rPr>
                <w:rFonts w:ascii="Garamond" w:hAnsi="Garamond"/>
                <w:sz w:val="20"/>
                <w:szCs w:val="20"/>
              </w:rPr>
              <w:t>Shëndetësia</w:t>
            </w:r>
          </w:p>
        </w:tc>
        <w:tc>
          <w:tcPr>
            <w:tcW w:w="1755" w:type="dxa"/>
            <w:hideMark/>
          </w:tcPr>
          <w:p w14:paraId="473668C5" w14:textId="4D82649C" w:rsidR="004F6BE2" w:rsidRPr="00024D5A" w:rsidRDefault="004F6BE2" w:rsidP="00E755A6">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szCs w:val="20"/>
                <w:lang w:eastAsia="en-US"/>
              </w:rPr>
            </w:pPr>
            <w:r w:rsidRPr="00024D5A">
              <w:rPr>
                <w:rFonts w:ascii="Garamond" w:hAnsi="Garamond"/>
                <w:sz w:val="20"/>
                <w:szCs w:val="20"/>
              </w:rPr>
              <w:t>964,162,460</w:t>
            </w:r>
          </w:p>
        </w:tc>
        <w:tc>
          <w:tcPr>
            <w:tcW w:w="1556" w:type="dxa"/>
            <w:hideMark/>
          </w:tcPr>
          <w:p w14:paraId="0D5E2AB5" w14:textId="097A96A2" w:rsidR="004F6BE2" w:rsidRPr="00024D5A" w:rsidRDefault="004F6BE2" w:rsidP="00E755A6">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szCs w:val="20"/>
                <w:lang w:eastAsia="en-US"/>
              </w:rPr>
            </w:pPr>
            <w:r w:rsidRPr="00024D5A">
              <w:rPr>
                <w:rFonts w:ascii="Garamond" w:hAnsi="Garamond"/>
                <w:sz w:val="20"/>
                <w:szCs w:val="20"/>
              </w:rPr>
              <w:t>701,725,502</w:t>
            </w:r>
          </w:p>
        </w:tc>
        <w:tc>
          <w:tcPr>
            <w:tcW w:w="1357" w:type="dxa"/>
            <w:hideMark/>
          </w:tcPr>
          <w:p w14:paraId="70990CC3" w14:textId="2EF07837" w:rsidR="004F6BE2" w:rsidRPr="00024D5A" w:rsidRDefault="004F6BE2" w:rsidP="00E755A6">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szCs w:val="20"/>
                <w:lang w:eastAsia="en-US"/>
              </w:rPr>
            </w:pPr>
            <w:r w:rsidRPr="00024D5A">
              <w:rPr>
                <w:rFonts w:ascii="Garamond" w:hAnsi="Garamond"/>
                <w:sz w:val="20"/>
                <w:szCs w:val="20"/>
              </w:rPr>
              <w:t>63,845,909</w:t>
            </w:r>
          </w:p>
        </w:tc>
        <w:tc>
          <w:tcPr>
            <w:tcW w:w="1484" w:type="dxa"/>
            <w:hideMark/>
          </w:tcPr>
          <w:p w14:paraId="3A8B78B8" w14:textId="7B5BA2DA" w:rsidR="004F6BE2" w:rsidRPr="00024D5A" w:rsidRDefault="004F6BE2" w:rsidP="00E755A6">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eastAsia="en-US"/>
              </w:rPr>
            </w:pPr>
            <w:r w:rsidRPr="00024D5A">
              <w:rPr>
                <w:rFonts w:ascii="Garamond" w:hAnsi="Garamond"/>
                <w:sz w:val="20"/>
                <w:szCs w:val="20"/>
              </w:rPr>
              <w:t>198,591,049</w:t>
            </w:r>
          </w:p>
        </w:tc>
      </w:tr>
      <w:tr w:rsidR="004F6BE2" w:rsidRPr="00024D5A" w14:paraId="757FB725" w14:textId="77777777" w:rsidTr="009B2661">
        <w:trPr>
          <w:trHeight w:val="20"/>
        </w:trPr>
        <w:tc>
          <w:tcPr>
            <w:cnfStyle w:val="001000000000" w:firstRow="0" w:lastRow="0" w:firstColumn="1" w:lastColumn="0" w:oddVBand="0" w:evenVBand="0" w:oddHBand="0" w:evenHBand="0" w:firstRowFirstColumn="0" w:firstRowLastColumn="0" w:lastRowFirstColumn="0" w:lastRowLastColumn="0"/>
            <w:tcW w:w="594" w:type="dxa"/>
            <w:hideMark/>
          </w:tcPr>
          <w:p w14:paraId="70B536B5" w14:textId="2C830611" w:rsidR="004F6BE2" w:rsidRPr="00024D5A" w:rsidRDefault="004F6BE2" w:rsidP="00E755A6">
            <w:pPr>
              <w:jc w:val="center"/>
              <w:rPr>
                <w:rFonts w:ascii="Garamond" w:eastAsia="Times New Roman" w:hAnsi="Garamond"/>
                <w:color w:val="auto"/>
                <w:sz w:val="20"/>
                <w:szCs w:val="20"/>
                <w:lang w:eastAsia="en-US"/>
              </w:rPr>
            </w:pPr>
            <w:r w:rsidRPr="00024D5A">
              <w:rPr>
                <w:rFonts w:ascii="Garamond" w:hAnsi="Garamond"/>
                <w:color w:val="auto"/>
                <w:sz w:val="20"/>
                <w:szCs w:val="20"/>
              </w:rPr>
              <w:t>VII</w:t>
            </w:r>
          </w:p>
        </w:tc>
        <w:tc>
          <w:tcPr>
            <w:tcW w:w="2761" w:type="dxa"/>
            <w:hideMark/>
          </w:tcPr>
          <w:p w14:paraId="7300BA0F" w14:textId="101739CB" w:rsidR="004F6BE2" w:rsidRPr="00024D5A" w:rsidRDefault="009B2661" w:rsidP="009B2661">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eastAsia="en-US"/>
              </w:rPr>
            </w:pPr>
            <w:r w:rsidRPr="00024D5A">
              <w:rPr>
                <w:rFonts w:ascii="Garamond" w:hAnsi="Garamond"/>
                <w:sz w:val="20"/>
                <w:szCs w:val="20"/>
              </w:rPr>
              <w:t>Përfshirja në jetën publike dhe politike</w:t>
            </w:r>
          </w:p>
        </w:tc>
        <w:tc>
          <w:tcPr>
            <w:tcW w:w="1755" w:type="dxa"/>
            <w:hideMark/>
          </w:tcPr>
          <w:p w14:paraId="7DEEB879" w14:textId="10FAC1B5" w:rsidR="004F6BE2" w:rsidRPr="00024D5A" w:rsidRDefault="004F6BE2" w:rsidP="00E755A6">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szCs w:val="20"/>
                <w:lang w:eastAsia="en-US"/>
              </w:rPr>
            </w:pPr>
            <w:r w:rsidRPr="00024D5A">
              <w:rPr>
                <w:rFonts w:ascii="Garamond" w:hAnsi="Garamond"/>
                <w:sz w:val="20"/>
                <w:szCs w:val="20"/>
              </w:rPr>
              <w:t>21,694,091</w:t>
            </w:r>
          </w:p>
        </w:tc>
        <w:tc>
          <w:tcPr>
            <w:tcW w:w="1556" w:type="dxa"/>
            <w:hideMark/>
          </w:tcPr>
          <w:p w14:paraId="4A27F0DE" w14:textId="4EFE5312" w:rsidR="004F6BE2" w:rsidRPr="00024D5A" w:rsidRDefault="004F6BE2" w:rsidP="00E755A6">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szCs w:val="20"/>
                <w:lang w:eastAsia="en-US"/>
              </w:rPr>
            </w:pPr>
            <w:r w:rsidRPr="00024D5A">
              <w:rPr>
                <w:rFonts w:ascii="Garamond" w:hAnsi="Garamond"/>
                <w:sz w:val="20"/>
                <w:szCs w:val="20"/>
              </w:rPr>
              <w:t>18,869,091</w:t>
            </w:r>
          </w:p>
        </w:tc>
        <w:tc>
          <w:tcPr>
            <w:tcW w:w="1357" w:type="dxa"/>
            <w:hideMark/>
          </w:tcPr>
          <w:p w14:paraId="795058AD" w14:textId="1E8AEF4B" w:rsidR="004F6BE2" w:rsidRPr="00024D5A" w:rsidRDefault="004F6BE2" w:rsidP="00E755A6">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szCs w:val="20"/>
                <w:lang w:eastAsia="en-US"/>
              </w:rPr>
            </w:pPr>
            <w:r w:rsidRPr="00024D5A">
              <w:rPr>
                <w:rFonts w:ascii="Garamond" w:hAnsi="Garamond"/>
                <w:sz w:val="20"/>
                <w:szCs w:val="20"/>
              </w:rPr>
              <w:t>1,750,000</w:t>
            </w:r>
          </w:p>
        </w:tc>
        <w:tc>
          <w:tcPr>
            <w:tcW w:w="1484" w:type="dxa"/>
            <w:hideMark/>
          </w:tcPr>
          <w:p w14:paraId="1A66D17F" w14:textId="620E5ED4" w:rsidR="004F6BE2" w:rsidRPr="00024D5A" w:rsidRDefault="004F6BE2" w:rsidP="00E755A6">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eastAsia="en-US"/>
              </w:rPr>
            </w:pPr>
            <w:r w:rsidRPr="00024D5A">
              <w:rPr>
                <w:rFonts w:ascii="Garamond" w:hAnsi="Garamond"/>
                <w:sz w:val="20"/>
                <w:szCs w:val="20"/>
              </w:rPr>
              <w:t>1,075,000</w:t>
            </w:r>
          </w:p>
        </w:tc>
      </w:tr>
      <w:tr w:rsidR="004F6BE2" w:rsidRPr="00024D5A" w14:paraId="37D2805E" w14:textId="77777777" w:rsidTr="009B2661">
        <w:trPr>
          <w:trHeight w:val="20"/>
        </w:trPr>
        <w:tc>
          <w:tcPr>
            <w:cnfStyle w:val="001000000000" w:firstRow="0" w:lastRow="0" w:firstColumn="1" w:lastColumn="0" w:oddVBand="0" w:evenVBand="0" w:oddHBand="0" w:evenHBand="0" w:firstRowFirstColumn="0" w:firstRowLastColumn="0" w:lastRowFirstColumn="0" w:lastRowLastColumn="0"/>
            <w:tcW w:w="594" w:type="dxa"/>
            <w:hideMark/>
          </w:tcPr>
          <w:p w14:paraId="3FA2079E" w14:textId="1D6B12F5" w:rsidR="004F6BE2" w:rsidRPr="00024D5A" w:rsidRDefault="004F6BE2" w:rsidP="00E755A6">
            <w:pPr>
              <w:jc w:val="center"/>
              <w:rPr>
                <w:rFonts w:ascii="Garamond" w:eastAsia="Times New Roman" w:hAnsi="Garamond"/>
                <w:color w:val="auto"/>
                <w:sz w:val="20"/>
                <w:szCs w:val="20"/>
                <w:lang w:eastAsia="en-US"/>
              </w:rPr>
            </w:pPr>
            <w:r w:rsidRPr="00024D5A">
              <w:rPr>
                <w:rFonts w:ascii="Garamond" w:hAnsi="Garamond"/>
                <w:color w:val="auto"/>
                <w:sz w:val="20"/>
                <w:szCs w:val="20"/>
              </w:rPr>
              <w:t>VIII</w:t>
            </w:r>
          </w:p>
        </w:tc>
        <w:tc>
          <w:tcPr>
            <w:tcW w:w="2761" w:type="dxa"/>
            <w:hideMark/>
          </w:tcPr>
          <w:p w14:paraId="460B17EF" w14:textId="300070FE" w:rsidR="004F6BE2" w:rsidRPr="00024D5A" w:rsidRDefault="009B2661" w:rsidP="009B2661">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eastAsia="en-US"/>
              </w:rPr>
            </w:pPr>
            <w:r w:rsidRPr="00024D5A">
              <w:rPr>
                <w:rFonts w:ascii="Garamond" w:hAnsi="Garamond"/>
                <w:sz w:val="20"/>
                <w:szCs w:val="20"/>
              </w:rPr>
              <w:t>Bashkëpunimi dhe koordinimi ndërinstitucional</w:t>
            </w:r>
          </w:p>
        </w:tc>
        <w:tc>
          <w:tcPr>
            <w:tcW w:w="1755" w:type="dxa"/>
            <w:hideMark/>
          </w:tcPr>
          <w:p w14:paraId="32A1F601" w14:textId="57EA25D6" w:rsidR="004F6BE2" w:rsidRPr="00024D5A" w:rsidRDefault="004F6BE2" w:rsidP="00E755A6">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szCs w:val="20"/>
                <w:lang w:eastAsia="en-US"/>
              </w:rPr>
            </w:pPr>
            <w:r w:rsidRPr="00024D5A">
              <w:rPr>
                <w:rFonts w:ascii="Garamond" w:hAnsi="Garamond"/>
                <w:sz w:val="20"/>
                <w:szCs w:val="20"/>
              </w:rPr>
              <w:t>40,562,727</w:t>
            </w:r>
          </w:p>
        </w:tc>
        <w:tc>
          <w:tcPr>
            <w:tcW w:w="1556" w:type="dxa"/>
            <w:hideMark/>
          </w:tcPr>
          <w:p w14:paraId="0A675776" w14:textId="729C77A2" w:rsidR="004F6BE2" w:rsidRPr="00024D5A" w:rsidRDefault="004F6BE2" w:rsidP="00E755A6">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szCs w:val="20"/>
                <w:lang w:eastAsia="en-US"/>
              </w:rPr>
            </w:pPr>
            <w:r w:rsidRPr="00024D5A">
              <w:rPr>
                <w:rFonts w:ascii="Garamond" w:hAnsi="Garamond"/>
                <w:sz w:val="20"/>
                <w:szCs w:val="20"/>
              </w:rPr>
              <w:t>20,412,727</w:t>
            </w:r>
          </w:p>
        </w:tc>
        <w:tc>
          <w:tcPr>
            <w:tcW w:w="1357" w:type="dxa"/>
            <w:hideMark/>
          </w:tcPr>
          <w:p w14:paraId="39930E34" w14:textId="598F7D29" w:rsidR="004F6BE2" w:rsidRPr="00024D5A" w:rsidRDefault="004F6BE2" w:rsidP="00E755A6">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szCs w:val="20"/>
                <w:lang w:eastAsia="en-US"/>
              </w:rPr>
            </w:pPr>
            <w:r w:rsidRPr="00024D5A">
              <w:rPr>
                <w:rFonts w:ascii="Garamond" w:hAnsi="Garamond"/>
                <w:sz w:val="20"/>
                <w:szCs w:val="20"/>
              </w:rPr>
              <w:t>16,550,000</w:t>
            </w:r>
          </w:p>
        </w:tc>
        <w:tc>
          <w:tcPr>
            <w:tcW w:w="1484" w:type="dxa"/>
            <w:hideMark/>
          </w:tcPr>
          <w:p w14:paraId="5994AD8B" w14:textId="4B0DD6EB" w:rsidR="004F6BE2" w:rsidRPr="00024D5A" w:rsidRDefault="004F6BE2" w:rsidP="00E755A6">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eastAsia="en-US"/>
              </w:rPr>
            </w:pPr>
            <w:r w:rsidRPr="00024D5A">
              <w:rPr>
                <w:rFonts w:ascii="Garamond" w:hAnsi="Garamond"/>
                <w:sz w:val="20"/>
                <w:szCs w:val="20"/>
              </w:rPr>
              <w:t>3,600,000</w:t>
            </w:r>
          </w:p>
        </w:tc>
      </w:tr>
      <w:tr w:rsidR="004F6BE2" w:rsidRPr="00024D5A" w14:paraId="1246FF9D" w14:textId="77777777" w:rsidTr="009B2661">
        <w:trPr>
          <w:trHeight w:val="20"/>
        </w:trPr>
        <w:tc>
          <w:tcPr>
            <w:cnfStyle w:val="001000000000" w:firstRow="0" w:lastRow="0" w:firstColumn="1" w:lastColumn="0" w:oddVBand="0" w:evenVBand="0" w:oddHBand="0" w:evenHBand="0" w:firstRowFirstColumn="0" w:firstRowLastColumn="0" w:lastRowFirstColumn="0" w:lastRowLastColumn="0"/>
            <w:tcW w:w="594" w:type="dxa"/>
            <w:noWrap/>
            <w:hideMark/>
          </w:tcPr>
          <w:p w14:paraId="21936BF2" w14:textId="5AE1E5E3" w:rsidR="004F6BE2" w:rsidRPr="00024D5A" w:rsidRDefault="004F6BE2" w:rsidP="00387E5A">
            <w:pPr>
              <w:rPr>
                <w:rFonts w:ascii="Garamond" w:eastAsia="Times New Roman" w:hAnsi="Garamond"/>
                <w:color w:val="auto"/>
                <w:sz w:val="20"/>
                <w:szCs w:val="20"/>
                <w:lang w:eastAsia="en-US"/>
              </w:rPr>
            </w:pPr>
          </w:p>
        </w:tc>
        <w:tc>
          <w:tcPr>
            <w:tcW w:w="2761" w:type="dxa"/>
            <w:hideMark/>
          </w:tcPr>
          <w:p w14:paraId="2FA0D591" w14:textId="19C230D8" w:rsidR="004F6BE2" w:rsidRPr="00024D5A" w:rsidRDefault="009B2661" w:rsidP="009B2661">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eastAsia="en-US"/>
              </w:rPr>
            </w:pPr>
            <w:r w:rsidRPr="00024D5A">
              <w:rPr>
                <w:rFonts w:ascii="Garamond" w:hAnsi="Garamond"/>
                <w:sz w:val="20"/>
                <w:szCs w:val="20"/>
              </w:rPr>
              <w:t>Totali në lekë</w:t>
            </w:r>
          </w:p>
        </w:tc>
        <w:tc>
          <w:tcPr>
            <w:tcW w:w="1755" w:type="dxa"/>
            <w:noWrap/>
            <w:hideMark/>
          </w:tcPr>
          <w:p w14:paraId="482DED6C" w14:textId="246792D6" w:rsidR="004F6BE2" w:rsidRPr="00024D5A" w:rsidRDefault="004F6BE2" w:rsidP="00E755A6">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eastAsia="en-US"/>
              </w:rPr>
            </w:pPr>
            <w:r w:rsidRPr="00024D5A">
              <w:rPr>
                <w:rFonts w:ascii="Garamond" w:hAnsi="Garamond"/>
                <w:sz w:val="20"/>
                <w:szCs w:val="20"/>
              </w:rPr>
              <w:t>7,551,673,435</w:t>
            </w:r>
          </w:p>
        </w:tc>
        <w:tc>
          <w:tcPr>
            <w:tcW w:w="1556" w:type="dxa"/>
            <w:noWrap/>
            <w:hideMark/>
          </w:tcPr>
          <w:p w14:paraId="24FA2898" w14:textId="4A0BE281" w:rsidR="004F6BE2" w:rsidRPr="00024D5A" w:rsidRDefault="004F6BE2" w:rsidP="00E755A6">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eastAsia="en-US"/>
              </w:rPr>
            </w:pPr>
            <w:r w:rsidRPr="00024D5A">
              <w:rPr>
                <w:rFonts w:ascii="Garamond" w:hAnsi="Garamond"/>
                <w:sz w:val="20"/>
                <w:szCs w:val="20"/>
              </w:rPr>
              <w:t>5,996,262,113</w:t>
            </w:r>
          </w:p>
        </w:tc>
        <w:tc>
          <w:tcPr>
            <w:tcW w:w="1357" w:type="dxa"/>
            <w:noWrap/>
            <w:hideMark/>
          </w:tcPr>
          <w:p w14:paraId="2BF41953" w14:textId="6F53409C" w:rsidR="004F6BE2" w:rsidRPr="00024D5A" w:rsidRDefault="004F6BE2" w:rsidP="00E755A6">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eastAsia="en-US"/>
              </w:rPr>
            </w:pPr>
            <w:r w:rsidRPr="00024D5A">
              <w:rPr>
                <w:rFonts w:ascii="Garamond" w:hAnsi="Garamond"/>
                <w:sz w:val="20"/>
                <w:szCs w:val="20"/>
              </w:rPr>
              <w:t>148,032,909</w:t>
            </w:r>
          </w:p>
        </w:tc>
        <w:tc>
          <w:tcPr>
            <w:tcW w:w="1484" w:type="dxa"/>
            <w:noWrap/>
            <w:hideMark/>
          </w:tcPr>
          <w:p w14:paraId="4E7C5147" w14:textId="7C42831E" w:rsidR="004F6BE2" w:rsidRPr="00024D5A" w:rsidRDefault="004F6BE2" w:rsidP="00E755A6">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eastAsia="en-US"/>
              </w:rPr>
            </w:pPr>
            <w:r w:rsidRPr="00024D5A">
              <w:rPr>
                <w:rFonts w:ascii="Garamond" w:hAnsi="Garamond"/>
                <w:sz w:val="20"/>
                <w:szCs w:val="20"/>
              </w:rPr>
              <w:t>1,407,378,413</w:t>
            </w:r>
          </w:p>
        </w:tc>
      </w:tr>
      <w:tr w:rsidR="004F6BE2" w:rsidRPr="00024D5A" w14:paraId="184E8D2B" w14:textId="77777777" w:rsidTr="009B2661">
        <w:trPr>
          <w:trHeight w:val="20"/>
        </w:trPr>
        <w:tc>
          <w:tcPr>
            <w:cnfStyle w:val="001000000000" w:firstRow="0" w:lastRow="0" w:firstColumn="1" w:lastColumn="0" w:oddVBand="0" w:evenVBand="0" w:oddHBand="0" w:evenHBand="0" w:firstRowFirstColumn="0" w:firstRowLastColumn="0" w:lastRowFirstColumn="0" w:lastRowLastColumn="0"/>
            <w:tcW w:w="594" w:type="dxa"/>
            <w:noWrap/>
            <w:hideMark/>
          </w:tcPr>
          <w:p w14:paraId="48C8F650" w14:textId="282D2E9A" w:rsidR="004F6BE2" w:rsidRPr="00024D5A" w:rsidRDefault="004F6BE2" w:rsidP="00387E5A">
            <w:pPr>
              <w:rPr>
                <w:rFonts w:ascii="Garamond" w:eastAsia="Times New Roman" w:hAnsi="Garamond"/>
                <w:color w:val="auto"/>
                <w:sz w:val="20"/>
                <w:szCs w:val="20"/>
                <w:lang w:eastAsia="en-US"/>
              </w:rPr>
            </w:pPr>
          </w:p>
        </w:tc>
        <w:tc>
          <w:tcPr>
            <w:tcW w:w="2761" w:type="dxa"/>
            <w:hideMark/>
          </w:tcPr>
          <w:p w14:paraId="609E3174" w14:textId="161163A5" w:rsidR="004F6BE2" w:rsidRPr="00024D5A" w:rsidRDefault="009B2661" w:rsidP="009B2661">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eastAsia="en-US"/>
              </w:rPr>
            </w:pPr>
            <w:r w:rsidRPr="00024D5A">
              <w:rPr>
                <w:rFonts w:ascii="Garamond" w:hAnsi="Garamond"/>
                <w:sz w:val="20"/>
                <w:szCs w:val="20"/>
              </w:rPr>
              <w:t>Totali në euro</w:t>
            </w:r>
          </w:p>
        </w:tc>
        <w:tc>
          <w:tcPr>
            <w:tcW w:w="1755" w:type="dxa"/>
            <w:noWrap/>
            <w:hideMark/>
          </w:tcPr>
          <w:p w14:paraId="2FDC198A" w14:textId="1E91F0E4" w:rsidR="004F6BE2" w:rsidRPr="00024D5A" w:rsidRDefault="004F6BE2" w:rsidP="00E755A6">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eastAsia="en-US"/>
              </w:rPr>
            </w:pPr>
            <w:r w:rsidRPr="00024D5A">
              <w:rPr>
                <w:rFonts w:ascii="Garamond" w:hAnsi="Garamond"/>
                <w:sz w:val="20"/>
                <w:szCs w:val="20"/>
              </w:rPr>
              <w:t>78,663,265</w:t>
            </w:r>
          </w:p>
        </w:tc>
        <w:tc>
          <w:tcPr>
            <w:tcW w:w="1556" w:type="dxa"/>
            <w:noWrap/>
            <w:hideMark/>
          </w:tcPr>
          <w:p w14:paraId="29CC9A47" w14:textId="4539A349" w:rsidR="004F6BE2" w:rsidRPr="00024D5A" w:rsidRDefault="004F6BE2" w:rsidP="00E755A6">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eastAsia="en-US"/>
              </w:rPr>
            </w:pPr>
            <w:r w:rsidRPr="00024D5A">
              <w:rPr>
                <w:rFonts w:ascii="Garamond" w:hAnsi="Garamond"/>
                <w:sz w:val="20"/>
                <w:szCs w:val="20"/>
              </w:rPr>
              <w:t>62,461,064</w:t>
            </w:r>
          </w:p>
        </w:tc>
        <w:tc>
          <w:tcPr>
            <w:tcW w:w="1357" w:type="dxa"/>
            <w:noWrap/>
            <w:hideMark/>
          </w:tcPr>
          <w:p w14:paraId="294752C9" w14:textId="722FCA03" w:rsidR="004F6BE2" w:rsidRPr="00024D5A" w:rsidRDefault="004F6BE2" w:rsidP="00E755A6">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eastAsia="en-US"/>
              </w:rPr>
            </w:pPr>
            <w:r w:rsidRPr="00024D5A">
              <w:rPr>
                <w:rFonts w:ascii="Garamond" w:hAnsi="Garamond"/>
                <w:sz w:val="20"/>
                <w:szCs w:val="20"/>
              </w:rPr>
              <w:t>1,542,009</w:t>
            </w:r>
          </w:p>
        </w:tc>
        <w:tc>
          <w:tcPr>
            <w:tcW w:w="1484" w:type="dxa"/>
            <w:noWrap/>
            <w:hideMark/>
          </w:tcPr>
          <w:p w14:paraId="303FBD51" w14:textId="13BD0FAF" w:rsidR="004F6BE2" w:rsidRPr="00024D5A" w:rsidRDefault="004F6BE2" w:rsidP="00E755A6">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eastAsia="en-US"/>
              </w:rPr>
            </w:pPr>
            <w:r w:rsidRPr="00024D5A">
              <w:rPr>
                <w:rFonts w:ascii="Garamond" w:hAnsi="Garamond"/>
                <w:sz w:val="20"/>
                <w:szCs w:val="20"/>
              </w:rPr>
              <w:t>14,660,192</w:t>
            </w:r>
          </w:p>
        </w:tc>
      </w:tr>
      <w:tr w:rsidR="004F6BE2" w:rsidRPr="00024D5A" w14:paraId="6A2F83BE" w14:textId="77777777" w:rsidTr="009B2661">
        <w:trPr>
          <w:trHeight w:val="20"/>
        </w:trPr>
        <w:tc>
          <w:tcPr>
            <w:cnfStyle w:val="001000000000" w:firstRow="0" w:lastRow="0" w:firstColumn="1" w:lastColumn="0" w:oddVBand="0" w:evenVBand="0" w:oddHBand="0" w:evenHBand="0" w:firstRowFirstColumn="0" w:firstRowLastColumn="0" w:lastRowFirstColumn="0" w:lastRowLastColumn="0"/>
            <w:tcW w:w="594" w:type="dxa"/>
            <w:noWrap/>
            <w:hideMark/>
          </w:tcPr>
          <w:p w14:paraId="188A5BB4" w14:textId="07EE8BE3" w:rsidR="004F6BE2" w:rsidRPr="00024D5A" w:rsidRDefault="004F6BE2" w:rsidP="00387E5A">
            <w:pPr>
              <w:rPr>
                <w:rFonts w:ascii="Garamond" w:eastAsia="Times New Roman" w:hAnsi="Garamond"/>
                <w:color w:val="auto"/>
                <w:sz w:val="20"/>
                <w:szCs w:val="20"/>
                <w:lang w:eastAsia="en-US"/>
              </w:rPr>
            </w:pPr>
          </w:p>
        </w:tc>
        <w:tc>
          <w:tcPr>
            <w:tcW w:w="2761" w:type="dxa"/>
            <w:hideMark/>
          </w:tcPr>
          <w:p w14:paraId="0EECBAE5" w14:textId="62404008" w:rsidR="004F6BE2" w:rsidRPr="00024D5A" w:rsidRDefault="004F6BE2" w:rsidP="00E755A6">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20"/>
                <w:szCs w:val="20"/>
                <w:lang w:eastAsia="en-US"/>
              </w:rPr>
            </w:pPr>
            <w:r w:rsidRPr="00024D5A">
              <w:rPr>
                <w:rFonts w:ascii="Garamond" w:hAnsi="Garamond"/>
                <w:sz w:val="20"/>
                <w:szCs w:val="20"/>
              </w:rPr>
              <w:t xml:space="preserve">1 euro =96 </w:t>
            </w:r>
            <w:r w:rsidR="002447A2" w:rsidRPr="00024D5A">
              <w:rPr>
                <w:rFonts w:ascii="Garamond" w:hAnsi="Garamond"/>
                <w:sz w:val="20"/>
                <w:szCs w:val="20"/>
              </w:rPr>
              <w:t>lekë</w:t>
            </w:r>
          </w:p>
        </w:tc>
        <w:tc>
          <w:tcPr>
            <w:tcW w:w="1755" w:type="dxa"/>
            <w:noWrap/>
            <w:hideMark/>
          </w:tcPr>
          <w:p w14:paraId="2ACAA701" w14:textId="1CB921C1" w:rsidR="004F6BE2" w:rsidRPr="00024D5A" w:rsidRDefault="004F6BE2" w:rsidP="00E755A6">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szCs w:val="20"/>
                <w:lang w:eastAsia="en-US"/>
              </w:rPr>
            </w:pPr>
          </w:p>
        </w:tc>
        <w:tc>
          <w:tcPr>
            <w:tcW w:w="1556" w:type="dxa"/>
            <w:noWrap/>
            <w:hideMark/>
          </w:tcPr>
          <w:p w14:paraId="3B75939A" w14:textId="0550B52B" w:rsidR="004F6BE2" w:rsidRPr="00024D5A" w:rsidRDefault="004F6BE2" w:rsidP="00E755A6">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szCs w:val="20"/>
                <w:lang w:eastAsia="en-US"/>
              </w:rPr>
            </w:pPr>
          </w:p>
        </w:tc>
        <w:tc>
          <w:tcPr>
            <w:tcW w:w="1357" w:type="dxa"/>
            <w:noWrap/>
            <w:hideMark/>
          </w:tcPr>
          <w:p w14:paraId="28AC444D" w14:textId="0442F41D" w:rsidR="004F6BE2" w:rsidRPr="00024D5A" w:rsidRDefault="004F6BE2" w:rsidP="00E755A6">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szCs w:val="20"/>
                <w:lang w:eastAsia="en-US"/>
              </w:rPr>
            </w:pPr>
          </w:p>
        </w:tc>
        <w:tc>
          <w:tcPr>
            <w:tcW w:w="1484" w:type="dxa"/>
            <w:noWrap/>
            <w:hideMark/>
          </w:tcPr>
          <w:p w14:paraId="73C51124" w14:textId="179BA693" w:rsidR="004F6BE2" w:rsidRPr="00024D5A" w:rsidRDefault="004F6BE2" w:rsidP="00E755A6">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szCs w:val="20"/>
                <w:lang w:eastAsia="en-US"/>
              </w:rPr>
            </w:pPr>
          </w:p>
        </w:tc>
      </w:tr>
    </w:tbl>
    <w:p w14:paraId="345C19BF" w14:textId="77777777" w:rsidR="00B30A67" w:rsidRPr="00024D5A" w:rsidRDefault="00B30A67" w:rsidP="00387E5A">
      <w:pPr>
        <w:ind w:firstLine="284"/>
        <w:jc w:val="both"/>
        <w:rPr>
          <w:rFonts w:ascii="Garamond" w:hAnsi="Garamond"/>
          <w:lang w:eastAsia="en-US"/>
        </w:rPr>
      </w:pPr>
    </w:p>
    <w:p w14:paraId="4C54872F" w14:textId="2E7D00C5" w:rsidR="00B30A67" w:rsidRPr="00024D5A" w:rsidRDefault="00B30A67" w:rsidP="00387E5A">
      <w:pPr>
        <w:ind w:firstLine="284"/>
        <w:jc w:val="both"/>
        <w:rPr>
          <w:rFonts w:ascii="Garamond" w:eastAsia="SimSun" w:hAnsi="Garamond"/>
          <w:lang w:eastAsia="en-US"/>
        </w:rPr>
      </w:pPr>
      <w:r w:rsidRPr="00024D5A">
        <w:rPr>
          <w:rFonts w:ascii="Garamond" w:eastAsia="SimSun" w:hAnsi="Garamond"/>
          <w:lang w:eastAsia="en-US"/>
        </w:rPr>
        <w:t>Grafiku i mëposhtëm tregon në përqindje ndarjen e burimeve financiare në</w:t>
      </w:r>
      <w:r w:rsidR="00F03D39" w:rsidRPr="00024D5A">
        <w:rPr>
          <w:rFonts w:ascii="Garamond" w:eastAsia="SimSun" w:hAnsi="Garamond"/>
          <w:lang w:eastAsia="en-US"/>
        </w:rPr>
        <w:t>%</w:t>
      </w:r>
      <w:r w:rsidRPr="00024D5A">
        <w:rPr>
          <w:rFonts w:ascii="Garamond" w:eastAsia="SimSun" w:hAnsi="Garamond"/>
          <w:lang w:eastAsia="en-US"/>
        </w:rPr>
        <w:t xml:space="preserve"> të të gjithë Planit të Veprimit </w:t>
      </w:r>
      <w:r w:rsidR="00657405" w:rsidRPr="00024D5A">
        <w:rPr>
          <w:rFonts w:ascii="Garamond" w:eastAsia="SimSun" w:hAnsi="Garamond"/>
          <w:lang w:eastAsia="en-US"/>
        </w:rPr>
        <w:t>2026–2030</w:t>
      </w:r>
      <w:r w:rsidRPr="00024D5A">
        <w:rPr>
          <w:rFonts w:ascii="Garamond" w:eastAsia="SimSun" w:hAnsi="Garamond"/>
          <w:lang w:eastAsia="en-US"/>
        </w:rPr>
        <w:t xml:space="preserve"> për PK</w:t>
      </w:r>
      <w:r w:rsidR="00F1289D" w:rsidRPr="00024D5A">
        <w:rPr>
          <w:rFonts w:ascii="Garamond" w:eastAsia="SimSun" w:hAnsi="Garamond"/>
          <w:lang w:eastAsia="en-US"/>
        </w:rPr>
        <w:t>V</w:t>
      </w:r>
      <w:r w:rsidRPr="00024D5A">
        <w:rPr>
          <w:rFonts w:ascii="Garamond" w:eastAsia="SimSun" w:hAnsi="Garamond"/>
          <w:lang w:eastAsia="en-US"/>
        </w:rPr>
        <w:t>PAK</w:t>
      </w:r>
      <w:r w:rsidR="009B2661" w:rsidRPr="00024D5A">
        <w:rPr>
          <w:rFonts w:ascii="Garamond" w:eastAsia="SimSun" w:hAnsi="Garamond"/>
          <w:lang w:eastAsia="en-US"/>
        </w:rPr>
        <w:t>-në.</w:t>
      </w:r>
    </w:p>
    <w:p w14:paraId="61D2E4E6" w14:textId="77777777" w:rsidR="00B30A67" w:rsidRPr="00024D5A" w:rsidRDefault="00B30A67" w:rsidP="00791B1A">
      <w:pPr>
        <w:jc w:val="both"/>
        <w:rPr>
          <w:rFonts w:ascii="Garamond" w:eastAsia="SimSun" w:hAnsi="Garamond"/>
          <w:lang w:eastAsia="en-US"/>
        </w:rPr>
      </w:pPr>
      <w:r w:rsidRPr="00024D5A">
        <w:rPr>
          <w:rFonts w:ascii="Garamond" w:hAnsi="Garamond"/>
          <w:noProof/>
        </w:rPr>
        <w:drawing>
          <wp:inline distT="0" distB="0" distL="0" distR="0" wp14:anchorId="129ADFE0" wp14:editId="238CFE33">
            <wp:extent cx="5989320" cy="2438400"/>
            <wp:effectExtent l="0" t="0" r="11430" b="0"/>
            <wp:docPr id="6" name="Chart 6">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9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2A428B0" w14:textId="77777777" w:rsidR="00B30A67" w:rsidRPr="00024D5A" w:rsidRDefault="00B30A67" w:rsidP="00791B1A">
      <w:pPr>
        <w:jc w:val="both"/>
        <w:rPr>
          <w:rFonts w:ascii="Garamond" w:eastAsia="SimSun" w:hAnsi="Garamond"/>
          <w:lang w:eastAsia="en-US"/>
        </w:rPr>
      </w:pPr>
    </w:p>
    <w:p w14:paraId="1EB9DFAD" w14:textId="77777777" w:rsidR="00B30A67" w:rsidRPr="00024D5A" w:rsidRDefault="00B30A67" w:rsidP="007F4E6F">
      <w:pPr>
        <w:ind w:firstLine="288"/>
        <w:jc w:val="both"/>
        <w:rPr>
          <w:rFonts w:ascii="Garamond" w:eastAsia="SimSun" w:hAnsi="Garamond"/>
          <w:lang w:eastAsia="en-US"/>
        </w:rPr>
      </w:pPr>
      <w:r w:rsidRPr="00024D5A">
        <w:rPr>
          <w:rFonts w:ascii="Garamond" w:eastAsia="SimSun" w:hAnsi="Garamond"/>
          <w:lang w:eastAsia="en-US"/>
        </w:rPr>
        <w:t>Grafiku më poshtë jep detajet e burimeve të financimit për çdo fushë specifike.</w:t>
      </w:r>
    </w:p>
    <w:p w14:paraId="5BC6AD83" w14:textId="5B230FE9" w:rsidR="00B30A67" w:rsidRPr="00024D5A" w:rsidRDefault="00387E5A" w:rsidP="00791B1A">
      <w:pPr>
        <w:jc w:val="both"/>
        <w:rPr>
          <w:rFonts w:ascii="Garamond" w:eastAsia="SimSun" w:hAnsi="Garamond"/>
          <w:lang w:eastAsia="en-US"/>
        </w:rPr>
      </w:pPr>
      <w:r w:rsidRPr="00024D5A">
        <w:rPr>
          <w:rFonts w:ascii="Garamond" w:eastAsia="SimSun" w:hAnsi="Garamond"/>
          <w:noProof/>
        </w:rPr>
        <w:drawing>
          <wp:inline distT="0" distB="0" distL="0" distR="0" wp14:anchorId="53015DE7" wp14:editId="31130BBD">
            <wp:extent cx="6063266" cy="34194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64516" cy="3420180"/>
                    </a:xfrm>
                    <a:prstGeom prst="rect">
                      <a:avLst/>
                    </a:prstGeom>
                    <a:noFill/>
                  </pic:spPr>
                </pic:pic>
              </a:graphicData>
            </a:graphic>
          </wp:inline>
        </w:drawing>
      </w:r>
    </w:p>
    <w:p w14:paraId="6FFB673C" w14:textId="77777777" w:rsidR="00B30A67" w:rsidRPr="00024D5A" w:rsidRDefault="00B30A67" w:rsidP="00791B1A">
      <w:pPr>
        <w:jc w:val="both"/>
        <w:rPr>
          <w:rFonts w:ascii="Garamond" w:eastAsia="SimSun" w:hAnsi="Garamond"/>
          <w:lang w:eastAsia="en-US"/>
        </w:rPr>
      </w:pPr>
    </w:p>
    <w:p w14:paraId="1AB4512D" w14:textId="1CFE69D5" w:rsidR="00B30A67" w:rsidRPr="00024D5A" w:rsidRDefault="00B30A67" w:rsidP="00791B1A">
      <w:pPr>
        <w:jc w:val="both"/>
        <w:rPr>
          <w:rFonts w:ascii="Garamond" w:eastAsia="SimSun" w:hAnsi="Garamond"/>
          <w:lang w:eastAsia="en-US"/>
        </w:rPr>
      </w:pPr>
      <w:r w:rsidRPr="00024D5A">
        <w:rPr>
          <w:rFonts w:ascii="Garamond" w:eastAsia="SimSun" w:hAnsi="Garamond"/>
          <w:lang w:eastAsia="en-US"/>
        </w:rPr>
        <w:t>Bashkëlidhur keni tabelën përmbledhëse dhe</w:t>
      </w:r>
      <w:r w:rsidR="007F4E6F" w:rsidRPr="00024D5A">
        <w:rPr>
          <w:rFonts w:ascii="Garamond" w:eastAsia="SimSun" w:hAnsi="Garamond"/>
          <w:lang w:eastAsia="en-US"/>
        </w:rPr>
        <w:t xml:space="preserve"> të</w:t>
      </w:r>
      <w:r w:rsidRPr="00024D5A">
        <w:rPr>
          <w:rFonts w:ascii="Garamond" w:eastAsia="SimSun" w:hAnsi="Garamond"/>
          <w:lang w:eastAsia="en-US"/>
        </w:rPr>
        <w:t xml:space="preserve"> gjith</w:t>
      </w:r>
      <w:r w:rsidR="007F4E6F" w:rsidRPr="00024D5A">
        <w:rPr>
          <w:rFonts w:ascii="Garamond" w:eastAsia="SimSun" w:hAnsi="Garamond"/>
          <w:lang w:eastAsia="en-US"/>
        </w:rPr>
        <w:t>a</w:t>
      </w:r>
      <w:r w:rsidRPr="00024D5A">
        <w:rPr>
          <w:rFonts w:ascii="Garamond" w:eastAsia="SimSun" w:hAnsi="Garamond"/>
          <w:lang w:eastAsia="en-US"/>
        </w:rPr>
        <w:t xml:space="preserve"> buxhetet e detajuara për çdo fushë në format</w:t>
      </w:r>
      <w:r w:rsidR="007F4E6F" w:rsidRPr="00024D5A">
        <w:rPr>
          <w:rFonts w:ascii="Garamond" w:eastAsia="SimSun" w:hAnsi="Garamond"/>
          <w:lang w:eastAsia="en-US"/>
        </w:rPr>
        <w:t>in</w:t>
      </w:r>
      <w:r w:rsidRPr="00024D5A">
        <w:rPr>
          <w:rFonts w:ascii="Garamond" w:eastAsia="SimSun" w:hAnsi="Garamond"/>
          <w:lang w:eastAsia="en-US"/>
        </w:rPr>
        <w:t xml:space="preserve"> </w:t>
      </w:r>
      <w:r w:rsidR="00E755A6" w:rsidRPr="00024D5A">
        <w:rPr>
          <w:rFonts w:ascii="Garamond" w:eastAsia="SimSun" w:hAnsi="Garamond"/>
          <w:i/>
          <w:iCs/>
          <w:lang w:eastAsia="en-US"/>
        </w:rPr>
        <w:t>Exel</w:t>
      </w:r>
      <w:r w:rsidRPr="00024D5A">
        <w:rPr>
          <w:rFonts w:ascii="Garamond" w:eastAsia="SimSun" w:hAnsi="Garamond"/>
          <w:lang w:eastAsia="en-US"/>
        </w:rPr>
        <w:t>.</w:t>
      </w:r>
    </w:p>
    <w:p w14:paraId="1E985F79" w14:textId="56936E03" w:rsidR="00387E5A" w:rsidRPr="00024D5A" w:rsidRDefault="00387E5A" w:rsidP="00791B1A">
      <w:pPr>
        <w:pStyle w:val="font7"/>
        <w:spacing w:before="0" w:beforeAutospacing="0" w:after="0" w:afterAutospacing="0"/>
        <w:rPr>
          <w:rStyle w:val="IntenseReference"/>
          <w:rFonts w:ascii="Garamond" w:hAnsi="Garamond"/>
          <w:color w:val="auto"/>
          <w:lang w:val="sq-AL"/>
        </w:rPr>
      </w:pPr>
    </w:p>
    <w:p w14:paraId="717BE83D" w14:textId="77777777" w:rsidR="00387E5A" w:rsidRPr="00024D5A" w:rsidRDefault="00387E5A" w:rsidP="00791B1A">
      <w:pPr>
        <w:pStyle w:val="font7"/>
        <w:spacing w:before="0" w:beforeAutospacing="0" w:after="0" w:afterAutospacing="0"/>
        <w:rPr>
          <w:rStyle w:val="IntenseReference"/>
          <w:rFonts w:ascii="Garamond" w:hAnsi="Garamond"/>
          <w:color w:val="auto"/>
          <w:lang w:val="sq-AL"/>
        </w:rPr>
        <w:sectPr w:rsidR="00387E5A" w:rsidRPr="00024D5A" w:rsidSect="00387E5A">
          <w:footerReference w:type="default" r:id="rId15"/>
          <w:pgSz w:w="12240" w:h="15840"/>
          <w:pgMar w:top="1440" w:right="1440" w:bottom="1440" w:left="1440" w:header="720" w:footer="720" w:gutter="0"/>
          <w:cols w:space="720"/>
          <w:docGrid w:linePitch="360"/>
        </w:sectPr>
      </w:pPr>
    </w:p>
    <w:p w14:paraId="0669188A" w14:textId="672EE0DA" w:rsidR="00DE4FCB" w:rsidRPr="00024D5A" w:rsidRDefault="00E755A6" w:rsidP="007F4E6F">
      <w:pPr>
        <w:jc w:val="center"/>
        <w:rPr>
          <w:rFonts w:ascii="Garamond" w:hAnsi="Garamond"/>
          <w:sz w:val="20"/>
          <w:szCs w:val="20"/>
        </w:rPr>
      </w:pPr>
      <w:r w:rsidRPr="00024D5A">
        <w:rPr>
          <w:rFonts w:ascii="Garamond" w:hAnsi="Garamond"/>
          <w:b/>
          <w:bCs/>
          <w:i/>
          <w:iCs/>
        </w:rPr>
        <w:t>Tabela 1:</w:t>
      </w:r>
      <w:r w:rsidRPr="00024D5A">
        <w:rPr>
          <w:rFonts w:ascii="Garamond" w:hAnsi="Garamond"/>
          <w:i/>
          <w:iCs/>
        </w:rPr>
        <w:t xml:space="preserve"> Kostoja indikative e planit kombëtar të veprimit për personat me aftësi të kufizuara 2026–2030</w:t>
      </w:r>
      <w:r w:rsidR="00DE4FCB" w:rsidRPr="00024D5A">
        <w:rPr>
          <w:rStyle w:val="IntenseReference"/>
          <w:rFonts w:ascii="Garamond" w:hAnsi="Garamond"/>
          <w:color w:val="auto"/>
        </w:rPr>
        <w:fldChar w:fldCharType="begin"/>
      </w:r>
      <w:r w:rsidR="00DE4FCB" w:rsidRPr="00024D5A">
        <w:rPr>
          <w:rStyle w:val="IntenseReference"/>
          <w:rFonts w:ascii="Garamond" w:hAnsi="Garamond"/>
          <w:color w:val="auto"/>
        </w:rPr>
        <w:instrText xml:space="preserve"> LINK Excel.Sheet.12 "https://nais-my.sharepoint.com/personal/rovena_aliraj_shendetesia_gov_al/Documents/Desktop/04%2006%20%202026%20Total%20buxhet%20PAS%20EKSPERTES.xlsx" "Tabela permbledhes  MSHMS!R1C1:R110C18" \a \f 4 \h  \* MERGEFORMAT </w:instrText>
      </w:r>
      <w:r w:rsidR="00DE4FCB" w:rsidRPr="00024D5A">
        <w:rPr>
          <w:rStyle w:val="IntenseReference"/>
          <w:rFonts w:ascii="Garamond" w:hAnsi="Garamond"/>
          <w:color w:val="auto"/>
        </w:rPr>
        <w:fldChar w:fldCharType="separate"/>
      </w:r>
    </w:p>
    <w:tbl>
      <w:tblPr>
        <w:tblW w:w="5461" w:type="pct"/>
        <w:tblInd w:w="-572" w:type="dxa"/>
        <w:tblLook w:val="04A0" w:firstRow="1" w:lastRow="0" w:firstColumn="1" w:lastColumn="0" w:noHBand="0" w:noVBand="1"/>
      </w:tblPr>
      <w:tblGrid>
        <w:gridCol w:w="1051"/>
        <w:gridCol w:w="681"/>
        <w:gridCol w:w="630"/>
        <w:gridCol w:w="1869"/>
        <w:gridCol w:w="2389"/>
        <w:gridCol w:w="523"/>
        <w:gridCol w:w="528"/>
        <w:gridCol w:w="528"/>
        <w:gridCol w:w="528"/>
        <w:gridCol w:w="520"/>
        <w:gridCol w:w="557"/>
        <w:gridCol w:w="582"/>
        <w:gridCol w:w="582"/>
        <w:gridCol w:w="545"/>
        <w:gridCol w:w="563"/>
        <w:gridCol w:w="558"/>
        <w:gridCol w:w="549"/>
        <w:gridCol w:w="956"/>
      </w:tblGrid>
      <w:tr w:rsidR="00387E5A" w:rsidRPr="00024D5A" w14:paraId="6CF06E18" w14:textId="77777777" w:rsidTr="00387E5A">
        <w:trPr>
          <w:trHeight w:val="20"/>
        </w:trPr>
        <w:tc>
          <w:tcPr>
            <w:tcW w:w="375" w:type="pct"/>
            <w:vMerge w:val="restart"/>
            <w:tcBorders>
              <w:top w:val="single" w:sz="4" w:space="0" w:color="auto"/>
              <w:left w:val="single" w:sz="4" w:space="0" w:color="auto"/>
              <w:bottom w:val="single" w:sz="4" w:space="0" w:color="auto"/>
              <w:right w:val="nil"/>
            </w:tcBorders>
            <w:vAlign w:val="center"/>
            <w:hideMark/>
          </w:tcPr>
          <w:p w14:paraId="46E2C67F" w14:textId="77777777"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FUSHAT</w:t>
            </w:r>
          </w:p>
        </w:tc>
        <w:tc>
          <w:tcPr>
            <w:tcW w:w="470" w:type="pct"/>
            <w:gridSpan w:val="2"/>
            <w:tcBorders>
              <w:top w:val="single" w:sz="8" w:space="0" w:color="auto"/>
              <w:left w:val="single" w:sz="8" w:space="0" w:color="auto"/>
              <w:bottom w:val="single" w:sz="4" w:space="0" w:color="auto"/>
              <w:right w:val="single" w:sz="4" w:space="0" w:color="auto"/>
            </w:tcBorders>
            <w:shd w:val="clear" w:color="000000" w:fill="C2D69B"/>
            <w:vAlign w:val="center"/>
            <w:hideMark/>
          </w:tcPr>
          <w:p w14:paraId="04E5D586"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AFATI ZBATIMIT</w:t>
            </w:r>
          </w:p>
        </w:tc>
        <w:tc>
          <w:tcPr>
            <w:tcW w:w="1456" w:type="pct"/>
            <w:gridSpan w:val="2"/>
            <w:tcBorders>
              <w:top w:val="single" w:sz="8" w:space="0" w:color="auto"/>
              <w:left w:val="nil"/>
              <w:bottom w:val="single" w:sz="4" w:space="0" w:color="auto"/>
              <w:right w:val="single" w:sz="8" w:space="0" w:color="000000"/>
            </w:tcBorders>
            <w:shd w:val="clear" w:color="000000" w:fill="C2D69B"/>
            <w:vAlign w:val="center"/>
            <w:hideMark/>
          </w:tcPr>
          <w:p w14:paraId="003D31ED"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INSTITUCIONI PËRGJEGJËS</w:t>
            </w:r>
          </w:p>
        </w:tc>
        <w:tc>
          <w:tcPr>
            <w:tcW w:w="944" w:type="pct"/>
            <w:gridSpan w:val="5"/>
            <w:tcBorders>
              <w:top w:val="single" w:sz="4" w:space="0" w:color="auto"/>
              <w:left w:val="nil"/>
              <w:bottom w:val="single" w:sz="4" w:space="0" w:color="auto"/>
              <w:right w:val="single" w:sz="4" w:space="0" w:color="auto"/>
            </w:tcBorders>
            <w:shd w:val="clear" w:color="000000" w:fill="C2D69B"/>
            <w:vAlign w:val="center"/>
            <w:hideMark/>
          </w:tcPr>
          <w:p w14:paraId="46B10612"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VITET</w:t>
            </w:r>
          </w:p>
        </w:tc>
        <w:tc>
          <w:tcPr>
            <w:tcW w:w="200" w:type="pct"/>
            <w:vMerge w:val="restart"/>
            <w:tcBorders>
              <w:top w:val="single" w:sz="4" w:space="0" w:color="auto"/>
              <w:left w:val="single" w:sz="4" w:space="0" w:color="auto"/>
              <w:bottom w:val="single" w:sz="4" w:space="0" w:color="auto"/>
              <w:right w:val="nil"/>
            </w:tcBorders>
            <w:shd w:val="clear" w:color="000000" w:fill="C2D69B"/>
            <w:vAlign w:val="center"/>
            <w:hideMark/>
          </w:tcPr>
          <w:p w14:paraId="1042CA7E" w14:textId="5C0B9AC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Kosto indikative</w:t>
            </w:r>
            <w:r w:rsidRPr="00024D5A">
              <w:rPr>
                <w:rFonts w:ascii="Garamond" w:eastAsia="Times New Roman" w:hAnsi="Garamond" w:cs="Calibri"/>
                <w:b/>
                <w:bCs/>
                <w:sz w:val="6"/>
                <w:szCs w:val="6"/>
                <w:lang w:eastAsia="en-US"/>
              </w:rPr>
              <w:br/>
              <w:t xml:space="preserve"> (në 000</w:t>
            </w:r>
            <w:r w:rsidR="007675EC" w:rsidRPr="00024D5A">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ALL)</w:t>
            </w:r>
          </w:p>
        </w:tc>
        <w:tc>
          <w:tcPr>
            <w:tcW w:w="614" w:type="pct"/>
            <w:gridSpan w:val="3"/>
            <w:tcBorders>
              <w:top w:val="single" w:sz="8" w:space="0" w:color="auto"/>
              <w:left w:val="single" w:sz="8" w:space="0" w:color="auto"/>
              <w:bottom w:val="single" w:sz="4" w:space="0" w:color="auto"/>
              <w:right w:val="single" w:sz="8" w:space="0" w:color="000000"/>
            </w:tcBorders>
            <w:shd w:val="clear" w:color="000000" w:fill="C2D69B"/>
            <w:vAlign w:val="center"/>
            <w:hideMark/>
          </w:tcPr>
          <w:p w14:paraId="6D5EFF7D" w14:textId="347F710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Burimi i mbulimit (në 000</w:t>
            </w:r>
            <w:r w:rsidR="007675EC" w:rsidRPr="00024D5A">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ALL)</w:t>
            </w:r>
          </w:p>
        </w:tc>
        <w:tc>
          <w:tcPr>
            <w:tcW w:w="942" w:type="pct"/>
            <w:gridSpan w:val="4"/>
            <w:tcBorders>
              <w:top w:val="single" w:sz="8" w:space="0" w:color="auto"/>
              <w:left w:val="nil"/>
              <w:bottom w:val="single" w:sz="4" w:space="0" w:color="auto"/>
              <w:right w:val="single" w:sz="8" w:space="0" w:color="000000"/>
            </w:tcBorders>
            <w:shd w:val="clear" w:color="000000" w:fill="C4D79B"/>
            <w:vAlign w:val="center"/>
            <w:hideMark/>
          </w:tcPr>
          <w:p w14:paraId="707C55B2" w14:textId="059E499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Burimi i mbulimit (në EURO)</w:t>
            </w:r>
          </w:p>
        </w:tc>
      </w:tr>
      <w:tr w:rsidR="00387E5A" w:rsidRPr="00024D5A" w14:paraId="35F30A4D" w14:textId="77777777" w:rsidTr="00387E5A">
        <w:trPr>
          <w:trHeight w:val="20"/>
        </w:trPr>
        <w:tc>
          <w:tcPr>
            <w:tcW w:w="375" w:type="pct"/>
            <w:vMerge/>
            <w:tcBorders>
              <w:top w:val="single" w:sz="4" w:space="0" w:color="auto"/>
              <w:left w:val="single" w:sz="4" w:space="0" w:color="auto"/>
              <w:bottom w:val="single" w:sz="4" w:space="0" w:color="auto"/>
              <w:right w:val="nil"/>
            </w:tcBorders>
            <w:vAlign w:val="center"/>
            <w:hideMark/>
          </w:tcPr>
          <w:p w14:paraId="5EBC863A" w14:textId="77777777" w:rsidR="00DE4FCB" w:rsidRPr="00024D5A" w:rsidRDefault="00DE4FCB" w:rsidP="00387E5A">
            <w:pPr>
              <w:rPr>
                <w:rFonts w:ascii="Garamond" w:eastAsia="Times New Roman" w:hAnsi="Garamond" w:cs="Calibri"/>
                <w:b/>
                <w:bCs/>
                <w:sz w:val="6"/>
                <w:szCs w:val="6"/>
                <w:lang w:eastAsia="en-US"/>
              </w:rPr>
            </w:pPr>
          </w:p>
        </w:tc>
        <w:tc>
          <w:tcPr>
            <w:tcW w:w="244" w:type="pct"/>
            <w:tcBorders>
              <w:top w:val="nil"/>
              <w:left w:val="single" w:sz="8" w:space="0" w:color="auto"/>
              <w:bottom w:val="single" w:sz="4" w:space="0" w:color="auto"/>
              <w:right w:val="single" w:sz="4" w:space="0" w:color="auto"/>
            </w:tcBorders>
            <w:shd w:val="clear" w:color="000000" w:fill="C2D69B"/>
            <w:vAlign w:val="center"/>
            <w:hideMark/>
          </w:tcPr>
          <w:p w14:paraId="0176547D"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AFATI I FILLIMIT</w:t>
            </w:r>
          </w:p>
        </w:tc>
        <w:tc>
          <w:tcPr>
            <w:tcW w:w="226" w:type="pct"/>
            <w:tcBorders>
              <w:top w:val="nil"/>
              <w:left w:val="nil"/>
              <w:bottom w:val="single" w:sz="4" w:space="0" w:color="auto"/>
              <w:right w:val="single" w:sz="4" w:space="0" w:color="auto"/>
            </w:tcBorders>
            <w:shd w:val="clear" w:color="000000" w:fill="C2D69B"/>
            <w:vAlign w:val="center"/>
            <w:hideMark/>
          </w:tcPr>
          <w:p w14:paraId="3393E4BA"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AFATI I MBARIMIT</w:t>
            </w:r>
          </w:p>
        </w:tc>
        <w:tc>
          <w:tcPr>
            <w:tcW w:w="664" w:type="pct"/>
            <w:tcBorders>
              <w:top w:val="nil"/>
              <w:left w:val="nil"/>
              <w:bottom w:val="single" w:sz="4" w:space="0" w:color="auto"/>
              <w:right w:val="single" w:sz="4" w:space="0" w:color="auto"/>
            </w:tcBorders>
            <w:shd w:val="clear" w:color="000000" w:fill="C2D69B"/>
            <w:vAlign w:val="center"/>
            <w:hideMark/>
          </w:tcPr>
          <w:p w14:paraId="4BBA7894"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INSTITUCIONI PËRGJEGJËS</w:t>
            </w:r>
          </w:p>
        </w:tc>
        <w:tc>
          <w:tcPr>
            <w:tcW w:w="792" w:type="pct"/>
            <w:tcBorders>
              <w:top w:val="nil"/>
              <w:left w:val="nil"/>
              <w:bottom w:val="single" w:sz="4" w:space="0" w:color="auto"/>
              <w:right w:val="single" w:sz="8" w:space="0" w:color="auto"/>
            </w:tcBorders>
            <w:shd w:val="clear" w:color="000000" w:fill="C2D69B"/>
            <w:vAlign w:val="center"/>
            <w:hideMark/>
          </w:tcPr>
          <w:p w14:paraId="4BB0B645"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INSTITUCIONET KONTRIBUESE</w:t>
            </w:r>
          </w:p>
        </w:tc>
        <w:tc>
          <w:tcPr>
            <w:tcW w:w="188" w:type="pct"/>
            <w:tcBorders>
              <w:top w:val="nil"/>
              <w:left w:val="nil"/>
              <w:bottom w:val="single" w:sz="4" w:space="0" w:color="auto"/>
              <w:right w:val="single" w:sz="4" w:space="0" w:color="auto"/>
            </w:tcBorders>
            <w:shd w:val="clear" w:color="000000" w:fill="C2D69B"/>
            <w:vAlign w:val="center"/>
            <w:hideMark/>
          </w:tcPr>
          <w:p w14:paraId="554D57D2"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2026</w:t>
            </w:r>
          </w:p>
        </w:tc>
        <w:tc>
          <w:tcPr>
            <w:tcW w:w="190" w:type="pct"/>
            <w:tcBorders>
              <w:top w:val="nil"/>
              <w:left w:val="nil"/>
              <w:bottom w:val="single" w:sz="4" w:space="0" w:color="auto"/>
              <w:right w:val="single" w:sz="4" w:space="0" w:color="auto"/>
            </w:tcBorders>
            <w:shd w:val="clear" w:color="000000" w:fill="C2D69B"/>
            <w:vAlign w:val="center"/>
            <w:hideMark/>
          </w:tcPr>
          <w:p w14:paraId="132EFC91"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2027</w:t>
            </w:r>
          </w:p>
        </w:tc>
        <w:tc>
          <w:tcPr>
            <w:tcW w:w="190" w:type="pct"/>
            <w:tcBorders>
              <w:top w:val="nil"/>
              <w:left w:val="nil"/>
              <w:bottom w:val="single" w:sz="4" w:space="0" w:color="auto"/>
              <w:right w:val="single" w:sz="4" w:space="0" w:color="auto"/>
            </w:tcBorders>
            <w:shd w:val="clear" w:color="000000" w:fill="C2D69B"/>
            <w:vAlign w:val="center"/>
            <w:hideMark/>
          </w:tcPr>
          <w:p w14:paraId="0C9C0206"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2028</w:t>
            </w:r>
          </w:p>
        </w:tc>
        <w:tc>
          <w:tcPr>
            <w:tcW w:w="190" w:type="pct"/>
            <w:tcBorders>
              <w:top w:val="nil"/>
              <w:left w:val="nil"/>
              <w:bottom w:val="single" w:sz="4" w:space="0" w:color="auto"/>
              <w:right w:val="single" w:sz="4" w:space="0" w:color="auto"/>
            </w:tcBorders>
            <w:shd w:val="clear" w:color="000000" w:fill="C2D69B"/>
            <w:vAlign w:val="center"/>
            <w:hideMark/>
          </w:tcPr>
          <w:p w14:paraId="58064E42"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2029</w:t>
            </w:r>
          </w:p>
        </w:tc>
        <w:tc>
          <w:tcPr>
            <w:tcW w:w="187" w:type="pct"/>
            <w:tcBorders>
              <w:top w:val="nil"/>
              <w:left w:val="nil"/>
              <w:bottom w:val="single" w:sz="4" w:space="0" w:color="auto"/>
              <w:right w:val="single" w:sz="4" w:space="0" w:color="auto"/>
            </w:tcBorders>
            <w:shd w:val="clear" w:color="000000" w:fill="C2D69B"/>
            <w:vAlign w:val="center"/>
            <w:hideMark/>
          </w:tcPr>
          <w:p w14:paraId="04F52F05"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2030</w:t>
            </w:r>
          </w:p>
        </w:tc>
        <w:tc>
          <w:tcPr>
            <w:tcW w:w="200" w:type="pct"/>
            <w:vMerge/>
            <w:tcBorders>
              <w:top w:val="single" w:sz="4" w:space="0" w:color="auto"/>
              <w:left w:val="single" w:sz="4" w:space="0" w:color="auto"/>
              <w:bottom w:val="single" w:sz="4" w:space="0" w:color="auto"/>
              <w:right w:val="nil"/>
            </w:tcBorders>
            <w:vAlign w:val="center"/>
            <w:hideMark/>
          </w:tcPr>
          <w:p w14:paraId="4D197BA7" w14:textId="77777777" w:rsidR="00DE4FCB" w:rsidRPr="00024D5A" w:rsidRDefault="00DE4FCB" w:rsidP="00387E5A">
            <w:pPr>
              <w:jc w:val="center"/>
              <w:rPr>
                <w:rFonts w:ascii="Garamond" w:eastAsia="Times New Roman" w:hAnsi="Garamond" w:cs="Calibri"/>
                <w:b/>
                <w:bCs/>
                <w:sz w:val="6"/>
                <w:szCs w:val="6"/>
                <w:lang w:eastAsia="en-US"/>
              </w:rPr>
            </w:pPr>
          </w:p>
        </w:tc>
        <w:tc>
          <w:tcPr>
            <w:tcW w:w="209" w:type="pct"/>
            <w:tcBorders>
              <w:top w:val="nil"/>
              <w:left w:val="single" w:sz="8" w:space="0" w:color="auto"/>
              <w:bottom w:val="single" w:sz="4" w:space="0" w:color="auto"/>
              <w:right w:val="single" w:sz="4" w:space="0" w:color="auto"/>
            </w:tcBorders>
            <w:shd w:val="clear" w:color="000000" w:fill="C2D69B"/>
            <w:vAlign w:val="center"/>
            <w:hideMark/>
          </w:tcPr>
          <w:p w14:paraId="65A98F48" w14:textId="1F73881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Buxhet </w:t>
            </w:r>
            <w:r w:rsidR="001D6785" w:rsidRPr="00024D5A">
              <w:rPr>
                <w:rFonts w:ascii="Garamond" w:eastAsia="Times New Roman" w:hAnsi="Garamond" w:cs="Calibri"/>
                <w:b/>
                <w:bCs/>
                <w:sz w:val="6"/>
                <w:szCs w:val="6"/>
                <w:lang w:eastAsia="en-US"/>
              </w:rPr>
              <w:t xml:space="preserve">i shtetit </w:t>
            </w:r>
            <w:r w:rsidRPr="00024D5A">
              <w:rPr>
                <w:rFonts w:ascii="Garamond" w:eastAsia="Times New Roman" w:hAnsi="Garamond" w:cs="Calibri"/>
                <w:b/>
                <w:bCs/>
                <w:sz w:val="6"/>
                <w:szCs w:val="6"/>
                <w:lang w:eastAsia="en-US"/>
              </w:rPr>
              <w:t>(000/ALL)</w:t>
            </w:r>
          </w:p>
        </w:tc>
        <w:tc>
          <w:tcPr>
            <w:tcW w:w="209" w:type="pct"/>
            <w:tcBorders>
              <w:top w:val="nil"/>
              <w:left w:val="nil"/>
              <w:bottom w:val="single" w:sz="4" w:space="0" w:color="auto"/>
              <w:right w:val="single" w:sz="4" w:space="0" w:color="auto"/>
            </w:tcBorders>
            <w:shd w:val="clear" w:color="000000" w:fill="C2D69B"/>
            <w:vAlign w:val="center"/>
            <w:hideMark/>
          </w:tcPr>
          <w:p w14:paraId="34EAA04A" w14:textId="70E21D1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Financim i </w:t>
            </w:r>
            <w:r w:rsidR="001D6785" w:rsidRPr="00024D5A">
              <w:rPr>
                <w:rFonts w:ascii="Garamond" w:eastAsia="Times New Roman" w:hAnsi="Garamond" w:cs="Calibri"/>
                <w:b/>
                <w:bCs/>
                <w:sz w:val="6"/>
                <w:szCs w:val="6"/>
                <w:lang w:eastAsia="en-US"/>
              </w:rPr>
              <w:t xml:space="preserve">huaj </w:t>
            </w:r>
            <w:r w:rsidRPr="00024D5A">
              <w:rPr>
                <w:rFonts w:ascii="Garamond" w:eastAsia="Times New Roman" w:hAnsi="Garamond" w:cs="Calibri"/>
                <w:b/>
                <w:bCs/>
                <w:sz w:val="6"/>
                <w:szCs w:val="6"/>
                <w:lang w:eastAsia="en-US"/>
              </w:rPr>
              <w:t>(000/ALL)</w:t>
            </w:r>
          </w:p>
        </w:tc>
        <w:tc>
          <w:tcPr>
            <w:tcW w:w="195" w:type="pct"/>
            <w:tcBorders>
              <w:top w:val="nil"/>
              <w:left w:val="nil"/>
              <w:bottom w:val="single" w:sz="4" w:space="0" w:color="auto"/>
              <w:right w:val="single" w:sz="8" w:space="0" w:color="auto"/>
            </w:tcBorders>
            <w:shd w:val="clear" w:color="000000" w:fill="C2D69B"/>
            <w:vAlign w:val="center"/>
            <w:hideMark/>
          </w:tcPr>
          <w:p w14:paraId="2813F646" w14:textId="751A514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Hendeku financiar</w:t>
            </w:r>
            <w:r w:rsidRPr="00024D5A">
              <w:rPr>
                <w:rFonts w:ascii="Garamond" w:eastAsia="Times New Roman" w:hAnsi="Garamond" w:cs="Calibri"/>
                <w:b/>
                <w:bCs/>
                <w:sz w:val="6"/>
                <w:szCs w:val="6"/>
                <w:lang w:eastAsia="en-US"/>
              </w:rPr>
              <w:br/>
              <w:t xml:space="preserve"> (në 000</w:t>
            </w:r>
            <w:r w:rsidR="007675EC" w:rsidRPr="00024D5A">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ALL)</w:t>
            </w:r>
          </w:p>
        </w:tc>
        <w:tc>
          <w:tcPr>
            <w:tcW w:w="202" w:type="pct"/>
            <w:tcBorders>
              <w:top w:val="nil"/>
              <w:left w:val="nil"/>
              <w:bottom w:val="single" w:sz="4" w:space="0" w:color="auto"/>
              <w:right w:val="single" w:sz="4" w:space="0" w:color="auto"/>
            </w:tcBorders>
            <w:shd w:val="clear" w:color="000000" w:fill="C4D79B"/>
            <w:vAlign w:val="center"/>
            <w:hideMark/>
          </w:tcPr>
          <w:p w14:paraId="20DBA888" w14:textId="526D8A4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Kosto indikative</w:t>
            </w:r>
            <w:r w:rsidRPr="00024D5A">
              <w:rPr>
                <w:rFonts w:ascii="Garamond" w:eastAsia="Times New Roman" w:hAnsi="Garamond" w:cs="Calibri"/>
                <w:b/>
                <w:bCs/>
                <w:sz w:val="6"/>
                <w:szCs w:val="6"/>
                <w:lang w:eastAsia="en-US"/>
              </w:rPr>
              <w:br/>
              <w:t xml:space="preserve"> (në EURO)</w:t>
            </w:r>
          </w:p>
        </w:tc>
        <w:tc>
          <w:tcPr>
            <w:tcW w:w="200" w:type="pct"/>
            <w:tcBorders>
              <w:top w:val="nil"/>
              <w:left w:val="nil"/>
              <w:bottom w:val="single" w:sz="4" w:space="0" w:color="auto"/>
              <w:right w:val="single" w:sz="4" w:space="0" w:color="auto"/>
            </w:tcBorders>
            <w:shd w:val="clear" w:color="000000" w:fill="C4D79B"/>
            <w:vAlign w:val="center"/>
            <w:hideMark/>
          </w:tcPr>
          <w:p w14:paraId="25DD3FBA" w14:textId="2B56F6C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Buxhet</w:t>
            </w:r>
            <w:r w:rsidR="001D6785" w:rsidRPr="00024D5A">
              <w:rPr>
                <w:rFonts w:ascii="Garamond" w:eastAsia="Times New Roman" w:hAnsi="Garamond" w:cs="Calibri"/>
                <w:b/>
                <w:bCs/>
                <w:sz w:val="6"/>
                <w:szCs w:val="6"/>
                <w:lang w:eastAsia="en-US"/>
              </w:rPr>
              <w:t xml:space="preserve"> i </w:t>
            </w:r>
            <w:r w:rsidRPr="00024D5A">
              <w:rPr>
                <w:rFonts w:ascii="Garamond" w:eastAsia="Times New Roman" w:hAnsi="Garamond" w:cs="Calibri"/>
                <w:b/>
                <w:bCs/>
                <w:sz w:val="6"/>
                <w:szCs w:val="6"/>
                <w:lang w:eastAsia="en-US"/>
              </w:rPr>
              <w:t xml:space="preserve"> </w:t>
            </w:r>
            <w:r w:rsidR="001D6785" w:rsidRPr="00024D5A">
              <w:rPr>
                <w:rFonts w:ascii="Garamond" w:eastAsia="Times New Roman" w:hAnsi="Garamond" w:cs="Calibri"/>
                <w:b/>
                <w:bCs/>
                <w:sz w:val="6"/>
                <w:szCs w:val="6"/>
                <w:lang w:eastAsia="en-US"/>
              </w:rPr>
              <w:t xml:space="preserve">shtetit </w:t>
            </w:r>
            <w:r w:rsidRPr="00024D5A">
              <w:rPr>
                <w:rFonts w:ascii="Garamond" w:eastAsia="Times New Roman" w:hAnsi="Garamond" w:cs="Calibri"/>
                <w:b/>
                <w:bCs/>
                <w:sz w:val="6"/>
                <w:szCs w:val="6"/>
                <w:lang w:eastAsia="en-US"/>
              </w:rPr>
              <w:t>(</w:t>
            </w:r>
            <w:r w:rsidR="001D6785" w:rsidRPr="00024D5A">
              <w:rPr>
                <w:rFonts w:ascii="Garamond" w:eastAsia="Times New Roman" w:hAnsi="Garamond" w:cs="Calibri"/>
                <w:b/>
                <w:bCs/>
                <w:sz w:val="6"/>
                <w:szCs w:val="6"/>
                <w:lang w:eastAsia="en-US"/>
              </w:rPr>
              <w:t>Euro</w:t>
            </w:r>
            <w:r w:rsidRPr="00024D5A">
              <w:rPr>
                <w:rFonts w:ascii="Garamond" w:eastAsia="Times New Roman" w:hAnsi="Garamond" w:cs="Calibri"/>
                <w:b/>
                <w:bCs/>
                <w:sz w:val="6"/>
                <w:szCs w:val="6"/>
                <w:lang w:eastAsia="en-US"/>
              </w:rPr>
              <w:t>)</w:t>
            </w:r>
          </w:p>
        </w:tc>
        <w:tc>
          <w:tcPr>
            <w:tcW w:w="197" w:type="pct"/>
            <w:tcBorders>
              <w:top w:val="nil"/>
              <w:left w:val="nil"/>
              <w:bottom w:val="single" w:sz="4" w:space="0" w:color="auto"/>
              <w:right w:val="single" w:sz="4" w:space="0" w:color="auto"/>
            </w:tcBorders>
            <w:shd w:val="clear" w:color="000000" w:fill="C4D79B"/>
            <w:vAlign w:val="center"/>
            <w:hideMark/>
          </w:tcPr>
          <w:p w14:paraId="33E27FA3" w14:textId="6671963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Financim i Huaj (EURO)</w:t>
            </w:r>
          </w:p>
        </w:tc>
        <w:tc>
          <w:tcPr>
            <w:tcW w:w="342" w:type="pct"/>
            <w:tcBorders>
              <w:top w:val="nil"/>
              <w:left w:val="nil"/>
              <w:bottom w:val="single" w:sz="4" w:space="0" w:color="auto"/>
              <w:right w:val="single" w:sz="8" w:space="0" w:color="auto"/>
            </w:tcBorders>
            <w:shd w:val="clear" w:color="000000" w:fill="C4D79B"/>
            <w:vAlign w:val="center"/>
            <w:hideMark/>
          </w:tcPr>
          <w:p w14:paraId="13476B7B" w14:textId="5DA473B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Hendeku financiar</w:t>
            </w:r>
            <w:r w:rsidRPr="00024D5A">
              <w:rPr>
                <w:rFonts w:ascii="Garamond" w:eastAsia="Times New Roman" w:hAnsi="Garamond" w:cs="Calibri"/>
                <w:b/>
                <w:bCs/>
                <w:sz w:val="6"/>
                <w:szCs w:val="6"/>
                <w:lang w:eastAsia="en-US"/>
              </w:rPr>
              <w:br/>
              <w:t>(EURO)</w:t>
            </w:r>
          </w:p>
        </w:tc>
      </w:tr>
      <w:tr w:rsidR="00387E5A" w:rsidRPr="00024D5A" w14:paraId="72CCCF42" w14:textId="77777777" w:rsidTr="00387E5A">
        <w:trPr>
          <w:trHeight w:val="20"/>
        </w:trPr>
        <w:tc>
          <w:tcPr>
            <w:tcW w:w="375" w:type="pct"/>
            <w:tcBorders>
              <w:top w:val="nil"/>
              <w:left w:val="single" w:sz="4" w:space="0" w:color="auto"/>
              <w:bottom w:val="single" w:sz="4" w:space="0" w:color="auto"/>
              <w:right w:val="nil"/>
            </w:tcBorders>
            <w:vAlign w:val="center"/>
            <w:hideMark/>
          </w:tcPr>
          <w:p w14:paraId="47DF03CA" w14:textId="08F717B5"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TOTALI</w:t>
            </w:r>
          </w:p>
        </w:tc>
        <w:tc>
          <w:tcPr>
            <w:tcW w:w="244" w:type="pct"/>
            <w:tcBorders>
              <w:top w:val="nil"/>
              <w:left w:val="single" w:sz="8" w:space="0" w:color="auto"/>
              <w:bottom w:val="single" w:sz="4" w:space="0" w:color="auto"/>
              <w:right w:val="single" w:sz="4" w:space="0" w:color="auto"/>
            </w:tcBorders>
            <w:shd w:val="clear" w:color="000000" w:fill="C2D69B"/>
            <w:vAlign w:val="center"/>
            <w:hideMark/>
          </w:tcPr>
          <w:p w14:paraId="51A131BA" w14:textId="0A553C65" w:rsidR="00DE4FCB" w:rsidRPr="00024D5A" w:rsidRDefault="00DE4FCB" w:rsidP="00387E5A">
            <w:pPr>
              <w:jc w:val="center"/>
              <w:rPr>
                <w:rFonts w:ascii="Garamond" w:eastAsia="Times New Roman" w:hAnsi="Garamond" w:cs="Calibri"/>
                <w:b/>
                <w:bCs/>
                <w:sz w:val="6"/>
                <w:szCs w:val="6"/>
                <w:lang w:eastAsia="en-US"/>
              </w:rPr>
            </w:pPr>
          </w:p>
        </w:tc>
        <w:tc>
          <w:tcPr>
            <w:tcW w:w="226" w:type="pct"/>
            <w:tcBorders>
              <w:top w:val="nil"/>
              <w:left w:val="nil"/>
              <w:bottom w:val="single" w:sz="4" w:space="0" w:color="auto"/>
              <w:right w:val="single" w:sz="4" w:space="0" w:color="auto"/>
            </w:tcBorders>
            <w:shd w:val="clear" w:color="000000" w:fill="C2D69B"/>
            <w:vAlign w:val="center"/>
            <w:hideMark/>
          </w:tcPr>
          <w:p w14:paraId="2FFD8224" w14:textId="02FAA6AB" w:rsidR="00DE4FCB" w:rsidRPr="00024D5A" w:rsidRDefault="00DE4FCB" w:rsidP="00387E5A">
            <w:pPr>
              <w:jc w:val="center"/>
              <w:rPr>
                <w:rFonts w:ascii="Garamond" w:eastAsia="Times New Roman" w:hAnsi="Garamond" w:cs="Calibri"/>
                <w:b/>
                <w:bCs/>
                <w:sz w:val="6"/>
                <w:szCs w:val="6"/>
                <w:lang w:eastAsia="en-US"/>
              </w:rPr>
            </w:pPr>
          </w:p>
        </w:tc>
        <w:tc>
          <w:tcPr>
            <w:tcW w:w="664" w:type="pct"/>
            <w:tcBorders>
              <w:top w:val="nil"/>
              <w:left w:val="nil"/>
              <w:bottom w:val="single" w:sz="4" w:space="0" w:color="auto"/>
              <w:right w:val="single" w:sz="4" w:space="0" w:color="auto"/>
            </w:tcBorders>
            <w:shd w:val="clear" w:color="000000" w:fill="C2D69B"/>
            <w:vAlign w:val="center"/>
            <w:hideMark/>
          </w:tcPr>
          <w:p w14:paraId="2B766331" w14:textId="64D89588" w:rsidR="00DE4FCB" w:rsidRPr="00024D5A" w:rsidRDefault="00DE4FCB" w:rsidP="00387E5A">
            <w:pPr>
              <w:jc w:val="center"/>
              <w:rPr>
                <w:rFonts w:ascii="Garamond" w:eastAsia="Times New Roman" w:hAnsi="Garamond" w:cs="Calibri"/>
                <w:b/>
                <w:bCs/>
                <w:sz w:val="6"/>
                <w:szCs w:val="6"/>
                <w:lang w:eastAsia="en-US"/>
              </w:rPr>
            </w:pPr>
          </w:p>
        </w:tc>
        <w:tc>
          <w:tcPr>
            <w:tcW w:w="792" w:type="pct"/>
            <w:tcBorders>
              <w:top w:val="nil"/>
              <w:left w:val="nil"/>
              <w:bottom w:val="single" w:sz="4" w:space="0" w:color="auto"/>
              <w:right w:val="single" w:sz="8" w:space="0" w:color="auto"/>
            </w:tcBorders>
            <w:shd w:val="clear" w:color="000000" w:fill="C2D69B"/>
            <w:vAlign w:val="center"/>
            <w:hideMark/>
          </w:tcPr>
          <w:p w14:paraId="77C8068B" w14:textId="63ED7113" w:rsidR="00DE4FCB" w:rsidRPr="00024D5A" w:rsidRDefault="00DE4FCB" w:rsidP="00387E5A">
            <w:pPr>
              <w:jc w:val="center"/>
              <w:rPr>
                <w:rFonts w:ascii="Garamond" w:eastAsia="Times New Roman" w:hAnsi="Garamond" w:cs="Calibri"/>
                <w:b/>
                <w:bCs/>
                <w:sz w:val="6"/>
                <w:szCs w:val="6"/>
                <w:lang w:eastAsia="en-US"/>
              </w:rPr>
            </w:pPr>
          </w:p>
        </w:tc>
        <w:tc>
          <w:tcPr>
            <w:tcW w:w="188" w:type="pct"/>
            <w:tcBorders>
              <w:top w:val="nil"/>
              <w:left w:val="nil"/>
              <w:bottom w:val="single" w:sz="4" w:space="0" w:color="auto"/>
              <w:right w:val="single" w:sz="4" w:space="0" w:color="auto"/>
            </w:tcBorders>
            <w:shd w:val="clear" w:color="000000" w:fill="C2D69B"/>
            <w:vAlign w:val="center"/>
            <w:hideMark/>
          </w:tcPr>
          <w:p w14:paraId="4FB00818" w14:textId="5A36F33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1,176,526</w:t>
            </w:r>
          </w:p>
        </w:tc>
        <w:tc>
          <w:tcPr>
            <w:tcW w:w="190" w:type="pct"/>
            <w:tcBorders>
              <w:top w:val="nil"/>
              <w:left w:val="nil"/>
              <w:bottom w:val="single" w:sz="4" w:space="0" w:color="auto"/>
              <w:right w:val="single" w:sz="4" w:space="0" w:color="auto"/>
            </w:tcBorders>
            <w:shd w:val="clear" w:color="000000" w:fill="C2D69B"/>
            <w:vAlign w:val="center"/>
            <w:hideMark/>
          </w:tcPr>
          <w:p w14:paraId="2F335577" w14:textId="6BC805F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1,622,430</w:t>
            </w:r>
          </w:p>
        </w:tc>
        <w:tc>
          <w:tcPr>
            <w:tcW w:w="190" w:type="pct"/>
            <w:tcBorders>
              <w:top w:val="nil"/>
              <w:left w:val="nil"/>
              <w:bottom w:val="single" w:sz="4" w:space="0" w:color="auto"/>
              <w:right w:val="single" w:sz="4" w:space="0" w:color="auto"/>
            </w:tcBorders>
            <w:shd w:val="clear" w:color="000000" w:fill="C2D69B"/>
            <w:vAlign w:val="center"/>
            <w:hideMark/>
          </w:tcPr>
          <w:p w14:paraId="5F627A6A" w14:textId="64DA21B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1,488,972</w:t>
            </w:r>
          </w:p>
        </w:tc>
        <w:tc>
          <w:tcPr>
            <w:tcW w:w="190" w:type="pct"/>
            <w:tcBorders>
              <w:top w:val="nil"/>
              <w:left w:val="nil"/>
              <w:bottom w:val="single" w:sz="4" w:space="0" w:color="auto"/>
              <w:right w:val="single" w:sz="4" w:space="0" w:color="auto"/>
            </w:tcBorders>
            <w:shd w:val="clear" w:color="000000" w:fill="C2D69B"/>
            <w:vAlign w:val="center"/>
            <w:hideMark/>
          </w:tcPr>
          <w:p w14:paraId="5FFF1996" w14:textId="260524F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1,550,884</w:t>
            </w:r>
          </w:p>
        </w:tc>
        <w:tc>
          <w:tcPr>
            <w:tcW w:w="187" w:type="pct"/>
            <w:tcBorders>
              <w:top w:val="nil"/>
              <w:left w:val="nil"/>
              <w:bottom w:val="single" w:sz="4" w:space="0" w:color="auto"/>
              <w:right w:val="single" w:sz="4" w:space="0" w:color="auto"/>
            </w:tcBorders>
            <w:shd w:val="clear" w:color="000000" w:fill="C2D69B"/>
            <w:vAlign w:val="center"/>
            <w:hideMark/>
          </w:tcPr>
          <w:p w14:paraId="58856A9B" w14:textId="123BF2E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1,712,861</w:t>
            </w:r>
          </w:p>
        </w:tc>
        <w:tc>
          <w:tcPr>
            <w:tcW w:w="200" w:type="pct"/>
            <w:tcBorders>
              <w:top w:val="nil"/>
              <w:left w:val="nil"/>
              <w:bottom w:val="single" w:sz="4" w:space="0" w:color="auto"/>
              <w:right w:val="nil"/>
            </w:tcBorders>
            <w:shd w:val="clear" w:color="000000" w:fill="C2D69B"/>
            <w:vAlign w:val="center"/>
            <w:hideMark/>
          </w:tcPr>
          <w:p w14:paraId="1157915B" w14:textId="2DF45A4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7,551,673</w:t>
            </w:r>
          </w:p>
        </w:tc>
        <w:tc>
          <w:tcPr>
            <w:tcW w:w="209" w:type="pct"/>
            <w:tcBorders>
              <w:top w:val="nil"/>
              <w:left w:val="single" w:sz="8" w:space="0" w:color="auto"/>
              <w:bottom w:val="single" w:sz="4" w:space="0" w:color="auto"/>
              <w:right w:val="single" w:sz="4" w:space="0" w:color="auto"/>
            </w:tcBorders>
            <w:shd w:val="clear" w:color="000000" w:fill="C2D69B"/>
            <w:vAlign w:val="center"/>
            <w:hideMark/>
          </w:tcPr>
          <w:p w14:paraId="677009C0" w14:textId="113A638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5,996,262</w:t>
            </w:r>
          </w:p>
        </w:tc>
        <w:tc>
          <w:tcPr>
            <w:tcW w:w="209" w:type="pct"/>
            <w:tcBorders>
              <w:top w:val="nil"/>
              <w:left w:val="nil"/>
              <w:bottom w:val="single" w:sz="4" w:space="0" w:color="auto"/>
              <w:right w:val="single" w:sz="4" w:space="0" w:color="auto"/>
            </w:tcBorders>
            <w:shd w:val="clear" w:color="000000" w:fill="C2D69B"/>
            <w:vAlign w:val="center"/>
            <w:hideMark/>
          </w:tcPr>
          <w:p w14:paraId="503305B5" w14:textId="3D7E265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148,033</w:t>
            </w:r>
          </w:p>
        </w:tc>
        <w:tc>
          <w:tcPr>
            <w:tcW w:w="195" w:type="pct"/>
            <w:tcBorders>
              <w:top w:val="nil"/>
              <w:left w:val="nil"/>
              <w:bottom w:val="single" w:sz="4" w:space="0" w:color="auto"/>
              <w:right w:val="single" w:sz="8" w:space="0" w:color="auto"/>
            </w:tcBorders>
            <w:shd w:val="clear" w:color="000000" w:fill="C2D69B"/>
            <w:vAlign w:val="center"/>
            <w:hideMark/>
          </w:tcPr>
          <w:p w14:paraId="506ECD5D" w14:textId="093B3A2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1,407,378</w:t>
            </w:r>
          </w:p>
        </w:tc>
        <w:tc>
          <w:tcPr>
            <w:tcW w:w="202" w:type="pct"/>
            <w:tcBorders>
              <w:top w:val="nil"/>
              <w:left w:val="nil"/>
              <w:bottom w:val="single" w:sz="4" w:space="0" w:color="auto"/>
              <w:right w:val="single" w:sz="4" w:space="0" w:color="auto"/>
            </w:tcBorders>
            <w:shd w:val="clear" w:color="000000" w:fill="C2D69B"/>
            <w:vAlign w:val="center"/>
            <w:hideMark/>
          </w:tcPr>
          <w:p w14:paraId="45C9561B" w14:textId="200AF4E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77,955,025</w:t>
            </w:r>
          </w:p>
        </w:tc>
        <w:tc>
          <w:tcPr>
            <w:tcW w:w="200" w:type="pct"/>
            <w:tcBorders>
              <w:top w:val="nil"/>
              <w:left w:val="nil"/>
              <w:bottom w:val="single" w:sz="4" w:space="0" w:color="auto"/>
              <w:right w:val="single" w:sz="4" w:space="0" w:color="auto"/>
            </w:tcBorders>
            <w:shd w:val="clear" w:color="000000" w:fill="C2D69B"/>
            <w:vAlign w:val="center"/>
            <w:hideMark/>
          </w:tcPr>
          <w:p w14:paraId="57F9242C" w14:textId="76874C4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61,905,796</w:t>
            </w:r>
          </w:p>
        </w:tc>
        <w:tc>
          <w:tcPr>
            <w:tcW w:w="197" w:type="pct"/>
            <w:tcBorders>
              <w:top w:val="nil"/>
              <w:left w:val="nil"/>
              <w:bottom w:val="single" w:sz="4" w:space="0" w:color="auto"/>
              <w:right w:val="single" w:sz="4" w:space="0" w:color="auto"/>
            </w:tcBorders>
            <w:shd w:val="clear" w:color="000000" w:fill="C2D69B"/>
            <w:vAlign w:val="center"/>
            <w:hideMark/>
          </w:tcPr>
          <w:p w14:paraId="0BED8813" w14:textId="7275CD8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1,542,009</w:t>
            </w:r>
          </w:p>
        </w:tc>
        <w:tc>
          <w:tcPr>
            <w:tcW w:w="342" w:type="pct"/>
            <w:tcBorders>
              <w:top w:val="nil"/>
              <w:left w:val="nil"/>
              <w:bottom w:val="single" w:sz="4" w:space="0" w:color="auto"/>
              <w:right w:val="single" w:sz="8" w:space="0" w:color="auto"/>
            </w:tcBorders>
            <w:shd w:val="clear" w:color="000000" w:fill="C2D69B"/>
            <w:vAlign w:val="center"/>
            <w:hideMark/>
          </w:tcPr>
          <w:p w14:paraId="3289FD72" w14:textId="0FEF29B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14,507,220</w:t>
            </w:r>
          </w:p>
        </w:tc>
      </w:tr>
      <w:tr w:rsidR="00387E5A" w:rsidRPr="00024D5A" w14:paraId="358A54EB" w14:textId="77777777" w:rsidTr="00387E5A">
        <w:trPr>
          <w:trHeight w:val="20"/>
        </w:trPr>
        <w:tc>
          <w:tcPr>
            <w:tcW w:w="375" w:type="pct"/>
            <w:tcBorders>
              <w:top w:val="nil"/>
              <w:left w:val="single" w:sz="4" w:space="0" w:color="auto"/>
              <w:bottom w:val="single" w:sz="4" w:space="0" w:color="auto"/>
              <w:right w:val="nil"/>
            </w:tcBorders>
            <w:shd w:val="clear" w:color="000000" w:fill="F276AB"/>
            <w:vAlign w:val="center"/>
            <w:hideMark/>
          </w:tcPr>
          <w:p w14:paraId="363816CE" w14:textId="77777777"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I. AKSESUESHMËRIA</w:t>
            </w:r>
          </w:p>
        </w:tc>
        <w:tc>
          <w:tcPr>
            <w:tcW w:w="244" w:type="pct"/>
            <w:tcBorders>
              <w:top w:val="nil"/>
              <w:left w:val="single" w:sz="8" w:space="0" w:color="auto"/>
              <w:bottom w:val="single" w:sz="4" w:space="0" w:color="auto"/>
              <w:right w:val="single" w:sz="4" w:space="0" w:color="auto"/>
            </w:tcBorders>
            <w:shd w:val="clear" w:color="000000" w:fill="F276AB"/>
            <w:vAlign w:val="center"/>
            <w:hideMark/>
          </w:tcPr>
          <w:p w14:paraId="20CFB22E"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2026</w:t>
            </w:r>
          </w:p>
        </w:tc>
        <w:tc>
          <w:tcPr>
            <w:tcW w:w="226" w:type="pct"/>
            <w:tcBorders>
              <w:top w:val="nil"/>
              <w:left w:val="nil"/>
              <w:bottom w:val="single" w:sz="4" w:space="0" w:color="auto"/>
              <w:right w:val="single" w:sz="4" w:space="0" w:color="auto"/>
            </w:tcBorders>
            <w:shd w:val="clear" w:color="000000" w:fill="F276AB"/>
            <w:vAlign w:val="center"/>
            <w:hideMark/>
          </w:tcPr>
          <w:p w14:paraId="5AF36447"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2030</w:t>
            </w:r>
          </w:p>
        </w:tc>
        <w:tc>
          <w:tcPr>
            <w:tcW w:w="664" w:type="pct"/>
            <w:tcBorders>
              <w:top w:val="nil"/>
              <w:left w:val="nil"/>
              <w:bottom w:val="single" w:sz="4" w:space="0" w:color="auto"/>
              <w:right w:val="single" w:sz="4" w:space="0" w:color="auto"/>
            </w:tcBorders>
            <w:shd w:val="clear" w:color="000000" w:fill="F276AB"/>
            <w:vAlign w:val="center"/>
            <w:hideMark/>
          </w:tcPr>
          <w:p w14:paraId="465AE244" w14:textId="651FE735" w:rsidR="00DE4FCB" w:rsidRPr="00024D5A" w:rsidRDefault="00DE4FCB" w:rsidP="00387E5A">
            <w:pPr>
              <w:jc w:val="center"/>
              <w:rPr>
                <w:rFonts w:ascii="Garamond" w:eastAsia="Times New Roman" w:hAnsi="Garamond" w:cs="Calibri"/>
                <w:b/>
                <w:bCs/>
                <w:sz w:val="6"/>
                <w:szCs w:val="6"/>
                <w:lang w:eastAsia="en-US"/>
              </w:rPr>
            </w:pPr>
          </w:p>
        </w:tc>
        <w:tc>
          <w:tcPr>
            <w:tcW w:w="792" w:type="pct"/>
            <w:tcBorders>
              <w:top w:val="nil"/>
              <w:left w:val="nil"/>
              <w:bottom w:val="single" w:sz="4" w:space="0" w:color="auto"/>
              <w:right w:val="single" w:sz="8" w:space="0" w:color="auto"/>
            </w:tcBorders>
            <w:shd w:val="clear" w:color="000000" w:fill="F276AB"/>
            <w:vAlign w:val="center"/>
            <w:hideMark/>
          </w:tcPr>
          <w:p w14:paraId="27A728D1" w14:textId="13F5D005" w:rsidR="00DE4FCB" w:rsidRPr="00024D5A" w:rsidRDefault="00DE4FCB" w:rsidP="00387E5A">
            <w:pPr>
              <w:jc w:val="center"/>
              <w:rPr>
                <w:rFonts w:ascii="Garamond" w:eastAsia="Times New Roman" w:hAnsi="Garamond" w:cs="Calibri"/>
                <w:b/>
                <w:bCs/>
                <w:sz w:val="6"/>
                <w:szCs w:val="6"/>
                <w:lang w:eastAsia="en-US"/>
              </w:rPr>
            </w:pPr>
          </w:p>
        </w:tc>
        <w:tc>
          <w:tcPr>
            <w:tcW w:w="188" w:type="pct"/>
            <w:tcBorders>
              <w:top w:val="nil"/>
              <w:left w:val="nil"/>
              <w:bottom w:val="single" w:sz="4" w:space="0" w:color="auto"/>
              <w:right w:val="single" w:sz="4" w:space="0" w:color="auto"/>
            </w:tcBorders>
            <w:shd w:val="clear" w:color="000000" w:fill="F276AB"/>
            <w:vAlign w:val="center"/>
            <w:hideMark/>
          </w:tcPr>
          <w:p w14:paraId="52D592CC" w14:textId="48435BE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63,591</w:t>
            </w:r>
          </w:p>
        </w:tc>
        <w:tc>
          <w:tcPr>
            <w:tcW w:w="190" w:type="pct"/>
            <w:tcBorders>
              <w:top w:val="nil"/>
              <w:left w:val="nil"/>
              <w:bottom w:val="single" w:sz="4" w:space="0" w:color="auto"/>
              <w:right w:val="single" w:sz="4" w:space="0" w:color="auto"/>
            </w:tcBorders>
            <w:shd w:val="clear" w:color="000000" w:fill="F276AB"/>
            <w:vAlign w:val="center"/>
            <w:hideMark/>
          </w:tcPr>
          <w:p w14:paraId="666D70C7" w14:textId="4C94B5F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86,190</w:t>
            </w:r>
          </w:p>
        </w:tc>
        <w:tc>
          <w:tcPr>
            <w:tcW w:w="190" w:type="pct"/>
            <w:tcBorders>
              <w:top w:val="nil"/>
              <w:left w:val="nil"/>
              <w:bottom w:val="single" w:sz="4" w:space="0" w:color="auto"/>
              <w:right w:val="single" w:sz="4" w:space="0" w:color="auto"/>
            </w:tcBorders>
            <w:shd w:val="clear" w:color="000000" w:fill="F276AB"/>
            <w:vAlign w:val="center"/>
            <w:hideMark/>
          </w:tcPr>
          <w:p w14:paraId="0F8C65E0" w14:textId="5749060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44,370</w:t>
            </w:r>
          </w:p>
        </w:tc>
        <w:tc>
          <w:tcPr>
            <w:tcW w:w="190" w:type="pct"/>
            <w:tcBorders>
              <w:top w:val="nil"/>
              <w:left w:val="nil"/>
              <w:bottom w:val="single" w:sz="4" w:space="0" w:color="auto"/>
              <w:right w:val="single" w:sz="4" w:space="0" w:color="auto"/>
            </w:tcBorders>
            <w:shd w:val="clear" w:color="000000" w:fill="F276AB"/>
            <w:vAlign w:val="center"/>
            <w:hideMark/>
          </w:tcPr>
          <w:p w14:paraId="182D0537" w14:textId="711D2D3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41,651</w:t>
            </w:r>
          </w:p>
        </w:tc>
        <w:tc>
          <w:tcPr>
            <w:tcW w:w="187" w:type="pct"/>
            <w:tcBorders>
              <w:top w:val="nil"/>
              <w:left w:val="nil"/>
              <w:bottom w:val="single" w:sz="4" w:space="0" w:color="auto"/>
              <w:right w:val="single" w:sz="4" w:space="0" w:color="auto"/>
            </w:tcBorders>
            <w:shd w:val="clear" w:color="000000" w:fill="F276AB"/>
            <w:vAlign w:val="center"/>
            <w:hideMark/>
          </w:tcPr>
          <w:p w14:paraId="122DC35C" w14:textId="6FF9570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34,265</w:t>
            </w:r>
          </w:p>
        </w:tc>
        <w:tc>
          <w:tcPr>
            <w:tcW w:w="200" w:type="pct"/>
            <w:tcBorders>
              <w:top w:val="nil"/>
              <w:left w:val="nil"/>
              <w:bottom w:val="single" w:sz="4" w:space="0" w:color="auto"/>
              <w:right w:val="nil"/>
            </w:tcBorders>
            <w:shd w:val="clear" w:color="000000" w:fill="F276AB"/>
            <w:vAlign w:val="center"/>
            <w:hideMark/>
          </w:tcPr>
          <w:p w14:paraId="00AC52A1" w14:textId="123C9B6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270,066</w:t>
            </w:r>
          </w:p>
        </w:tc>
        <w:tc>
          <w:tcPr>
            <w:tcW w:w="209" w:type="pct"/>
            <w:tcBorders>
              <w:top w:val="nil"/>
              <w:left w:val="single" w:sz="8" w:space="0" w:color="auto"/>
              <w:bottom w:val="single" w:sz="4" w:space="0" w:color="auto"/>
              <w:right w:val="single" w:sz="4" w:space="0" w:color="auto"/>
            </w:tcBorders>
            <w:shd w:val="clear" w:color="000000" w:fill="F276AB"/>
            <w:vAlign w:val="center"/>
            <w:hideMark/>
          </w:tcPr>
          <w:p w14:paraId="6DEA926C" w14:textId="4BB94BA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182,506</w:t>
            </w:r>
          </w:p>
        </w:tc>
        <w:tc>
          <w:tcPr>
            <w:tcW w:w="209" w:type="pct"/>
            <w:tcBorders>
              <w:top w:val="nil"/>
              <w:left w:val="nil"/>
              <w:bottom w:val="single" w:sz="4" w:space="0" w:color="auto"/>
              <w:right w:val="single" w:sz="4" w:space="0" w:color="auto"/>
            </w:tcBorders>
            <w:shd w:val="clear" w:color="000000" w:fill="F276AB"/>
            <w:vAlign w:val="center"/>
            <w:hideMark/>
          </w:tcPr>
          <w:p w14:paraId="5B003251" w14:textId="294B8B0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25,250</w:t>
            </w:r>
          </w:p>
        </w:tc>
        <w:tc>
          <w:tcPr>
            <w:tcW w:w="195" w:type="pct"/>
            <w:tcBorders>
              <w:top w:val="nil"/>
              <w:left w:val="nil"/>
              <w:bottom w:val="single" w:sz="4" w:space="0" w:color="auto"/>
              <w:right w:val="single" w:sz="8" w:space="0" w:color="auto"/>
            </w:tcBorders>
            <w:shd w:val="clear" w:color="000000" w:fill="F276AB"/>
            <w:vAlign w:val="center"/>
            <w:hideMark/>
          </w:tcPr>
          <w:p w14:paraId="3197472F" w14:textId="6341748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62,310</w:t>
            </w:r>
          </w:p>
        </w:tc>
        <w:tc>
          <w:tcPr>
            <w:tcW w:w="202" w:type="pct"/>
            <w:tcBorders>
              <w:top w:val="nil"/>
              <w:left w:val="nil"/>
              <w:bottom w:val="single" w:sz="4" w:space="0" w:color="auto"/>
              <w:right w:val="single" w:sz="4" w:space="0" w:color="auto"/>
            </w:tcBorders>
            <w:shd w:val="clear" w:color="000000" w:fill="F276AB"/>
            <w:vAlign w:val="center"/>
            <w:hideMark/>
          </w:tcPr>
          <w:p w14:paraId="1392B649" w14:textId="45CFC0C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2,813,189</w:t>
            </w:r>
          </w:p>
        </w:tc>
        <w:tc>
          <w:tcPr>
            <w:tcW w:w="200" w:type="pct"/>
            <w:tcBorders>
              <w:top w:val="nil"/>
              <w:left w:val="nil"/>
              <w:bottom w:val="single" w:sz="4" w:space="0" w:color="auto"/>
              <w:right w:val="single" w:sz="4" w:space="0" w:color="auto"/>
            </w:tcBorders>
            <w:shd w:val="clear" w:color="000000" w:fill="F276AB"/>
            <w:vAlign w:val="center"/>
            <w:hideMark/>
          </w:tcPr>
          <w:p w14:paraId="7E67CAAF" w14:textId="457B868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1,901,106</w:t>
            </w:r>
          </w:p>
        </w:tc>
        <w:tc>
          <w:tcPr>
            <w:tcW w:w="197" w:type="pct"/>
            <w:tcBorders>
              <w:top w:val="nil"/>
              <w:left w:val="nil"/>
              <w:bottom w:val="single" w:sz="4" w:space="0" w:color="auto"/>
              <w:right w:val="single" w:sz="4" w:space="0" w:color="auto"/>
            </w:tcBorders>
            <w:shd w:val="clear" w:color="000000" w:fill="F276AB"/>
            <w:vAlign w:val="center"/>
            <w:hideMark/>
          </w:tcPr>
          <w:p w14:paraId="6ED7964E" w14:textId="14BCBBD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263,021</w:t>
            </w:r>
          </w:p>
        </w:tc>
        <w:tc>
          <w:tcPr>
            <w:tcW w:w="342" w:type="pct"/>
            <w:tcBorders>
              <w:top w:val="nil"/>
              <w:left w:val="nil"/>
              <w:bottom w:val="single" w:sz="4" w:space="0" w:color="auto"/>
              <w:right w:val="single" w:sz="8" w:space="0" w:color="auto"/>
            </w:tcBorders>
            <w:shd w:val="clear" w:color="000000" w:fill="F276AB"/>
            <w:vAlign w:val="center"/>
            <w:hideMark/>
          </w:tcPr>
          <w:p w14:paraId="5FAE1C8E" w14:textId="34CE5B8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649,063</w:t>
            </w:r>
          </w:p>
        </w:tc>
      </w:tr>
      <w:tr w:rsidR="00387E5A" w:rsidRPr="00024D5A" w14:paraId="048069FF" w14:textId="77777777" w:rsidTr="00387E5A">
        <w:trPr>
          <w:trHeight w:val="20"/>
        </w:trPr>
        <w:tc>
          <w:tcPr>
            <w:tcW w:w="375" w:type="pct"/>
            <w:tcBorders>
              <w:top w:val="nil"/>
              <w:left w:val="single" w:sz="4" w:space="0" w:color="auto"/>
              <w:bottom w:val="single" w:sz="4" w:space="0" w:color="auto"/>
              <w:right w:val="nil"/>
            </w:tcBorders>
            <w:shd w:val="clear" w:color="000000" w:fill="FDE9D9"/>
            <w:vAlign w:val="center"/>
            <w:hideMark/>
          </w:tcPr>
          <w:p w14:paraId="16E89357" w14:textId="102A3455"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Objektivi specifik 1</w:t>
            </w:r>
            <w:r w:rsidR="00AC5DA9">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Aksesueshmëria në mjedisin ndërtimor, infrastrukturë dhe në produkte e shërbime.</w:t>
            </w:r>
          </w:p>
        </w:tc>
        <w:tc>
          <w:tcPr>
            <w:tcW w:w="244" w:type="pct"/>
            <w:tcBorders>
              <w:top w:val="nil"/>
              <w:left w:val="single" w:sz="8" w:space="0" w:color="auto"/>
              <w:bottom w:val="single" w:sz="4" w:space="0" w:color="auto"/>
              <w:right w:val="single" w:sz="4" w:space="0" w:color="auto"/>
            </w:tcBorders>
            <w:shd w:val="clear" w:color="000000" w:fill="FDE9D9"/>
            <w:vAlign w:val="center"/>
            <w:hideMark/>
          </w:tcPr>
          <w:p w14:paraId="73692D85"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2026</w:t>
            </w:r>
          </w:p>
        </w:tc>
        <w:tc>
          <w:tcPr>
            <w:tcW w:w="226" w:type="pct"/>
            <w:tcBorders>
              <w:top w:val="nil"/>
              <w:left w:val="nil"/>
              <w:bottom w:val="single" w:sz="4" w:space="0" w:color="auto"/>
              <w:right w:val="single" w:sz="4" w:space="0" w:color="auto"/>
            </w:tcBorders>
            <w:shd w:val="clear" w:color="000000" w:fill="FDE9D9"/>
            <w:vAlign w:val="center"/>
            <w:hideMark/>
          </w:tcPr>
          <w:p w14:paraId="25043B02"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2030</w:t>
            </w:r>
          </w:p>
        </w:tc>
        <w:tc>
          <w:tcPr>
            <w:tcW w:w="664" w:type="pct"/>
            <w:tcBorders>
              <w:top w:val="nil"/>
              <w:left w:val="nil"/>
              <w:bottom w:val="single" w:sz="4" w:space="0" w:color="auto"/>
              <w:right w:val="single" w:sz="4" w:space="0" w:color="auto"/>
            </w:tcBorders>
            <w:shd w:val="clear" w:color="000000" w:fill="FDE9D9"/>
            <w:vAlign w:val="center"/>
            <w:hideMark/>
          </w:tcPr>
          <w:p w14:paraId="2E588096"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w:t>
            </w:r>
          </w:p>
        </w:tc>
        <w:tc>
          <w:tcPr>
            <w:tcW w:w="792" w:type="pct"/>
            <w:tcBorders>
              <w:top w:val="nil"/>
              <w:left w:val="nil"/>
              <w:bottom w:val="single" w:sz="4" w:space="0" w:color="auto"/>
              <w:right w:val="single" w:sz="8" w:space="0" w:color="auto"/>
            </w:tcBorders>
            <w:shd w:val="clear" w:color="000000" w:fill="FDE9D9"/>
            <w:vAlign w:val="center"/>
            <w:hideMark/>
          </w:tcPr>
          <w:p w14:paraId="1449D190" w14:textId="5F7C5B14"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T</w:t>
            </w:r>
            <w:r w:rsidR="00C276BB" w:rsidRPr="00024D5A">
              <w:rPr>
                <w:rFonts w:ascii="Garamond" w:eastAsia="Times New Roman" w:hAnsi="Garamond"/>
                <w:sz w:val="6"/>
                <w:szCs w:val="6"/>
                <w:lang w:eastAsia="en-US"/>
              </w:rPr>
              <w:t>ë</w:t>
            </w:r>
            <w:r w:rsidRPr="00024D5A">
              <w:rPr>
                <w:rFonts w:ascii="Garamond" w:eastAsia="Times New Roman" w:hAnsi="Garamond"/>
                <w:sz w:val="6"/>
                <w:szCs w:val="6"/>
                <w:lang w:eastAsia="en-US"/>
              </w:rPr>
              <w:t xml:space="preserve"> gjith</w:t>
            </w:r>
            <w:r w:rsidR="00C276BB" w:rsidRPr="00024D5A">
              <w:rPr>
                <w:rFonts w:ascii="Garamond" w:eastAsia="Times New Roman" w:hAnsi="Garamond"/>
                <w:sz w:val="6"/>
                <w:szCs w:val="6"/>
                <w:lang w:eastAsia="en-US"/>
              </w:rPr>
              <w:t>ë</w:t>
            </w:r>
            <w:r w:rsidRPr="00024D5A">
              <w:rPr>
                <w:rFonts w:ascii="Garamond" w:eastAsia="Times New Roman" w:hAnsi="Garamond"/>
                <w:sz w:val="6"/>
                <w:szCs w:val="6"/>
                <w:lang w:eastAsia="en-US"/>
              </w:rPr>
              <w:t xml:space="preserve"> </w:t>
            </w:r>
            <w:r w:rsidR="00C276BB" w:rsidRPr="00024D5A">
              <w:rPr>
                <w:rFonts w:ascii="Garamond" w:eastAsia="Times New Roman" w:hAnsi="Garamond"/>
                <w:sz w:val="6"/>
                <w:szCs w:val="6"/>
                <w:lang w:eastAsia="en-US"/>
              </w:rPr>
              <w:t>institucionet</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OJF, Universiteti Politeknik,</w:t>
            </w:r>
            <w:r w:rsidR="001D6785" w:rsidRPr="00024D5A">
              <w:rPr>
                <w:rFonts w:ascii="Garamond" w:eastAsia="Times New Roman" w:hAnsi="Garamond"/>
                <w:sz w:val="6"/>
                <w:szCs w:val="6"/>
                <w:lang w:eastAsia="en-US"/>
              </w:rPr>
              <w:t xml:space="preserve"> </w:t>
            </w:r>
            <w:r w:rsidRPr="00024D5A">
              <w:rPr>
                <w:rFonts w:ascii="Garamond" w:eastAsia="Times New Roman" w:hAnsi="Garamond"/>
                <w:sz w:val="6"/>
                <w:szCs w:val="6"/>
                <w:lang w:eastAsia="en-US"/>
              </w:rPr>
              <w:t>MSHPV</w:t>
            </w:r>
            <w:r w:rsidRPr="00024D5A">
              <w:rPr>
                <w:rFonts w:ascii="Garamond" w:eastAsia="Times New Roman" w:hAnsi="Garamond"/>
                <w:sz w:val="6"/>
                <w:szCs w:val="6"/>
                <w:lang w:eastAsia="en-US"/>
              </w:rPr>
              <w:br/>
              <w:t>AMVV</w:t>
            </w:r>
          </w:p>
        </w:tc>
        <w:tc>
          <w:tcPr>
            <w:tcW w:w="188" w:type="pct"/>
            <w:tcBorders>
              <w:top w:val="nil"/>
              <w:left w:val="nil"/>
              <w:bottom w:val="single" w:sz="4" w:space="0" w:color="auto"/>
              <w:right w:val="single" w:sz="4" w:space="0" w:color="auto"/>
            </w:tcBorders>
            <w:shd w:val="clear" w:color="000000" w:fill="FDE9D9"/>
            <w:vAlign w:val="center"/>
            <w:hideMark/>
          </w:tcPr>
          <w:p w14:paraId="6EF93755" w14:textId="658D349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9,320</w:t>
            </w:r>
          </w:p>
        </w:tc>
        <w:tc>
          <w:tcPr>
            <w:tcW w:w="190" w:type="pct"/>
            <w:tcBorders>
              <w:top w:val="nil"/>
              <w:left w:val="nil"/>
              <w:bottom w:val="single" w:sz="4" w:space="0" w:color="auto"/>
              <w:right w:val="single" w:sz="4" w:space="0" w:color="auto"/>
            </w:tcBorders>
            <w:shd w:val="clear" w:color="000000" w:fill="FDE9D9"/>
            <w:vAlign w:val="center"/>
            <w:hideMark/>
          </w:tcPr>
          <w:p w14:paraId="69CCB6A8" w14:textId="28C10AB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18,570</w:t>
            </w:r>
          </w:p>
        </w:tc>
        <w:tc>
          <w:tcPr>
            <w:tcW w:w="190" w:type="pct"/>
            <w:tcBorders>
              <w:top w:val="nil"/>
              <w:left w:val="nil"/>
              <w:bottom w:val="single" w:sz="4" w:space="0" w:color="auto"/>
              <w:right w:val="single" w:sz="4" w:space="0" w:color="auto"/>
            </w:tcBorders>
            <w:shd w:val="clear" w:color="000000" w:fill="FDE9D9"/>
            <w:vAlign w:val="center"/>
            <w:hideMark/>
          </w:tcPr>
          <w:p w14:paraId="6D8831C1" w14:textId="45A7E96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20,186</w:t>
            </w:r>
          </w:p>
        </w:tc>
        <w:tc>
          <w:tcPr>
            <w:tcW w:w="190" w:type="pct"/>
            <w:tcBorders>
              <w:top w:val="nil"/>
              <w:left w:val="nil"/>
              <w:bottom w:val="single" w:sz="4" w:space="0" w:color="auto"/>
              <w:right w:val="single" w:sz="4" w:space="0" w:color="auto"/>
            </w:tcBorders>
            <w:shd w:val="clear" w:color="000000" w:fill="FDE9D9"/>
            <w:vAlign w:val="center"/>
            <w:hideMark/>
          </w:tcPr>
          <w:p w14:paraId="1CE9BA71" w14:textId="1AC82D7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20,186</w:t>
            </w:r>
          </w:p>
        </w:tc>
        <w:tc>
          <w:tcPr>
            <w:tcW w:w="187" w:type="pct"/>
            <w:tcBorders>
              <w:top w:val="nil"/>
              <w:left w:val="nil"/>
              <w:bottom w:val="single" w:sz="4" w:space="0" w:color="auto"/>
              <w:right w:val="single" w:sz="4" w:space="0" w:color="auto"/>
            </w:tcBorders>
            <w:shd w:val="clear" w:color="000000" w:fill="FDE9D9"/>
            <w:vAlign w:val="center"/>
            <w:hideMark/>
          </w:tcPr>
          <w:p w14:paraId="4DA2484F" w14:textId="0DE5E75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12,836</w:t>
            </w:r>
          </w:p>
        </w:tc>
        <w:tc>
          <w:tcPr>
            <w:tcW w:w="200" w:type="pct"/>
            <w:tcBorders>
              <w:top w:val="nil"/>
              <w:left w:val="nil"/>
              <w:bottom w:val="single" w:sz="4" w:space="0" w:color="auto"/>
              <w:right w:val="nil"/>
            </w:tcBorders>
            <w:shd w:val="clear" w:color="000000" w:fill="FDE9D9"/>
            <w:vAlign w:val="center"/>
            <w:hideMark/>
          </w:tcPr>
          <w:p w14:paraId="65BCCE92" w14:textId="1FDB9A0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81,099</w:t>
            </w:r>
          </w:p>
        </w:tc>
        <w:tc>
          <w:tcPr>
            <w:tcW w:w="209" w:type="pct"/>
            <w:tcBorders>
              <w:top w:val="nil"/>
              <w:left w:val="single" w:sz="8" w:space="0" w:color="auto"/>
              <w:bottom w:val="single" w:sz="4" w:space="0" w:color="auto"/>
              <w:right w:val="single" w:sz="4" w:space="0" w:color="auto"/>
            </w:tcBorders>
            <w:shd w:val="clear" w:color="000000" w:fill="FDE9D9"/>
            <w:vAlign w:val="center"/>
            <w:hideMark/>
          </w:tcPr>
          <w:p w14:paraId="174DA902" w14:textId="1B94E80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28,749</w:t>
            </w:r>
          </w:p>
        </w:tc>
        <w:tc>
          <w:tcPr>
            <w:tcW w:w="209" w:type="pct"/>
            <w:tcBorders>
              <w:top w:val="nil"/>
              <w:left w:val="nil"/>
              <w:bottom w:val="single" w:sz="4" w:space="0" w:color="auto"/>
              <w:right w:val="single" w:sz="4" w:space="0" w:color="auto"/>
            </w:tcBorders>
            <w:shd w:val="clear" w:color="000000" w:fill="FDE9D9"/>
            <w:vAlign w:val="center"/>
            <w:hideMark/>
          </w:tcPr>
          <w:p w14:paraId="19596FC5" w14:textId="29C6ED9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19,100</w:t>
            </w:r>
          </w:p>
        </w:tc>
        <w:tc>
          <w:tcPr>
            <w:tcW w:w="195" w:type="pct"/>
            <w:tcBorders>
              <w:top w:val="nil"/>
              <w:left w:val="nil"/>
              <w:bottom w:val="single" w:sz="4" w:space="0" w:color="auto"/>
              <w:right w:val="single" w:sz="8" w:space="0" w:color="auto"/>
            </w:tcBorders>
            <w:shd w:val="clear" w:color="000000" w:fill="FDE9D9"/>
            <w:vAlign w:val="center"/>
            <w:hideMark/>
          </w:tcPr>
          <w:p w14:paraId="17219B55" w14:textId="38EB1E5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33,250</w:t>
            </w:r>
          </w:p>
        </w:tc>
        <w:tc>
          <w:tcPr>
            <w:tcW w:w="202" w:type="pct"/>
            <w:tcBorders>
              <w:top w:val="nil"/>
              <w:left w:val="nil"/>
              <w:bottom w:val="single" w:sz="4" w:space="0" w:color="auto"/>
              <w:right w:val="single" w:sz="4" w:space="0" w:color="auto"/>
            </w:tcBorders>
            <w:shd w:val="clear" w:color="000000" w:fill="FDE9D9"/>
            <w:vAlign w:val="center"/>
            <w:hideMark/>
          </w:tcPr>
          <w:p w14:paraId="7F50B948" w14:textId="054B190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844,785</w:t>
            </w:r>
          </w:p>
        </w:tc>
        <w:tc>
          <w:tcPr>
            <w:tcW w:w="200" w:type="pct"/>
            <w:tcBorders>
              <w:top w:val="nil"/>
              <w:left w:val="nil"/>
              <w:bottom w:val="single" w:sz="4" w:space="0" w:color="auto"/>
              <w:right w:val="single" w:sz="4" w:space="0" w:color="auto"/>
            </w:tcBorders>
            <w:shd w:val="clear" w:color="000000" w:fill="FDE9D9"/>
            <w:vAlign w:val="center"/>
            <w:hideMark/>
          </w:tcPr>
          <w:p w14:paraId="56E10234" w14:textId="3DDA85B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299,473</w:t>
            </w:r>
          </w:p>
        </w:tc>
        <w:tc>
          <w:tcPr>
            <w:tcW w:w="197" w:type="pct"/>
            <w:tcBorders>
              <w:top w:val="nil"/>
              <w:left w:val="nil"/>
              <w:bottom w:val="single" w:sz="4" w:space="0" w:color="auto"/>
              <w:right w:val="single" w:sz="4" w:space="0" w:color="auto"/>
            </w:tcBorders>
            <w:shd w:val="clear" w:color="000000" w:fill="FDE9D9"/>
            <w:vAlign w:val="center"/>
            <w:hideMark/>
          </w:tcPr>
          <w:p w14:paraId="111E7942" w14:textId="3A17B2D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198,958</w:t>
            </w:r>
          </w:p>
        </w:tc>
        <w:tc>
          <w:tcPr>
            <w:tcW w:w="342" w:type="pct"/>
            <w:tcBorders>
              <w:top w:val="nil"/>
              <w:left w:val="nil"/>
              <w:bottom w:val="single" w:sz="4" w:space="0" w:color="auto"/>
              <w:right w:val="single" w:sz="8" w:space="0" w:color="auto"/>
            </w:tcBorders>
            <w:shd w:val="clear" w:color="000000" w:fill="FDE9D9"/>
            <w:vAlign w:val="center"/>
            <w:hideMark/>
          </w:tcPr>
          <w:p w14:paraId="591E8FD3" w14:textId="2A5C5B4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346,354</w:t>
            </w:r>
          </w:p>
        </w:tc>
      </w:tr>
      <w:tr w:rsidR="00387E5A" w:rsidRPr="00024D5A" w14:paraId="7016C8B1"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4D6F1508" w14:textId="3441D132"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Masa prioritare 1.1</w:t>
            </w:r>
            <w:r w:rsidR="000856CC">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Rishikimi i bazës ligjore për aksesueshmërinë dhe fuqizimi i monitorimit të zbatimit të saj.</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3986B2FE"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2026</w:t>
            </w:r>
          </w:p>
        </w:tc>
        <w:tc>
          <w:tcPr>
            <w:tcW w:w="226" w:type="pct"/>
            <w:tcBorders>
              <w:top w:val="nil"/>
              <w:left w:val="nil"/>
              <w:bottom w:val="single" w:sz="4" w:space="0" w:color="auto"/>
              <w:right w:val="single" w:sz="4" w:space="0" w:color="auto"/>
            </w:tcBorders>
            <w:shd w:val="clear" w:color="000000" w:fill="DCE6F1"/>
            <w:vAlign w:val="center"/>
            <w:hideMark/>
          </w:tcPr>
          <w:p w14:paraId="7F8D8101"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729AEF2F" w14:textId="33C5E5A5"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w:t>
            </w:r>
          </w:p>
        </w:tc>
        <w:tc>
          <w:tcPr>
            <w:tcW w:w="792" w:type="pct"/>
            <w:tcBorders>
              <w:top w:val="nil"/>
              <w:left w:val="nil"/>
              <w:bottom w:val="single" w:sz="4" w:space="0" w:color="auto"/>
              <w:right w:val="single" w:sz="8" w:space="0" w:color="auto"/>
            </w:tcBorders>
            <w:shd w:val="clear" w:color="000000" w:fill="DCE6F1"/>
            <w:vAlign w:val="center"/>
            <w:hideMark/>
          </w:tcPr>
          <w:p w14:paraId="3CD6C69A" w14:textId="70EA7AAF"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T</w:t>
            </w:r>
            <w:r w:rsidR="00070BC1" w:rsidRPr="00024D5A">
              <w:rPr>
                <w:rFonts w:ascii="Garamond" w:eastAsia="Times New Roman" w:hAnsi="Garamond"/>
                <w:sz w:val="6"/>
                <w:szCs w:val="6"/>
                <w:lang w:eastAsia="en-US"/>
              </w:rPr>
              <w:t>ë</w:t>
            </w:r>
            <w:r w:rsidRPr="00024D5A">
              <w:rPr>
                <w:rFonts w:ascii="Garamond" w:eastAsia="Times New Roman" w:hAnsi="Garamond"/>
                <w:sz w:val="6"/>
                <w:szCs w:val="6"/>
                <w:lang w:eastAsia="en-US"/>
              </w:rPr>
              <w:t xml:space="preserve"> gjith</w:t>
            </w:r>
            <w:r w:rsidR="00070BC1" w:rsidRPr="00024D5A">
              <w:rPr>
                <w:rFonts w:ascii="Garamond" w:eastAsia="Times New Roman" w:hAnsi="Garamond"/>
                <w:sz w:val="6"/>
                <w:szCs w:val="6"/>
                <w:lang w:eastAsia="en-US"/>
              </w:rPr>
              <w:t>a</w:t>
            </w:r>
            <w:r w:rsidRPr="00024D5A">
              <w:rPr>
                <w:rFonts w:ascii="Garamond" w:eastAsia="Times New Roman" w:hAnsi="Garamond"/>
                <w:sz w:val="6"/>
                <w:szCs w:val="6"/>
                <w:lang w:eastAsia="en-US"/>
              </w:rPr>
              <w:t xml:space="preserve"> </w:t>
            </w:r>
            <w:r w:rsidR="00070BC1" w:rsidRPr="00024D5A">
              <w:rPr>
                <w:rFonts w:ascii="Garamond" w:eastAsia="Times New Roman" w:hAnsi="Garamond"/>
                <w:sz w:val="6"/>
                <w:szCs w:val="6"/>
                <w:lang w:eastAsia="en-US"/>
              </w:rPr>
              <w:t>institucionet</w:t>
            </w:r>
            <w:r w:rsidRPr="00024D5A">
              <w:rPr>
                <w:rFonts w:ascii="Garamond" w:eastAsia="Times New Roman" w:hAnsi="Garamond"/>
                <w:sz w:val="6"/>
                <w:szCs w:val="6"/>
                <w:lang w:eastAsia="en-US"/>
              </w:rPr>
              <w:t>/OJF, Universiteti Politeknik</w:t>
            </w:r>
          </w:p>
        </w:tc>
        <w:tc>
          <w:tcPr>
            <w:tcW w:w="188" w:type="pct"/>
            <w:tcBorders>
              <w:top w:val="nil"/>
              <w:left w:val="nil"/>
              <w:bottom w:val="single" w:sz="4" w:space="0" w:color="auto"/>
              <w:right w:val="single" w:sz="4" w:space="0" w:color="auto"/>
            </w:tcBorders>
            <w:shd w:val="clear" w:color="000000" w:fill="DCE6F1"/>
            <w:vAlign w:val="center"/>
            <w:hideMark/>
          </w:tcPr>
          <w:p w14:paraId="168DC469" w14:textId="6DB1F14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7,866</w:t>
            </w:r>
          </w:p>
        </w:tc>
        <w:tc>
          <w:tcPr>
            <w:tcW w:w="190" w:type="pct"/>
            <w:tcBorders>
              <w:top w:val="nil"/>
              <w:left w:val="nil"/>
              <w:bottom w:val="single" w:sz="4" w:space="0" w:color="auto"/>
              <w:right w:val="single" w:sz="4" w:space="0" w:color="auto"/>
            </w:tcBorders>
            <w:shd w:val="clear" w:color="000000" w:fill="DCE6F1"/>
            <w:vAlign w:val="center"/>
            <w:hideMark/>
          </w:tcPr>
          <w:p w14:paraId="57B4A80A" w14:textId="4FF2AA6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11,116</w:t>
            </w:r>
          </w:p>
        </w:tc>
        <w:tc>
          <w:tcPr>
            <w:tcW w:w="190" w:type="pct"/>
            <w:tcBorders>
              <w:top w:val="nil"/>
              <w:left w:val="nil"/>
              <w:bottom w:val="single" w:sz="4" w:space="0" w:color="auto"/>
              <w:right w:val="single" w:sz="4" w:space="0" w:color="auto"/>
            </w:tcBorders>
            <w:shd w:val="clear" w:color="000000" w:fill="DCE6F1"/>
            <w:vAlign w:val="center"/>
            <w:hideMark/>
          </w:tcPr>
          <w:p w14:paraId="489F74CE" w14:textId="4EC2D11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11,232</w:t>
            </w:r>
          </w:p>
        </w:tc>
        <w:tc>
          <w:tcPr>
            <w:tcW w:w="190" w:type="pct"/>
            <w:tcBorders>
              <w:top w:val="nil"/>
              <w:left w:val="nil"/>
              <w:bottom w:val="single" w:sz="4" w:space="0" w:color="auto"/>
              <w:right w:val="single" w:sz="4" w:space="0" w:color="auto"/>
            </w:tcBorders>
            <w:shd w:val="clear" w:color="000000" w:fill="DCE6F1"/>
            <w:vAlign w:val="center"/>
            <w:hideMark/>
          </w:tcPr>
          <w:p w14:paraId="2850CF44" w14:textId="116C63B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11,232</w:t>
            </w:r>
          </w:p>
        </w:tc>
        <w:tc>
          <w:tcPr>
            <w:tcW w:w="187" w:type="pct"/>
            <w:tcBorders>
              <w:top w:val="nil"/>
              <w:left w:val="nil"/>
              <w:bottom w:val="single" w:sz="4" w:space="0" w:color="auto"/>
              <w:right w:val="single" w:sz="4" w:space="0" w:color="auto"/>
            </w:tcBorders>
            <w:shd w:val="clear" w:color="000000" w:fill="DCE6F1"/>
            <w:vAlign w:val="center"/>
            <w:hideMark/>
          </w:tcPr>
          <w:p w14:paraId="3F2C21AB" w14:textId="0A8D510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11,232</w:t>
            </w:r>
          </w:p>
        </w:tc>
        <w:tc>
          <w:tcPr>
            <w:tcW w:w="200" w:type="pct"/>
            <w:tcBorders>
              <w:top w:val="nil"/>
              <w:left w:val="nil"/>
              <w:bottom w:val="single" w:sz="4" w:space="0" w:color="auto"/>
              <w:right w:val="nil"/>
            </w:tcBorders>
            <w:shd w:val="clear" w:color="000000" w:fill="DCE6F1"/>
            <w:vAlign w:val="center"/>
            <w:hideMark/>
          </w:tcPr>
          <w:p w14:paraId="1B147F48" w14:textId="271490F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52,677</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7C639EAE" w14:textId="4FB1849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11,177</w:t>
            </w:r>
          </w:p>
        </w:tc>
        <w:tc>
          <w:tcPr>
            <w:tcW w:w="209" w:type="pct"/>
            <w:tcBorders>
              <w:top w:val="nil"/>
              <w:left w:val="nil"/>
              <w:bottom w:val="single" w:sz="4" w:space="0" w:color="auto"/>
              <w:right w:val="single" w:sz="4" w:space="0" w:color="auto"/>
            </w:tcBorders>
            <w:shd w:val="clear" w:color="000000" w:fill="DCE6F1"/>
            <w:vAlign w:val="center"/>
            <w:hideMark/>
          </w:tcPr>
          <w:p w14:paraId="14CB7BE4" w14:textId="3F22328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18,100</w:t>
            </w:r>
          </w:p>
        </w:tc>
        <w:tc>
          <w:tcPr>
            <w:tcW w:w="195" w:type="pct"/>
            <w:tcBorders>
              <w:top w:val="nil"/>
              <w:left w:val="nil"/>
              <w:bottom w:val="single" w:sz="4" w:space="0" w:color="auto"/>
              <w:right w:val="single" w:sz="8" w:space="0" w:color="auto"/>
            </w:tcBorders>
            <w:shd w:val="clear" w:color="000000" w:fill="DCE6F1"/>
            <w:vAlign w:val="center"/>
            <w:hideMark/>
          </w:tcPr>
          <w:p w14:paraId="5D5C84E9" w14:textId="07C7245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23,400</w:t>
            </w:r>
          </w:p>
        </w:tc>
        <w:tc>
          <w:tcPr>
            <w:tcW w:w="202" w:type="pct"/>
            <w:tcBorders>
              <w:top w:val="nil"/>
              <w:left w:val="nil"/>
              <w:bottom w:val="single" w:sz="4" w:space="0" w:color="auto"/>
              <w:right w:val="single" w:sz="4" w:space="0" w:color="auto"/>
            </w:tcBorders>
            <w:shd w:val="clear" w:color="000000" w:fill="DCE6F1"/>
            <w:vAlign w:val="center"/>
            <w:hideMark/>
          </w:tcPr>
          <w:p w14:paraId="4163C97E" w14:textId="5DE0C7D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548,715</w:t>
            </w:r>
          </w:p>
        </w:tc>
        <w:tc>
          <w:tcPr>
            <w:tcW w:w="200" w:type="pct"/>
            <w:tcBorders>
              <w:top w:val="nil"/>
              <w:left w:val="nil"/>
              <w:bottom w:val="single" w:sz="4" w:space="0" w:color="auto"/>
              <w:right w:val="single" w:sz="4" w:space="0" w:color="auto"/>
            </w:tcBorders>
            <w:shd w:val="clear" w:color="000000" w:fill="DCE6F1"/>
            <w:vAlign w:val="center"/>
            <w:hideMark/>
          </w:tcPr>
          <w:p w14:paraId="2C35C15D" w14:textId="4D3B390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116,423</w:t>
            </w:r>
          </w:p>
        </w:tc>
        <w:tc>
          <w:tcPr>
            <w:tcW w:w="197" w:type="pct"/>
            <w:tcBorders>
              <w:top w:val="nil"/>
              <w:left w:val="nil"/>
              <w:bottom w:val="single" w:sz="4" w:space="0" w:color="auto"/>
              <w:right w:val="single" w:sz="4" w:space="0" w:color="auto"/>
            </w:tcBorders>
            <w:shd w:val="clear" w:color="000000" w:fill="DCE6F1"/>
            <w:vAlign w:val="center"/>
            <w:hideMark/>
          </w:tcPr>
          <w:p w14:paraId="2547D76A" w14:textId="04C9C9B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188,542</w:t>
            </w:r>
          </w:p>
        </w:tc>
        <w:tc>
          <w:tcPr>
            <w:tcW w:w="342" w:type="pct"/>
            <w:tcBorders>
              <w:top w:val="nil"/>
              <w:left w:val="nil"/>
              <w:bottom w:val="single" w:sz="4" w:space="0" w:color="auto"/>
              <w:right w:val="single" w:sz="8" w:space="0" w:color="auto"/>
            </w:tcBorders>
            <w:shd w:val="clear" w:color="000000" w:fill="DCE6F1"/>
            <w:vAlign w:val="center"/>
            <w:hideMark/>
          </w:tcPr>
          <w:p w14:paraId="501FD40D" w14:textId="1DC5B89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243,750</w:t>
            </w:r>
          </w:p>
        </w:tc>
      </w:tr>
      <w:tr w:rsidR="00387E5A" w:rsidRPr="00024D5A" w14:paraId="126582C2"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351E2391" w14:textId="04E56441"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Masa prioritare 1.2</w:t>
            </w:r>
            <w:r w:rsidR="000856CC">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Vlerësimi i situatës së aksesueshmërisë së aseteve publike (ndërtesa dhe infrastrukturë), planifikimi i buxhetit përkatës dhe detajimi i planit me aksione konkrete për përfshirjen e elementeve të aksesueshmërisë në të gjitha asetet, sipas përparësive.</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60472F7D"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2026</w:t>
            </w:r>
          </w:p>
        </w:tc>
        <w:tc>
          <w:tcPr>
            <w:tcW w:w="226" w:type="pct"/>
            <w:tcBorders>
              <w:top w:val="nil"/>
              <w:left w:val="nil"/>
              <w:bottom w:val="single" w:sz="4" w:space="0" w:color="auto"/>
              <w:right w:val="single" w:sz="4" w:space="0" w:color="auto"/>
            </w:tcBorders>
            <w:shd w:val="clear" w:color="000000" w:fill="DCE6F1"/>
            <w:vAlign w:val="center"/>
            <w:hideMark/>
          </w:tcPr>
          <w:p w14:paraId="25F5C8FF"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612C9868"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MIE/MSHMS</w:t>
            </w:r>
          </w:p>
        </w:tc>
        <w:tc>
          <w:tcPr>
            <w:tcW w:w="792" w:type="pct"/>
            <w:tcBorders>
              <w:top w:val="nil"/>
              <w:left w:val="nil"/>
              <w:bottom w:val="single" w:sz="4" w:space="0" w:color="auto"/>
              <w:right w:val="single" w:sz="8" w:space="0" w:color="auto"/>
            </w:tcBorders>
            <w:shd w:val="clear" w:color="000000" w:fill="DCE6F1"/>
            <w:vAlign w:val="center"/>
            <w:hideMark/>
          </w:tcPr>
          <w:p w14:paraId="06DFA959" w14:textId="72DF0968" w:rsidR="00DE4FCB" w:rsidRPr="00024D5A" w:rsidRDefault="00070BC1"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 xml:space="preserve">Të </w:t>
            </w:r>
            <w:r w:rsidR="00DE4FCB" w:rsidRPr="00024D5A">
              <w:rPr>
                <w:rFonts w:ascii="Garamond" w:eastAsia="Times New Roman" w:hAnsi="Garamond"/>
                <w:sz w:val="6"/>
                <w:szCs w:val="6"/>
                <w:lang w:eastAsia="en-US"/>
              </w:rPr>
              <w:t>gjitha institucionet/studente t</w:t>
            </w:r>
            <w:r w:rsidRPr="00024D5A">
              <w:rPr>
                <w:rFonts w:ascii="Garamond" w:eastAsia="Times New Roman" w:hAnsi="Garamond"/>
                <w:sz w:val="6"/>
                <w:szCs w:val="6"/>
                <w:lang w:eastAsia="en-US"/>
              </w:rPr>
              <w:t>ë</w:t>
            </w:r>
            <w:r w:rsidR="00DE4FCB" w:rsidRPr="00024D5A">
              <w:rPr>
                <w:rFonts w:ascii="Garamond" w:eastAsia="Times New Roman" w:hAnsi="Garamond"/>
                <w:sz w:val="6"/>
                <w:szCs w:val="6"/>
                <w:lang w:eastAsia="en-US"/>
              </w:rPr>
              <w:t xml:space="preserve"> UP/</w:t>
            </w:r>
            <w:r w:rsidRPr="00024D5A">
              <w:rPr>
                <w:rFonts w:ascii="Garamond" w:eastAsia="Times New Roman" w:hAnsi="Garamond"/>
                <w:sz w:val="6"/>
                <w:szCs w:val="6"/>
                <w:lang w:eastAsia="en-US"/>
              </w:rPr>
              <w:t xml:space="preserve">të </w:t>
            </w:r>
            <w:r w:rsidR="00DE4FCB" w:rsidRPr="00024D5A">
              <w:rPr>
                <w:rFonts w:ascii="Garamond" w:eastAsia="Times New Roman" w:hAnsi="Garamond"/>
                <w:sz w:val="6"/>
                <w:szCs w:val="6"/>
                <w:lang w:eastAsia="en-US"/>
              </w:rPr>
              <w:t>gjitha institucionet/bashkitë/bizneset</w:t>
            </w:r>
            <w:r w:rsidR="007675EC" w:rsidRPr="00024D5A">
              <w:rPr>
                <w:rFonts w:ascii="Garamond" w:eastAsia="Times New Roman" w:hAnsi="Garamond"/>
                <w:sz w:val="6"/>
                <w:szCs w:val="6"/>
                <w:lang w:eastAsia="en-US"/>
              </w:rPr>
              <w:t>/</w:t>
            </w:r>
            <w:r w:rsidR="00DE4FCB" w:rsidRPr="00024D5A">
              <w:rPr>
                <w:rFonts w:ascii="Garamond" w:eastAsia="Times New Roman" w:hAnsi="Garamond"/>
                <w:sz w:val="6"/>
                <w:szCs w:val="6"/>
                <w:lang w:eastAsia="en-US"/>
              </w:rPr>
              <w:t>Universiteti Politeknik, MSHPV</w:t>
            </w:r>
            <w:r w:rsidR="00DE4FCB" w:rsidRPr="00024D5A">
              <w:rPr>
                <w:rFonts w:ascii="Garamond" w:eastAsia="Times New Roman" w:hAnsi="Garamond"/>
                <w:sz w:val="6"/>
                <w:szCs w:val="6"/>
                <w:lang w:eastAsia="en-US"/>
              </w:rPr>
              <w:br/>
              <w:t>AMVV</w:t>
            </w:r>
          </w:p>
        </w:tc>
        <w:tc>
          <w:tcPr>
            <w:tcW w:w="188" w:type="pct"/>
            <w:tcBorders>
              <w:top w:val="nil"/>
              <w:left w:val="nil"/>
              <w:bottom w:val="single" w:sz="4" w:space="0" w:color="auto"/>
              <w:right w:val="single" w:sz="4" w:space="0" w:color="auto"/>
            </w:tcBorders>
            <w:shd w:val="clear" w:color="000000" w:fill="DCE6F1"/>
            <w:vAlign w:val="center"/>
            <w:hideMark/>
          </w:tcPr>
          <w:p w14:paraId="4D706D75" w14:textId="283BA41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1,455</w:t>
            </w:r>
          </w:p>
        </w:tc>
        <w:tc>
          <w:tcPr>
            <w:tcW w:w="190" w:type="pct"/>
            <w:tcBorders>
              <w:top w:val="nil"/>
              <w:left w:val="nil"/>
              <w:bottom w:val="single" w:sz="4" w:space="0" w:color="auto"/>
              <w:right w:val="single" w:sz="4" w:space="0" w:color="auto"/>
            </w:tcBorders>
            <w:shd w:val="clear" w:color="000000" w:fill="DCE6F1"/>
            <w:vAlign w:val="center"/>
            <w:hideMark/>
          </w:tcPr>
          <w:p w14:paraId="6D240F32" w14:textId="6C23530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7,455</w:t>
            </w:r>
          </w:p>
        </w:tc>
        <w:tc>
          <w:tcPr>
            <w:tcW w:w="190" w:type="pct"/>
            <w:tcBorders>
              <w:top w:val="nil"/>
              <w:left w:val="nil"/>
              <w:bottom w:val="single" w:sz="4" w:space="0" w:color="auto"/>
              <w:right w:val="single" w:sz="4" w:space="0" w:color="auto"/>
            </w:tcBorders>
            <w:shd w:val="clear" w:color="000000" w:fill="DCE6F1"/>
            <w:vAlign w:val="center"/>
            <w:hideMark/>
          </w:tcPr>
          <w:p w14:paraId="1B67EE5F" w14:textId="45B128F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8,955</w:t>
            </w:r>
          </w:p>
        </w:tc>
        <w:tc>
          <w:tcPr>
            <w:tcW w:w="190" w:type="pct"/>
            <w:tcBorders>
              <w:top w:val="nil"/>
              <w:left w:val="nil"/>
              <w:bottom w:val="single" w:sz="4" w:space="0" w:color="auto"/>
              <w:right w:val="single" w:sz="4" w:space="0" w:color="auto"/>
            </w:tcBorders>
            <w:shd w:val="clear" w:color="000000" w:fill="DCE6F1"/>
            <w:vAlign w:val="center"/>
            <w:hideMark/>
          </w:tcPr>
          <w:p w14:paraId="7D307A11" w14:textId="5B672D6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8,955</w:t>
            </w:r>
          </w:p>
        </w:tc>
        <w:tc>
          <w:tcPr>
            <w:tcW w:w="187" w:type="pct"/>
            <w:tcBorders>
              <w:top w:val="nil"/>
              <w:left w:val="nil"/>
              <w:bottom w:val="single" w:sz="4" w:space="0" w:color="auto"/>
              <w:right w:val="single" w:sz="4" w:space="0" w:color="auto"/>
            </w:tcBorders>
            <w:shd w:val="clear" w:color="000000" w:fill="DCE6F1"/>
            <w:vAlign w:val="center"/>
            <w:hideMark/>
          </w:tcPr>
          <w:p w14:paraId="47C7C9EC" w14:textId="1161902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1,605</w:t>
            </w:r>
          </w:p>
        </w:tc>
        <w:tc>
          <w:tcPr>
            <w:tcW w:w="200" w:type="pct"/>
            <w:tcBorders>
              <w:top w:val="nil"/>
              <w:left w:val="nil"/>
              <w:bottom w:val="single" w:sz="4" w:space="0" w:color="auto"/>
              <w:right w:val="nil"/>
            </w:tcBorders>
            <w:shd w:val="clear" w:color="000000" w:fill="DCE6F1"/>
            <w:vAlign w:val="center"/>
            <w:hideMark/>
          </w:tcPr>
          <w:p w14:paraId="569A445D" w14:textId="74A4028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28,423</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773D979F" w14:textId="78A68FD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17,573</w:t>
            </w:r>
          </w:p>
        </w:tc>
        <w:tc>
          <w:tcPr>
            <w:tcW w:w="209" w:type="pct"/>
            <w:tcBorders>
              <w:top w:val="nil"/>
              <w:left w:val="nil"/>
              <w:bottom w:val="single" w:sz="4" w:space="0" w:color="auto"/>
              <w:right w:val="single" w:sz="4" w:space="0" w:color="auto"/>
            </w:tcBorders>
            <w:shd w:val="clear" w:color="000000" w:fill="DCE6F1"/>
            <w:vAlign w:val="center"/>
            <w:hideMark/>
          </w:tcPr>
          <w:p w14:paraId="10EEA7ED" w14:textId="0A1CDB8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1,000</w:t>
            </w:r>
          </w:p>
        </w:tc>
        <w:tc>
          <w:tcPr>
            <w:tcW w:w="195" w:type="pct"/>
            <w:tcBorders>
              <w:top w:val="nil"/>
              <w:left w:val="nil"/>
              <w:bottom w:val="single" w:sz="4" w:space="0" w:color="auto"/>
              <w:right w:val="single" w:sz="8" w:space="0" w:color="auto"/>
            </w:tcBorders>
            <w:shd w:val="clear" w:color="000000" w:fill="DCE6F1"/>
            <w:vAlign w:val="center"/>
            <w:hideMark/>
          </w:tcPr>
          <w:p w14:paraId="2EACD7A3" w14:textId="00D59A0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9,850</w:t>
            </w:r>
          </w:p>
        </w:tc>
        <w:tc>
          <w:tcPr>
            <w:tcW w:w="202" w:type="pct"/>
            <w:tcBorders>
              <w:top w:val="nil"/>
              <w:left w:val="nil"/>
              <w:bottom w:val="single" w:sz="4" w:space="0" w:color="auto"/>
              <w:right w:val="single" w:sz="4" w:space="0" w:color="auto"/>
            </w:tcBorders>
            <w:shd w:val="clear" w:color="000000" w:fill="DCE6F1"/>
            <w:vAlign w:val="center"/>
            <w:hideMark/>
          </w:tcPr>
          <w:p w14:paraId="37D945F5" w14:textId="56AA50C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296,070</w:t>
            </w:r>
          </w:p>
        </w:tc>
        <w:tc>
          <w:tcPr>
            <w:tcW w:w="200" w:type="pct"/>
            <w:tcBorders>
              <w:top w:val="nil"/>
              <w:left w:val="nil"/>
              <w:bottom w:val="single" w:sz="4" w:space="0" w:color="auto"/>
              <w:right w:val="single" w:sz="4" w:space="0" w:color="auto"/>
            </w:tcBorders>
            <w:shd w:val="clear" w:color="000000" w:fill="DCE6F1"/>
            <w:vAlign w:val="center"/>
            <w:hideMark/>
          </w:tcPr>
          <w:p w14:paraId="255D9542" w14:textId="6DE3F04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183,049</w:t>
            </w:r>
          </w:p>
        </w:tc>
        <w:tc>
          <w:tcPr>
            <w:tcW w:w="197" w:type="pct"/>
            <w:tcBorders>
              <w:top w:val="nil"/>
              <w:left w:val="nil"/>
              <w:bottom w:val="single" w:sz="4" w:space="0" w:color="auto"/>
              <w:right w:val="single" w:sz="4" w:space="0" w:color="auto"/>
            </w:tcBorders>
            <w:shd w:val="clear" w:color="000000" w:fill="DCE6F1"/>
            <w:vAlign w:val="center"/>
            <w:hideMark/>
          </w:tcPr>
          <w:p w14:paraId="1233C2DF" w14:textId="170599A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10,417</w:t>
            </w:r>
          </w:p>
        </w:tc>
        <w:tc>
          <w:tcPr>
            <w:tcW w:w="342" w:type="pct"/>
            <w:tcBorders>
              <w:top w:val="nil"/>
              <w:left w:val="nil"/>
              <w:bottom w:val="single" w:sz="4" w:space="0" w:color="auto"/>
              <w:right w:val="single" w:sz="8" w:space="0" w:color="auto"/>
            </w:tcBorders>
            <w:shd w:val="clear" w:color="000000" w:fill="DCE6F1"/>
            <w:vAlign w:val="center"/>
            <w:hideMark/>
          </w:tcPr>
          <w:p w14:paraId="66C799D6" w14:textId="79F1A38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102,604</w:t>
            </w:r>
          </w:p>
        </w:tc>
      </w:tr>
      <w:tr w:rsidR="00387E5A" w:rsidRPr="00024D5A" w14:paraId="18CE6A47" w14:textId="77777777" w:rsidTr="00387E5A">
        <w:trPr>
          <w:trHeight w:val="20"/>
        </w:trPr>
        <w:tc>
          <w:tcPr>
            <w:tcW w:w="375" w:type="pct"/>
            <w:tcBorders>
              <w:top w:val="nil"/>
              <w:left w:val="single" w:sz="4" w:space="0" w:color="auto"/>
              <w:bottom w:val="single" w:sz="4" w:space="0" w:color="auto"/>
              <w:right w:val="nil"/>
            </w:tcBorders>
            <w:shd w:val="clear" w:color="000000" w:fill="FDE9D9"/>
            <w:vAlign w:val="center"/>
            <w:hideMark/>
          </w:tcPr>
          <w:p w14:paraId="5B56020D" w14:textId="5ED2807D"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Objektivi </w:t>
            </w:r>
            <w:r w:rsidR="009656D0" w:rsidRPr="00024D5A">
              <w:rPr>
                <w:rFonts w:ascii="Garamond" w:eastAsia="Times New Roman" w:hAnsi="Garamond" w:cs="Calibri"/>
                <w:b/>
                <w:bCs/>
                <w:sz w:val="6"/>
                <w:szCs w:val="6"/>
                <w:lang w:eastAsia="en-US"/>
              </w:rPr>
              <w:t xml:space="preserve">specifik </w:t>
            </w:r>
            <w:r w:rsidRPr="00024D5A">
              <w:rPr>
                <w:rFonts w:ascii="Garamond" w:eastAsia="Times New Roman" w:hAnsi="Garamond" w:cs="Calibri"/>
                <w:b/>
                <w:bCs/>
                <w:sz w:val="6"/>
                <w:szCs w:val="6"/>
                <w:lang w:eastAsia="en-US"/>
              </w:rPr>
              <w:t>2</w:t>
            </w:r>
            <w:r w:rsidR="00AC5DA9">
              <w:rPr>
                <w:rFonts w:ascii="Garamond" w:eastAsia="Times New Roman" w:hAnsi="Garamond" w:cs="Calibri"/>
                <w:b/>
                <w:bCs/>
                <w:sz w:val="6"/>
                <w:szCs w:val="6"/>
                <w:lang w:eastAsia="en-US"/>
              </w:rPr>
              <w:t>:</w:t>
            </w:r>
            <w:r w:rsidR="009656D0" w:rsidRPr="00024D5A">
              <w:rPr>
                <w:rFonts w:ascii="Garamond" w:eastAsia="Times New Roman" w:hAnsi="Garamond" w:cs="Calibri"/>
                <w:b/>
                <w:bCs/>
                <w:sz w:val="6"/>
                <w:szCs w:val="6"/>
                <w:lang w:eastAsia="en-US"/>
              </w:rPr>
              <w:t xml:space="preserve"> </w:t>
            </w:r>
            <w:r w:rsidRPr="00024D5A">
              <w:rPr>
                <w:rFonts w:ascii="Garamond" w:eastAsia="Times New Roman" w:hAnsi="Garamond" w:cs="Calibri"/>
                <w:b/>
                <w:bCs/>
                <w:sz w:val="6"/>
                <w:szCs w:val="6"/>
                <w:lang w:eastAsia="en-US"/>
              </w:rPr>
              <w:t>Aksesueshmëria në transport, në shërbime dhe mjete: Të përmirësohet niveli i aksesueshmërisë</w:t>
            </w:r>
            <w:r w:rsidR="008F29FA" w:rsidRPr="00024D5A">
              <w:rPr>
                <w:rFonts w:ascii="Garamond" w:eastAsia="Times New Roman" w:hAnsi="Garamond" w:cs="Calibri"/>
                <w:b/>
                <w:bCs/>
                <w:sz w:val="6"/>
                <w:szCs w:val="6"/>
                <w:lang w:eastAsia="en-US"/>
              </w:rPr>
              <w:t xml:space="preserve"> </w:t>
            </w:r>
            <w:r w:rsidRPr="00024D5A">
              <w:rPr>
                <w:rFonts w:ascii="Garamond" w:eastAsia="Times New Roman" w:hAnsi="Garamond" w:cs="Calibri"/>
                <w:b/>
                <w:bCs/>
                <w:sz w:val="6"/>
                <w:szCs w:val="6"/>
                <w:lang w:eastAsia="en-US"/>
              </w:rPr>
              <w:t>në transportin</w:t>
            </w:r>
            <w:r w:rsidR="008F29FA" w:rsidRPr="00024D5A">
              <w:rPr>
                <w:rFonts w:ascii="Garamond" w:eastAsia="Times New Roman" w:hAnsi="Garamond" w:cs="Calibri"/>
                <w:b/>
                <w:bCs/>
                <w:sz w:val="6"/>
                <w:szCs w:val="6"/>
                <w:lang w:eastAsia="en-US"/>
              </w:rPr>
              <w:t xml:space="preserve"> </w:t>
            </w:r>
            <w:r w:rsidRPr="00024D5A">
              <w:rPr>
                <w:rFonts w:ascii="Garamond" w:eastAsia="Times New Roman" w:hAnsi="Garamond" w:cs="Calibri"/>
                <w:b/>
                <w:bCs/>
                <w:sz w:val="6"/>
                <w:szCs w:val="6"/>
                <w:lang w:eastAsia="en-US"/>
              </w:rPr>
              <w:t>publik, si në mjetet edhe në shërbime ndaj udhëtarëve me aftësi të kufizuara. Të mundësohet udhëtimi falas për PAK.</w:t>
            </w:r>
          </w:p>
        </w:tc>
        <w:tc>
          <w:tcPr>
            <w:tcW w:w="244" w:type="pct"/>
            <w:tcBorders>
              <w:top w:val="nil"/>
              <w:left w:val="single" w:sz="8" w:space="0" w:color="auto"/>
              <w:bottom w:val="single" w:sz="4" w:space="0" w:color="auto"/>
              <w:right w:val="single" w:sz="4" w:space="0" w:color="auto"/>
            </w:tcBorders>
            <w:shd w:val="clear" w:color="000000" w:fill="FDE9D9"/>
            <w:vAlign w:val="center"/>
            <w:hideMark/>
          </w:tcPr>
          <w:p w14:paraId="0D9981B2"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2026</w:t>
            </w:r>
          </w:p>
        </w:tc>
        <w:tc>
          <w:tcPr>
            <w:tcW w:w="226" w:type="pct"/>
            <w:tcBorders>
              <w:top w:val="nil"/>
              <w:left w:val="nil"/>
              <w:bottom w:val="single" w:sz="4" w:space="0" w:color="auto"/>
              <w:right w:val="single" w:sz="4" w:space="0" w:color="auto"/>
            </w:tcBorders>
            <w:shd w:val="clear" w:color="000000" w:fill="FDE9D9"/>
            <w:vAlign w:val="center"/>
            <w:hideMark/>
          </w:tcPr>
          <w:p w14:paraId="55113C64"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2030</w:t>
            </w:r>
          </w:p>
        </w:tc>
        <w:tc>
          <w:tcPr>
            <w:tcW w:w="664" w:type="pct"/>
            <w:tcBorders>
              <w:top w:val="nil"/>
              <w:left w:val="nil"/>
              <w:bottom w:val="single" w:sz="4" w:space="0" w:color="auto"/>
              <w:right w:val="single" w:sz="4" w:space="0" w:color="auto"/>
            </w:tcBorders>
            <w:shd w:val="clear" w:color="000000" w:fill="FDE9D9"/>
            <w:vAlign w:val="center"/>
            <w:hideMark/>
          </w:tcPr>
          <w:p w14:paraId="1146A10C"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MIE/NJVQK/DPSHTRR/MSHMS/KMD/BASHKIA</w:t>
            </w:r>
          </w:p>
        </w:tc>
        <w:tc>
          <w:tcPr>
            <w:tcW w:w="792" w:type="pct"/>
            <w:tcBorders>
              <w:top w:val="nil"/>
              <w:left w:val="nil"/>
              <w:bottom w:val="single" w:sz="4" w:space="0" w:color="auto"/>
              <w:right w:val="single" w:sz="8" w:space="0" w:color="auto"/>
            </w:tcBorders>
            <w:shd w:val="clear" w:color="000000" w:fill="FDE9D9"/>
            <w:vAlign w:val="center"/>
            <w:hideMark/>
          </w:tcPr>
          <w:p w14:paraId="5D9CFF3B" w14:textId="4475C74B"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DPSHTRR/Bashkit</w:t>
            </w:r>
            <w:r w:rsidR="00070BC1" w:rsidRPr="00024D5A">
              <w:rPr>
                <w:rFonts w:ascii="Garamond" w:eastAsia="Times New Roman" w:hAnsi="Garamond"/>
                <w:sz w:val="6"/>
                <w:szCs w:val="6"/>
                <w:lang w:eastAsia="en-US"/>
              </w:rPr>
              <w:t>ë</w:t>
            </w:r>
            <w:r w:rsidRPr="00024D5A">
              <w:rPr>
                <w:rFonts w:ascii="Garamond" w:eastAsia="Times New Roman" w:hAnsi="Garamond"/>
                <w:sz w:val="6"/>
                <w:szCs w:val="6"/>
                <w:lang w:eastAsia="en-US"/>
              </w:rPr>
              <w:t xml:space="preserve"> &amp; Shoqatat e transportit/ofrues sh</w:t>
            </w:r>
            <w:r w:rsidR="00070BC1" w:rsidRPr="00024D5A">
              <w:rPr>
                <w:rFonts w:ascii="Garamond" w:eastAsia="Times New Roman" w:hAnsi="Garamond"/>
                <w:sz w:val="6"/>
                <w:szCs w:val="6"/>
                <w:lang w:eastAsia="en-US"/>
              </w:rPr>
              <w:t>ë</w:t>
            </w:r>
            <w:r w:rsidRPr="00024D5A">
              <w:rPr>
                <w:rFonts w:ascii="Garamond" w:eastAsia="Times New Roman" w:hAnsi="Garamond"/>
                <w:sz w:val="6"/>
                <w:szCs w:val="6"/>
                <w:lang w:eastAsia="en-US"/>
              </w:rPr>
              <w:t>rbimesh</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OJF/MSHMS/MSHPV</w:t>
            </w:r>
            <w:r w:rsidRPr="00024D5A">
              <w:rPr>
                <w:rFonts w:ascii="Garamond" w:eastAsia="Times New Roman" w:hAnsi="Garamond"/>
                <w:sz w:val="6"/>
                <w:szCs w:val="6"/>
                <w:lang w:eastAsia="en-US"/>
              </w:rPr>
              <w:br/>
              <w:t>AMVV</w:t>
            </w:r>
          </w:p>
        </w:tc>
        <w:tc>
          <w:tcPr>
            <w:tcW w:w="188" w:type="pct"/>
            <w:tcBorders>
              <w:top w:val="nil"/>
              <w:left w:val="nil"/>
              <w:bottom w:val="single" w:sz="4" w:space="0" w:color="auto"/>
              <w:right w:val="single" w:sz="4" w:space="0" w:color="auto"/>
            </w:tcBorders>
            <w:shd w:val="clear" w:color="000000" w:fill="FDE9D9"/>
            <w:vAlign w:val="center"/>
            <w:hideMark/>
          </w:tcPr>
          <w:p w14:paraId="6AF86B46" w14:textId="56A3490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1,923</w:t>
            </w:r>
          </w:p>
        </w:tc>
        <w:tc>
          <w:tcPr>
            <w:tcW w:w="190" w:type="pct"/>
            <w:tcBorders>
              <w:top w:val="nil"/>
              <w:left w:val="nil"/>
              <w:bottom w:val="single" w:sz="4" w:space="0" w:color="auto"/>
              <w:right w:val="single" w:sz="4" w:space="0" w:color="auto"/>
            </w:tcBorders>
            <w:shd w:val="clear" w:color="000000" w:fill="FDE9D9"/>
            <w:vAlign w:val="center"/>
            <w:hideMark/>
          </w:tcPr>
          <w:p w14:paraId="57384B66" w14:textId="65C1BAC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2,534</w:t>
            </w:r>
          </w:p>
        </w:tc>
        <w:tc>
          <w:tcPr>
            <w:tcW w:w="190" w:type="pct"/>
            <w:tcBorders>
              <w:top w:val="nil"/>
              <w:left w:val="nil"/>
              <w:bottom w:val="single" w:sz="4" w:space="0" w:color="auto"/>
              <w:right w:val="single" w:sz="4" w:space="0" w:color="auto"/>
            </w:tcBorders>
            <w:shd w:val="clear" w:color="000000" w:fill="FDE9D9"/>
            <w:vAlign w:val="center"/>
            <w:hideMark/>
          </w:tcPr>
          <w:p w14:paraId="25B16258" w14:textId="5DB880E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1,848</w:t>
            </w:r>
          </w:p>
        </w:tc>
        <w:tc>
          <w:tcPr>
            <w:tcW w:w="190" w:type="pct"/>
            <w:tcBorders>
              <w:top w:val="nil"/>
              <w:left w:val="nil"/>
              <w:bottom w:val="single" w:sz="4" w:space="0" w:color="auto"/>
              <w:right w:val="single" w:sz="4" w:space="0" w:color="auto"/>
            </w:tcBorders>
            <w:shd w:val="clear" w:color="000000" w:fill="FDE9D9"/>
            <w:vAlign w:val="center"/>
            <w:hideMark/>
          </w:tcPr>
          <w:p w14:paraId="21169F17" w14:textId="0166CDB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1,136</w:t>
            </w:r>
          </w:p>
        </w:tc>
        <w:tc>
          <w:tcPr>
            <w:tcW w:w="187" w:type="pct"/>
            <w:tcBorders>
              <w:top w:val="nil"/>
              <w:left w:val="nil"/>
              <w:bottom w:val="single" w:sz="4" w:space="0" w:color="auto"/>
              <w:right w:val="single" w:sz="4" w:space="0" w:color="auto"/>
            </w:tcBorders>
            <w:shd w:val="clear" w:color="000000" w:fill="FDE9D9"/>
            <w:vAlign w:val="center"/>
            <w:hideMark/>
          </w:tcPr>
          <w:p w14:paraId="7BE1F604" w14:textId="3E1B408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1,136</w:t>
            </w:r>
          </w:p>
        </w:tc>
        <w:tc>
          <w:tcPr>
            <w:tcW w:w="200" w:type="pct"/>
            <w:tcBorders>
              <w:top w:val="nil"/>
              <w:left w:val="nil"/>
              <w:bottom w:val="single" w:sz="4" w:space="0" w:color="auto"/>
              <w:right w:val="nil"/>
            </w:tcBorders>
            <w:shd w:val="clear" w:color="000000" w:fill="FDE9D9"/>
            <w:vAlign w:val="center"/>
            <w:hideMark/>
          </w:tcPr>
          <w:p w14:paraId="26A7EE4B" w14:textId="703A92C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8,577</w:t>
            </w:r>
          </w:p>
        </w:tc>
        <w:tc>
          <w:tcPr>
            <w:tcW w:w="209" w:type="pct"/>
            <w:tcBorders>
              <w:top w:val="nil"/>
              <w:left w:val="single" w:sz="8" w:space="0" w:color="auto"/>
              <w:bottom w:val="single" w:sz="4" w:space="0" w:color="auto"/>
              <w:right w:val="single" w:sz="4" w:space="0" w:color="auto"/>
            </w:tcBorders>
            <w:shd w:val="clear" w:color="000000" w:fill="FDE9D9"/>
            <w:vAlign w:val="center"/>
            <w:hideMark/>
          </w:tcPr>
          <w:p w14:paraId="136D6A06" w14:textId="281DB88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1,327</w:t>
            </w:r>
          </w:p>
        </w:tc>
        <w:tc>
          <w:tcPr>
            <w:tcW w:w="209" w:type="pct"/>
            <w:tcBorders>
              <w:top w:val="nil"/>
              <w:left w:val="nil"/>
              <w:bottom w:val="single" w:sz="4" w:space="0" w:color="auto"/>
              <w:right w:val="single" w:sz="4" w:space="0" w:color="auto"/>
            </w:tcBorders>
            <w:shd w:val="clear" w:color="000000" w:fill="FDE9D9"/>
            <w:vAlign w:val="center"/>
            <w:hideMark/>
          </w:tcPr>
          <w:p w14:paraId="67891330" w14:textId="18977D6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1,550</w:t>
            </w:r>
          </w:p>
        </w:tc>
        <w:tc>
          <w:tcPr>
            <w:tcW w:w="195" w:type="pct"/>
            <w:tcBorders>
              <w:top w:val="nil"/>
              <w:left w:val="nil"/>
              <w:bottom w:val="single" w:sz="4" w:space="0" w:color="auto"/>
              <w:right w:val="single" w:sz="8" w:space="0" w:color="auto"/>
            </w:tcBorders>
            <w:shd w:val="clear" w:color="000000" w:fill="FDE9D9"/>
            <w:vAlign w:val="center"/>
            <w:hideMark/>
          </w:tcPr>
          <w:p w14:paraId="10B1FC52" w14:textId="27CB328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5,700</w:t>
            </w:r>
          </w:p>
        </w:tc>
        <w:tc>
          <w:tcPr>
            <w:tcW w:w="202" w:type="pct"/>
            <w:tcBorders>
              <w:top w:val="nil"/>
              <w:left w:val="nil"/>
              <w:bottom w:val="single" w:sz="4" w:space="0" w:color="auto"/>
              <w:right w:val="single" w:sz="4" w:space="0" w:color="auto"/>
            </w:tcBorders>
            <w:shd w:val="clear" w:color="000000" w:fill="FDE9D9"/>
            <w:vAlign w:val="center"/>
            <w:hideMark/>
          </w:tcPr>
          <w:p w14:paraId="17298E23" w14:textId="66AC3CD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89,347</w:t>
            </w:r>
          </w:p>
        </w:tc>
        <w:tc>
          <w:tcPr>
            <w:tcW w:w="200" w:type="pct"/>
            <w:tcBorders>
              <w:top w:val="nil"/>
              <w:left w:val="nil"/>
              <w:bottom w:val="single" w:sz="4" w:space="0" w:color="auto"/>
              <w:right w:val="single" w:sz="4" w:space="0" w:color="auto"/>
            </w:tcBorders>
            <w:shd w:val="clear" w:color="000000" w:fill="FDE9D9"/>
            <w:vAlign w:val="center"/>
            <w:hideMark/>
          </w:tcPr>
          <w:p w14:paraId="303E9EF8" w14:textId="3DD5546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13,826</w:t>
            </w:r>
          </w:p>
        </w:tc>
        <w:tc>
          <w:tcPr>
            <w:tcW w:w="197" w:type="pct"/>
            <w:tcBorders>
              <w:top w:val="nil"/>
              <w:left w:val="nil"/>
              <w:bottom w:val="single" w:sz="4" w:space="0" w:color="auto"/>
              <w:right w:val="single" w:sz="4" w:space="0" w:color="auto"/>
            </w:tcBorders>
            <w:shd w:val="clear" w:color="000000" w:fill="FDE9D9"/>
            <w:vAlign w:val="center"/>
            <w:hideMark/>
          </w:tcPr>
          <w:p w14:paraId="6D656A28" w14:textId="690AB7A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16,146</w:t>
            </w:r>
          </w:p>
        </w:tc>
        <w:tc>
          <w:tcPr>
            <w:tcW w:w="342" w:type="pct"/>
            <w:tcBorders>
              <w:top w:val="nil"/>
              <w:left w:val="nil"/>
              <w:bottom w:val="single" w:sz="4" w:space="0" w:color="auto"/>
              <w:right w:val="single" w:sz="8" w:space="0" w:color="auto"/>
            </w:tcBorders>
            <w:shd w:val="clear" w:color="000000" w:fill="FDE9D9"/>
            <w:vAlign w:val="center"/>
            <w:hideMark/>
          </w:tcPr>
          <w:p w14:paraId="66A6671B" w14:textId="1A92087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59,375</w:t>
            </w:r>
          </w:p>
        </w:tc>
      </w:tr>
      <w:tr w:rsidR="00387E5A" w:rsidRPr="00024D5A" w14:paraId="46C1C498"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41CFD5BF" w14:textId="03F22D37"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Masa prioritare 2.1</w:t>
            </w:r>
            <w:r w:rsidR="00AC5DA9">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Zbatimi praktik dhe monitorimi i standardeve të aksesueshmërisë në transportin publik, në përputhje me standardet e Bashkimit Evropian, përmes përmirësimit të aksesueshmërisë në mjetet e transportit publik urban transportit publik urban dhe ndërqytetas, zhvillimit të infrastrukturës dhe shërbimeve të përshtatura për personat me aftësi të kufizuara, forcimit të bashkëpunimit ndërinstitucional dhe ndërmarrjes së masave ndërgjegjësuese për ndryshimin e qasjeve dhe sjelljeve ndaj kësaj kategorie.</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5D47E3D1"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2026</w:t>
            </w:r>
          </w:p>
        </w:tc>
        <w:tc>
          <w:tcPr>
            <w:tcW w:w="226" w:type="pct"/>
            <w:tcBorders>
              <w:top w:val="nil"/>
              <w:left w:val="nil"/>
              <w:bottom w:val="single" w:sz="4" w:space="0" w:color="auto"/>
              <w:right w:val="single" w:sz="4" w:space="0" w:color="auto"/>
            </w:tcBorders>
            <w:shd w:val="clear" w:color="000000" w:fill="DCE6F1"/>
            <w:vAlign w:val="center"/>
            <w:hideMark/>
          </w:tcPr>
          <w:p w14:paraId="29FBA431"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35D6A86B"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MIE/NJVQK/DPSHTRR/MSHMS/KMD/BASHKIA</w:t>
            </w:r>
          </w:p>
        </w:tc>
        <w:tc>
          <w:tcPr>
            <w:tcW w:w="792" w:type="pct"/>
            <w:tcBorders>
              <w:top w:val="nil"/>
              <w:left w:val="nil"/>
              <w:bottom w:val="single" w:sz="4" w:space="0" w:color="auto"/>
              <w:right w:val="single" w:sz="8" w:space="0" w:color="auto"/>
            </w:tcBorders>
            <w:shd w:val="clear" w:color="000000" w:fill="DCE6F1"/>
            <w:vAlign w:val="center"/>
            <w:hideMark/>
          </w:tcPr>
          <w:p w14:paraId="0707E8B1" w14:textId="4CDAA078"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DPSHTRR/Bashkit</w:t>
            </w:r>
            <w:r w:rsidR="00A74194">
              <w:rPr>
                <w:rFonts w:ascii="Garamond" w:eastAsia="Times New Roman" w:hAnsi="Garamond"/>
                <w:sz w:val="6"/>
                <w:szCs w:val="6"/>
                <w:lang w:eastAsia="en-US"/>
              </w:rPr>
              <w:t>ë</w:t>
            </w:r>
            <w:r w:rsidRPr="00024D5A">
              <w:rPr>
                <w:rFonts w:ascii="Garamond" w:eastAsia="Times New Roman" w:hAnsi="Garamond"/>
                <w:sz w:val="6"/>
                <w:szCs w:val="6"/>
                <w:lang w:eastAsia="en-US"/>
              </w:rPr>
              <w:t xml:space="preserve"> </w:t>
            </w:r>
            <w:r w:rsidR="00A74194">
              <w:rPr>
                <w:rFonts w:ascii="Garamond" w:eastAsia="Times New Roman" w:hAnsi="Garamond"/>
                <w:sz w:val="6"/>
                <w:szCs w:val="6"/>
                <w:lang w:eastAsia="en-US"/>
              </w:rPr>
              <w:t>dhe</w:t>
            </w:r>
            <w:r w:rsidRPr="00024D5A">
              <w:rPr>
                <w:rFonts w:ascii="Garamond" w:eastAsia="Times New Roman" w:hAnsi="Garamond"/>
                <w:sz w:val="6"/>
                <w:szCs w:val="6"/>
                <w:lang w:eastAsia="en-US"/>
              </w:rPr>
              <w:t xml:space="preserve"> </w:t>
            </w:r>
            <w:r w:rsidR="00A74194" w:rsidRPr="00024D5A">
              <w:rPr>
                <w:rFonts w:ascii="Garamond" w:eastAsia="Times New Roman" w:hAnsi="Garamond"/>
                <w:sz w:val="6"/>
                <w:szCs w:val="6"/>
                <w:lang w:eastAsia="en-US"/>
              </w:rPr>
              <w:t xml:space="preserve">shoqatat </w:t>
            </w:r>
            <w:r w:rsidRPr="00024D5A">
              <w:rPr>
                <w:rFonts w:ascii="Garamond" w:eastAsia="Times New Roman" w:hAnsi="Garamond"/>
                <w:sz w:val="6"/>
                <w:szCs w:val="6"/>
                <w:lang w:eastAsia="en-US"/>
              </w:rPr>
              <w:t xml:space="preserve">e transportit/ofrues </w:t>
            </w:r>
            <w:r w:rsidR="001D6785" w:rsidRPr="00024D5A">
              <w:rPr>
                <w:rFonts w:ascii="Garamond" w:eastAsia="Times New Roman" w:hAnsi="Garamond"/>
                <w:sz w:val="6"/>
                <w:szCs w:val="6"/>
                <w:lang w:eastAsia="en-US"/>
              </w:rPr>
              <w:t>shërbimesh</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OJF/MSHMS</w:t>
            </w:r>
          </w:p>
        </w:tc>
        <w:tc>
          <w:tcPr>
            <w:tcW w:w="188" w:type="pct"/>
            <w:tcBorders>
              <w:top w:val="nil"/>
              <w:left w:val="nil"/>
              <w:bottom w:val="single" w:sz="4" w:space="0" w:color="auto"/>
              <w:right w:val="single" w:sz="4" w:space="0" w:color="auto"/>
            </w:tcBorders>
            <w:shd w:val="clear" w:color="000000" w:fill="DCE6F1"/>
            <w:vAlign w:val="center"/>
            <w:hideMark/>
          </w:tcPr>
          <w:p w14:paraId="55767D48" w14:textId="7AC9E50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1,923</w:t>
            </w:r>
          </w:p>
        </w:tc>
        <w:tc>
          <w:tcPr>
            <w:tcW w:w="190" w:type="pct"/>
            <w:tcBorders>
              <w:top w:val="nil"/>
              <w:left w:val="nil"/>
              <w:bottom w:val="single" w:sz="4" w:space="0" w:color="auto"/>
              <w:right w:val="single" w:sz="4" w:space="0" w:color="auto"/>
            </w:tcBorders>
            <w:shd w:val="clear" w:color="000000" w:fill="DCE6F1"/>
            <w:vAlign w:val="center"/>
            <w:hideMark/>
          </w:tcPr>
          <w:p w14:paraId="3DB108BA" w14:textId="574292E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2,534</w:t>
            </w:r>
          </w:p>
        </w:tc>
        <w:tc>
          <w:tcPr>
            <w:tcW w:w="190" w:type="pct"/>
            <w:tcBorders>
              <w:top w:val="nil"/>
              <w:left w:val="nil"/>
              <w:bottom w:val="single" w:sz="4" w:space="0" w:color="auto"/>
              <w:right w:val="single" w:sz="4" w:space="0" w:color="auto"/>
            </w:tcBorders>
            <w:shd w:val="clear" w:color="000000" w:fill="DCE6F1"/>
            <w:vAlign w:val="center"/>
            <w:hideMark/>
          </w:tcPr>
          <w:p w14:paraId="4BA88BAE" w14:textId="0DC49D9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1,848</w:t>
            </w:r>
          </w:p>
        </w:tc>
        <w:tc>
          <w:tcPr>
            <w:tcW w:w="190" w:type="pct"/>
            <w:tcBorders>
              <w:top w:val="nil"/>
              <w:left w:val="nil"/>
              <w:bottom w:val="single" w:sz="4" w:space="0" w:color="auto"/>
              <w:right w:val="single" w:sz="4" w:space="0" w:color="auto"/>
            </w:tcBorders>
            <w:shd w:val="clear" w:color="000000" w:fill="DCE6F1"/>
            <w:vAlign w:val="center"/>
            <w:hideMark/>
          </w:tcPr>
          <w:p w14:paraId="1C037053" w14:textId="4152DCF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1,136</w:t>
            </w:r>
          </w:p>
        </w:tc>
        <w:tc>
          <w:tcPr>
            <w:tcW w:w="187" w:type="pct"/>
            <w:tcBorders>
              <w:top w:val="nil"/>
              <w:left w:val="nil"/>
              <w:bottom w:val="single" w:sz="4" w:space="0" w:color="auto"/>
              <w:right w:val="single" w:sz="4" w:space="0" w:color="auto"/>
            </w:tcBorders>
            <w:shd w:val="clear" w:color="000000" w:fill="DCE6F1"/>
            <w:vAlign w:val="center"/>
            <w:hideMark/>
          </w:tcPr>
          <w:p w14:paraId="4AF8D906" w14:textId="7439C2E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1,136</w:t>
            </w:r>
          </w:p>
        </w:tc>
        <w:tc>
          <w:tcPr>
            <w:tcW w:w="200" w:type="pct"/>
            <w:tcBorders>
              <w:top w:val="nil"/>
              <w:left w:val="nil"/>
              <w:bottom w:val="single" w:sz="4" w:space="0" w:color="auto"/>
              <w:right w:val="nil"/>
            </w:tcBorders>
            <w:shd w:val="clear" w:color="000000" w:fill="DCE6F1"/>
            <w:vAlign w:val="center"/>
            <w:hideMark/>
          </w:tcPr>
          <w:p w14:paraId="47AA8FD9" w14:textId="47A0835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8,577</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755D5B69" w14:textId="612A1FB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1,327</w:t>
            </w:r>
          </w:p>
        </w:tc>
        <w:tc>
          <w:tcPr>
            <w:tcW w:w="209" w:type="pct"/>
            <w:tcBorders>
              <w:top w:val="nil"/>
              <w:left w:val="nil"/>
              <w:bottom w:val="single" w:sz="4" w:space="0" w:color="auto"/>
              <w:right w:val="single" w:sz="4" w:space="0" w:color="auto"/>
            </w:tcBorders>
            <w:shd w:val="clear" w:color="000000" w:fill="DCE6F1"/>
            <w:vAlign w:val="center"/>
            <w:hideMark/>
          </w:tcPr>
          <w:p w14:paraId="1988B459" w14:textId="0C63AB0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1,550</w:t>
            </w:r>
          </w:p>
        </w:tc>
        <w:tc>
          <w:tcPr>
            <w:tcW w:w="195" w:type="pct"/>
            <w:tcBorders>
              <w:top w:val="nil"/>
              <w:left w:val="nil"/>
              <w:bottom w:val="single" w:sz="4" w:space="0" w:color="auto"/>
              <w:right w:val="single" w:sz="8" w:space="0" w:color="auto"/>
            </w:tcBorders>
            <w:shd w:val="clear" w:color="000000" w:fill="DCE6F1"/>
            <w:vAlign w:val="center"/>
            <w:hideMark/>
          </w:tcPr>
          <w:p w14:paraId="2C7B6EB5" w14:textId="3C239B0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5,700</w:t>
            </w:r>
          </w:p>
        </w:tc>
        <w:tc>
          <w:tcPr>
            <w:tcW w:w="202" w:type="pct"/>
            <w:tcBorders>
              <w:top w:val="nil"/>
              <w:left w:val="nil"/>
              <w:bottom w:val="single" w:sz="4" w:space="0" w:color="auto"/>
              <w:right w:val="single" w:sz="4" w:space="0" w:color="auto"/>
            </w:tcBorders>
            <w:shd w:val="clear" w:color="000000" w:fill="DCE6F1"/>
            <w:vAlign w:val="center"/>
            <w:hideMark/>
          </w:tcPr>
          <w:p w14:paraId="1652EE52" w14:textId="4A7E5A5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89,347</w:t>
            </w:r>
          </w:p>
        </w:tc>
        <w:tc>
          <w:tcPr>
            <w:tcW w:w="200" w:type="pct"/>
            <w:tcBorders>
              <w:top w:val="nil"/>
              <w:left w:val="nil"/>
              <w:bottom w:val="single" w:sz="4" w:space="0" w:color="auto"/>
              <w:right w:val="single" w:sz="4" w:space="0" w:color="auto"/>
            </w:tcBorders>
            <w:shd w:val="clear" w:color="000000" w:fill="DCE6F1"/>
            <w:vAlign w:val="center"/>
            <w:hideMark/>
          </w:tcPr>
          <w:p w14:paraId="068D8E18" w14:textId="3BCECF2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13,826</w:t>
            </w:r>
          </w:p>
        </w:tc>
        <w:tc>
          <w:tcPr>
            <w:tcW w:w="197" w:type="pct"/>
            <w:tcBorders>
              <w:top w:val="nil"/>
              <w:left w:val="nil"/>
              <w:bottom w:val="single" w:sz="4" w:space="0" w:color="auto"/>
              <w:right w:val="single" w:sz="4" w:space="0" w:color="auto"/>
            </w:tcBorders>
            <w:shd w:val="clear" w:color="000000" w:fill="DCE6F1"/>
            <w:vAlign w:val="center"/>
            <w:hideMark/>
          </w:tcPr>
          <w:p w14:paraId="7F90DB13" w14:textId="78E2CFC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16,146</w:t>
            </w:r>
          </w:p>
        </w:tc>
        <w:tc>
          <w:tcPr>
            <w:tcW w:w="342" w:type="pct"/>
            <w:tcBorders>
              <w:top w:val="nil"/>
              <w:left w:val="nil"/>
              <w:bottom w:val="single" w:sz="4" w:space="0" w:color="auto"/>
              <w:right w:val="single" w:sz="8" w:space="0" w:color="auto"/>
            </w:tcBorders>
            <w:shd w:val="clear" w:color="000000" w:fill="DCE6F1"/>
            <w:vAlign w:val="center"/>
            <w:hideMark/>
          </w:tcPr>
          <w:p w14:paraId="7331561E" w14:textId="28A9A6D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59,375</w:t>
            </w:r>
          </w:p>
        </w:tc>
      </w:tr>
      <w:tr w:rsidR="00387E5A" w:rsidRPr="00024D5A" w14:paraId="5A6F49C9" w14:textId="77777777" w:rsidTr="00387E5A">
        <w:trPr>
          <w:trHeight w:val="20"/>
        </w:trPr>
        <w:tc>
          <w:tcPr>
            <w:tcW w:w="375" w:type="pct"/>
            <w:tcBorders>
              <w:top w:val="nil"/>
              <w:left w:val="single" w:sz="4" w:space="0" w:color="auto"/>
              <w:bottom w:val="single" w:sz="4" w:space="0" w:color="auto"/>
              <w:right w:val="nil"/>
            </w:tcBorders>
            <w:shd w:val="clear" w:color="000000" w:fill="FDE9D9"/>
            <w:vAlign w:val="center"/>
            <w:hideMark/>
          </w:tcPr>
          <w:p w14:paraId="129FD343" w14:textId="05AD32DE"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Objektivi specifik A3</w:t>
            </w:r>
            <w:r w:rsidR="00AC5DA9">
              <w:rPr>
                <w:rFonts w:ascii="Garamond" w:eastAsia="Times New Roman" w:hAnsi="Garamond" w:cs="Calibri"/>
                <w:b/>
                <w:bCs/>
                <w:sz w:val="6"/>
                <w:szCs w:val="6"/>
                <w:lang w:eastAsia="en-US"/>
              </w:rPr>
              <w:t>:</w:t>
            </w:r>
            <w:r w:rsidR="009656D0" w:rsidRPr="00024D5A">
              <w:rPr>
                <w:rFonts w:ascii="Garamond" w:eastAsia="Times New Roman" w:hAnsi="Garamond" w:cs="Calibri"/>
                <w:b/>
                <w:bCs/>
                <w:sz w:val="6"/>
                <w:szCs w:val="6"/>
                <w:lang w:eastAsia="en-US"/>
              </w:rPr>
              <w:t xml:space="preserve"> </w:t>
            </w:r>
            <w:r w:rsidRPr="00024D5A">
              <w:rPr>
                <w:rFonts w:ascii="Garamond" w:eastAsia="Times New Roman" w:hAnsi="Garamond" w:cs="Calibri"/>
                <w:b/>
                <w:bCs/>
                <w:sz w:val="6"/>
                <w:szCs w:val="6"/>
                <w:lang w:eastAsia="en-US"/>
              </w:rPr>
              <w:t>Aksesueshmëria në informacion, komunikim dhe media</w:t>
            </w:r>
            <w:r w:rsidR="009656D0" w:rsidRPr="00024D5A">
              <w:rPr>
                <w:rFonts w:ascii="Garamond" w:eastAsia="Times New Roman" w:hAnsi="Garamond" w:cs="Calibri"/>
                <w:b/>
                <w:bCs/>
                <w:sz w:val="6"/>
                <w:szCs w:val="6"/>
                <w:lang w:eastAsia="en-US"/>
              </w:rPr>
              <w:t>.</w:t>
            </w:r>
          </w:p>
        </w:tc>
        <w:tc>
          <w:tcPr>
            <w:tcW w:w="244" w:type="pct"/>
            <w:tcBorders>
              <w:top w:val="nil"/>
              <w:left w:val="single" w:sz="8" w:space="0" w:color="auto"/>
              <w:bottom w:val="single" w:sz="4" w:space="0" w:color="auto"/>
              <w:right w:val="single" w:sz="4" w:space="0" w:color="auto"/>
            </w:tcBorders>
            <w:shd w:val="clear" w:color="000000" w:fill="FDE9D9"/>
            <w:vAlign w:val="center"/>
            <w:hideMark/>
          </w:tcPr>
          <w:p w14:paraId="1878753A"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2026</w:t>
            </w:r>
          </w:p>
        </w:tc>
        <w:tc>
          <w:tcPr>
            <w:tcW w:w="226" w:type="pct"/>
            <w:tcBorders>
              <w:top w:val="nil"/>
              <w:left w:val="nil"/>
              <w:bottom w:val="single" w:sz="4" w:space="0" w:color="auto"/>
              <w:right w:val="single" w:sz="4" w:space="0" w:color="auto"/>
            </w:tcBorders>
            <w:shd w:val="clear" w:color="000000" w:fill="FDE9D9"/>
            <w:vAlign w:val="center"/>
            <w:hideMark/>
          </w:tcPr>
          <w:p w14:paraId="6035FB46"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2030</w:t>
            </w:r>
          </w:p>
        </w:tc>
        <w:tc>
          <w:tcPr>
            <w:tcW w:w="664" w:type="pct"/>
            <w:tcBorders>
              <w:top w:val="nil"/>
              <w:left w:val="nil"/>
              <w:bottom w:val="single" w:sz="4" w:space="0" w:color="auto"/>
              <w:right w:val="single" w:sz="4" w:space="0" w:color="auto"/>
            </w:tcBorders>
            <w:shd w:val="clear" w:color="000000" w:fill="FDE9D9"/>
            <w:vAlign w:val="center"/>
            <w:hideMark/>
          </w:tcPr>
          <w:p w14:paraId="11F59808" w14:textId="039A7941"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AKSHI/AMA/MSHMS/t</w:t>
            </w:r>
            <w:r w:rsidR="00984E7C" w:rsidRPr="00024D5A">
              <w:rPr>
                <w:rFonts w:ascii="Garamond" w:eastAsia="Times New Roman" w:hAnsi="Garamond"/>
                <w:sz w:val="6"/>
                <w:szCs w:val="6"/>
                <w:lang w:eastAsia="en-US"/>
              </w:rPr>
              <w:t>ë</w:t>
            </w:r>
            <w:r w:rsidRPr="00024D5A">
              <w:rPr>
                <w:rFonts w:ascii="Garamond" w:eastAsia="Times New Roman" w:hAnsi="Garamond"/>
                <w:sz w:val="6"/>
                <w:szCs w:val="6"/>
                <w:lang w:eastAsia="en-US"/>
              </w:rPr>
              <w:t xml:space="preserve"> gjitha institucionet</w:t>
            </w:r>
          </w:p>
        </w:tc>
        <w:tc>
          <w:tcPr>
            <w:tcW w:w="792" w:type="pct"/>
            <w:tcBorders>
              <w:top w:val="nil"/>
              <w:left w:val="nil"/>
              <w:bottom w:val="single" w:sz="4" w:space="0" w:color="auto"/>
              <w:right w:val="single" w:sz="8" w:space="0" w:color="auto"/>
            </w:tcBorders>
            <w:shd w:val="clear" w:color="000000" w:fill="FDE9D9"/>
            <w:vAlign w:val="center"/>
            <w:hideMark/>
          </w:tcPr>
          <w:p w14:paraId="15D61817" w14:textId="52289E0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MSHMS/OJF</w:t>
            </w:r>
            <w:r w:rsidR="001D6785" w:rsidRPr="00024D5A">
              <w:rPr>
                <w:rFonts w:ascii="Garamond" w:eastAsia="Times New Roman" w:hAnsi="Garamond"/>
                <w:sz w:val="6"/>
                <w:szCs w:val="6"/>
                <w:lang w:eastAsia="en-US"/>
              </w:rPr>
              <w:t xml:space="preserve"> </w:t>
            </w:r>
            <w:r w:rsidRPr="00024D5A">
              <w:rPr>
                <w:rFonts w:ascii="Garamond" w:eastAsia="Times New Roman" w:hAnsi="Garamond"/>
                <w:sz w:val="6"/>
                <w:szCs w:val="6"/>
                <w:lang w:eastAsia="en-US"/>
              </w:rPr>
              <w:t>operator</w:t>
            </w:r>
            <w:r w:rsidR="001D6785" w:rsidRPr="00024D5A">
              <w:rPr>
                <w:rFonts w:ascii="Garamond" w:eastAsia="Times New Roman" w:hAnsi="Garamond"/>
                <w:sz w:val="6"/>
                <w:szCs w:val="6"/>
                <w:lang w:eastAsia="en-US"/>
              </w:rPr>
              <w:t>ë</w:t>
            </w:r>
            <w:r w:rsidRPr="00024D5A">
              <w:rPr>
                <w:rFonts w:ascii="Garamond" w:eastAsia="Times New Roman" w:hAnsi="Garamond"/>
                <w:sz w:val="6"/>
                <w:szCs w:val="6"/>
                <w:lang w:eastAsia="en-US"/>
              </w:rPr>
              <w:t>t</w:t>
            </w:r>
          </w:p>
        </w:tc>
        <w:tc>
          <w:tcPr>
            <w:tcW w:w="188" w:type="pct"/>
            <w:tcBorders>
              <w:top w:val="nil"/>
              <w:left w:val="nil"/>
              <w:bottom w:val="single" w:sz="4" w:space="0" w:color="auto"/>
              <w:right w:val="single" w:sz="4" w:space="0" w:color="auto"/>
            </w:tcBorders>
            <w:shd w:val="clear" w:color="000000" w:fill="FDE9D9"/>
            <w:vAlign w:val="center"/>
            <w:hideMark/>
          </w:tcPr>
          <w:p w14:paraId="5166F223" w14:textId="4CAAC3A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50,386</w:t>
            </w:r>
          </w:p>
        </w:tc>
        <w:tc>
          <w:tcPr>
            <w:tcW w:w="190" w:type="pct"/>
            <w:tcBorders>
              <w:top w:val="nil"/>
              <w:left w:val="nil"/>
              <w:bottom w:val="single" w:sz="4" w:space="0" w:color="auto"/>
              <w:right w:val="single" w:sz="4" w:space="0" w:color="auto"/>
            </w:tcBorders>
            <w:shd w:val="clear" w:color="000000" w:fill="FDE9D9"/>
            <w:vAlign w:val="center"/>
            <w:hideMark/>
          </w:tcPr>
          <w:p w14:paraId="75640300" w14:textId="31FC9FB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62,624</w:t>
            </w:r>
          </w:p>
        </w:tc>
        <w:tc>
          <w:tcPr>
            <w:tcW w:w="190" w:type="pct"/>
            <w:tcBorders>
              <w:top w:val="nil"/>
              <w:left w:val="nil"/>
              <w:bottom w:val="single" w:sz="4" w:space="0" w:color="auto"/>
              <w:right w:val="single" w:sz="4" w:space="0" w:color="auto"/>
            </w:tcBorders>
            <w:shd w:val="clear" w:color="000000" w:fill="FDE9D9"/>
            <w:vAlign w:val="center"/>
            <w:hideMark/>
          </w:tcPr>
          <w:p w14:paraId="18D4127C" w14:textId="737EDF8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19,874</w:t>
            </w:r>
          </w:p>
        </w:tc>
        <w:tc>
          <w:tcPr>
            <w:tcW w:w="190" w:type="pct"/>
            <w:tcBorders>
              <w:top w:val="nil"/>
              <w:left w:val="nil"/>
              <w:bottom w:val="single" w:sz="4" w:space="0" w:color="auto"/>
              <w:right w:val="single" w:sz="4" w:space="0" w:color="auto"/>
            </w:tcBorders>
            <w:shd w:val="clear" w:color="000000" w:fill="FDE9D9"/>
            <w:vAlign w:val="center"/>
            <w:hideMark/>
          </w:tcPr>
          <w:p w14:paraId="1AD5DFB6" w14:textId="1E3673B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17,867</w:t>
            </w:r>
          </w:p>
        </w:tc>
        <w:tc>
          <w:tcPr>
            <w:tcW w:w="187" w:type="pct"/>
            <w:tcBorders>
              <w:top w:val="nil"/>
              <w:left w:val="nil"/>
              <w:bottom w:val="single" w:sz="4" w:space="0" w:color="auto"/>
              <w:right w:val="single" w:sz="4" w:space="0" w:color="auto"/>
            </w:tcBorders>
            <w:shd w:val="clear" w:color="000000" w:fill="FDE9D9"/>
            <w:vAlign w:val="center"/>
            <w:hideMark/>
          </w:tcPr>
          <w:p w14:paraId="19F41998" w14:textId="178CDD6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17,831</w:t>
            </w:r>
          </w:p>
        </w:tc>
        <w:tc>
          <w:tcPr>
            <w:tcW w:w="200" w:type="pct"/>
            <w:tcBorders>
              <w:top w:val="nil"/>
              <w:left w:val="nil"/>
              <w:bottom w:val="single" w:sz="4" w:space="0" w:color="auto"/>
              <w:right w:val="nil"/>
            </w:tcBorders>
            <w:shd w:val="clear" w:color="000000" w:fill="FDE9D9"/>
            <w:vAlign w:val="center"/>
            <w:hideMark/>
          </w:tcPr>
          <w:p w14:paraId="448692D7" w14:textId="6155510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168,583</w:t>
            </w:r>
          </w:p>
        </w:tc>
        <w:tc>
          <w:tcPr>
            <w:tcW w:w="209" w:type="pct"/>
            <w:tcBorders>
              <w:top w:val="nil"/>
              <w:left w:val="single" w:sz="8" w:space="0" w:color="auto"/>
              <w:bottom w:val="single" w:sz="4" w:space="0" w:color="auto"/>
              <w:right w:val="single" w:sz="4" w:space="0" w:color="auto"/>
            </w:tcBorders>
            <w:shd w:val="clear" w:color="000000" w:fill="FDE9D9"/>
            <w:vAlign w:val="center"/>
            <w:hideMark/>
          </w:tcPr>
          <w:p w14:paraId="79BC2BE7" w14:textId="4B59CF6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145,873</w:t>
            </w:r>
          </w:p>
        </w:tc>
        <w:tc>
          <w:tcPr>
            <w:tcW w:w="209" w:type="pct"/>
            <w:tcBorders>
              <w:top w:val="nil"/>
              <w:left w:val="nil"/>
              <w:bottom w:val="single" w:sz="4" w:space="0" w:color="auto"/>
              <w:right w:val="single" w:sz="4" w:space="0" w:color="auto"/>
            </w:tcBorders>
            <w:shd w:val="clear" w:color="000000" w:fill="FDE9D9"/>
            <w:vAlign w:val="center"/>
            <w:hideMark/>
          </w:tcPr>
          <w:p w14:paraId="42ED290A" w14:textId="27F008A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3,550</w:t>
            </w:r>
          </w:p>
        </w:tc>
        <w:tc>
          <w:tcPr>
            <w:tcW w:w="195" w:type="pct"/>
            <w:tcBorders>
              <w:top w:val="nil"/>
              <w:left w:val="nil"/>
              <w:bottom w:val="single" w:sz="4" w:space="0" w:color="auto"/>
              <w:right w:val="single" w:sz="8" w:space="0" w:color="auto"/>
            </w:tcBorders>
            <w:shd w:val="clear" w:color="000000" w:fill="FDE9D9"/>
            <w:vAlign w:val="center"/>
            <w:hideMark/>
          </w:tcPr>
          <w:p w14:paraId="1F4C42AC" w14:textId="75BC017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19,160</w:t>
            </w:r>
          </w:p>
        </w:tc>
        <w:tc>
          <w:tcPr>
            <w:tcW w:w="202" w:type="pct"/>
            <w:tcBorders>
              <w:top w:val="nil"/>
              <w:left w:val="nil"/>
              <w:bottom w:val="single" w:sz="4" w:space="0" w:color="auto"/>
              <w:right w:val="single" w:sz="4" w:space="0" w:color="auto"/>
            </w:tcBorders>
            <w:shd w:val="clear" w:color="000000" w:fill="FDE9D9"/>
            <w:vAlign w:val="center"/>
            <w:hideMark/>
          </w:tcPr>
          <w:p w14:paraId="4BA67263" w14:textId="342F61C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1,756,070</w:t>
            </w:r>
          </w:p>
        </w:tc>
        <w:tc>
          <w:tcPr>
            <w:tcW w:w="200" w:type="pct"/>
            <w:tcBorders>
              <w:top w:val="nil"/>
              <w:left w:val="nil"/>
              <w:bottom w:val="single" w:sz="4" w:space="0" w:color="auto"/>
              <w:right w:val="single" w:sz="4" w:space="0" w:color="auto"/>
            </w:tcBorders>
            <w:shd w:val="clear" w:color="000000" w:fill="FDE9D9"/>
            <w:vAlign w:val="center"/>
            <w:hideMark/>
          </w:tcPr>
          <w:p w14:paraId="4B7F18C1" w14:textId="460F8EB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1,519,508</w:t>
            </w:r>
          </w:p>
        </w:tc>
        <w:tc>
          <w:tcPr>
            <w:tcW w:w="197" w:type="pct"/>
            <w:tcBorders>
              <w:top w:val="nil"/>
              <w:left w:val="nil"/>
              <w:bottom w:val="single" w:sz="4" w:space="0" w:color="auto"/>
              <w:right w:val="single" w:sz="4" w:space="0" w:color="auto"/>
            </w:tcBorders>
            <w:shd w:val="clear" w:color="000000" w:fill="FDE9D9"/>
            <w:vAlign w:val="center"/>
            <w:hideMark/>
          </w:tcPr>
          <w:p w14:paraId="65E58751" w14:textId="6FCCD5F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36,979</w:t>
            </w:r>
          </w:p>
        </w:tc>
        <w:tc>
          <w:tcPr>
            <w:tcW w:w="342" w:type="pct"/>
            <w:tcBorders>
              <w:top w:val="nil"/>
              <w:left w:val="nil"/>
              <w:bottom w:val="single" w:sz="4" w:space="0" w:color="auto"/>
              <w:right w:val="single" w:sz="8" w:space="0" w:color="auto"/>
            </w:tcBorders>
            <w:shd w:val="clear" w:color="000000" w:fill="FDE9D9"/>
            <w:vAlign w:val="center"/>
            <w:hideMark/>
          </w:tcPr>
          <w:p w14:paraId="31851B26" w14:textId="55AE0D7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199,583</w:t>
            </w:r>
          </w:p>
        </w:tc>
      </w:tr>
      <w:tr w:rsidR="00387E5A" w:rsidRPr="00024D5A" w14:paraId="4A20C3A9"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7A6E7AB5" w14:textId="6FF66639"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Masa prioritare: 3.1</w:t>
            </w:r>
            <w:r w:rsidR="00AC5DA9">
              <w:rPr>
                <w:rFonts w:ascii="Garamond" w:eastAsia="Times New Roman" w:hAnsi="Garamond" w:cs="Calibri"/>
                <w:b/>
                <w:bCs/>
                <w:sz w:val="6"/>
                <w:szCs w:val="6"/>
                <w:lang w:eastAsia="en-US"/>
              </w:rPr>
              <w:t>:</w:t>
            </w:r>
            <w:r w:rsidR="009656D0" w:rsidRPr="00024D5A">
              <w:rPr>
                <w:rFonts w:ascii="Garamond" w:eastAsia="Times New Roman" w:hAnsi="Garamond" w:cs="Calibri"/>
                <w:b/>
                <w:bCs/>
                <w:sz w:val="6"/>
                <w:szCs w:val="6"/>
                <w:lang w:eastAsia="en-US"/>
              </w:rPr>
              <w:t xml:space="preserve"> </w:t>
            </w:r>
            <w:r w:rsidRPr="00024D5A">
              <w:rPr>
                <w:rFonts w:ascii="Garamond" w:eastAsia="Times New Roman" w:hAnsi="Garamond" w:cs="Calibri"/>
                <w:b/>
                <w:bCs/>
                <w:sz w:val="6"/>
                <w:szCs w:val="6"/>
                <w:lang w:eastAsia="en-US"/>
              </w:rPr>
              <w:t>Përmirësimet ligjore dhe adaptimi i standardeve ndërkombëtare të sigurimit të aksesueshmërisë në TIK. Strukturat për monitorimin dhe inspektimin e zbatimit të kuadrit ligjor</w:t>
            </w:r>
            <w:r w:rsidR="009656D0" w:rsidRPr="00024D5A">
              <w:rPr>
                <w:rFonts w:ascii="Garamond" w:eastAsia="Times New Roman" w:hAnsi="Garamond" w:cs="Calibri"/>
                <w:b/>
                <w:bCs/>
                <w:sz w:val="6"/>
                <w:szCs w:val="6"/>
                <w:lang w:eastAsia="en-US"/>
              </w:rPr>
              <w:t>.</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7B667806"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2026</w:t>
            </w:r>
          </w:p>
        </w:tc>
        <w:tc>
          <w:tcPr>
            <w:tcW w:w="226" w:type="pct"/>
            <w:tcBorders>
              <w:top w:val="nil"/>
              <w:left w:val="nil"/>
              <w:bottom w:val="single" w:sz="4" w:space="0" w:color="auto"/>
              <w:right w:val="single" w:sz="4" w:space="0" w:color="auto"/>
            </w:tcBorders>
            <w:shd w:val="clear" w:color="000000" w:fill="DCE6F1"/>
            <w:vAlign w:val="center"/>
            <w:hideMark/>
          </w:tcPr>
          <w:p w14:paraId="25176B34"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0E786876"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AKSHI/AMA</w:t>
            </w:r>
          </w:p>
        </w:tc>
        <w:tc>
          <w:tcPr>
            <w:tcW w:w="792" w:type="pct"/>
            <w:tcBorders>
              <w:top w:val="nil"/>
              <w:left w:val="nil"/>
              <w:bottom w:val="single" w:sz="4" w:space="0" w:color="auto"/>
              <w:right w:val="single" w:sz="8" w:space="0" w:color="auto"/>
            </w:tcBorders>
            <w:shd w:val="clear" w:color="000000" w:fill="DCE6F1"/>
            <w:vAlign w:val="center"/>
            <w:hideMark/>
          </w:tcPr>
          <w:p w14:paraId="3C4C1DAE" w14:textId="690F0CF0"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OJF</w:t>
            </w:r>
            <w:r w:rsidR="001D6785" w:rsidRPr="00024D5A">
              <w:rPr>
                <w:rFonts w:ascii="Garamond" w:eastAsia="Times New Roman" w:hAnsi="Garamond"/>
                <w:sz w:val="6"/>
                <w:szCs w:val="6"/>
                <w:lang w:eastAsia="en-US"/>
              </w:rPr>
              <w:t xml:space="preserve"> </w:t>
            </w:r>
            <w:r w:rsidRPr="00024D5A">
              <w:rPr>
                <w:rFonts w:ascii="Garamond" w:eastAsia="Times New Roman" w:hAnsi="Garamond"/>
                <w:sz w:val="6"/>
                <w:szCs w:val="6"/>
                <w:lang w:eastAsia="en-US"/>
              </w:rPr>
              <w:t>operator</w:t>
            </w:r>
            <w:r w:rsidR="001D6785" w:rsidRPr="00024D5A">
              <w:rPr>
                <w:rFonts w:ascii="Garamond" w:eastAsia="Times New Roman" w:hAnsi="Garamond"/>
                <w:sz w:val="6"/>
                <w:szCs w:val="6"/>
                <w:lang w:eastAsia="en-US"/>
              </w:rPr>
              <w:t>ë</w:t>
            </w:r>
            <w:r w:rsidRPr="00024D5A">
              <w:rPr>
                <w:rFonts w:ascii="Garamond" w:eastAsia="Times New Roman" w:hAnsi="Garamond"/>
                <w:sz w:val="6"/>
                <w:szCs w:val="6"/>
                <w:lang w:eastAsia="en-US"/>
              </w:rPr>
              <w:t>t</w:t>
            </w:r>
          </w:p>
        </w:tc>
        <w:tc>
          <w:tcPr>
            <w:tcW w:w="188" w:type="pct"/>
            <w:tcBorders>
              <w:top w:val="nil"/>
              <w:left w:val="nil"/>
              <w:bottom w:val="single" w:sz="4" w:space="0" w:color="auto"/>
              <w:right w:val="single" w:sz="4" w:space="0" w:color="auto"/>
            </w:tcBorders>
            <w:shd w:val="clear" w:color="000000" w:fill="DCE6F1"/>
            <w:vAlign w:val="center"/>
            <w:hideMark/>
          </w:tcPr>
          <w:p w14:paraId="4F1B797F" w14:textId="61603A6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41,523</w:t>
            </w:r>
          </w:p>
        </w:tc>
        <w:tc>
          <w:tcPr>
            <w:tcW w:w="190" w:type="pct"/>
            <w:tcBorders>
              <w:top w:val="nil"/>
              <w:left w:val="nil"/>
              <w:bottom w:val="single" w:sz="4" w:space="0" w:color="auto"/>
              <w:right w:val="single" w:sz="4" w:space="0" w:color="auto"/>
            </w:tcBorders>
            <w:shd w:val="clear" w:color="000000" w:fill="DCE6F1"/>
            <w:vAlign w:val="center"/>
            <w:hideMark/>
          </w:tcPr>
          <w:p w14:paraId="6C10DC71" w14:textId="0B28E45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52,760</w:t>
            </w:r>
          </w:p>
        </w:tc>
        <w:tc>
          <w:tcPr>
            <w:tcW w:w="190" w:type="pct"/>
            <w:tcBorders>
              <w:top w:val="nil"/>
              <w:left w:val="nil"/>
              <w:bottom w:val="single" w:sz="4" w:space="0" w:color="auto"/>
              <w:right w:val="single" w:sz="4" w:space="0" w:color="auto"/>
            </w:tcBorders>
            <w:shd w:val="clear" w:color="000000" w:fill="DCE6F1"/>
            <w:vAlign w:val="center"/>
            <w:hideMark/>
          </w:tcPr>
          <w:p w14:paraId="5DE5DD0D" w14:textId="7F46FC3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10,010</w:t>
            </w:r>
          </w:p>
        </w:tc>
        <w:tc>
          <w:tcPr>
            <w:tcW w:w="190" w:type="pct"/>
            <w:tcBorders>
              <w:top w:val="nil"/>
              <w:left w:val="nil"/>
              <w:bottom w:val="single" w:sz="4" w:space="0" w:color="auto"/>
              <w:right w:val="single" w:sz="4" w:space="0" w:color="auto"/>
            </w:tcBorders>
            <w:shd w:val="clear" w:color="000000" w:fill="DCE6F1"/>
            <w:vAlign w:val="center"/>
            <w:hideMark/>
          </w:tcPr>
          <w:p w14:paraId="565E1B41" w14:textId="7CD9D65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8,913</w:t>
            </w:r>
          </w:p>
        </w:tc>
        <w:tc>
          <w:tcPr>
            <w:tcW w:w="187" w:type="pct"/>
            <w:tcBorders>
              <w:top w:val="nil"/>
              <w:left w:val="nil"/>
              <w:bottom w:val="single" w:sz="4" w:space="0" w:color="auto"/>
              <w:right w:val="single" w:sz="4" w:space="0" w:color="auto"/>
            </w:tcBorders>
            <w:shd w:val="clear" w:color="000000" w:fill="DCE6F1"/>
            <w:vAlign w:val="center"/>
            <w:hideMark/>
          </w:tcPr>
          <w:p w14:paraId="73487D27" w14:textId="3A64746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8,876</w:t>
            </w:r>
          </w:p>
        </w:tc>
        <w:tc>
          <w:tcPr>
            <w:tcW w:w="200" w:type="pct"/>
            <w:tcBorders>
              <w:top w:val="nil"/>
              <w:left w:val="nil"/>
              <w:bottom w:val="single" w:sz="4" w:space="0" w:color="auto"/>
              <w:right w:val="nil"/>
            </w:tcBorders>
            <w:shd w:val="clear" w:color="000000" w:fill="DCE6F1"/>
            <w:vAlign w:val="center"/>
            <w:hideMark/>
          </w:tcPr>
          <w:p w14:paraId="3EF63AA1" w14:textId="29427E1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122,083</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0733F6E7" w14:textId="3D737D0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115,873</w:t>
            </w:r>
          </w:p>
        </w:tc>
        <w:tc>
          <w:tcPr>
            <w:tcW w:w="209" w:type="pct"/>
            <w:tcBorders>
              <w:top w:val="nil"/>
              <w:left w:val="nil"/>
              <w:bottom w:val="single" w:sz="4" w:space="0" w:color="auto"/>
              <w:right w:val="single" w:sz="4" w:space="0" w:color="auto"/>
            </w:tcBorders>
            <w:shd w:val="clear" w:color="000000" w:fill="DCE6F1"/>
            <w:vAlign w:val="center"/>
            <w:hideMark/>
          </w:tcPr>
          <w:p w14:paraId="6F93A92C"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1050</w:t>
            </w:r>
          </w:p>
        </w:tc>
        <w:tc>
          <w:tcPr>
            <w:tcW w:w="195" w:type="pct"/>
            <w:tcBorders>
              <w:top w:val="nil"/>
              <w:left w:val="nil"/>
              <w:bottom w:val="single" w:sz="4" w:space="0" w:color="auto"/>
              <w:right w:val="single" w:sz="8" w:space="0" w:color="auto"/>
            </w:tcBorders>
            <w:shd w:val="clear" w:color="000000" w:fill="DCE6F1"/>
            <w:vAlign w:val="center"/>
            <w:hideMark/>
          </w:tcPr>
          <w:p w14:paraId="0ECDF21A" w14:textId="3C469BB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5,160</w:t>
            </w:r>
          </w:p>
        </w:tc>
        <w:tc>
          <w:tcPr>
            <w:tcW w:w="202" w:type="pct"/>
            <w:tcBorders>
              <w:top w:val="nil"/>
              <w:left w:val="nil"/>
              <w:bottom w:val="single" w:sz="4" w:space="0" w:color="auto"/>
              <w:right w:val="single" w:sz="4" w:space="0" w:color="auto"/>
            </w:tcBorders>
            <w:shd w:val="clear" w:color="000000" w:fill="DCE6F1"/>
            <w:vAlign w:val="center"/>
            <w:hideMark/>
          </w:tcPr>
          <w:p w14:paraId="0DCD7F54" w14:textId="284EB64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1,271,695</w:t>
            </w:r>
          </w:p>
        </w:tc>
        <w:tc>
          <w:tcPr>
            <w:tcW w:w="200" w:type="pct"/>
            <w:tcBorders>
              <w:top w:val="nil"/>
              <w:left w:val="nil"/>
              <w:bottom w:val="single" w:sz="4" w:space="0" w:color="auto"/>
              <w:right w:val="single" w:sz="4" w:space="0" w:color="auto"/>
            </w:tcBorders>
            <w:shd w:val="clear" w:color="000000" w:fill="DCE6F1"/>
            <w:vAlign w:val="center"/>
            <w:hideMark/>
          </w:tcPr>
          <w:p w14:paraId="1F9A6F9E" w14:textId="1E4C559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1,207,008</w:t>
            </w:r>
          </w:p>
        </w:tc>
        <w:tc>
          <w:tcPr>
            <w:tcW w:w="197" w:type="pct"/>
            <w:tcBorders>
              <w:top w:val="nil"/>
              <w:left w:val="nil"/>
              <w:bottom w:val="single" w:sz="4" w:space="0" w:color="auto"/>
              <w:right w:val="single" w:sz="4" w:space="0" w:color="auto"/>
            </w:tcBorders>
            <w:shd w:val="clear" w:color="000000" w:fill="DCE6F1"/>
            <w:vAlign w:val="center"/>
            <w:hideMark/>
          </w:tcPr>
          <w:p w14:paraId="02B8B96C" w14:textId="3A4F4BB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10,938</w:t>
            </w:r>
          </w:p>
        </w:tc>
        <w:tc>
          <w:tcPr>
            <w:tcW w:w="342" w:type="pct"/>
            <w:tcBorders>
              <w:top w:val="nil"/>
              <w:left w:val="nil"/>
              <w:bottom w:val="single" w:sz="4" w:space="0" w:color="auto"/>
              <w:right w:val="single" w:sz="8" w:space="0" w:color="auto"/>
            </w:tcBorders>
            <w:shd w:val="clear" w:color="000000" w:fill="DCE6F1"/>
            <w:vAlign w:val="center"/>
            <w:hideMark/>
          </w:tcPr>
          <w:p w14:paraId="03AE207B" w14:textId="2A2CAB5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53,750</w:t>
            </w:r>
          </w:p>
        </w:tc>
      </w:tr>
      <w:tr w:rsidR="00387E5A" w:rsidRPr="00024D5A" w14:paraId="391148C9"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65FF04F9" w14:textId="0F294112"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Masa prioritare 3.2</w:t>
            </w:r>
            <w:r w:rsidR="00AC5DA9">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Sigurimi i produkteve dhe shërbimeve të aksesueshme për informacion dhe komunikim p</w:t>
            </w:r>
            <w:r w:rsidR="004D2BF5" w:rsidRPr="00024D5A">
              <w:rPr>
                <w:rFonts w:ascii="Garamond" w:eastAsia="Times New Roman" w:hAnsi="Garamond" w:cs="Calibri"/>
                <w:b/>
                <w:bCs/>
                <w:sz w:val="6"/>
                <w:szCs w:val="6"/>
                <w:lang w:eastAsia="en-US"/>
              </w:rPr>
              <w:t>ë</w:t>
            </w:r>
            <w:r w:rsidRPr="00024D5A">
              <w:rPr>
                <w:rFonts w:ascii="Garamond" w:eastAsia="Times New Roman" w:hAnsi="Garamond" w:cs="Calibri"/>
                <w:b/>
                <w:bCs/>
                <w:sz w:val="6"/>
                <w:szCs w:val="6"/>
                <w:lang w:eastAsia="en-US"/>
              </w:rPr>
              <w:t>r PAK</w:t>
            </w:r>
            <w:r w:rsidR="004D2BF5" w:rsidRPr="00024D5A">
              <w:rPr>
                <w:rFonts w:ascii="Garamond" w:eastAsia="Times New Roman" w:hAnsi="Garamond" w:cs="Calibri"/>
                <w:b/>
                <w:bCs/>
                <w:sz w:val="6"/>
                <w:szCs w:val="6"/>
                <w:lang w:eastAsia="en-US"/>
              </w:rPr>
              <w:t>-në</w:t>
            </w:r>
            <w:r w:rsidR="009656D0" w:rsidRPr="00024D5A">
              <w:rPr>
                <w:rFonts w:ascii="Garamond" w:eastAsia="Times New Roman" w:hAnsi="Garamond" w:cs="Calibri"/>
                <w:b/>
                <w:bCs/>
                <w:sz w:val="6"/>
                <w:szCs w:val="6"/>
                <w:lang w:eastAsia="en-US"/>
              </w:rPr>
              <w:t>.</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036EA62B"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2026</w:t>
            </w:r>
          </w:p>
        </w:tc>
        <w:tc>
          <w:tcPr>
            <w:tcW w:w="226" w:type="pct"/>
            <w:tcBorders>
              <w:top w:val="nil"/>
              <w:left w:val="nil"/>
              <w:bottom w:val="single" w:sz="4" w:space="0" w:color="auto"/>
              <w:right w:val="single" w:sz="4" w:space="0" w:color="auto"/>
            </w:tcBorders>
            <w:shd w:val="clear" w:color="000000" w:fill="DCE6F1"/>
            <w:vAlign w:val="center"/>
            <w:hideMark/>
          </w:tcPr>
          <w:p w14:paraId="46E96DB4"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04226112"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AKSHI/AMA/MSHMS</w:t>
            </w:r>
          </w:p>
        </w:tc>
        <w:tc>
          <w:tcPr>
            <w:tcW w:w="792" w:type="pct"/>
            <w:tcBorders>
              <w:top w:val="nil"/>
              <w:left w:val="nil"/>
              <w:bottom w:val="single" w:sz="4" w:space="0" w:color="auto"/>
              <w:right w:val="single" w:sz="8" w:space="0" w:color="auto"/>
            </w:tcBorders>
            <w:shd w:val="clear" w:color="000000" w:fill="DCE6F1"/>
            <w:vAlign w:val="center"/>
            <w:hideMark/>
          </w:tcPr>
          <w:p w14:paraId="35F29860" w14:textId="1286491B"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MSHMS/t</w:t>
            </w:r>
            <w:r w:rsidR="0059189E" w:rsidRPr="00024D5A">
              <w:rPr>
                <w:rFonts w:ascii="Garamond" w:eastAsia="Times New Roman" w:hAnsi="Garamond"/>
                <w:sz w:val="6"/>
                <w:szCs w:val="6"/>
                <w:lang w:eastAsia="en-US"/>
              </w:rPr>
              <w:t>ë</w:t>
            </w:r>
            <w:r w:rsidRPr="00024D5A">
              <w:rPr>
                <w:rFonts w:ascii="Garamond" w:eastAsia="Times New Roman" w:hAnsi="Garamond"/>
                <w:sz w:val="6"/>
                <w:szCs w:val="6"/>
                <w:lang w:eastAsia="en-US"/>
              </w:rPr>
              <w:t xml:space="preserve"> gjitha institucionet</w:t>
            </w:r>
          </w:p>
        </w:tc>
        <w:tc>
          <w:tcPr>
            <w:tcW w:w="188" w:type="pct"/>
            <w:tcBorders>
              <w:top w:val="nil"/>
              <w:left w:val="nil"/>
              <w:bottom w:val="single" w:sz="4" w:space="0" w:color="auto"/>
              <w:right w:val="single" w:sz="4" w:space="0" w:color="auto"/>
            </w:tcBorders>
            <w:shd w:val="clear" w:color="000000" w:fill="DCE6F1"/>
            <w:vAlign w:val="center"/>
            <w:hideMark/>
          </w:tcPr>
          <w:p w14:paraId="36CC747D" w14:textId="00677AE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8,864</w:t>
            </w:r>
          </w:p>
        </w:tc>
        <w:tc>
          <w:tcPr>
            <w:tcW w:w="190" w:type="pct"/>
            <w:tcBorders>
              <w:top w:val="nil"/>
              <w:left w:val="nil"/>
              <w:bottom w:val="single" w:sz="4" w:space="0" w:color="auto"/>
              <w:right w:val="single" w:sz="4" w:space="0" w:color="auto"/>
            </w:tcBorders>
            <w:shd w:val="clear" w:color="000000" w:fill="DCE6F1"/>
            <w:vAlign w:val="center"/>
            <w:hideMark/>
          </w:tcPr>
          <w:p w14:paraId="5C9DC28A" w14:textId="5B19D80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9,864</w:t>
            </w:r>
          </w:p>
        </w:tc>
        <w:tc>
          <w:tcPr>
            <w:tcW w:w="190" w:type="pct"/>
            <w:tcBorders>
              <w:top w:val="nil"/>
              <w:left w:val="nil"/>
              <w:bottom w:val="single" w:sz="4" w:space="0" w:color="auto"/>
              <w:right w:val="single" w:sz="4" w:space="0" w:color="auto"/>
            </w:tcBorders>
            <w:shd w:val="clear" w:color="000000" w:fill="DCE6F1"/>
            <w:vAlign w:val="center"/>
            <w:hideMark/>
          </w:tcPr>
          <w:p w14:paraId="2B3D0DE3" w14:textId="2EDE4FC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9,864</w:t>
            </w:r>
          </w:p>
        </w:tc>
        <w:tc>
          <w:tcPr>
            <w:tcW w:w="190" w:type="pct"/>
            <w:tcBorders>
              <w:top w:val="nil"/>
              <w:left w:val="nil"/>
              <w:bottom w:val="single" w:sz="4" w:space="0" w:color="auto"/>
              <w:right w:val="single" w:sz="4" w:space="0" w:color="auto"/>
            </w:tcBorders>
            <w:shd w:val="clear" w:color="000000" w:fill="DCE6F1"/>
            <w:vAlign w:val="center"/>
            <w:hideMark/>
          </w:tcPr>
          <w:p w14:paraId="604A8A90" w14:textId="503B56F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8,955</w:t>
            </w:r>
          </w:p>
        </w:tc>
        <w:tc>
          <w:tcPr>
            <w:tcW w:w="187" w:type="pct"/>
            <w:tcBorders>
              <w:top w:val="nil"/>
              <w:left w:val="nil"/>
              <w:bottom w:val="single" w:sz="4" w:space="0" w:color="auto"/>
              <w:right w:val="single" w:sz="4" w:space="0" w:color="auto"/>
            </w:tcBorders>
            <w:shd w:val="clear" w:color="000000" w:fill="DCE6F1"/>
            <w:vAlign w:val="center"/>
            <w:hideMark/>
          </w:tcPr>
          <w:p w14:paraId="26B2B2FF" w14:textId="35D263F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8,955</w:t>
            </w:r>
          </w:p>
        </w:tc>
        <w:tc>
          <w:tcPr>
            <w:tcW w:w="200" w:type="pct"/>
            <w:tcBorders>
              <w:top w:val="nil"/>
              <w:left w:val="nil"/>
              <w:bottom w:val="single" w:sz="4" w:space="0" w:color="auto"/>
              <w:right w:val="nil"/>
            </w:tcBorders>
            <w:shd w:val="clear" w:color="000000" w:fill="DCE6F1"/>
            <w:vAlign w:val="center"/>
            <w:hideMark/>
          </w:tcPr>
          <w:p w14:paraId="30899DB4" w14:textId="4094A5B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46,500</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2A73DDA8" w14:textId="724B7BB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30,000</w:t>
            </w:r>
          </w:p>
        </w:tc>
        <w:tc>
          <w:tcPr>
            <w:tcW w:w="209" w:type="pct"/>
            <w:tcBorders>
              <w:top w:val="nil"/>
              <w:left w:val="nil"/>
              <w:bottom w:val="single" w:sz="4" w:space="0" w:color="auto"/>
              <w:right w:val="single" w:sz="4" w:space="0" w:color="auto"/>
            </w:tcBorders>
            <w:shd w:val="clear" w:color="000000" w:fill="DCE6F1"/>
            <w:vAlign w:val="center"/>
            <w:hideMark/>
          </w:tcPr>
          <w:p w14:paraId="3A0B32A6" w14:textId="5341FD2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2,500</w:t>
            </w:r>
          </w:p>
        </w:tc>
        <w:tc>
          <w:tcPr>
            <w:tcW w:w="195" w:type="pct"/>
            <w:tcBorders>
              <w:top w:val="nil"/>
              <w:left w:val="nil"/>
              <w:bottom w:val="single" w:sz="4" w:space="0" w:color="auto"/>
              <w:right w:val="single" w:sz="8" w:space="0" w:color="auto"/>
            </w:tcBorders>
            <w:shd w:val="clear" w:color="000000" w:fill="DCE6F1"/>
            <w:vAlign w:val="center"/>
            <w:hideMark/>
          </w:tcPr>
          <w:p w14:paraId="5AA2E21F" w14:textId="005DCB6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14,000</w:t>
            </w:r>
          </w:p>
        </w:tc>
        <w:tc>
          <w:tcPr>
            <w:tcW w:w="202" w:type="pct"/>
            <w:tcBorders>
              <w:top w:val="nil"/>
              <w:left w:val="nil"/>
              <w:bottom w:val="single" w:sz="4" w:space="0" w:color="auto"/>
              <w:right w:val="single" w:sz="4" w:space="0" w:color="auto"/>
            </w:tcBorders>
            <w:shd w:val="clear" w:color="000000" w:fill="DCE6F1"/>
            <w:vAlign w:val="center"/>
            <w:hideMark/>
          </w:tcPr>
          <w:p w14:paraId="35C9949B" w14:textId="010498C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484,375</w:t>
            </w:r>
          </w:p>
        </w:tc>
        <w:tc>
          <w:tcPr>
            <w:tcW w:w="200" w:type="pct"/>
            <w:tcBorders>
              <w:top w:val="nil"/>
              <w:left w:val="nil"/>
              <w:bottom w:val="single" w:sz="4" w:space="0" w:color="auto"/>
              <w:right w:val="single" w:sz="4" w:space="0" w:color="auto"/>
            </w:tcBorders>
            <w:shd w:val="clear" w:color="000000" w:fill="DCE6F1"/>
            <w:vAlign w:val="center"/>
            <w:hideMark/>
          </w:tcPr>
          <w:p w14:paraId="1156D3E1" w14:textId="671BE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312,500</w:t>
            </w:r>
          </w:p>
        </w:tc>
        <w:tc>
          <w:tcPr>
            <w:tcW w:w="197" w:type="pct"/>
            <w:tcBorders>
              <w:top w:val="nil"/>
              <w:left w:val="nil"/>
              <w:bottom w:val="single" w:sz="4" w:space="0" w:color="auto"/>
              <w:right w:val="single" w:sz="4" w:space="0" w:color="auto"/>
            </w:tcBorders>
            <w:shd w:val="clear" w:color="000000" w:fill="DCE6F1"/>
            <w:vAlign w:val="center"/>
            <w:hideMark/>
          </w:tcPr>
          <w:p w14:paraId="4B0B22D9" w14:textId="6B619D9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26,042</w:t>
            </w:r>
          </w:p>
        </w:tc>
        <w:tc>
          <w:tcPr>
            <w:tcW w:w="342" w:type="pct"/>
            <w:tcBorders>
              <w:top w:val="nil"/>
              <w:left w:val="nil"/>
              <w:bottom w:val="single" w:sz="4" w:space="0" w:color="auto"/>
              <w:right w:val="single" w:sz="8" w:space="0" w:color="auto"/>
            </w:tcBorders>
            <w:shd w:val="clear" w:color="000000" w:fill="DCE6F1"/>
            <w:vAlign w:val="center"/>
            <w:hideMark/>
          </w:tcPr>
          <w:p w14:paraId="0544BCF2" w14:textId="264AEE9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145,833</w:t>
            </w:r>
          </w:p>
        </w:tc>
      </w:tr>
      <w:tr w:rsidR="00387E5A" w:rsidRPr="00024D5A" w14:paraId="15C70290" w14:textId="77777777" w:rsidTr="00387E5A">
        <w:trPr>
          <w:trHeight w:val="20"/>
        </w:trPr>
        <w:tc>
          <w:tcPr>
            <w:tcW w:w="375" w:type="pct"/>
            <w:tcBorders>
              <w:top w:val="nil"/>
              <w:left w:val="single" w:sz="4" w:space="0" w:color="auto"/>
              <w:bottom w:val="single" w:sz="4" w:space="0" w:color="auto"/>
              <w:right w:val="nil"/>
            </w:tcBorders>
            <w:shd w:val="clear" w:color="000000" w:fill="FDE9D9"/>
            <w:vAlign w:val="center"/>
            <w:hideMark/>
          </w:tcPr>
          <w:p w14:paraId="67221BB0" w14:textId="126CF62C"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Objektivi specifik 4</w:t>
            </w:r>
            <w:r w:rsidR="00AC5DA9">
              <w:rPr>
                <w:rFonts w:ascii="Garamond" w:eastAsia="Times New Roman" w:hAnsi="Garamond" w:cs="Calibri"/>
                <w:b/>
                <w:bCs/>
                <w:sz w:val="6"/>
                <w:szCs w:val="6"/>
                <w:lang w:eastAsia="en-US"/>
              </w:rPr>
              <w:t>:</w:t>
            </w:r>
            <w:r w:rsidR="009656D0" w:rsidRPr="00024D5A">
              <w:rPr>
                <w:rFonts w:ascii="Garamond" w:eastAsia="Times New Roman" w:hAnsi="Garamond" w:cs="Calibri"/>
                <w:b/>
                <w:bCs/>
                <w:sz w:val="6"/>
                <w:szCs w:val="6"/>
                <w:lang w:eastAsia="en-US"/>
              </w:rPr>
              <w:t xml:space="preserve"> </w:t>
            </w:r>
            <w:r w:rsidRPr="00024D5A">
              <w:rPr>
                <w:rFonts w:ascii="Garamond" w:eastAsia="Times New Roman" w:hAnsi="Garamond" w:cs="Calibri"/>
                <w:b/>
                <w:bCs/>
                <w:sz w:val="6"/>
                <w:szCs w:val="6"/>
                <w:lang w:eastAsia="en-US"/>
              </w:rPr>
              <w:t>Aksesueshmëria në objektet dhe shërbimet turistike dhe të trashëgimisë kulturore.</w:t>
            </w:r>
          </w:p>
        </w:tc>
        <w:tc>
          <w:tcPr>
            <w:tcW w:w="244" w:type="pct"/>
            <w:tcBorders>
              <w:top w:val="nil"/>
              <w:left w:val="single" w:sz="8" w:space="0" w:color="auto"/>
              <w:bottom w:val="single" w:sz="4" w:space="0" w:color="auto"/>
              <w:right w:val="single" w:sz="4" w:space="0" w:color="auto"/>
            </w:tcBorders>
            <w:shd w:val="clear" w:color="000000" w:fill="FDE9D9"/>
            <w:vAlign w:val="center"/>
            <w:hideMark/>
          </w:tcPr>
          <w:p w14:paraId="228D1285"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2026</w:t>
            </w:r>
          </w:p>
        </w:tc>
        <w:tc>
          <w:tcPr>
            <w:tcW w:w="226" w:type="pct"/>
            <w:tcBorders>
              <w:top w:val="nil"/>
              <w:left w:val="nil"/>
              <w:bottom w:val="single" w:sz="4" w:space="0" w:color="auto"/>
              <w:right w:val="single" w:sz="4" w:space="0" w:color="auto"/>
            </w:tcBorders>
            <w:shd w:val="clear" w:color="000000" w:fill="FDE9D9"/>
            <w:vAlign w:val="center"/>
            <w:hideMark/>
          </w:tcPr>
          <w:p w14:paraId="190C3B28"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2030</w:t>
            </w:r>
          </w:p>
        </w:tc>
        <w:tc>
          <w:tcPr>
            <w:tcW w:w="664" w:type="pct"/>
            <w:tcBorders>
              <w:top w:val="nil"/>
              <w:left w:val="nil"/>
              <w:bottom w:val="single" w:sz="4" w:space="0" w:color="auto"/>
              <w:right w:val="single" w:sz="4" w:space="0" w:color="auto"/>
            </w:tcBorders>
            <w:shd w:val="clear" w:color="000000" w:fill="FDE9D9"/>
            <w:vAlign w:val="center"/>
            <w:hideMark/>
          </w:tcPr>
          <w:p w14:paraId="054621E9" w14:textId="4B27C0D4"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MTKS</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Bashkitë</w:t>
            </w:r>
          </w:p>
        </w:tc>
        <w:tc>
          <w:tcPr>
            <w:tcW w:w="792" w:type="pct"/>
            <w:tcBorders>
              <w:top w:val="nil"/>
              <w:left w:val="nil"/>
              <w:bottom w:val="single" w:sz="4" w:space="0" w:color="auto"/>
              <w:right w:val="single" w:sz="8" w:space="0" w:color="auto"/>
            </w:tcBorders>
            <w:shd w:val="clear" w:color="000000" w:fill="FDE9D9"/>
            <w:vAlign w:val="center"/>
            <w:hideMark/>
          </w:tcPr>
          <w:p w14:paraId="6E8F99D8" w14:textId="0C8BDB9D"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Bashkitë/UP/operatorët</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OJQ/AKSHI</w:t>
            </w:r>
          </w:p>
        </w:tc>
        <w:tc>
          <w:tcPr>
            <w:tcW w:w="188" w:type="pct"/>
            <w:tcBorders>
              <w:top w:val="nil"/>
              <w:left w:val="nil"/>
              <w:bottom w:val="single" w:sz="4" w:space="0" w:color="auto"/>
              <w:right w:val="single" w:sz="4" w:space="0" w:color="auto"/>
            </w:tcBorders>
            <w:shd w:val="clear" w:color="000000" w:fill="FDE9D9"/>
            <w:vAlign w:val="center"/>
            <w:hideMark/>
          </w:tcPr>
          <w:p w14:paraId="160DE823" w14:textId="0B812F2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1,961</w:t>
            </w:r>
          </w:p>
        </w:tc>
        <w:tc>
          <w:tcPr>
            <w:tcW w:w="190" w:type="pct"/>
            <w:tcBorders>
              <w:top w:val="nil"/>
              <w:left w:val="nil"/>
              <w:bottom w:val="single" w:sz="4" w:space="0" w:color="auto"/>
              <w:right w:val="single" w:sz="4" w:space="0" w:color="auto"/>
            </w:tcBorders>
            <w:shd w:val="clear" w:color="000000" w:fill="FDE9D9"/>
            <w:vAlign w:val="center"/>
            <w:hideMark/>
          </w:tcPr>
          <w:p w14:paraId="2E8F3326" w14:textId="3198419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2,461</w:t>
            </w:r>
          </w:p>
        </w:tc>
        <w:tc>
          <w:tcPr>
            <w:tcW w:w="190" w:type="pct"/>
            <w:tcBorders>
              <w:top w:val="nil"/>
              <w:left w:val="nil"/>
              <w:bottom w:val="single" w:sz="4" w:space="0" w:color="auto"/>
              <w:right w:val="single" w:sz="4" w:space="0" w:color="auto"/>
            </w:tcBorders>
            <w:shd w:val="clear" w:color="000000" w:fill="FDE9D9"/>
            <w:vAlign w:val="center"/>
            <w:hideMark/>
          </w:tcPr>
          <w:p w14:paraId="46AA07A1" w14:textId="678B0A3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2,461</w:t>
            </w:r>
          </w:p>
        </w:tc>
        <w:tc>
          <w:tcPr>
            <w:tcW w:w="190" w:type="pct"/>
            <w:tcBorders>
              <w:top w:val="nil"/>
              <w:left w:val="nil"/>
              <w:bottom w:val="single" w:sz="4" w:space="0" w:color="auto"/>
              <w:right w:val="single" w:sz="4" w:space="0" w:color="auto"/>
            </w:tcBorders>
            <w:shd w:val="clear" w:color="000000" w:fill="FDE9D9"/>
            <w:vAlign w:val="center"/>
            <w:hideMark/>
          </w:tcPr>
          <w:p w14:paraId="03F388A1" w14:textId="6E98170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2,461</w:t>
            </w:r>
          </w:p>
        </w:tc>
        <w:tc>
          <w:tcPr>
            <w:tcW w:w="187" w:type="pct"/>
            <w:tcBorders>
              <w:top w:val="nil"/>
              <w:left w:val="nil"/>
              <w:bottom w:val="single" w:sz="4" w:space="0" w:color="auto"/>
              <w:right w:val="single" w:sz="4" w:space="0" w:color="auto"/>
            </w:tcBorders>
            <w:shd w:val="clear" w:color="000000" w:fill="FDE9D9"/>
            <w:vAlign w:val="center"/>
            <w:hideMark/>
          </w:tcPr>
          <w:p w14:paraId="30CD3380" w14:textId="65417E5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2,461</w:t>
            </w:r>
          </w:p>
        </w:tc>
        <w:tc>
          <w:tcPr>
            <w:tcW w:w="200" w:type="pct"/>
            <w:tcBorders>
              <w:top w:val="nil"/>
              <w:left w:val="nil"/>
              <w:bottom w:val="single" w:sz="4" w:space="0" w:color="auto"/>
              <w:right w:val="nil"/>
            </w:tcBorders>
            <w:shd w:val="clear" w:color="000000" w:fill="FDE9D9"/>
            <w:vAlign w:val="center"/>
            <w:hideMark/>
          </w:tcPr>
          <w:p w14:paraId="4B3D7304" w14:textId="0F54445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11,807</w:t>
            </w:r>
          </w:p>
        </w:tc>
        <w:tc>
          <w:tcPr>
            <w:tcW w:w="209" w:type="pct"/>
            <w:tcBorders>
              <w:top w:val="nil"/>
              <w:left w:val="single" w:sz="8" w:space="0" w:color="auto"/>
              <w:bottom w:val="single" w:sz="4" w:space="0" w:color="auto"/>
              <w:right w:val="single" w:sz="4" w:space="0" w:color="auto"/>
            </w:tcBorders>
            <w:shd w:val="clear" w:color="000000" w:fill="FDE9D9"/>
            <w:vAlign w:val="center"/>
            <w:hideMark/>
          </w:tcPr>
          <w:p w14:paraId="0F723F2A" w14:textId="3F84B36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6,557</w:t>
            </w:r>
          </w:p>
        </w:tc>
        <w:tc>
          <w:tcPr>
            <w:tcW w:w="209" w:type="pct"/>
            <w:tcBorders>
              <w:top w:val="nil"/>
              <w:left w:val="nil"/>
              <w:bottom w:val="single" w:sz="4" w:space="0" w:color="auto"/>
              <w:right w:val="single" w:sz="4" w:space="0" w:color="auto"/>
            </w:tcBorders>
            <w:shd w:val="clear" w:color="000000" w:fill="FDE9D9"/>
            <w:vAlign w:val="center"/>
            <w:hideMark/>
          </w:tcPr>
          <w:p w14:paraId="2CEDF883" w14:textId="36FC314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1,050</w:t>
            </w:r>
          </w:p>
        </w:tc>
        <w:tc>
          <w:tcPr>
            <w:tcW w:w="195" w:type="pct"/>
            <w:tcBorders>
              <w:top w:val="nil"/>
              <w:left w:val="nil"/>
              <w:bottom w:val="single" w:sz="4" w:space="0" w:color="auto"/>
              <w:right w:val="single" w:sz="8" w:space="0" w:color="auto"/>
            </w:tcBorders>
            <w:shd w:val="clear" w:color="000000" w:fill="FDE9D9"/>
            <w:vAlign w:val="center"/>
            <w:hideMark/>
          </w:tcPr>
          <w:p w14:paraId="406393A7" w14:textId="680F7D6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4,200</w:t>
            </w:r>
          </w:p>
        </w:tc>
        <w:tc>
          <w:tcPr>
            <w:tcW w:w="202" w:type="pct"/>
            <w:tcBorders>
              <w:top w:val="nil"/>
              <w:left w:val="nil"/>
              <w:bottom w:val="single" w:sz="4" w:space="0" w:color="auto"/>
              <w:right w:val="single" w:sz="4" w:space="0" w:color="auto"/>
            </w:tcBorders>
            <w:shd w:val="clear" w:color="000000" w:fill="FDE9D9"/>
            <w:vAlign w:val="center"/>
            <w:hideMark/>
          </w:tcPr>
          <w:p w14:paraId="4724543F" w14:textId="7F1AE71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122,988</w:t>
            </w:r>
          </w:p>
        </w:tc>
        <w:tc>
          <w:tcPr>
            <w:tcW w:w="200" w:type="pct"/>
            <w:tcBorders>
              <w:top w:val="nil"/>
              <w:left w:val="nil"/>
              <w:bottom w:val="single" w:sz="4" w:space="0" w:color="auto"/>
              <w:right w:val="single" w:sz="4" w:space="0" w:color="auto"/>
            </w:tcBorders>
            <w:shd w:val="clear" w:color="000000" w:fill="FDE9D9"/>
            <w:vAlign w:val="center"/>
            <w:hideMark/>
          </w:tcPr>
          <w:p w14:paraId="57C0C1E9" w14:textId="1142907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68,300</w:t>
            </w:r>
          </w:p>
        </w:tc>
        <w:tc>
          <w:tcPr>
            <w:tcW w:w="197" w:type="pct"/>
            <w:tcBorders>
              <w:top w:val="nil"/>
              <w:left w:val="nil"/>
              <w:bottom w:val="single" w:sz="4" w:space="0" w:color="auto"/>
              <w:right w:val="single" w:sz="4" w:space="0" w:color="auto"/>
            </w:tcBorders>
            <w:shd w:val="clear" w:color="000000" w:fill="FDE9D9"/>
            <w:vAlign w:val="center"/>
            <w:hideMark/>
          </w:tcPr>
          <w:p w14:paraId="18DBFD5C" w14:textId="1887D40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10,938</w:t>
            </w:r>
          </w:p>
        </w:tc>
        <w:tc>
          <w:tcPr>
            <w:tcW w:w="342" w:type="pct"/>
            <w:tcBorders>
              <w:top w:val="nil"/>
              <w:left w:val="nil"/>
              <w:bottom w:val="single" w:sz="4" w:space="0" w:color="auto"/>
              <w:right w:val="single" w:sz="8" w:space="0" w:color="auto"/>
            </w:tcBorders>
            <w:shd w:val="clear" w:color="000000" w:fill="FDE9D9"/>
            <w:vAlign w:val="center"/>
            <w:hideMark/>
          </w:tcPr>
          <w:p w14:paraId="4A93739C" w14:textId="52091A2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43,750</w:t>
            </w:r>
          </w:p>
        </w:tc>
      </w:tr>
      <w:tr w:rsidR="00387E5A" w:rsidRPr="00024D5A" w14:paraId="135FA04C"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0EBA0E74" w14:textId="4519DB40"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Masa prioritare 4.1</w:t>
            </w:r>
            <w:r w:rsidR="00AC5DA9">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Aksesueshmëria në </w:t>
            </w:r>
            <w:r w:rsidR="00E51640" w:rsidRPr="00024D5A">
              <w:rPr>
                <w:rFonts w:ascii="Garamond" w:eastAsia="Times New Roman" w:hAnsi="Garamond" w:cs="Calibri"/>
                <w:b/>
                <w:bCs/>
                <w:sz w:val="6"/>
                <w:szCs w:val="6"/>
                <w:lang w:eastAsia="en-US"/>
              </w:rPr>
              <w:t xml:space="preserve">objekte </w:t>
            </w:r>
            <w:r w:rsidRPr="00024D5A">
              <w:rPr>
                <w:rFonts w:ascii="Garamond" w:eastAsia="Times New Roman" w:hAnsi="Garamond" w:cs="Calibri"/>
                <w:b/>
                <w:bCs/>
                <w:sz w:val="6"/>
                <w:szCs w:val="6"/>
                <w:lang w:eastAsia="en-US"/>
              </w:rPr>
              <w:t xml:space="preserve">turistike dhe të </w:t>
            </w:r>
            <w:r w:rsidR="00984E7C" w:rsidRPr="00024D5A">
              <w:rPr>
                <w:rFonts w:ascii="Garamond" w:eastAsia="Times New Roman" w:hAnsi="Garamond" w:cs="Calibri"/>
                <w:b/>
                <w:bCs/>
                <w:sz w:val="6"/>
                <w:szCs w:val="6"/>
                <w:lang w:eastAsia="en-US"/>
              </w:rPr>
              <w:t>trashëgimisë</w:t>
            </w:r>
            <w:r w:rsidRPr="00024D5A">
              <w:rPr>
                <w:rFonts w:ascii="Garamond" w:eastAsia="Times New Roman" w:hAnsi="Garamond" w:cs="Calibri"/>
                <w:b/>
                <w:bCs/>
                <w:sz w:val="6"/>
                <w:szCs w:val="6"/>
                <w:lang w:eastAsia="en-US"/>
              </w:rPr>
              <w:t xml:space="preserve"> kulturore</w:t>
            </w:r>
            <w:r w:rsidR="00E51640" w:rsidRPr="00024D5A">
              <w:rPr>
                <w:rFonts w:ascii="Garamond" w:eastAsia="Times New Roman" w:hAnsi="Garamond" w:cs="Calibri"/>
                <w:b/>
                <w:bCs/>
                <w:sz w:val="6"/>
                <w:szCs w:val="6"/>
                <w:lang w:eastAsia="en-US"/>
              </w:rPr>
              <w:t>.</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12C93E34"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2026</w:t>
            </w:r>
          </w:p>
        </w:tc>
        <w:tc>
          <w:tcPr>
            <w:tcW w:w="226" w:type="pct"/>
            <w:tcBorders>
              <w:top w:val="nil"/>
              <w:left w:val="nil"/>
              <w:bottom w:val="single" w:sz="4" w:space="0" w:color="auto"/>
              <w:right w:val="single" w:sz="4" w:space="0" w:color="auto"/>
            </w:tcBorders>
            <w:shd w:val="clear" w:color="000000" w:fill="DCE6F1"/>
            <w:vAlign w:val="center"/>
            <w:hideMark/>
          </w:tcPr>
          <w:p w14:paraId="4D63FDFF"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2030</w:t>
            </w:r>
          </w:p>
        </w:tc>
        <w:tc>
          <w:tcPr>
            <w:tcW w:w="664" w:type="pct"/>
            <w:tcBorders>
              <w:top w:val="nil"/>
              <w:left w:val="nil"/>
              <w:bottom w:val="single" w:sz="4" w:space="0" w:color="auto"/>
              <w:right w:val="single" w:sz="4" w:space="0" w:color="auto"/>
            </w:tcBorders>
            <w:shd w:val="clear" w:color="000000" w:fill="C5D9F1"/>
            <w:vAlign w:val="center"/>
            <w:hideMark/>
          </w:tcPr>
          <w:p w14:paraId="101406D1" w14:textId="5646E510"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MTKS</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Bashkitë</w:t>
            </w:r>
          </w:p>
        </w:tc>
        <w:tc>
          <w:tcPr>
            <w:tcW w:w="792" w:type="pct"/>
            <w:tcBorders>
              <w:top w:val="nil"/>
              <w:left w:val="nil"/>
              <w:bottom w:val="single" w:sz="4" w:space="0" w:color="auto"/>
              <w:right w:val="single" w:sz="8" w:space="0" w:color="auto"/>
            </w:tcBorders>
            <w:shd w:val="clear" w:color="000000" w:fill="C5D9F1"/>
            <w:vAlign w:val="center"/>
            <w:hideMark/>
          </w:tcPr>
          <w:p w14:paraId="6B5637F8" w14:textId="265C5EF5"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Bashkitë/UP/operatorët</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OJQ/AKSHI</w:t>
            </w:r>
          </w:p>
        </w:tc>
        <w:tc>
          <w:tcPr>
            <w:tcW w:w="188" w:type="pct"/>
            <w:tcBorders>
              <w:top w:val="nil"/>
              <w:left w:val="nil"/>
              <w:bottom w:val="single" w:sz="4" w:space="0" w:color="auto"/>
              <w:right w:val="single" w:sz="4" w:space="0" w:color="auto"/>
            </w:tcBorders>
            <w:shd w:val="clear" w:color="000000" w:fill="DCE6F1"/>
            <w:vAlign w:val="center"/>
            <w:hideMark/>
          </w:tcPr>
          <w:p w14:paraId="65AE2033" w14:textId="2B0EB38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1,961</w:t>
            </w:r>
          </w:p>
        </w:tc>
        <w:tc>
          <w:tcPr>
            <w:tcW w:w="190" w:type="pct"/>
            <w:tcBorders>
              <w:top w:val="nil"/>
              <w:left w:val="nil"/>
              <w:bottom w:val="single" w:sz="4" w:space="0" w:color="auto"/>
              <w:right w:val="single" w:sz="4" w:space="0" w:color="auto"/>
            </w:tcBorders>
            <w:shd w:val="clear" w:color="000000" w:fill="DCE6F1"/>
            <w:vAlign w:val="center"/>
            <w:hideMark/>
          </w:tcPr>
          <w:p w14:paraId="64162F26" w14:textId="3D290EA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2,461</w:t>
            </w:r>
          </w:p>
        </w:tc>
        <w:tc>
          <w:tcPr>
            <w:tcW w:w="190" w:type="pct"/>
            <w:tcBorders>
              <w:top w:val="nil"/>
              <w:left w:val="nil"/>
              <w:bottom w:val="single" w:sz="4" w:space="0" w:color="auto"/>
              <w:right w:val="single" w:sz="4" w:space="0" w:color="auto"/>
            </w:tcBorders>
            <w:shd w:val="clear" w:color="000000" w:fill="DCE6F1"/>
            <w:vAlign w:val="center"/>
            <w:hideMark/>
          </w:tcPr>
          <w:p w14:paraId="421BB0DA" w14:textId="32519E9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2,461</w:t>
            </w:r>
          </w:p>
        </w:tc>
        <w:tc>
          <w:tcPr>
            <w:tcW w:w="190" w:type="pct"/>
            <w:tcBorders>
              <w:top w:val="nil"/>
              <w:left w:val="nil"/>
              <w:bottom w:val="single" w:sz="4" w:space="0" w:color="auto"/>
              <w:right w:val="single" w:sz="4" w:space="0" w:color="auto"/>
            </w:tcBorders>
            <w:shd w:val="clear" w:color="000000" w:fill="DCE6F1"/>
            <w:vAlign w:val="center"/>
            <w:hideMark/>
          </w:tcPr>
          <w:p w14:paraId="3B5C7230" w14:textId="03C7CC6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2,461</w:t>
            </w:r>
          </w:p>
        </w:tc>
        <w:tc>
          <w:tcPr>
            <w:tcW w:w="187" w:type="pct"/>
            <w:tcBorders>
              <w:top w:val="nil"/>
              <w:left w:val="nil"/>
              <w:bottom w:val="single" w:sz="4" w:space="0" w:color="auto"/>
              <w:right w:val="single" w:sz="4" w:space="0" w:color="auto"/>
            </w:tcBorders>
            <w:shd w:val="clear" w:color="000000" w:fill="DCE6F1"/>
            <w:vAlign w:val="center"/>
            <w:hideMark/>
          </w:tcPr>
          <w:p w14:paraId="649570DB" w14:textId="442173A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2,461</w:t>
            </w:r>
          </w:p>
        </w:tc>
        <w:tc>
          <w:tcPr>
            <w:tcW w:w="200" w:type="pct"/>
            <w:tcBorders>
              <w:top w:val="nil"/>
              <w:left w:val="nil"/>
              <w:bottom w:val="single" w:sz="4" w:space="0" w:color="auto"/>
              <w:right w:val="nil"/>
            </w:tcBorders>
            <w:shd w:val="clear" w:color="000000" w:fill="DCE6F1"/>
            <w:vAlign w:val="center"/>
            <w:hideMark/>
          </w:tcPr>
          <w:p w14:paraId="54175E18" w14:textId="0C4A042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11,807</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1F81A513" w14:textId="64B5538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6,557</w:t>
            </w:r>
          </w:p>
        </w:tc>
        <w:tc>
          <w:tcPr>
            <w:tcW w:w="209" w:type="pct"/>
            <w:tcBorders>
              <w:top w:val="nil"/>
              <w:left w:val="nil"/>
              <w:bottom w:val="single" w:sz="4" w:space="0" w:color="auto"/>
              <w:right w:val="single" w:sz="4" w:space="0" w:color="auto"/>
            </w:tcBorders>
            <w:shd w:val="clear" w:color="000000" w:fill="DCE6F1"/>
            <w:vAlign w:val="center"/>
            <w:hideMark/>
          </w:tcPr>
          <w:p w14:paraId="4BA68206" w14:textId="32089AE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1,050</w:t>
            </w:r>
          </w:p>
        </w:tc>
        <w:tc>
          <w:tcPr>
            <w:tcW w:w="195" w:type="pct"/>
            <w:tcBorders>
              <w:top w:val="nil"/>
              <w:left w:val="nil"/>
              <w:bottom w:val="single" w:sz="4" w:space="0" w:color="auto"/>
              <w:right w:val="single" w:sz="8" w:space="0" w:color="auto"/>
            </w:tcBorders>
            <w:shd w:val="clear" w:color="000000" w:fill="DCE6F1"/>
            <w:vAlign w:val="center"/>
            <w:hideMark/>
          </w:tcPr>
          <w:p w14:paraId="4DD6FBE4" w14:textId="32AA345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4,200</w:t>
            </w:r>
          </w:p>
        </w:tc>
        <w:tc>
          <w:tcPr>
            <w:tcW w:w="202" w:type="pct"/>
            <w:tcBorders>
              <w:top w:val="nil"/>
              <w:left w:val="nil"/>
              <w:bottom w:val="single" w:sz="4" w:space="0" w:color="auto"/>
              <w:right w:val="single" w:sz="4" w:space="0" w:color="auto"/>
            </w:tcBorders>
            <w:shd w:val="clear" w:color="000000" w:fill="DCE6F1"/>
            <w:vAlign w:val="center"/>
            <w:hideMark/>
          </w:tcPr>
          <w:p w14:paraId="4B8A4041" w14:textId="2298770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122,988</w:t>
            </w:r>
          </w:p>
        </w:tc>
        <w:tc>
          <w:tcPr>
            <w:tcW w:w="200" w:type="pct"/>
            <w:tcBorders>
              <w:top w:val="nil"/>
              <w:left w:val="nil"/>
              <w:bottom w:val="single" w:sz="4" w:space="0" w:color="auto"/>
              <w:right w:val="single" w:sz="4" w:space="0" w:color="auto"/>
            </w:tcBorders>
            <w:shd w:val="clear" w:color="000000" w:fill="DCE6F1"/>
            <w:vAlign w:val="center"/>
            <w:hideMark/>
          </w:tcPr>
          <w:p w14:paraId="11CFE312" w14:textId="20615EC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68,300</w:t>
            </w:r>
          </w:p>
        </w:tc>
        <w:tc>
          <w:tcPr>
            <w:tcW w:w="197" w:type="pct"/>
            <w:tcBorders>
              <w:top w:val="nil"/>
              <w:left w:val="nil"/>
              <w:bottom w:val="single" w:sz="4" w:space="0" w:color="auto"/>
              <w:right w:val="single" w:sz="4" w:space="0" w:color="auto"/>
            </w:tcBorders>
            <w:shd w:val="clear" w:color="000000" w:fill="DCE6F1"/>
            <w:vAlign w:val="center"/>
            <w:hideMark/>
          </w:tcPr>
          <w:p w14:paraId="6F46DAC4" w14:textId="2ECAF9A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10,938</w:t>
            </w:r>
          </w:p>
        </w:tc>
        <w:tc>
          <w:tcPr>
            <w:tcW w:w="342" w:type="pct"/>
            <w:tcBorders>
              <w:top w:val="nil"/>
              <w:left w:val="nil"/>
              <w:bottom w:val="single" w:sz="4" w:space="0" w:color="auto"/>
              <w:right w:val="single" w:sz="8" w:space="0" w:color="auto"/>
            </w:tcBorders>
            <w:shd w:val="clear" w:color="000000" w:fill="DCE6F1"/>
            <w:vAlign w:val="center"/>
            <w:hideMark/>
          </w:tcPr>
          <w:p w14:paraId="0C437802" w14:textId="5954307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43,750</w:t>
            </w:r>
          </w:p>
        </w:tc>
      </w:tr>
      <w:tr w:rsidR="00387E5A" w:rsidRPr="00024D5A" w14:paraId="0B3DEA03" w14:textId="77777777" w:rsidTr="00387E5A">
        <w:trPr>
          <w:trHeight w:val="20"/>
        </w:trPr>
        <w:tc>
          <w:tcPr>
            <w:tcW w:w="375" w:type="pct"/>
            <w:tcBorders>
              <w:top w:val="nil"/>
              <w:left w:val="single" w:sz="4" w:space="0" w:color="auto"/>
              <w:bottom w:val="single" w:sz="4" w:space="0" w:color="auto"/>
              <w:right w:val="nil"/>
            </w:tcBorders>
            <w:shd w:val="clear" w:color="000000" w:fill="F276AB"/>
            <w:vAlign w:val="center"/>
            <w:hideMark/>
          </w:tcPr>
          <w:p w14:paraId="56954698" w14:textId="77777777"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II. DREJTËSIA</w:t>
            </w:r>
          </w:p>
        </w:tc>
        <w:tc>
          <w:tcPr>
            <w:tcW w:w="244" w:type="pct"/>
            <w:tcBorders>
              <w:top w:val="nil"/>
              <w:left w:val="single" w:sz="8" w:space="0" w:color="auto"/>
              <w:bottom w:val="single" w:sz="4" w:space="0" w:color="auto"/>
              <w:right w:val="single" w:sz="4" w:space="0" w:color="auto"/>
            </w:tcBorders>
            <w:shd w:val="clear" w:color="000000" w:fill="F276AB"/>
            <w:vAlign w:val="center"/>
            <w:hideMark/>
          </w:tcPr>
          <w:p w14:paraId="37C21DE5"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2026</w:t>
            </w:r>
          </w:p>
        </w:tc>
        <w:tc>
          <w:tcPr>
            <w:tcW w:w="226" w:type="pct"/>
            <w:tcBorders>
              <w:top w:val="nil"/>
              <w:left w:val="nil"/>
              <w:bottom w:val="single" w:sz="4" w:space="0" w:color="auto"/>
              <w:right w:val="single" w:sz="4" w:space="0" w:color="auto"/>
            </w:tcBorders>
            <w:shd w:val="clear" w:color="000000" w:fill="F276AB"/>
            <w:vAlign w:val="center"/>
            <w:hideMark/>
          </w:tcPr>
          <w:p w14:paraId="2D01AA84"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2030</w:t>
            </w:r>
          </w:p>
        </w:tc>
        <w:tc>
          <w:tcPr>
            <w:tcW w:w="664" w:type="pct"/>
            <w:tcBorders>
              <w:top w:val="nil"/>
              <w:left w:val="nil"/>
              <w:bottom w:val="single" w:sz="4" w:space="0" w:color="auto"/>
              <w:right w:val="single" w:sz="4" w:space="0" w:color="auto"/>
            </w:tcBorders>
            <w:shd w:val="clear" w:color="000000" w:fill="F276AB"/>
            <w:vAlign w:val="center"/>
            <w:hideMark/>
          </w:tcPr>
          <w:p w14:paraId="33F75901" w14:textId="0DD30EA2" w:rsidR="00DE4FCB" w:rsidRPr="00024D5A" w:rsidRDefault="00DE4FCB" w:rsidP="00387E5A">
            <w:pPr>
              <w:jc w:val="center"/>
              <w:rPr>
                <w:rFonts w:ascii="Garamond" w:eastAsia="Times New Roman" w:hAnsi="Garamond"/>
                <w:sz w:val="6"/>
                <w:szCs w:val="6"/>
                <w:lang w:eastAsia="en-US"/>
              </w:rPr>
            </w:pPr>
          </w:p>
        </w:tc>
        <w:tc>
          <w:tcPr>
            <w:tcW w:w="792" w:type="pct"/>
            <w:tcBorders>
              <w:top w:val="nil"/>
              <w:left w:val="nil"/>
              <w:bottom w:val="single" w:sz="4" w:space="0" w:color="auto"/>
              <w:right w:val="single" w:sz="8" w:space="0" w:color="auto"/>
            </w:tcBorders>
            <w:shd w:val="clear" w:color="000000" w:fill="F276AB"/>
            <w:vAlign w:val="center"/>
            <w:hideMark/>
          </w:tcPr>
          <w:p w14:paraId="331E470B" w14:textId="74E51D70" w:rsidR="00DE4FCB" w:rsidRPr="00024D5A" w:rsidRDefault="00DE4FCB" w:rsidP="00387E5A">
            <w:pPr>
              <w:jc w:val="center"/>
              <w:rPr>
                <w:rFonts w:ascii="Garamond" w:eastAsia="Times New Roman" w:hAnsi="Garamond"/>
                <w:sz w:val="6"/>
                <w:szCs w:val="6"/>
                <w:lang w:eastAsia="en-US"/>
              </w:rPr>
            </w:pPr>
          </w:p>
        </w:tc>
        <w:tc>
          <w:tcPr>
            <w:tcW w:w="188" w:type="pct"/>
            <w:tcBorders>
              <w:top w:val="nil"/>
              <w:left w:val="nil"/>
              <w:bottom w:val="single" w:sz="4" w:space="0" w:color="auto"/>
              <w:right w:val="single" w:sz="4" w:space="0" w:color="auto"/>
            </w:tcBorders>
            <w:shd w:val="clear" w:color="000000" w:fill="F276AB"/>
            <w:vAlign w:val="center"/>
            <w:hideMark/>
          </w:tcPr>
          <w:p w14:paraId="2B983602" w14:textId="6F8AC5C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198,187</w:t>
            </w:r>
          </w:p>
        </w:tc>
        <w:tc>
          <w:tcPr>
            <w:tcW w:w="190" w:type="pct"/>
            <w:tcBorders>
              <w:top w:val="nil"/>
              <w:left w:val="nil"/>
              <w:bottom w:val="single" w:sz="4" w:space="0" w:color="auto"/>
              <w:right w:val="single" w:sz="4" w:space="0" w:color="auto"/>
            </w:tcBorders>
            <w:shd w:val="clear" w:color="000000" w:fill="F276AB"/>
            <w:vAlign w:val="center"/>
            <w:hideMark/>
          </w:tcPr>
          <w:p w14:paraId="095CA95F" w14:textId="43A212B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196,287</w:t>
            </w:r>
          </w:p>
        </w:tc>
        <w:tc>
          <w:tcPr>
            <w:tcW w:w="190" w:type="pct"/>
            <w:tcBorders>
              <w:top w:val="nil"/>
              <w:left w:val="nil"/>
              <w:bottom w:val="single" w:sz="4" w:space="0" w:color="auto"/>
              <w:right w:val="single" w:sz="4" w:space="0" w:color="auto"/>
            </w:tcBorders>
            <w:shd w:val="clear" w:color="000000" w:fill="F276AB"/>
            <w:vAlign w:val="center"/>
            <w:hideMark/>
          </w:tcPr>
          <w:p w14:paraId="42DA4F4B" w14:textId="48EA12D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198,309</w:t>
            </w:r>
          </w:p>
        </w:tc>
        <w:tc>
          <w:tcPr>
            <w:tcW w:w="190" w:type="pct"/>
            <w:tcBorders>
              <w:top w:val="nil"/>
              <w:left w:val="nil"/>
              <w:bottom w:val="single" w:sz="4" w:space="0" w:color="auto"/>
              <w:right w:val="single" w:sz="4" w:space="0" w:color="auto"/>
            </w:tcBorders>
            <w:shd w:val="clear" w:color="000000" w:fill="F276AB"/>
            <w:vAlign w:val="center"/>
            <w:hideMark/>
          </w:tcPr>
          <w:p w14:paraId="4C20C969" w14:textId="33AAC00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207,346</w:t>
            </w:r>
          </w:p>
        </w:tc>
        <w:tc>
          <w:tcPr>
            <w:tcW w:w="187" w:type="pct"/>
            <w:tcBorders>
              <w:top w:val="nil"/>
              <w:left w:val="nil"/>
              <w:bottom w:val="single" w:sz="4" w:space="0" w:color="auto"/>
              <w:right w:val="single" w:sz="4" w:space="0" w:color="auto"/>
            </w:tcBorders>
            <w:shd w:val="clear" w:color="000000" w:fill="F276AB"/>
            <w:vAlign w:val="center"/>
            <w:hideMark/>
          </w:tcPr>
          <w:p w14:paraId="20DBA0D5" w14:textId="5F6D772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203,966</w:t>
            </w:r>
          </w:p>
        </w:tc>
        <w:tc>
          <w:tcPr>
            <w:tcW w:w="200" w:type="pct"/>
            <w:tcBorders>
              <w:top w:val="nil"/>
              <w:left w:val="nil"/>
              <w:bottom w:val="single" w:sz="4" w:space="0" w:color="auto"/>
              <w:right w:val="nil"/>
            </w:tcBorders>
            <w:shd w:val="clear" w:color="000000" w:fill="F276AB"/>
            <w:vAlign w:val="center"/>
            <w:hideMark/>
          </w:tcPr>
          <w:p w14:paraId="24B5BD22" w14:textId="4CACEF2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1,004,096</w:t>
            </w:r>
          </w:p>
        </w:tc>
        <w:tc>
          <w:tcPr>
            <w:tcW w:w="209" w:type="pct"/>
            <w:tcBorders>
              <w:top w:val="nil"/>
              <w:left w:val="single" w:sz="8" w:space="0" w:color="auto"/>
              <w:bottom w:val="single" w:sz="4" w:space="0" w:color="auto"/>
              <w:right w:val="single" w:sz="4" w:space="0" w:color="auto"/>
            </w:tcBorders>
            <w:shd w:val="clear" w:color="000000" w:fill="F276AB"/>
            <w:vAlign w:val="center"/>
            <w:hideMark/>
          </w:tcPr>
          <w:p w14:paraId="6B258C34" w14:textId="5E55047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897,800</w:t>
            </w:r>
          </w:p>
        </w:tc>
        <w:tc>
          <w:tcPr>
            <w:tcW w:w="209" w:type="pct"/>
            <w:tcBorders>
              <w:top w:val="nil"/>
              <w:left w:val="nil"/>
              <w:bottom w:val="single" w:sz="4" w:space="0" w:color="auto"/>
              <w:right w:val="single" w:sz="4" w:space="0" w:color="auto"/>
            </w:tcBorders>
            <w:shd w:val="clear" w:color="000000" w:fill="F276AB"/>
            <w:vAlign w:val="center"/>
            <w:hideMark/>
          </w:tcPr>
          <w:p w14:paraId="1A809257" w14:textId="2CD2DD2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18,614</w:t>
            </w:r>
          </w:p>
        </w:tc>
        <w:tc>
          <w:tcPr>
            <w:tcW w:w="195" w:type="pct"/>
            <w:tcBorders>
              <w:top w:val="nil"/>
              <w:left w:val="nil"/>
              <w:bottom w:val="single" w:sz="4" w:space="0" w:color="auto"/>
              <w:right w:val="single" w:sz="8" w:space="0" w:color="auto"/>
            </w:tcBorders>
            <w:shd w:val="clear" w:color="000000" w:fill="F276AB"/>
            <w:vAlign w:val="center"/>
            <w:hideMark/>
          </w:tcPr>
          <w:p w14:paraId="517AD95D" w14:textId="6053E96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87,682</w:t>
            </w:r>
          </w:p>
        </w:tc>
        <w:tc>
          <w:tcPr>
            <w:tcW w:w="202" w:type="pct"/>
            <w:tcBorders>
              <w:top w:val="nil"/>
              <w:left w:val="nil"/>
              <w:bottom w:val="single" w:sz="4" w:space="0" w:color="auto"/>
              <w:right w:val="single" w:sz="4" w:space="0" w:color="auto"/>
            </w:tcBorders>
            <w:shd w:val="clear" w:color="000000" w:fill="F276AB"/>
            <w:vAlign w:val="center"/>
            <w:hideMark/>
          </w:tcPr>
          <w:p w14:paraId="70F1A2BE" w14:textId="0CB3B55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10,459,332</w:t>
            </w:r>
          </w:p>
        </w:tc>
        <w:tc>
          <w:tcPr>
            <w:tcW w:w="200" w:type="pct"/>
            <w:tcBorders>
              <w:top w:val="nil"/>
              <w:left w:val="nil"/>
              <w:bottom w:val="single" w:sz="4" w:space="0" w:color="auto"/>
              <w:right w:val="single" w:sz="4" w:space="0" w:color="auto"/>
            </w:tcBorders>
            <w:shd w:val="clear" w:color="000000" w:fill="F276AB"/>
            <w:vAlign w:val="center"/>
            <w:hideMark/>
          </w:tcPr>
          <w:p w14:paraId="00FD4AB0" w14:textId="1FB1DF5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9,352,079</w:t>
            </w:r>
          </w:p>
        </w:tc>
        <w:tc>
          <w:tcPr>
            <w:tcW w:w="197" w:type="pct"/>
            <w:tcBorders>
              <w:top w:val="nil"/>
              <w:left w:val="nil"/>
              <w:bottom w:val="single" w:sz="4" w:space="0" w:color="auto"/>
              <w:right w:val="single" w:sz="4" w:space="0" w:color="auto"/>
            </w:tcBorders>
            <w:shd w:val="clear" w:color="000000" w:fill="F276AB"/>
            <w:vAlign w:val="center"/>
            <w:hideMark/>
          </w:tcPr>
          <w:p w14:paraId="1026F890" w14:textId="3805077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193,896</w:t>
            </w:r>
          </w:p>
        </w:tc>
        <w:tc>
          <w:tcPr>
            <w:tcW w:w="342" w:type="pct"/>
            <w:tcBorders>
              <w:top w:val="nil"/>
              <w:left w:val="nil"/>
              <w:bottom w:val="single" w:sz="4" w:space="0" w:color="auto"/>
              <w:right w:val="single" w:sz="8" w:space="0" w:color="auto"/>
            </w:tcBorders>
            <w:shd w:val="clear" w:color="000000" w:fill="F276AB"/>
            <w:vAlign w:val="center"/>
            <w:hideMark/>
          </w:tcPr>
          <w:p w14:paraId="421A6FC0" w14:textId="425410A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913,358</w:t>
            </w:r>
          </w:p>
        </w:tc>
      </w:tr>
      <w:tr w:rsidR="00387E5A" w:rsidRPr="00024D5A" w14:paraId="78136A69" w14:textId="77777777" w:rsidTr="00387E5A">
        <w:trPr>
          <w:trHeight w:val="20"/>
        </w:trPr>
        <w:tc>
          <w:tcPr>
            <w:tcW w:w="375" w:type="pct"/>
            <w:tcBorders>
              <w:top w:val="nil"/>
              <w:left w:val="single" w:sz="4" w:space="0" w:color="auto"/>
              <w:bottom w:val="single" w:sz="4" w:space="0" w:color="auto"/>
              <w:right w:val="nil"/>
            </w:tcBorders>
            <w:shd w:val="clear" w:color="000000" w:fill="FDE9D9"/>
            <w:vAlign w:val="center"/>
            <w:hideMark/>
          </w:tcPr>
          <w:p w14:paraId="61473B5F" w14:textId="03300D16"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Objektivi </w:t>
            </w:r>
            <w:r w:rsidR="007053C8" w:rsidRPr="00024D5A">
              <w:rPr>
                <w:rFonts w:ascii="Garamond" w:eastAsia="Times New Roman" w:hAnsi="Garamond" w:cs="Calibri"/>
                <w:b/>
                <w:bCs/>
                <w:sz w:val="6"/>
                <w:szCs w:val="6"/>
                <w:lang w:eastAsia="en-US"/>
              </w:rPr>
              <w:t xml:space="preserve">specifik </w:t>
            </w:r>
            <w:r w:rsidRPr="00024D5A">
              <w:rPr>
                <w:rFonts w:ascii="Garamond" w:eastAsia="Times New Roman" w:hAnsi="Garamond" w:cs="Calibri"/>
                <w:b/>
                <w:bCs/>
                <w:sz w:val="6"/>
                <w:szCs w:val="6"/>
                <w:lang w:eastAsia="en-US"/>
              </w:rPr>
              <w:t>1</w:t>
            </w:r>
            <w:r w:rsidR="00AC5DA9">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Të sigurohet që të gjithë personat me aftësi të kufizuara të kenë akses fizik, procedural, informativ dhe digjital në gjykata, prokurori, polici dhe shërbime ligjore, si pjesëmarrës të drejtpërdrejtë apo jo të drejtpërdrejtë në të gjitha nivelet që nga hetimi, gjykimi etj. jetës</w:t>
            </w:r>
          </w:p>
        </w:tc>
        <w:tc>
          <w:tcPr>
            <w:tcW w:w="244" w:type="pct"/>
            <w:tcBorders>
              <w:top w:val="nil"/>
              <w:left w:val="single" w:sz="8" w:space="0" w:color="auto"/>
              <w:bottom w:val="single" w:sz="4" w:space="0" w:color="auto"/>
              <w:right w:val="single" w:sz="4" w:space="0" w:color="auto"/>
            </w:tcBorders>
            <w:shd w:val="clear" w:color="000000" w:fill="FDE9D9"/>
            <w:vAlign w:val="center"/>
            <w:hideMark/>
          </w:tcPr>
          <w:p w14:paraId="04BD93E4"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0</w:t>
            </w:r>
          </w:p>
        </w:tc>
        <w:tc>
          <w:tcPr>
            <w:tcW w:w="226" w:type="pct"/>
            <w:tcBorders>
              <w:top w:val="nil"/>
              <w:left w:val="nil"/>
              <w:bottom w:val="single" w:sz="4" w:space="0" w:color="auto"/>
              <w:right w:val="single" w:sz="4" w:space="0" w:color="auto"/>
            </w:tcBorders>
            <w:shd w:val="clear" w:color="000000" w:fill="FDE9D9"/>
            <w:vAlign w:val="center"/>
            <w:hideMark/>
          </w:tcPr>
          <w:p w14:paraId="77DF4646"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2030</w:t>
            </w:r>
          </w:p>
        </w:tc>
        <w:tc>
          <w:tcPr>
            <w:tcW w:w="664" w:type="pct"/>
            <w:tcBorders>
              <w:top w:val="nil"/>
              <w:left w:val="nil"/>
              <w:bottom w:val="single" w:sz="4" w:space="0" w:color="auto"/>
              <w:right w:val="single" w:sz="4" w:space="0" w:color="auto"/>
            </w:tcBorders>
            <w:shd w:val="clear" w:color="000000" w:fill="FDE9D9"/>
            <w:vAlign w:val="center"/>
            <w:hideMark/>
          </w:tcPr>
          <w:p w14:paraId="4B97F153"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MD/MSHMS/DNJF/KLGJ/Gjykatat/DHKA/DHAAH/MD</w:t>
            </w:r>
          </w:p>
        </w:tc>
        <w:tc>
          <w:tcPr>
            <w:tcW w:w="792" w:type="pct"/>
            <w:tcBorders>
              <w:top w:val="nil"/>
              <w:left w:val="nil"/>
              <w:bottom w:val="single" w:sz="4" w:space="0" w:color="auto"/>
              <w:right w:val="single" w:sz="8" w:space="0" w:color="auto"/>
            </w:tcBorders>
            <w:shd w:val="clear" w:color="000000" w:fill="FDE9D9"/>
            <w:vAlign w:val="center"/>
            <w:hideMark/>
          </w:tcPr>
          <w:p w14:paraId="1F11EDC6" w14:textId="0C2E18DC"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MD/MD/OSHC/Partner</w:t>
            </w:r>
            <w:r w:rsidR="001D6785" w:rsidRPr="00024D5A">
              <w:rPr>
                <w:rFonts w:ascii="Garamond" w:eastAsia="Times New Roman" w:hAnsi="Garamond"/>
                <w:sz w:val="6"/>
                <w:szCs w:val="6"/>
                <w:lang w:eastAsia="en-US"/>
              </w:rPr>
              <w:t>ë</w:t>
            </w:r>
            <w:r w:rsidRPr="00024D5A">
              <w:rPr>
                <w:rFonts w:ascii="Garamond" w:eastAsia="Times New Roman" w:hAnsi="Garamond"/>
                <w:sz w:val="6"/>
                <w:szCs w:val="6"/>
                <w:lang w:eastAsia="en-US"/>
              </w:rPr>
              <w:t xml:space="preserve"> </w:t>
            </w:r>
            <w:r w:rsidR="003F2F02" w:rsidRPr="00024D5A">
              <w:rPr>
                <w:rFonts w:ascii="Garamond" w:eastAsia="Times New Roman" w:hAnsi="Garamond"/>
                <w:sz w:val="6"/>
                <w:szCs w:val="6"/>
                <w:lang w:eastAsia="en-US"/>
              </w:rPr>
              <w:t>vendës</w:t>
            </w:r>
            <w:r w:rsidRPr="00024D5A">
              <w:rPr>
                <w:rFonts w:ascii="Garamond" w:eastAsia="Times New Roman" w:hAnsi="Garamond"/>
                <w:sz w:val="6"/>
                <w:szCs w:val="6"/>
                <w:lang w:eastAsia="en-US"/>
              </w:rPr>
              <w:t xml:space="preserve"> dhe të huaj/DNJF/SHM</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DHASH/DHKN/MSHMS/KLGJ/KLP/DPP/DHKN/SHM/MSHMS</w:t>
            </w:r>
          </w:p>
        </w:tc>
        <w:tc>
          <w:tcPr>
            <w:tcW w:w="188" w:type="pct"/>
            <w:tcBorders>
              <w:top w:val="nil"/>
              <w:left w:val="nil"/>
              <w:bottom w:val="single" w:sz="4" w:space="0" w:color="auto"/>
              <w:right w:val="single" w:sz="4" w:space="0" w:color="auto"/>
            </w:tcBorders>
            <w:shd w:val="clear" w:color="000000" w:fill="FDE9D9"/>
            <w:vAlign w:val="center"/>
            <w:hideMark/>
          </w:tcPr>
          <w:p w14:paraId="0DDB78A2" w14:textId="28F393E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186,255</w:t>
            </w:r>
          </w:p>
        </w:tc>
        <w:tc>
          <w:tcPr>
            <w:tcW w:w="190" w:type="pct"/>
            <w:tcBorders>
              <w:top w:val="nil"/>
              <w:left w:val="nil"/>
              <w:bottom w:val="single" w:sz="4" w:space="0" w:color="auto"/>
              <w:right w:val="single" w:sz="4" w:space="0" w:color="auto"/>
            </w:tcBorders>
            <w:shd w:val="clear" w:color="000000" w:fill="FDE9D9"/>
            <w:vAlign w:val="center"/>
            <w:hideMark/>
          </w:tcPr>
          <w:p w14:paraId="37AF9F11" w14:textId="46777A0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184,355</w:t>
            </w:r>
          </w:p>
        </w:tc>
        <w:tc>
          <w:tcPr>
            <w:tcW w:w="190" w:type="pct"/>
            <w:tcBorders>
              <w:top w:val="nil"/>
              <w:left w:val="nil"/>
              <w:bottom w:val="single" w:sz="4" w:space="0" w:color="auto"/>
              <w:right w:val="single" w:sz="4" w:space="0" w:color="auto"/>
            </w:tcBorders>
            <w:shd w:val="clear" w:color="000000" w:fill="FDE9D9"/>
            <w:vAlign w:val="center"/>
            <w:hideMark/>
          </w:tcPr>
          <w:p w14:paraId="67761C33" w14:textId="2AC3500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184,963</w:t>
            </w:r>
          </w:p>
        </w:tc>
        <w:tc>
          <w:tcPr>
            <w:tcW w:w="190" w:type="pct"/>
            <w:tcBorders>
              <w:top w:val="nil"/>
              <w:left w:val="nil"/>
              <w:bottom w:val="single" w:sz="4" w:space="0" w:color="auto"/>
              <w:right w:val="single" w:sz="4" w:space="0" w:color="auto"/>
            </w:tcBorders>
            <w:shd w:val="clear" w:color="000000" w:fill="FDE9D9"/>
            <w:vAlign w:val="center"/>
            <w:hideMark/>
          </w:tcPr>
          <w:p w14:paraId="3924C63E" w14:textId="5ACB89C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183,666</w:t>
            </w:r>
          </w:p>
        </w:tc>
        <w:tc>
          <w:tcPr>
            <w:tcW w:w="187" w:type="pct"/>
            <w:tcBorders>
              <w:top w:val="nil"/>
              <w:left w:val="nil"/>
              <w:bottom w:val="single" w:sz="4" w:space="0" w:color="auto"/>
              <w:right w:val="single" w:sz="4" w:space="0" w:color="auto"/>
            </w:tcBorders>
            <w:shd w:val="clear" w:color="000000" w:fill="FDE9D9"/>
            <w:vAlign w:val="center"/>
            <w:hideMark/>
          </w:tcPr>
          <w:p w14:paraId="52D5F9B6" w14:textId="76D6878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183,286</w:t>
            </w:r>
          </w:p>
        </w:tc>
        <w:tc>
          <w:tcPr>
            <w:tcW w:w="200" w:type="pct"/>
            <w:tcBorders>
              <w:top w:val="nil"/>
              <w:left w:val="nil"/>
              <w:bottom w:val="single" w:sz="4" w:space="0" w:color="auto"/>
              <w:right w:val="nil"/>
            </w:tcBorders>
            <w:shd w:val="clear" w:color="000000" w:fill="FDE9D9"/>
            <w:vAlign w:val="center"/>
            <w:hideMark/>
          </w:tcPr>
          <w:p w14:paraId="75D99601" w14:textId="4B25D1B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922,526</w:t>
            </w:r>
          </w:p>
        </w:tc>
        <w:tc>
          <w:tcPr>
            <w:tcW w:w="209" w:type="pct"/>
            <w:tcBorders>
              <w:top w:val="nil"/>
              <w:left w:val="single" w:sz="8" w:space="0" w:color="auto"/>
              <w:bottom w:val="single" w:sz="4" w:space="0" w:color="auto"/>
              <w:right w:val="single" w:sz="4" w:space="0" w:color="auto"/>
            </w:tcBorders>
            <w:shd w:val="clear" w:color="000000" w:fill="FDE9D9"/>
            <w:vAlign w:val="center"/>
            <w:hideMark/>
          </w:tcPr>
          <w:p w14:paraId="375C8ADE" w14:textId="747508C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894,630</w:t>
            </w:r>
          </w:p>
        </w:tc>
        <w:tc>
          <w:tcPr>
            <w:tcW w:w="209" w:type="pct"/>
            <w:tcBorders>
              <w:top w:val="nil"/>
              <w:left w:val="nil"/>
              <w:bottom w:val="single" w:sz="4" w:space="0" w:color="auto"/>
              <w:right w:val="single" w:sz="4" w:space="0" w:color="auto"/>
            </w:tcBorders>
            <w:shd w:val="clear" w:color="000000" w:fill="FDE9D9"/>
            <w:vAlign w:val="center"/>
            <w:hideMark/>
          </w:tcPr>
          <w:p w14:paraId="74482CB4" w14:textId="527530A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6,767</w:t>
            </w:r>
          </w:p>
        </w:tc>
        <w:tc>
          <w:tcPr>
            <w:tcW w:w="195" w:type="pct"/>
            <w:tcBorders>
              <w:top w:val="nil"/>
              <w:left w:val="nil"/>
              <w:bottom w:val="single" w:sz="4" w:space="0" w:color="auto"/>
              <w:right w:val="single" w:sz="8" w:space="0" w:color="auto"/>
            </w:tcBorders>
            <w:shd w:val="clear" w:color="000000" w:fill="FDE9D9"/>
            <w:vAlign w:val="center"/>
            <w:hideMark/>
          </w:tcPr>
          <w:p w14:paraId="0FE7EF3A" w14:textId="24AD356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21,129</w:t>
            </w:r>
          </w:p>
        </w:tc>
        <w:tc>
          <w:tcPr>
            <w:tcW w:w="202" w:type="pct"/>
            <w:tcBorders>
              <w:top w:val="nil"/>
              <w:left w:val="nil"/>
              <w:bottom w:val="single" w:sz="4" w:space="0" w:color="auto"/>
              <w:right w:val="single" w:sz="4" w:space="0" w:color="auto"/>
            </w:tcBorders>
            <w:shd w:val="clear" w:color="000000" w:fill="FDE9D9"/>
            <w:vAlign w:val="center"/>
            <w:hideMark/>
          </w:tcPr>
          <w:p w14:paraId="4FD14508" w14:textId="6F30556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9,609,645</w:t>
            </w:r>
          </w:p>
        </w:tc>
        <w:tc>
          <w:tcPr>
            <w:tcW w:w="200" w:type="pct"/>
            <w:tcBorders>
              <w:top w:val="nil"/>
              <w:left w:val="nil"/>
              <w:bottom w:val="single" w:sz="4" w:space="0" w:color="auto"/>
              <w:right w:val="single" w:sz="4" w:space="0" w:color="auto"/>
            </w:tcBorders>
            <w:shd w:val="clear" w:color="000000" w:fill="FDE9D9"/>
            <w:vAlign w:val="center"/>
            <w:hideMark/>
          </w:tcPr>
          <w:p w14:paraId="2A523041" w14:textId="0BD60F8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9,319,058</w:t>
            </w:r>
          </w:p>
        </w:tc>
        <w:tc>
          <w:tcPr>
            <w:tcW w:w="197" w:type="pct"/>
            <w:tcBorders>
              <w:top w:val="nil"/>
              <w:left w:val="nil"/>
              <w:bottom w:val="single" w:sz="4" w:space="0" w:color="auto"/>
              <w:right w:val="single" w:sz="4" w:space="0" w:color="auto"/>
            </w:tcBorders>
            <w:shd w:val="clear" w:color="000000" w:fill="FDE9D9"/>
            <w:vAlign w:val="center"/>
            <w:hideMark/>
          </w:tcPr>
          <w:p w14:paraId="2E11FA1E" w14:textId="5871637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70,490</w:t>
            </w:r>
          </w:p>
        </w:tc>
        <w:tc>
          <w:tcPr>
            <w:tcW w:w="342" w:type="pct"/>
            <w:tcBorders>
              <w:top w:val="nil"/>
              <w:left w:val="nil"/>
              <w:bottom w:val="single" w:sz="4" w:space="0" w:color="auto"/>
              <w:right w:val="single" w:sz="8" w:space="0" w:color="auto"/>
            </w:tcBorders>
            <w:shd w:val="clear" w:color="000000" w:fill="FDE9D9"/>
            <w:vAlign w:val="center"/>
            <w:hideMark/>
          </w:tcPr>
          <w:p w14:paraId="02B515D6" w14:textId="101D4CB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220,098</w:t>
            </w:r>
          </w:p>
        </w:tc>
      </w:tr>
      <w:tr w:rsidR="00387E5A" w:rsidRPr="00024D5A" w14:paraId="4872B604"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1BE63CC7" w14:textId="7A4745DB"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Masa </w:t>
            </w:r>
            <w:r w:rsidR="007053C8" w:rsidRPr="00024D5A">
              <w:rPr>
                <w:rFonts w:ascii="Garamond" w:eastAsia="Times New Roman" w:hAnsi="Garamond" w:cs="Calibri"/>
                <w:b/>
                <w:bCs/>
                <w:sz w:val="6"/>
                <w:szCs w:val="6"/>
                <w:lang w:eastAsia="en-US"/>
              </w:rPr>
              <w:t xml:space="preserve">prioritare </w:t>
            </w:r>
            <w:r w:rsidRPr="00024D5A">
              <w:rPr>
                <w:rFonts w:ascii="Garamond" w:eastAsia="Times New Roman" w:hAnsi="Garamond" w:cs="Calibri"/>
                <w:b/>
                <w:bCs/>
                <w:sz w:val="6"/>
                <w:szCs w:val="6"/>
                <w:lang w:eastAsia="en-US"/>
              </w:rPr>
              <w:t>1.1</w:t>
            </w:r>
            <w:r w:rsidR="00AC5DA9">
              <w:rPr>
                <w:rFonts w:ascii="Garamond" w:eastAsia="Times New Roman" w:hAnsi="Garamond" w:cs="Calibri"/>
                <w:b/>
                <w:bCs/>
                <w:sz w:val="6"/>
                <w:szCs w:val="6"/>
                <w:lang w:eastAsia="en-US"/>
              </w:rPr>
              <w:t>:</w:t>
            </w:r>
            <w:r w:rsidR="008F29FA" w:rsidRPr="00024D5A">
              <w:rPr>
                <w:rFonts w:ascii="Garamond" w:eastAsia="Times New Roman" w:hAnsi="Garamond" w:cs="Calibri"/>
                <w:b/>
                <w:bCs/>
                <w:sz w:val="6"/>
                <w:szCs w:val="6"/>
                <w:lang w:eastAsia="en-US"/>
              </w:rPr>
              <w:t xml:space="preserve"> </w:t>
            </w:r>
            <w:r w:rsidRPr="00024D5A">
              <w:rPr>
                <w:rFonts w:ascii="Garamond" w:eastAsia="Times New Roman" w:hAnsi="Garamond" w:cs="Calibri"/>
                <w:b/>
                <w:bCs/>
                <w:sz w:val="6"/>
                <w:szCs w:val="6"/>
                <w:lang w:eastAsia="en-US"/>
              </w:rPr>
              <w:t>Rishikimi i kuadrit ligjor për të mundësuar akses të barabartë në drejtësi për personat me aftësi të kufizuara.</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6AB667CC"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2026</w:t>
            </w:r>
          </w:p>
        </w:tc>
        <w:tc>
          <w:tcPr>
            <w:tcW w:w="226" w:type="pct"/>
            <w:tcBorders>
              <w:top w:val="nil"/>
              <w:left w:val="nil"/>
              <w:bottom w:val="single" w:sz="4" w:space="0" w:color="auto"/>
              <w:right w:val="single" w:sz="4" w:space="0" w:color="auto"/>
            </w:tcBorders>
            <w:shd w:val="clear" w:color="000000" w:fill="DCE6F1"/>
            <w:vAlign w:val="center"/>
            <w:hideMark/>
          </w:tcPr>
          <w:p w14:paraId="72B8DE37"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3931CD68"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MD</w:t>
            </w:r>
          </w:p>
        </w:tc>
        <w:tc>
          <w:tcPr>
            <w:tcW w:w="792" w:type="pct"/>
            <w:tcBorders>
              <w:top w:val="nil"/>
              <w:left w:val="nil"/>
              <w:bottom w:val="single" w:sz="4" w:space="0" w:color="auto"/>
              <w:right w:val="single" w:sz="8" w:space="0" w:color="auto"/>
            </w:tcBorders>
            <w:shd w:val="clear" w:color="000000" w:fill="DCE6F1"/>
            <w:vAlign w:val="center"/>
            <w:hideMark/>
          </w:tcPr>
          <w:p w14:paraId="46A1D823"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w:t>
            </w:r>
          </w:p>
        </w:tc>
        <w:tc>
          <w:tcPr>
            <w:tcW w:w="188" w:type="pct"/>
            <w:tcBorders>
              <w:top w:val="nil"/>
              <w:left w:val="nil"/>
              <w:bottom w:val="single" w:sz="4" w:space="0" w:color="auto"/>
              <w:right w:val="single" w:sz="4" w:space="0" w:color="auto"/>
            </w:tcBorders>
            <w:shd w:val="clear" w:color="000000" w:fill="DCE6F1"/>
            <w:vAlign w:val="center"/>
            <w:hideMark/>
          </w:tcPr>
          <w:p w14:paraId="49ED89E3" w14:textId="4ACB791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1,455</w:t>
            </w:r>
          </w:p>
        </w:tc>
        <w:tc>
          <w:tcPr>
            <w:tcW w:w="190" w:type="pct"/>
            <w:tcBorders>
              <w:top w:val="nil"/>
              <w:left w:val="nil"/>
              <w:bottom w:val="single" w:sz="4" w:space="0" w:color="auto"/>
              <w:right w:val="single" w:sz="4" w:space="0" w:color="auto"/>
            </w:tcBorders>
            <w:shd w:val="clear" w:color="000000" w:fill="DCE6F1"/>
            <w:vAlign w:val="center"/>
            <w:hideMark/>
          </w:tcPr>
          <w:p w14:paraId="38CF94C5" w14:textId="45A7153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555</w:t>
            </w:r>
          </w:p>
        </w:tc>
        <w:tc>
          <w:tcPr>
            <w:tcW w:w="190" w:type="pct"/>
            <w:tcBorders>
              <w:top w:val="nil"/>
              <w:left w:val="nil"/>
              <w:bottom w:val="single" w:sz="4" w:space="0" w:color="auto"/>
              <w:right w:val="single" w:sz="4" w:space="0" w:color="auto"/>
            </w:tcBorders>
            <w:shd w:val="clear" w:color="000000" w:fill="DCE6F1"/>
            <w:vAlign w:val="center"/>
            <w:hideMark/>
          </w:tcPr>
          <w:p w14:paraId="0E8B121A" w14:textId="57667B6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1,162</w:t>
            </w:r>
          </w:p>
        </w:tc>
        <w:tc>
          <w:tcPr>
            <w:tcW w:w="190" w:type="pct"/>
            <w:tcBorders>
              <w:top w:val="nil"/>
              <w:left w:val="nil"/>
              <w:bottom w:val="single" w:sz="4" w:space="0" w:color="auto"/>
              <w:right w:val="single" w:sz="4" w:space="0" w:color="auto"/>
            </w:tcBorders>
            <w:shd w:val="clear" w:color="000000" w:fill="DCE6F1"/>
            <w:vAlign w:val="center"/>
            <w:hideMark/>
          </w:tcPr>
          <w:p w14:paraId="08421C55" w14:textId="21176CD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982</w:t>
            </w:r>
          </w:p>
        </w:tc>
        <w:tc>
          <w:tcPr>
            <w:tcW w:w="187" w:type="pct"/>
            <w:tcBorders>
              <w:top w:val="nil"/>
              <w:left w:val="nil"/>
              <w:bottom w:val="single" w:sz="4" w:space="0" w:color="auto"/>
              <w:right w:val="single" w:sz="4" w:space="0" w:color="auto"/>
            </w:tcBorders>
            <w:shd w:val="clear" w:color="000000" w:fill="DCE6F1"/>
            <w:vAlign w:val="center"/>
            <w:hideMark/>
          </w:tcPr>
          <w:p w14:paraId="6B4594C9" w14:textId="29FEE6E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602</w:t>
            </w:r>
          </w:p>
        </w:tc>
        <w:tc>
          <w:tcPr>
            <w:tcW w:w="200" w:type="pct"/>
            <w:tcBorders>
              <w:top w:val="nil"/>
              <w:left w:val="nil"/>
              <w:bottom w:val="single" w:sz="4" w:space="0" w:color="auto"/>
              <w:right w:val="nil"/>
            </w:tcBorders>
            <w:shd w:val="clear" w:color="000000" w:fill="DCE6F1"/>
            <w:vAlign w:val="center"/>
            <w:hideMark/>
          </w:tcPr>
          <w:p w14:paraId="6769CDCA" w14:textId="5BAF299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4,755</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6108B870" w14:textId="1F69078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3,495</w:t>
            </w:r>
          </w:p>
        </w:tc>
        <w:tc>
          <w:tcPr>
            <w:tcW w:w="209" w:type="pct"/>
            <w:tcBorders>
              <w:top w:val="nil"/>
              <w:left w:val="nil"/>
              <w:bottom w:val="single" w:sz="4" w:space="0" w:color="auto"/>
              <w:right w:val="single" w:sz="4" w:space="0" w:color="auto"/>
            </w:tcBorders>
            <w:shd w:val="clear" w:color="000000" w:fill="DCE6F1"/>
            <w:vAlign w:val="center"/>
            <w:hideMark/>
          </w:tcPr>
          <w:p w14:paraId="26989CC5" w14:textId="63A0205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700</w:t>
            </w:r>
          </w:p>
        </w:tc>
        <w:tc>
          <w:tcPr>
            <w:tcW w:w="195" w:type="pct"/>
            <w:tcBorders>
              <w:top w:val="nil"/>
              <w:left w:val="nil"/>
              <w:bottom w:val="single" w:sz="4" w:space="0" w:color="auto"/>
              <w:right w:val="single" w:sz="8" w:space="0" w:color="auto"/>
            </w:tcBorders>
            <w:shd w:val="clear" w:color="000000" w:fill="DCE6F1"/>
            <w:vAlign w:val="center"/>
            <w:hideMark/>
          </w:tcPr>
          <w:p w14:paraId="47C3039D" w14:textId="2189B94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560</w:t>
            </w:r>
          </w:p>
        </w:tc>
        <w:tc>
          <w:tcPr>
            <w:tcW w:w="202" w:type="pct"/>
            <w:tcBorders>
              <w:top w:val="nil"/>
              <w:left w:val="nil"/>
              <w:bottom w:val="single" w:sz="4" w:space="0" w:color="auto"/>
              <w:right w:val="single" w:sz="4" w:space="0" w:color="auto"/>
            </w:tcBorders>
            <w:shd w:val="clear" w:color="000000" w:fill="DCE6F1"/>
            <w:vAlign w:val="center"/>
            <w:hideMark/>
          </w:tcPr>
          <w:p w14:paraId="1F6E73E8" w14:textId="038688B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49,536</w:t>
            </w:r>
          </w:p>
        </w:tc>
        <w:tc>
          <w:tcPr>
            <w:tcW w:w="200" w:type="pct"/>
            <w:tcBorders>
              <w:top w:val="nil"/>
              <w:left w:val="nil"/>
              <w:bottom w:val="single" w:sz="4" w:space="0" w:color="auto"/>
              <w:right w:val="single" w:sz="4" w:space="0" w:color="auto"/>
            </w:tcBorders>
            <w:shd w:val="clear" w:color="000000" w:fill="DCE6F1"/>
            <w:vAlign w:val="center"/>
            <w:hideMark/>
          </w:tcPr>
          <w:p w14:paraId="6B6144E6" w14:textId="69FD67C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36,411</w:t>
            </w:r>
          </w:p>
        </w:tc>
        <w:tc>
          <w:tcPr>
            <w:tcW w:w="197" w:type="pct"/>
            <w:tcBorders>
              <w:top w:val="nil"/>
              <w:left w:val="nil"/>
              <w:bottom w:val="single" w:sz="4" w:space="0" w:color="auto"/>
              <w:right w:val="single" w:sz="4" w:space="0" w:color="auto"/>
            </w:tcBorders>
            <w:shd w:val="clear" w:color="000000" w:fill="DCE6F1"/>
            <w:vAlign w:val="center"/>
            <w:hideMark/>
          </w:tcPr>
          <w:p w14:paraId="0D9D1F8C" w14:textId="6A877ED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7,292</w:t>
            </w:r>
          </w:p>
        </w:tc>
        <w:tc>
          <w:tcPr>
            <w:tcW w:w="342" w:type="pct"/>
            <w:tcBorders>
              <w:top w:val="nil"/>
              <w:left w:val="nil"/>
              <w:bottom w:val="single" w:sz="4" w:space="0" w:color="auto"/>
              <w:right w:val="single" w:sz="8" w:space="0" w:color="auto"/>
            </w:tcBorders>
            <w:shd w:val="clear" w:color="000000" w:fill="DCE6F1"/>
            <w:vAlign w:val="center"/>
            <w:hideMark/>
          </w:tcPr>
          <w:p w14:paraId="5FCFF83A" w14:textId="6606204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5,833</w:t>
            </w:r>
          </w:p>
        </w:tc>
      </w:tr>
      <w:tr w:rsidR="00387E5A" w:rsidRPr="00024D5A" w14:paraId="220043DD"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73BD9556" w14:textId="60C41B24"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Masa </w:t>
            </w:r>
            <w:r w:rsidR="007053C8" w:rsidRPr="00024D5A">
              <w:rPr>
                <w:rFonts w:ascii="Garamond" w:eastAsia="Times New Roman" w:hAnsi="Garamond" w:cs="Calibri"/>
                <w:b/>
                <w:bCs/>
                <w:sz w:val="6"/>
                <w:szCs w:val="6"/>
                <w:lang w:eastAsia="en-US"/>
              </w:rPr>
              <w:t xml:space="preserve">prioritare </w:t>
            </w:r>
            <w:r w:rsidRPr="00024D5A">
              <w:rPr>
                <w:rFonts w:ascii="Garamond" w:eastAsia="Times New Roman" w:hAnsi="Garamond" w:cs="Calibri"/>
                <w:b/>
                <w:bCs/>
                <w:sz w:val="6"/>
                <w:szCs w:val="6"/>
                <w:lang w:eastAsia="en-US"/>
              </w:rPr>
              <w:t>1.2</w:t>
            </w:r>
            <w:r w:rsidR="00AC5DA9">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Ofrimi i shërbimeve të aksesueshme të ndihmës juridike falas për personat me aftësi të kufizuara</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4B16F4EF"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2026</w:t>
            </w:r>
          </w:p>
        </w:tc>
        <w:tc>
          <w:tcPr>
            <w:tcW w:w="226" w:type="pct"/>
            <w:tcBorders>
              <w:top w:val="nil"/>
              <w:left w:val="nil"/>
              <w:bottom w:val="single" w:sz="4" w:space="0" w:color="auto"/>
              <w:right w:val="single" w:sz="4" w:space="0" w:color="auto"/>
            </w:tcBorders>
            <w:shd w:val="clear" w:color="000000" w:fill="DCE6F1"/>
            <w:vAlign w:val="center"/>
            <w:hideMark/>
          </w:tcPr>
          <w:p w14:paraId="4ABF55DB"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294D9504"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DNJF/KLGJ/Gjykatat/DHKA/DHAAH</w:t>
            </w:r>
          </w:p>
        </w:tc>
        <w:tc>
          <w:tcPr>
            <w:tcW w:w="792" w:type="pct"/>
            <w:tcBorders>
              <w:top w:val="nil"/>
              <w:left w:val="nil"/>
              <w:bottom w:val="single" w:sz="4" w:space="0" w:color="auto"/>
              <w:right w:val="single" w:sz="8" w:space="0" w:color="auto"/>
            </w:tcBorders>
            <w:shd w:val="clear" w:color="000000" w:fill="DCE6F1"/>
            <w:vAlign w:val="center"/>
            <w:hideMark/>
          </w:tcPr>
          <w:p w14:paraId="205A87DB" w14:textId="7143D463"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MD/OSHC/Partner</w:t>
            </w:r>
            <w:r w:rsidR="001D6785" w:rsidRPr="00024D5A">
              <w:rPr>
                <w:rFonts w:ascii="Garamond" w:eastAsia="Times New Roman" w:hAnsi="Garamond"/>
                <w:sz w:val="6"/>
                <w:szCs w:val="6"/>
                <w:lang w:eastAsia="en-US"/>
              </w:rPr>
              <w:t>ë</w:t>
            </w:r>
            <w:r w:rsidRPr="00024D5A">
              <w:rPr>
                <w:rFonts w:ascii="Garamond" w:eastAsia="Times New Roman" w:hAnsi="Garamond"/>
                <w:sz w:val="6"/>
                <w:szCs w:val="6"/>
                <w:lang w:eastAsia="en-US"/>
              </w:rPr>
              <w:t xml:space="preserve"> </w:t>
            </w:r>
            <w:r w:rsidR="003F2F02" w:rsidRPr="00024D5A">
              <w:rPr>
                <w:rFonts w:ascii="Garamond" w:eastAsia="Times New Roman" w:hAnsi="Garamond"/>
                <w:sz w:val="6"/>
                <w:szCs w:val="6"/>
                <w:lang w:eastAsia="en-US"/>
              </w:rPr>
              <w:t>vendës</w:t>
            </w:r>
            <w:r w:rsidRPr="00024D5A">
              <w:rPr>
                <w:rFonts w:ascii="Garamond" w:eastAsia="Times New Roman" w:hAnsi="Garamond"/>
                <w:sz w:val="6"/>
                <w:szCs w:val="6"/>
                <w:lang w:eastAsia="en-US"/>
              </w:rPr>
              <w:t xml:space="preserve"> dhe të huaj/DNJF</w:t>
            </w:r>
          </w:p>
        </w:tc>
        <w:tc>
          <w:tcPr>
            <w:tcW w:w="188" w:type="pct"/>
            <w:tcBorders>
              <w:top w:val="nil"/>
              <w:left w:val="nil"/>
              <w:bottom w:val="single" w:sz="4" w:space="0" w:color="auto"/>
              <w:right w:val="single" w:sz="4" w:space="0" w:color="auto"/>
            </w:tcBorders>
            <w:shd w:val="clear" w:color="000000" w:fill="DCE6F1"/>
            <w:vAlign w:val="center"/>
            <w:hideMark/>
          </w:tcPr>
          <w:p w14:paraId="4C1AA863" w14:textId="5F47ACD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178,734</w:t>
            </w:r>
          </w:p>
        </w:tc>
        <w:tc>
          <w:tcPr>
            <w:tcW w:w="190" w:type="pct"/>
            <w:tcBorders>
              <w:top w:val="nil"/>
              <w:left w:val="nil"/>
              <w:bottom w:val="single" w:sz="4" w:space="0" w:color="auto"/>
              <w:right w:val="single" w:sz="4" w:space="0" w:color="auto"/>
            </w:tcBorders>
            <w:shd w:val="clear" w:color="000000" w:fill="DCE6F1"/>
            <w:vAlign w:val="center"/>
            <w:hideMark/>
          </w:tcPr>
          <w:p w14:paraId="35BAB0E9" w14:textId="453F19F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178,734</w:t>
            </w:r>
          </w:p>
        </w:tc>
        <w:tc>
          <w:tcPr>
            <w:tcW w:w="190" w:type="pct"/>
            <w:tcBorders>
              <w:top w:val="nil"/>
              <w:left w:val="nil"/>
              <w:bottom w:val="single" w:sz="4" w:space="0" w:color="auto"/>
              <w:right w:val="single" w:sz="4" w:space="0" w:color="auto"/>
            </w:tcBorders>
            <w:shd w:val="clear" w:color="000000" w:fill="DCE6F1"/>
            <w:vAlign w:val="center"/>
            <w:hideMark/>
          </w:tcPr>
          <w:p w14:paraId="5621B768" w14:textId="23C50A4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178,734</w:t>
            </w:r>
          </w:p>
        </w:tc>
        <w:tc>
          <w:tcPr>
            <w:tcW w:w="190" w:type="pct"/>
            <w:tcBorders>
              <w:top w:val="nil"/>
              <w:left w:val="nil"/>
              <w:bottom w:val="single" w:sz="4" w:space="0" w:color="auto"/>
              <w:right w:val="single" w:sz="4" w:space="0" w:color="auto"/>
            </w:tcBorders>
            <w:shd w:val="clear" w:color="000000" w:fill="DCE6F1"/>
            <w:vAlign w:val="center"/>
            <w:hideMark/>
          </w:tcPr>
          <w:p w14:paraId="6685E5AC" w14:textId="1C79618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178,734</w:t>
            </w:r>
          </w:p>
        </w:tc>
        <w:tc>
          <w:tcPr>
            <w:tcW w:w="187" w:type="pct"/>
            <w:tcBorders>
              <w:top w:val="nil"/>
              <w:left w:val="nil"/>
              <w:bottom w:val="single" w:sz="4" w:space="0" w:color="auto"/>
              <w:right w:val="single" w:sz="4" w:space="0" w:color="auto"/>
            </w:tcBorders>
            <w:shd w:val="clear" w:color="000000" w:fill="DCE6F1"/>
            <w:vAlign w:val="center"/>
            <w:hideMark/>
          </w:tcPr>
          <w:p w14:paraId="39C8EFF8" w14:textId="4EBAA0E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178,734</w:t>
            </w:r>
          </w:p>
        </w:tc>
        <w:tc>
          <w:tcPr>
            <w:tcW w:w="200" w:type="pct"/>
            <w:tcBorders>
              <w:top w:val="nil"/>
              <w:left w:val="nil"/>
              <w:bottom w:val="single" w:sz="4" w:space="0" w:color="auto"/>
              <w:right w:val="nil"/>
            </w:tcBorders>
            <w:shd w:val="clear" w:color="000000" w:fill="DCE6F1"/>
            <w:vAlign w:val="center"/>
            <w:hideMark/>
          </w:tcPr>
          <w:p w14:paraId="6CAAD9ED" w14:textId="00DEF1F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893,670</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71775B52" w14:textId="6DB4B71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891,134</w:t>
            </w:r>
          </w:p>
        </w:tc>
        <w:tc>
          <w:tcPr>
            <w:tcW w:w="209" w:type="pct"/>
            <w:tcBorders>
              <w:top w:val="nil"/>
              <w:left w:val="nil"/>
              <w:bottom w:val="single" w:sz="4" w:space="0" w:color="auto"/>
              <w:right w:val="single" w:sz="4" w:space="0" w:color="auto"/>
            </w:tcBorders>
            <w:shd w:val="clear" w:color="000000" w:fill="DCE6F1"/>
            <w:vAlign w:val="center"/>
            <w:hideMark/>
          </w:tcPr>
          <w:p w14:paraId="0AF74D4E" w14:textId="58CDA25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5" w:type="pct"/>
            <w:tcBorders>
              <w:top w:val="nil"/>
              <w:left w:val="nil"/>
              <w:bottom w:val="single" w:sz="4" w:space="0" w:color="auto"/>
              <w:right w:val="single" w:sz="8" w:space="0" w:color="auto"/>
            </w:tcBorders>
            <w:shd w:val="clear" w:color="000000" w:fill="DCE6F1"/>
            <w:vAlign w:val="center"/>
            <w:hideMark/>
          </w:tcPr>
          <w:p w14:paraId="4C5D6E32" w14:textId="1331219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2,536</w:t>
            </w:r>
          </w:p>
        </w:tc>
        <w:tc>
          <w:tcPr>
            <w:tcW w:w="202" w:type="pct"/>
            <w:tcBorders>
              <w:top w:val="nil"/>
              <w:left w:val="nil"/>
              <w:bottom w:val="single" w:sz="4" w:space="0" w:color="auto"/>
              <w:right w:val="single" w:sz="4" w:space="0" w:color="auto"/>
            </w:tcBorders>
            <w:shd w:val="clear" w:color="000000" w:fill="DCE6F1"/>
            <w:vAlign w:val="center"/>
            <w:hideMark/>
          </w:tcPr>
          <w:p w14:paraId="37594B3B" w14:textId="13B9EB8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9,309,067</w:t>
            </w:r>
          </w:p>
        </w:tc>
        <w:tc>
          <w:tcPr>
            <w:tcW w:w="200" w:type="pct"/>
            <w:tcBorders>
              <w:top w:val="nil"/>
              <w:left w:val="nil"/>
              <w:bottom w:val="single" w:sz="4" w:space="0" w:color="auto"/>
              <w:right w:val="single" w:sz="4" w:space="0" w:color="auto"/>
            </w:tcBorders>
            <w:shd w:val="clear" w:color="000000" w:fill="DCE6F1"/>
            <w:vAlign w:val="center"/>
            <w:hideMark/>
          </w:tcPr>
          <w:p w14:paraId="77A7F2D1" w14:textId="6D4B5FD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9,282,647</w:t>
            </w:r>
          </w:p>
        </w:tc>
        <w:tc>
          <w:tcPr>
            <w:tcW w:w="197" w:type="pct"/>
            <w:tcBorders>
              <w:top w:val="nil"/>
              <w:left w:val="nil"/>
              <w:bottom w:val="single" w:sz="4" w:space="0" w:color="auto"/>
              <w:right w:val="single" w:sz="4" w:space="0" w:color="auto"/>
            </w:tcBorders>
            <w:shd w:val="clear" w:color="000000" w:fill="DCE6F1"/>
            <w:vAlign w:val="center"/>
            <w:hideMark/>
          </w:tcPr>
          <w:p w14:paraId="011B3AB5" w14:textId="05520C7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single" w:sz="8" w:space="0" w:color="auto"/>
            </w:tcBorders>
            <w:shd w:val="clear" w:color="000000" w:fill="DCE6F1"/>
            <w:vAlign w:val="center"/>
            <w:hideMark/>
          </w:tcPr>
          <w:p w14:paraId="0CA7F21F" w14:textId="23576AF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26,420</w:t>
            </w:r>
          </w:p>
        </w:tc>
      </w:tr>
      <w:tr w:rsidR="00387E5A" w:rsidRPr="00024D5A" w14:paraId="28AEE02D"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7F3847E4" w14:textId="11732DEE"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Masa prioritare 1.3</w:t>
            </w:r>
            <w:r w:rsidR="00AC5DA9">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Ndërgjegjësimi i profesionistëve të </w:t>
            </w:r>
            <w:r w:rsidR="001D6785" w:rsidRPr="00024D5A">
              <w:rPr>
                <w:rFonts w:ascii="Garamond" w:eastAsia="Times New Roman" w:hAnsi="Garamond" w:cs="Calibri"/>
                <w:b/>
                <w:bCs/>
                <w:sz w:val="6"/>
                <w:szCs w:val="6"/>
                <w:lang w:eastAsia="en-US"/>
              </w:rPr>
              <w:t>sistemit</w:t>
            </w:r>
            <w:r w:rsidRPr="00024D5A">
              <w:rPr>
                <w:rFonts w:ascii="Garamond" w:eastAsia="Times New Roman" w:hAnsi="Garamond" w:cs="Calibri"/>
                <w:b/>
                <w:bCs/>
                <w:sz w:val="6"/>
                <w:szCs w:val="6"/>
                <w:lang w:eastAsia="en-US"/>
              </w:rPr>
              <w:t xml:space="preserve"> të drejtësisë mbi të drejtën për të pa</w:t>
            </w:r>
            <w:r w:rsidR="00984E7C" w:rsidRPr="00024D5A">
              <w:rPr>
                <w:rFonts w:ascii="Garamond" w:eastAsia="Times New Roman" w:hAnsi="Garamond" w:cs="Calibri"/>
                <w:b/>
                <w:bCs/>
                <w:sz w:val="6"/>
                <w:szCs w:val="6"/>
                <w:lang w:eastAsia="en-US"/>
              </w:rPr>
              <w:t>s</w:t>
            </w:r>
            <w:r w:rsidRPr="00024D5A">
              <w:rPr>
                <w:rFonts w:ascii="Garamond" w:eastAsia="Times New Roman" w:hAnsi="Garamond" w:cs="Calibri"/>
                <w:b/>
                <w:bCs/>
                <w:sz w:val="6"/>
                <w:szCs w:val="6"/>
                <w:lang w:eastAsia="en-US"/>
              </w:rPr>
              <w:t xml:space="preserve">ur akses në drejtësi të personave me aftësi të kufizuara, bazuar në praktikat dhe </w:t>
            </w:r>
            <w:r w:rsidR="001D6785" w:rsidRPr="00024D5A">
              <w:rPr>
                <w:rFonts w:ascii="Garamond" w:eastAsia="Times New Roman" w:hAnsi="Garamond" w:cs="Calibri"/>
                <w:b/>
                <w:bCs/>
                <w:sz w:val="6"/>
                <w:szCs w:val="6"/>
                <w:lang w:eastAsia="en-US"/>
              </w:rPr>
              <w:t>standardet</w:t>
            </w:r>
            <w:r w:rsidRPr="00024D5A">
              <w:rPr>
                <w:rFonts w:ascii="Garamond" w:eastAsia="Times New Roman" w:hAnsi="Garamond" w:cs="Calibri"/>
                <w:b/>
                <w:bCs/>
                <w:sz w:val="6"/>
                <w:szCs w:val="6"/>
                <w:lang w:eastAsia="en-US"/>
              </w:rPr>
              <w:t xml:space="preserve"> më të mira ndërkombëtare.</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2D2AECC7"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2026</w:t>
            </w:r>
          </w:p>
        </w:tc>
        <w:tc>
          <w:tcPr>
            <w:tcW w:w="226" w:type="pct"/>
            <w:tcBorders>
              <w:top w:val="nil"/>
              <w:left w:val="nil"/>
              <w:bottom w:val="single" w:sz="4" w:space="0" w:color="auto"/>
              <w:right w:val="single" w:sz="4" w:space="0" w:color="auto"/>
            </w:tcBorders>
            <w:shd w:val="clear" w:color="000000" w:fill="DCE6F1"/>
            <w:vAlign w:val="center"/>
            <w:hideMark/>
          </w:tcPr>
          <w:p w14:paraId="62CA6296"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2028</w:t>
            </w:r>
          </w:p>
        </w:tc>
        <w:tc>
          <w:tcPr>
            <w:tcW w:w="664" w:type="pct"/>
            <w:tcBorders>
              <w:top w:val="nil"/>
              <w:left w:val="nil"/>
              <w:bottom w:val="single" w:sz="4" w:space="0" w:color="auto"/>
              <w:right w:val="single" w:sz="4" w:space="0" w:color="auto"/>
            </w:tcBorders>
            <w:shd w:val="clear" w:color="000000" w:fill="DCE6F1"/>
            <w:vAlign w:val="center"/>
            <w:hideMark/>
          </w:tcPr>
          <w:p w14:paraId="0934FB99"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SHM/DHASH/DHKN</w:t>
            </w:r>
          </w:p>
        </w:tc>
        <w:tc>
          <w:tcPr>
            <w:tcW w:w="792" w:type="pct"/>
            <w:tcBorders>
              <w:top w:val="nil"/>
              <w:left w:val="nil"/>
              <w:bottom w:val="single" w:sz="4" w:space="0" w:color="auto"/>
              <w:right w:val="single" w:sz="8" w:space="0" w:color="auto"/>
            </w:tcBorders>
            <w:shd w:val="clear" w:color="000000" w:fill="DCE6F1"/>
            <w:vAlign w:val="center"/>
            <w:hideMark/>
          </w:tcPr>
          <w:p w14:paraId="50A4CDA9"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MD</w:t>
            </w:r>
          </w:p>
        </w:tc>
        <w:tc>
          <w:tcPr>
            <w:tcW w:w="188" w:type="pct"/>
            <w:tcBorders>
              <w:top w:val="nil"/>
              <w:left w:val="nil"/>
              <w:bottom w:val="single" w:sz="4" w:space="0" w:color="auto"/>
              <w:right w:val="single" w:sz="4" w:space="0" w:color="auto"/>
            </w:tcBorders>
            <w:shd w:val="clear" w:color="000000" w:fill="DCE6F1"/>
            <w:vAlign w:val="center"/>
            <w:hideMark/>
          </w:tcPr>
          <w:p w14:paraId="5D72A542" w14:textId="3F01179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2,467</w:t>
            </w:r>
          </w:p>
        </w:tc>
        <w:tc>
          <w:tcPr>
            <w:tcW w:w="190" w:type="pct"/>
            <w:tcBorders>
              <w:top w:val="nil"/>
              <w:left w:val="nil"/>
              <w:bottom w:val="single" w:sz="4" w:space="0" w:color="auto"/>
              <w:right w:val="single" w:sz="4" w:space="0" w:color="auto"/>
            </w:tcBorders>
            <w:shd w:val="clear" w:color="000000" w:fill="DCE6F1"/>
            <w:vAlign w:val="center"/>
            <w:hideMark/>
          </w:tcPr>
          <w:p w14:paraId="123ABF27" w14:textId="3080145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1,467</w:t>
            </w:r>
          </w:p>
        </w:tc>
        <w:tc>
          <w:tcPr>
            <w:tcW w:w="190" w:type="pct"/>
            <w:tcBorders>
              <w:top w:val="nil"/>
              <w:left w:val="nil"/>
              <w:bottom w:val="single" w:sz="4" w:space="0" w:color="auto"/>
              <w:right w:val="single" w:sz="4" w:space="0" w:color="auto"/>
            </w:tcBorders>
            <w:shd w:val="clear" w:color="000000" w:fill="DCE6F1"/>
            <w:vAlign w:val="center"/>
            <w:hideMark/>
          </w:tcPr>
          <w:p w14:paraId="72C3FD67" w14:textId="477A2DA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1,467</w:t>
            </w:r>
          </w:p>
        </w:tc>
        <w:tc>
          <w:tcPr>
            <w:tcW w:w="190" w:type="pct"/>
            <w:tcBorders>
              <w:top w:val="nil"/>
              <w:left w:val="nil"/>
              <w:bottom w:val="single" w:sz="4" w:space="0" w:color="auto"/>
              <w:right w:val="single" w:sz="4" w:space="0" w:color="auto"/>
            </w:tcBorders>
            <w:shd w:val="clear" w:color="000000" w:fill="DCE6F1"/>
            <w:vAlign w:val="center"/>
            <w:hideMark/>
          </w:tcPr>
          <w:p w14:paraId="63DD4822" w14:textId="26C6188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3,950</w:t>
            </w:r>
          </w:p>
        </w:tc>
        <w:tc>
          <w:tcPr>
            <w:tcW w:w="187" w:type="pct"/>
            <w:tcBorders>
              <w:top w:val="nil"/>
              <w:left w:val="nil"/>
              <w:bottom w:val="single" w:sz="4" w:space="0" w:color="auto"/>
              <w:right w:val="single" w:sz="4" w:space="0" w:color="auto"/>
            </w:tcBorders>
            <w:shd w:val="clear" w:color="000000" w:fill="DCE6F1"/>
            <w:vAlign w:val="center"/>
            <w:hideMark/>
          </w:tcPr>
          <w:p w14:paraId="3B2539F6" w14:textId="7B516A6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3,950</w:t>
            </w:r>
          </w:p>
        </w:tc>
        <w:tc>
          <w:tcPr>
            <w:tcW w:w="200" w:type="pct"/>
            <w:tcBorders>
              <w:top w:val="nil"/>
              <w:left w:val="nil"/>
              <w:bottom w:val="single" w:sz="4" w:space="0" w:color="auto"/>
              <w:right w:val="nil"/>
            </w:tcBorders>
            <w:shd w:val="clear" w:color="000000" w:fill="DCE6F1"/>
            <w:vAlign w:val="center"/>
            <w:hideMark/>
          </w:tcPr>
          <w:p w14:paraId="1E2D64A4" w14:textId="32B3A06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13,300</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4E7AABFD" w14:textId="741F51D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209" w:type="pct"/>
            <w:tcBorders>
              <w:top w:val="nil"/>
              <w:left w:val="nil"/>
              <w:bottom w:val="single" w:sz="4" w:space="0" w:color="auto"/>
              <w:right w:val="single" w:sz="4" w:space="0" w:color="auto"/>
            </w:tcBorders>
            <w:shd w:val="clear" w:color="000000" w:fill="DCE6F1"/>
            <w:vAlign w:val="center"/>
            <w:hideMark/>
          </w:tcPr>
          <w:p w14:paraId="5324DC87" w14:textId="7AA727C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2,467</w:t>
            </w:r>
          </w:p>
        </w:tc>
        <w:tc>
          <w:tcPr>
            <w:tcW w:w="195" w:type="pct"/>
            <w:tcBorders>
              <w:top w:val="nil"/>
              <w:left w:val="nil"/>
              <w:bottom w:val="single" w:sz="4" w:space="0" w:color="auto"/>
              <w:right w:val="single" w:sz="8" w:space="0" w:color="auto"/>
            </w:tcBorders>
            <w:shd w:val="clear" w:color="000000" w:fill="DCE6F1"/>
            <w:vAlign w:val="center"/>
            <w:hideMark/>
          </w:tcPr>
          <w:p w14:paraId="482D1C28" w14:textId="7831EE9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10,833</w:t>
            </w:r>
          </w:p>
        </w:tc>
        <w:tc>
          <w:tcPr>
            <w:tcW w:w="202" w:type="pct"/>
            <w:tcBorders>
              <w:top w:val="nil"/>
              <w:left w:val="nil"/>
              <w:bottom w:val="single" w:sz="4" w:space="0" w:color="auto"/>
              <w:right w:val="single" w:sz="4" w:space="0" w:color="auto"/>
            </w:tcBorders>
            <w:shd w:val="clear" w:color="000000" w:fill="DCE6F1"/>
            <w:vAlign w:val="center"/>
            <w:hideMark/>
          </w:tcPr>
          <w:p w14:paraId="059E00B4" w14:textId="7B358DF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138,542</w:t>
            </w:r>
          </w:p>
        </w:tc>
        <w:tc>
          <w:tcPr>
            <w:tcW w:w="200" w:type="pct"/>
            <w:tcBorders>
              <w:top w:val="nil"/>
              <w:left w:val="nil"/>
              <w:bottom w:val="single" w:sz="4" w:space="0" w:color="auto"/>
              <w:right w:val="single" w:sz="4" w:space="0" w:color="auto"/>
            </w:tcBorders>
            <w:shd w:val="clear" w:color="000000" w:fill="DCE6F1"/>
            <w:vAlign w:val="center"/>
            <w:hideMark/>
          </w:tcPr>
          <w:p w14:paraId="198DA886" w14:textId="0E60CEC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7" w:type="pct"/>
            <w:tcBorders>
              <w:top w:val="nil"/>
              <w:left w:val="nil"/>
              <w:bottom w:val="single" w:sz="4" w:space="0" w:color="auto"/>
              <w:right w:val="single" w:sz="4" w:space="0" w:color="auto"/>
            </w:tcBorders>
            <w:shd w:val="clear" w:color="000000" w:fill="DCE6F1"/>
            <w:vAlign w:val="center"/>
            <w:hideMark/>
          </w:tcPr>
          <w:p w14:paraId="6A86D9D2" w14:textId="203DD69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25,698</w:t>
            </w:r>
          </w:p>
        </w:tc>
        <w:tc>
          <w:tcPr>
            <w:tcW w:w="342" w:type="pct"/>
            <w:tcBorders>
              <w:top w:val="nil"/>
              <w:left w:val="nil"/>
              <w:bottom w:val="single" w:sz="4" w:space="0" w:color="auto"/>
              <w:right w:val="single" w:sz="8" w:space="0" w:color="auto"/>
            </w:tcBorders>
            <w:shd w:val="clear" w:color="000000" w:fill="DCE6F1"/>
            <w:vAlign w:val="center"/>
            <w:hideMark/>
          </w:tcPr>
          <w:p w14:paraId="525F2F85" w14:textId="01720F0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112,844</w:t>
            </w:r>
          </w:p>
        </w:tc>
      </w:tr>
      <w:tr w:rsidR="00387E5A" w:rsidRPr="00024D5A" w14:paraId="6977A56A"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57DAF68A" w14:textId="767A5AE7"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Masa prioritare 1.4</w:t>
            </w:r>
            <w:r w:rsidR="00AC5DA9">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Garantimi i aksesueshmërisë në mjedise, informacion e komunikim për personat me aftësi të kufizuara në institucione të sistemit të drejtësisë, apo të lidhura me të.</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0630DDF5"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2026</w:t>
            </w:r>
          </w:p>
        </w:tc>
        <w:tc>
          <w:tcPr>
            <w:tcW w:w="226" w:type="pct"/>
            <w:tcBorders>
              <w:top w:val="nil"/>
              <w:left w:val="nil"/>
              <w:bottom w:val="single" w:sz="4" w:space="0" w:color="auto"/>
              <w:right w:val="single" w:sz="4" w:space="0" w:color="auto"/>
            </w:tcBorders>
            <w:shd w:val="clear" w:color="000000" w:fill="DCE6F1"/>
            <w:vAlign w:val="center"/>
            <w:hideMark/>
          </w:tcPr>
          <w:p w14:paraId="1BBFC0F8"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265AB014"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KLGJ/KLP/DPP/DHKA/DHKN/SHM</w:t>
            </w:r>
          </w:p>
        </w:tc>
        <w:tc>
          <w:tcPr>
            <w:tcW w:w="792" w:type="pct"/>
            <w:tcBorders>
              <w:top w:val="nil"/>
              <w:left w:val="nil"/>
              <w:bottom w:val="single" w:sz="4" w:space="0" w:color="auto"/>
              <w:right w:val="single" w:sz="8" w:space="0" w:color="auto"/>
            </w:tcBorders>
            <w:shd w:val="clear" w:color="000000" w:fill="DCE6F1"/>
            <w:vAlign w:val="center"/>
            <w:hideMark/>
          </w:tcPr>
          <w:p w14:paraId="0021BBC6" w14:textId="0FB84EDA" w:rsidR="00DE4FCB" w:rsidRPr="00024D5A" w:rsidRDefault="00DE4FCB" w:rsidP="00387E5A">
            <w:pPr>
              <w:jc w:val="center"/>
              <w:rPr>
                <w:rFonts w:ascii="Garamond" w:eastAsia="Times New Roman" w:hAnsi="Garamond" w:cs="Calibri"/>
                <w:sz w:val="6"/>
                <w:szCs w:val="6"/>
                <w:lang w:eastAsia="en-US"/>
              </w:rPr>
            </w:pPr>
          </w:p>
        </w:tc>
        <w:tc>
          <w:tcPr>
            <w:tcW w:w="188" w:type="pct"/>
            <w:tcBorders>
              <w:top w:val="nil"/>
              <w:left w:val="nil"/>
              <w:bottom w:val="single" w:sz="4" w:space="0" w:color="auto"/>
              <w:right w:val="single" w:sz="4" w:space="0" w:color="auto"/>
            </w:tcBorders>
            <w:shd w:val="clear" w:color="000000" w:fill="DCE6F1"/>
            <w:vAlign w:val="center"/>
            <w:hideMark/>
          </w:tcPr>
          <w:p w14:paraId="292D3981" w14:textId="50F8322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3,600</w:t>
            </w:r>
          </w:p>
        </w:tc>
        <w:tc>
          <w:tcPr>
            <w:tcW w:w="190" w:type="pct"/>
            <w:tcBorders>
              <w:top w:val="nil"/>
              <w:left w:val="nil"/>
              <w:bottom w:val="single" w:sz="4" w:space="0" w:color="auto"/>
              <w:right w:val="single" w:sz="4" w:space="0" w:color="auto"/>
            </w:tcBorders>
            <w:shd w:val="clear" w:color="000000" w:fill="DCE6F1"/>
            <w:vAlign w:val="center"/>
            <w:hideMark/>
          </w:tcPr>
          <w:p w14:paraId="4703C189" w14:textId="38B740B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3,600</w:t>
            </w:r>
          </w:p>
        </w:tc>
        <w:tc>
          <w:tcPr>
            <w:tcW w:w="190" w:type="pct"/>
            <w:tcBorders>
              <w:top w:val="nil"/>
              <w:left w:val="nil"/>
              <w:bottom w:val="single" w:sz="4" w:space="0" w:color="auto"/>
              <w:right w:val="single" w:sz="4" w:space="0" w:color="auto"/>
            </w:tcBorders>
            <w:shd w:val="clear" w:color="000000" w:fill="DCE6F1"/>
            <w:vAlign w:val="center"/>
            <w:hideMark/>
          </w:tcPr>
          <w:p w14:paraId="76248B6B" w14:textId="051D4B0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3,600</w:t>
            </w:r>
          </w:p>
        </w:tc>
        <w:tc>
          <w:tcPr>
            <w:tcW w:w="190" w:type="pct"/>
            <w:tcBorders>
              <w:top w:val="nil"/>
              <w:left w:val="nil"/>
              <w:bottom w:val="single" w:sz="4" w:space="0" w:color="auto"/>
              <w:right w:val="single" w:sz="4" w:space="0" w:color="auto"/>
            </w:tcBorders>
            <w:shd w:val="clear" w:color="000000" w:fill="DCE6F1"/>
            <w:vAlign w:val="center"/>
            <w:hideMark/>
          </w:tcPr>
          <w:p w14:paraId="7305823A" w14:textId="034428C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87" w:type="pct"/>
            <w:tcBorders>
              <w:top w:val="nil"/>
              <w:left w:val="nil"/>
              <w:bottom w:val="single" w:sz="4" w:space="0" w:color="auto"/>
              <w:right w:val="single" w:sz="4" w:space="0" w:color="auto"/>
            </w:tcBorders>
            <w:shd w:val="clear" w:color="000000" w:fill="DCE6F1"/>
            <w:vAlign w:val="center"/>
            <w:hideMark/>
          </w:tcPr>
          <w:p w14:paraId="3561DCBD" w14:textId="7C1F640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200" w:type="pct"/>
            <w:tcBorders>
              <w:top w:val="nil"/>
              <w:left w:val="nil"/>
              <w:bottom w:val="single" w:sz="4" w:space="0" w:color="auto"/>
              <w:right w:val="nil"/>
            </w:tcBorders>
            <w:shd w:val="clear" w:color="000000" w:fill="DCE6F1"/>
            <w:vAlign w:val="center"/>
            <w:hideMark/>
          </w:tcPr>
          <w:p w14:paraId="065E0745" w14:textId="54E6DD5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10,800</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604995EA" w14:textId="5AAF334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209" w:type="pct"/>
            <w:tcBorders>
              <w:top w:val="nil"/>
              <w:left w:val="nil"/>
              <w:bottom w:val="single" w:sz="4" w:space="0" w:color="auto"/>
              <w:right w:val="single" w:sz="4" w:space="0" w:color="auto"/>
            </w:tcBorders>
            <w:shd w:val="clear" w:color="000000" w:fill="DCE6F1"/>
            <w:vAlign w:val="center"/>
            <w:hideMark/>
          </w:tcPr>
          <w:p w14:paraId="02092687" w14:textId="6DC69FA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3,600</w:t>
            </w:r>
          </w:p>
        </w:tc>
        <w:tc>
          <w:tcPr>
            <w:tcW w:w="195" w:type="pct"/>
            <w:tcBorders>
              <w:top w:val="nil"/>
              <w:left w:val="nil"/>
              <w:bottom w:val="single" w:sz="4" w:space="0" w:color="auto"/>
              <w:right w:val="single" w:sz="8" w:space="0" w:color="auto"/>
            </w:tcBorders>
            <w:shd w:val="clear" w:color="000000" w:fill="DCE6F1"/>
            <w:vAlign w:val="center"/>
            <w:hideMark/>
          </w:tcPr>
          <w:p w14:paraId="3417A777" w14:textId="29E0D15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7,200</w:t>
            </w:r>
          </w:p>
        </w:tc>
        <w:tc>
          <w:tcPr>
            <w:tcW w:w="202" w:type="pct"/>
            <w:tcBorders>
              <w:top w:val="nil"/>
              <w:left w:val="nil"/>
              <w:bottom w:val="single" w:sz="4" w:space="0" w:color="auto"/>
              <w:right w:val="single" w:sz="4" w:space="0" w:color="auto"/>
            </w:tcBorders>
            <w:shd w:val="clear" w:color="000000" w:fill="DCE6F1"/>
            <w:vAlign w:val="center"/>
            <w:hideMark/>
          </w:tcPr>
          <w:p w14:paraId="0A805056" w14:textId="1BDF33D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112,500</w:t>
            </w:r>
          </w:p>
        </w:tc>
        <w:tc>
          <w:tcPr>
            <w:tcW w:w="200" w:type="pct"/>
            <w:tcBorders>
              <w:top w:val="nil"/>
              <w:left w:val="nil"/>
              <w:bottom w:val="single" w:sz="4" w:space="0" w:color="auto"/>
              <w:right w:val="single" w:sz="4" w:space="0" w:color="auto"/>
            </w:tcBorders>
            <w:shd w:val="clear" w:color="000000" w:fill="DCE6F1"/>
            <w:vAlign w:val="center"/>
            <w:hideMark/>
          </w:tcPr>
          <w:p w14:paraId="77969E06" w14:textId="5DFA474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7" w:type="pct"/>
            <w:tcBorders>
              <w:top w:val="nil"/>
              <w:left w:val="nil"/>
              <w:bottom w:val="single" w:sz="4" w:space="0" w:color="auto"/>
              <w:right w:val="single" w:sz="4" w:space="0" w:color="auto"/>
            </w:tcBorders>
            <w:shd w:val="clear" w:color="000000" w:fill="DCE6F1"/>
            <w:vAlign w:val="center"/>
            <w:hideMark/>
          </w:tcPr>
          <w:p w14:paraId="68394184" w14:textId="66538DE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37,500</w:t>
            </w:r>
          </w:p>
        </w:tc>
        <w:tc>
          <w:tcPr>
            <w:tcW w:w="342" w:type="pct"/>
            <w:tcBorders>
              <w:top w:val="nil"/>
              <w:left w:val="nil"/>
              <w:bottom w:val="single" w:sz="4" w:space="0" w:color="auto"/>
              <w:right w:val="single" w:sz="8" w:space="0" w:color="auto"/>
            </w:tcBorders>
            <w:shd w:val="clear" w:color="000000" w:fill="DCE6F1"/>
            <w:vAlign w:val="center"/>
            <w:hideMark/>
          </w:tcPr>
          <w:p w14:paraId="7793502C" w14:textId="32D2B4C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75,000</w:t>
            </w:r>
          </w:p>
        </w:tc>
      </w:tr>
      <w:tr w:rsidR="00387E5A" w:rsidRPr="00024D5A" w14:paraId="360ED03C" w14:textId="77777777" w:rsidTr="00387E5A">
        <w:trPr>
          <w:trHeight w:val="20"/>
        </w:trPr>
        <w:tc>
          <w:tcPr>
            <w:tcW w:w="375" w:type="pct"/>
            <w:tcBorders>
              <w:top w:val="nil"/>
              <w:left w:val="single" w:sz="4" w:space="0" w:color="auto"/>
              <w:bottom w:val="single" w:sz="4" w:space="0" w:color="auto"/>
              <w:right w:val="nil"/>
            </w:tcBorders>
            <w:shd w:val="clear" w:color="000000" w:fill="FDE9D9"/>
            <w:vAlign w:val="center"/>
            <w:hideMark/>
          </w:tcPr>
          <w:p w14:paraId="2E11B00C" w14:textId="0B40BF03"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Objektivi </w:t>
            </w:r>
            <w:r w:rsidR="007053C8" w:rsidRPr="00024D5A">
              <w:rPr>
                <w:rFonts w:ascii="Garamond" w:eastAsia="Times New Roman" w:hAnsi="Garamond" w:cs="Calibri"/>
                <w:b/>
                <w:bCs/>
                <w:sz w:val="6"/>
                <w:szCs w:val="6"/>
                <w:lang w:eastAsia="en-US"/>
              </w:rPr>
              <w:t xml:space="preserve">specifik </w:t>
            </w:r>
            <w:r w:rsidRPr="00024D5A">
              <w:rPr>
                <w:rFonts w:ascii="Garamond" w:eastAsia="Times New Roman" w:hAnsi="Garamond" w:cs="Calibri"/>
                <w:b/>
                <w:bCs/>
                <w:sz w:val="6"/>
                <w:szCs w:val="6"/>
                <w:lang w:eastAsia="en-US"/>
              </w:rPr>
              <w:t>2</w:t>
            </w:r>
            <w:r w:rsidR="00AC5DA9">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Të garantohet njohja e barabartë para ligjit dhe ushtrimi i plotë i zotësisë për të vepruar për personat me aftësi të kufizuara, duke zëvendësuar kujdestarinë me mekanizma të vendimmarrjes së mbështetur.</w:t>
            </w:r>
          </w:p>
        </w:tc>
        <w:tc>
          <w:tcPr>
            <w:tcW w:w="244" w:type="pct"/>
            <w:tcBorders>
              <w:top w:val="nil"/>
              <w:left w:val="single" w:sz="8" w:space="0" w:color="auto"/>
              <w:bottom w:val="single" w:sz="4" w:space="0" w:color="auto"/>
              <w:right w:val="single" w:sz="4" w:space="0" w:color="auto"/>
            </w:tcBorders>
            <w:shd w:val="clear" w:color="000000" w:fill="FDE9D9"/>
            <w:vAlign w:val="center"/>
            <w:hideMark/>
          </w:tcPr>
          <w:p w14:paraId="779B7C58"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0</w:t>
            </w:r>
          </w:p>
        </w:tc>
        <w:tc>
          <w:tcPr>
            <w:tcW w:w="226" w:type="pct"/>
            <w:tcBorders>
              <w:top w:val="nil"/>
              <w:left w:val="nil"/>
              <w:bottom w:val="single" w:sz="4" w:space="0" w:color="auto"/>
              <w:right w:val="single" w:sz="4" w:space="0" w:color="auto"/>
            </w:tcBorders>
            <w:shd w:val="clear" w:color="000000" w:fill="FDE9D9"/>
            <w:vAlign w:val="center"/>
            <w:hideMark/>
          </w:tcPr>
          <w:p w14:paraId="22FE40D2"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2030</w:t>
            </w:r>
          </w:p>
        </w:tc>
        <w:tc>
          <w:tcPr>
            <w:tcW w:w="664" w:type="pct"/>
            <w:tcBorders>
              <w:top w:val="nil"/>
              <w:left w:val="nil"/>
              <w:bottom w:val="single" w:sz="4" w:space="0" w:color="auto"/>
              <w:right w:val="single" w:sz="4" w:space="0" w:color="auto"/>
            </w:tcBorders>
            <w:shd w:val="clear" w:color="000000" w:fill="FDE9D9"/>
            <w:vAlign w:val="center"/>
            <w:hideMark/>
          </w:tcPr>
          <w:p w14:paraId="0F096DB7"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MD/MSHMS</w:t>
            </w:r>
          </w:p>
        </w:tc>
        <w:tc>
          <w:tcPr>
            <w:tcW w:w="792" w:type="pct"/>
            <w:tcBorders>
              <w:top w:val="nil"/>
              <w:left w:val="nil"/>
              <w:bottom w:val="single" w:sz="4" w:space="0" w:color="auto"/>
              <w:right w:val="single" w:sz="8" w:space="0" w:color="auto"/>
            </w:tcBorders>
            <w:shd w:val="clear" w:color="000000" w:fill="FDE9D9"/>
            <w:vAlign w:val="center"/>
            <w:hideMark/>
          </w:tcPr>
          <w:p w14:paraId="77C2CC82" w14:textId="586DD2FD" w:rsidR="00DE4FCB" w:rsidRPr="00024D5A" w:rsidRDefault="00DE4FCB" w:rsidP="00387E5A">
            <w:pPr>
              <w:jc w:val="center"/>
              <w:rPr>
                <w:rFonts w:ascii="Garamond" w:eastAsia="Times New Roman" w:hAnsi="Garamond" w:cs="Calibri"/>
                <w:sz w:val="6"/>
                <w:szCs w:val="6"/>
                <w:lang w:eastAsia="en-US"/>
              </w:rPr>
            </w:pPr>
          </w:p>
        </w:tc>
        <w:tc>
          <w:tcPr>
            <w:tcW w:w="188" w:type="pct"/>
            <w:tcBorders>
              <w:top w:val="nil"/>
              <w:left w:val="nil"/>
              <w:bottom w:val="single" w:sz="4" w:space="0" w:color="auto"/>
              <w:right w:val="single" w:sz="4" w:space="0" w:color="auto"/>
            </w:tcBorders>
            <w:shd w:val="clear" w:color="000000" w:fill="FDE9D9"/>
            <w:vAlign w:val="center"/>
            <w:hideMark/>
          </w:tcPr>
          <w:p w14:paraId="072C9EED" w14:textId="3914CAC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9,847</w:t>
            </w:r>
          </w:p>
        </w:tc>
        <w:tc>
          <w:tcPr>
            <w:tcW w:w="190" w:type="pct"/>
            <w:tcBorders>
              <w:top w:val="nil"/>
              <w:left w:val="nil"/>
              <w:bottom w:val="single" w:sz="4" w:space="0" w:color="auto"/>
              <w:right w:val="single" w:sz="4" w:space="0" w:color="auto"/>
            </w:tcBorders>
            <w:shd w:val="clear" w:color="000000" w:fill="FDE9D9"/>
            <w:vAlign w:val="center"/>
            <w:hideMark/>
          </w:tcPr>
          <w:p w14:paraId="55D99BC6" w14:textId="3F3EAB5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9,847</w:t>
            </w:r>
          </w:p>
        </w:tc>
        <w:tc>
          <w:tcPr>
            <w:tcW w:w="190" w:type="pct"/>
            <w:tcBorders>
              <w:top w:val="nil"/>
              <w:left w:val="nil"/>
              <w:bottom w:val="single" w:sz="4" w:space="0" w:color="auto"/>
              <w:right w:val="single" w:sz="4" w:space="0" w:color="auto"/>
            </w:tcBorders>
            <w:shd w:val="clear" w:color="000000" w:fill="FDE9D9"/>
            <w:vAlign w:val="center"/>
            <w:hideMark/>
          </w:tcPr>
          <w:p w14:paraId="1839E52E" w14:textId="63369D6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11,347</w:t>
            </w:r>
          </w:p>
        </w:tc>
        <w:tc>
          <w:tcPr>
            <w:tcW w:w="190" w:type="pct"/>
            <w:tcBorders>
              <w:top w:val="nil"/>
              <w:left w:val="nil"/>
              <w:bottom w:val="single" w:sz="4" w:space="0" w:color="auto"/>
              <w:right w:val="single" w:sz="4" w:space="0" w:color="auto"/>
            </w:tcBorders>
            <w:shd w:val="clear" w:color="000000" w:fill="FDE9D9"/>
            <w:vAlign w:val="center"/>
            <w:hideMark/>
          </w:tcPr>
          <w:p w14:paraId="0019DEEC" w14:textId="7DE16EF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12,180</w:t>
            </w:r>
          </w:p>
        </w:tc>
        <w:tc>
          <w:tcPr>
            <w:tcW w:w="187" w:type="pct"/>
            <w:tcBorders>
              <w:top w:val="nil"/>
              <w:left w:val="nil"/>
              <w:bottom w:val="single" w:sz="4" w:space="0" w:color="auto"/>
              <w:right w:val="single" w:sz="4" w:space="0" w:color="auto"/>
            </w:tcBorders>
            <w:shd w:val="clear" w:color="000000" w:fill="FDE9D9"/>
            <w:vAlign w:val="center"/>
            <w:hideMark/>
          </w:tcPr>
          <w:p w14:paraId="7B89A29A" w14:textId="5202BCC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9,180</w:t>
            </w:r>
          </w:p>
        </w:tc>
        <w:tc>
          <w:tcPr>
            <w:tcW w:w="200" w:type="pct"/>
            <w:tcBorders>
              <w:top w:val="nil"/>
              <w:left w:val="nil"/>
              <w:bottom w:val="single" w:sz="4" w:space="0" w:color="auto"/>
              <w:right w:val="nil"/>
            </w:tcBorders>
            <w:shd w:val="clear" w:color="000000" w:fill="FDE9D9"/>
            <w:vAlign w:val="center"/>
            <w:hideMark/>
          </w:tcPr>
          <w:p w14:paraId="6A2FE7DA" w14:textId="562C563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52,400</w:t>
            </w:r>
          </w:p>
        </w:tc>
        <w:tc>
          <w:tcPr>
            <w:tcW w:w="209" w:type="pct"/>
            <w:tcBorders>
              <w:top w:val="nil"/>
              <w:left w:val="single" w:sz="8" w:space="0" w:color="auto"/>
              <w:bottom w:val="single" w:sz="4" w:space="0" w:color="auto"/>
              <w:right w:val="single" w:sz="4" w:space="0" w:color="auto"/>
            </w:tcBorders>
            <w:shd w:val="clear" w:color="000000" w:fill="FDE9D9"/>
            <w:vAlign w:val="center"/>
            <w:hideMark/>
          </w:tcPr>
          <w:p w14:paraId="4ADE920D" w14:textId="45E5E85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3,000</w:t>
            </w:r>
          </w:p>
        </w:tc>
        <w:tc>
          <w:tcPr>
            <w:tcW w:w="209" w:type="pct"/>
            <w:tcBorders>
              <w:top w:val="nil"/>
              <w:left w:val="nil"/>
              <w:bottom w:val="single" w:sz="4" w:space="0" w:color="auto"/>
              <w:right w:val="single" w:sz="4" w:space="0" w:color="auto"/>
            </w:tcBorders>
            <w:shd w:val="clear" w:color="000000" w:fill="FDE9D9"/>
            <w:vAlign w:val="center"/>
            <w:hideMark/>
          </w:tcPr>
          <w:p w14:paraId="5795E03A" w14:textId="7709F8E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9,847</w:t>
            </w:r>
          </w:p>
        </w:tc>
        <w:tc>
          <w:tcPr>
            <w:tcW w:w="195" w:type="pct"/>
            <w:tcBorders>
              <w:top w:val="nil"/>
              <w:left w:val="nil"/>
              <w:bottom w:val="single" w:sz="4" w:space="0" w:color="auto"/>
              <w:right w:val="single" w:sz="8" w:space="0" w:color="auto"/>
            </w:tcBorders>
            <w:shd w:val="clear" w:color="000000" w:fill="FDE9D9"/>
            <w:vAlign w:val="center"/>
            <w:hideMark/>
          </w:tcPr>
          <w:p w14:paraId="2BC7F34E" w14:textId="06A9F0D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39,553</w:t>
            </w:r>
          </w:p>
        </w:tc>
        <w:tc>
          <w:tcPr>
            <w:tcW w:w="202" w:type="pct"/>
            <w:tcBorders>
              <w:top w:val="nil"/>
              <w:left w:val="nil"/>
              <w:bottom w:val="single" w:sz="4" w:space="0" w:color="auto"/>
              <w:right w:val="single" w:sz="4" w:space="0" w:color="auto"/>
            </w:tcBorders>
            <w:shd w:val="clear" w:color="000000" w:fill="FDE9D9"/>
            <w:vAlign w:val="center"/>
            <w:hideMark/>
          </w:tcPr>
          <w:p w14:paraId="30CDAFD5" w14:textId="74593A8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545,833</w:t>
            </w:r>
          </w:p>
        </w:tc>
        <w:tc>
          <w:tcPr>
            <w:tcW w:w="200" w:type="pct"/>
            <w:tcBorders>
              <w:top w:val="nil"/>
              <w:left w:val="nil"/>
              <w:bottom w:val="single" w:sz="4" w:space="0" w:color="auto"/>
              <w:right w:val="single" w:sz="4" w:space="0" w:color="auto"/>
            </w:tcBorders>
            <w:shd w:val="clear" w:color="000000" w:fill="FDE9D9"/>
            <w:vAlign w:val="center"/>
            <w:hideMark/>
          </w:tcPr>
          <w:p w14:paraId="5DDF5691" w14:textId="4CD7EF8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31,250</w:t>
            </w:r>
          </w:p>
        </w:tc>
        <w:tc>
          <w:tcPr>
            <w:tcW w:w="197" w:type="pct"/>
            <w:tcBorders>
              <w:top w:val="nil"/>
              <w:left w:val="nil"/>
              <w:bottom w:val="single" w:sz="4" w:space="0" w:color="auto"/>
              <w:right w:val="single" w:sz="4" w:space="0" w:color="auto"/>
            </w:tcBorders>
            <w:shd w:val="clear" w:color="000000" w:fill="FDE9D9"/>
            <w:vAlign w:val="center"/>
            <w:hideMark/>
          </w:tcPr>
          <w:p w14:paraId="5C08F0DC" w14:textId="21EC891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102,573</w:t>
            </w:r>
          </w:p>
        </w:tc>
        <w:tc>
          <w:tcPr>
            <w:tcW w:w="342" w:type="pct"/>
            <w:tcBorders>
              <w:top w:val="nil"/>
              <w:left w:val="nil"/>
              <w:bottom w:val="single" w:sz="4" w:space="0" w:color="auto"/>
              <w:right w:val="single" w:sz="8" w:space="0" w:color="auto"/>
            </w:tcBorders>
            <w:shd w:val="clear" w:color="000000" w:fill="FDE9D9"/>
            <w:vAlign w:val="center"/>
            <w:hideMark/>
          </w:tcPr>
          <w:p w14:paraId="5E0D0F3F" w14:textId="7580F3A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412,010</w:t>
            </w:r>
          </w:p>
        </w:tc>
      </w:tr>
      <w:tr w:rsidR="00387E5A" w:rsidRPr="00024D5A" w14:paraId="25535C19"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71575A4C" w14:textId="07B0E27B"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Masa </w:t>
            </w:r>
            <w:r w:rsidR="007053C8" w:rsidRPr="00024D5A">
              <w:rPr>
                <w:rFonts w:ascii="Garamond" w:eastAsia="Times New Roman" w:hAnsi="Garamond" w:cs="Calibri"/>
                <w:b/>
                <w:bCs/>
                <w:sz w:val="6"/>
                <w:szCs w:val="6"/>
                <w:lang w:eastAsia="en-US"/>
              </w:rPr>
              <w:t xml:space="preserve">prioritare </w:t>
            </w:r>
            <w:r w:rsidRPr="00024D5A">
              <w:rPr>
                <w:rFonts w:ascii="Garamond" w:eastAsia="Times New Roman" w:hAnsi="Garamond" w:cs="Calibri"/>
                <w:b/>
                <w:bCs/>
                <w:sz w:val="6"/>
                <w:szCs w:val="6"/>
                <w:lang w:eastAsia="en-US"/>
              </w:rPr>
              <w:t>2.1</w:t>
            </w:r>
            <w:r w:rsidR="00AC5DA9">
              <w:rPr>
                <w:rFonts w:ascii="Garamond" w:eastAsia="Times New Roman" w:hAnsi="Garamond" w:cs="Calibri"/>
                <w:b/>
                <w:bCs/>
                <w:sz w:val="6"/>
                <w:szCs w:val="6"/>
                <w:lang w:eastAsia="en-US"/>
              </w:rPr>
              <w:t>:</w:t>
            </w:r>
            <w:r w:rsidR="00E51640" w:rsidRPr="00024D5A">
              <w:rPr>
                <w:rFonts w:ascii="Garamond" w:eastAsia="Times New Roman" w:hAnsi="Garamond" w:cs="Calibri"/>
                <w:b/>
                <w:bCs/>
                <w:sz w:val="6"/>
                <w:szCs w:val="6"/>
                <w:lang w:eastAsia="en-US"/>
              </w:rPr>
              <w:t xml:space="preserve"> </w:t>
            </w:r>
            <w:r w:rsidRPr="00024D5A">
              <w:rPr>
                <w:rFonts w:ascii="Garamond" w:eastAsia="Times New Roman" w:hAnsi="Garamond" w:cs="Calibri"/>
                <w:b/>
                <w:bCs/>
                <w:sz w:val="6"/>
                <w:szCs w:val="6"/>
                <w:lang w:eastAsia="en-US"/>
              </w:rPr>
              <w:t>Përgatitja e kuadrit ligjor dhe fuqizimi i kapaciteteve për të mundësuar vendimmarrjen e mbështetur</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3F3000E8"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2026</w:t>
            </w:r>
          </w:p>
        </w:tc>
        <w:tc>
          <w:tcPr>
            <w:tcW w:w="226" w:type="pct"/>
            <w:tcBorders>
              <w:top w:val="nil"/>
              <w:left w:val="nil"/>
              <w:bottom w:val="single" w:sz="4" w:space="0" w:color="auto"/>
              <w:right w:val="single" w:sz="4" w:space="0" w:color="auto"/>
            </w:tcBorders>
            <w:shd w:val="clear" w:color="000000" w:fill="DCE6F1"/>
            <w:vAlign w:val="center"/>
            <w:hideMark/>
          </w:tcPr>
          <w:p w14:paraId="2F9FA251"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1A22D5B2"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MD/MSHMS</w:t>
            </w:r>
          </w:p>
        </w:tc>
        <w:tc>
          <w:tcPr>
            <w:tcW w:w="792" w:type="pct"/>
            <w:tcBorders>
              <w:top w:val="nil"/>
              <w:left w:val="nil"/>
              <w:bottom w:val="single" w:sz="4" w:space="0" w:color="auto"/>
              <w:right w:val="single" w:sz="8" w:space="0" w:color="auto"/>
            </w:tcBorders>
            <w:shd w:val="clear" w:color="000000" w:fill="DCE6F1"/>
            <w:vAlign w:val="center"/>
            <w:hideMark/>
          </w:tcPr>
          <w:p w14:paraId="456CC017" w14:textId="6F0F3FC0" w:rsidR="00DE4FCB" w:rsidRPr="00024D5A" w:rsidRDefault="00DE4FCB" w:rsidP="00387E5A">
            <w:pPr>
              <w:jc w:val="center"/>
              <w:rPr>
                <w:rFonts w:ascii="Garamond" w:eastAsia="Times New Roman" w:hAnsi="Garamond" w:cs="Calibri"/>
                <w:sz w:val="6"/>
                <w:szCs w:val="6"/>
                <w:lang w:eastAsia="en-US"/>
              </w:rPr>
            </w:pPr>
          </w:p>
        </w:tc>
        <w:tc>
          <w:tcPr>
            <w:tcW w:w="188" w:type="pct"/>
            <w:tcBorders>
              <w:top w:val="nil"/>
              <w:left w:val="nil"/>
              <w:bottom w:val="single" w:sz="4" w:space="0" w:color="auto"/>
              <w:right w:val="single" w:sz="4" w:space="0" w:color="auto"/>
            </w:tcBorders>
            <w:shd w:val="clear" w:color="000000" w:fill="DCE6F1"/>
            <w:vAlign w:val="center"/>
            <w:hideMark/>
          </w:tcPr>
          <w:p w14:paraId="7812158F" w14:textId="21F4EBF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9,847</w:t>
            </w:r>
          </w:p>
        </w:tc>
        <w:tc>
          <w:tcPr>
            <w:tcW w:w="190" w:type="pct"/>
            <w:tcBorders>
              <w:top w:val="nil"/>
              <w:left w:val="nil"/>
              <w:bottom w:val="single" w:sz="4" w:space="0" w:color="auto"/>
              <w:right w:val="single" w:sz="4" w:space="0" w:color="auto"/>
            </w:tcBorders>
            <w:shd w:val="clear" w:color="000000" w:fill="DCE6F1"/>
            <w:vAlign w:val="center"/>
            <w:hideMark/>
          </w:tcPr>
          <w:p w14:paraId="68D1FBAB" w14:textId="0D3ECFD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9,847</w:t>
            </w:r>
          </w:p>
        </w:tc>
        <w:tc>
          <w:tcPr>
            <w:tcW w:w="190" w:type="pct"/>
            <w:tcBorders>
              <w:top w:val="nil"/>
              <w:left w:val="nil"/>
              <w:bottom w:val="single" w:sz="4" w:space="0" w:color="auto"/>
              <w:right w:val="single" w:sz="4" w:space="0" w:color="auto"/>
            </w:tcBorders>
            <w:shd w:val="clear" w:color="000000" w:fill="DCE6F1"/>
            <w:vAlign w:val="center"/>
            <w:hideMark/>
          </w:tcPr>
          <w:p w14:paraId="5AB0BE8A" w14:textId="48C2436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11,347</w:t>
            </w:r>
          </w:p>
        </w:tc>
        <w:tc>
          <w:tcPr>
            <w:tcW w:w="190" w:type="pct"/>
            <w:tcBorders>
              <w:top w:val="nil"/>
              <w:left w:val="nil"/>
              <w:bottom w:val="single" w:sz="4" w:space="0" w:color="auto"/>
              <w:right w:val="single" w:sz="4" w:space="0" w:color="auto"/>
            </w:tcBorders>
            <w:shd w:val="clear" w:color="000000" w:fill="DCE6F1"/>
            <w:vAlign w:val="center"/>
            <w:hideMark/>
          </w:tcPr>
          <w:p w14:paraId="498A91CB" w14:textId="198AFA8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12,180</w:t>
            </w:r>
          </w:p>
        </w:tc>
        <w:tc>
          <w:tcPr>
            <w:tcW w:w="187" w:type="pct"/>
            <w:tcBorders>
              <w:top w:val="nil"/>
              <w:left w:val="nil"/>
              <w:bottom w:val="single" w:sz="4" w:space="0" w:color="auto"/>
              <w:right w:val="single" w:sz="4" w:space="0" w:color="auto"/>
            </w:tcBorders>
            <w:shd w:val="clear" w:color="000000" w:fill="DCE6F1"/>
            <w:vAlign w:val="center"/>
            <w:hideMark/>
          </w:tcPr>
          <w:p w14:paraId="6407F488" w14:textId="63A603E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9,180</w:t>
            </w:r>
          </w:p>
        </w:tc>
        <w:tc>
          <w:tcPr>
            <w:tcW w:w="200" w:type="pct"/>
            <w:tcBorders>
              <w:top w:val="nil"/>
              <w:left w:val="nil"/>
              <w:bottom w:val="single" w:sz="4" w:space="0" w:color="auto"/>
              <w:right w:val="nil"/>
            </w:tcBorders>
            <w:shd w:val="clear" w:color="000000" w:fill="DCE6F1"/>
            <w:vAlign w:val="center"/>
            <w:hideMark/>
          </w:tcPr>
          <w:p w14:paraId="203CF2CE" w14:textId="1BE7A3D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52,400</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5D3B83CE" w14:textId="10131EC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3,000</w:t>
            </w:r>
          </w:p>
        </w:tc>
        <w:tc>
          <w:tcPr>
            <w:tcW w:w="209" w:type="pct"/>
            <w:tcBorders>
              <w:top w:val="nil"/>
              <w:left w:val="nil"/>
              <w:bottom w:val="single" w:sz="4" w:space="0" w:color="auto"/>
              <w:right w:val="single" w:sz="4" w:space="0" w:color="auto"/>
            </w:tcBorders>
            <w:shd w:val="clear" w:color="000000" w:fill="DCE6F1"/>
            <w:vAlign w:val="center"/>
            <w:hideMark/>
          </w:tcPr>
          <w:p w14:paraId="4F3C4DCD" w14:textId="01900A3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9,847</w:t>
            </w:r>
          </w:p>
        </w:tc>
        <w:tc>
          <w:tcPr>
            <w:tcW w:w="195" w:type="pct"/>
            <w:tcBorders>
              <w:top w:val="nil"/>
              <w:left w:val="nil"/>
              <w:bottom w:val="single" w:sz="4" w:space="0" w:color="auto"/>
              <w:right w:val="single" w:sz="8" w:space="0" w:color="auto"/>
            </w:tcBorders>
            <w:shd w:val="clear" w:color="000000" w:fill="DCE6F1"/>
            <w:vAlign w:val="center"/>
            <w:hideMark/>
          </w:tcPr>
          <w:p w14:paraId="578194C0" w14:textId="082714D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39,553</w:t>
            </w:r>
          </w:p>
        </w:tc>
        <w:tc>
          <w:tcPr>
            <w:tcW w:w="202" w:type="pct"/>
            <w:tcBorders>
              <w:top w:val="nil"/>
              <w:left w:val="nil"/>
              <w:bottom w:val="single" w:sz="4" w:space="0" w:color="auto"/>
              <w:right w:val="single" w:sz="4" w:space="0" w:color="auto"/>
            </w:tcBorders>
            <w:shd w:val="clear" w:color="000000" w:fill="DCE6F1"/>
            <w:vAlign w:val="center"/>
            <w:hideMark/>
          </w:tcPr>
          <w:p w14:paraId="21347D71" w14:textId="7F91F97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545,833</w:t>
            </w:r>
          </w:p>
        </w:tc>
        <w:tc>
          <w:tcPr>
            <w:tcW w:w="200" w:type="pct"/>
            <w:tcBorders>
              <w:top w:val="nil"/>
              <w:left w:val="nil"/>
              <w:bottom w:val="single" w:sz="4" w:space="0" w:color="auto"/>
              <w:right w:val="single" w:sz="4" w:space="0" w:color="auto"/>
            </w:tcBorders>
            <w:shd w:val="clear" w:color="000000" w:fill="DCE6F1"/>
            <w:vAlign w:val="center"/>
            <w:hideMark/>
          </w:tcPr>
          <w:p w14:paraId="75BD1CE8" w14:textId="46DA948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31,250</w:t>
            </w:r>
          </w:p>
        </w:tc>
        <w:tc>
          <w:tcPr>
            <w:tcW w:w="197" w:type="pct"/>
            <w:tcBorders>
              <w:top w:val="nil"/>
              <w:left w:val="nil"/>
              <w:bottom w:val="single" w:sz="4" w:space="0" w:color="auto"/>
              <w:right w:val="single" w:sz="4" w:space="0" w:color="auto"/>
            </w:tcBorders>
            <w:shd w:val="clear" w:color="000000" w:fill="DCE6F1"/>
            <w:vAlign w:val="center"/>
            <w:hideMark/>
          </w:tcPr>
          <w:p w14:paraId="730AEDB5" w14:textId="2AFBC4A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102,573</w:t>
            </w:r>
          </w:p>
        </w:tc>
        <w:tc>
          <w:tcPr>
            <w:tcW w:w="342" w:type="pct"/>
            <w:tcBorders>
              <w:top w:val="nil"/>
              <w:left w:val="nil"/>
              <w:bottom w:val="single" w:sz="4" w:space="0" w:color="auto"/>
              <w:right w:val="single" w:sz="8" w:space="0" w:color="auto"/>
            </w:tcBorders>
            <w:shd w:val="clear" w:color="000000" w:fill="DCE6F1"/>
            <w:vAlign w:val="center"/>
            <w:hideMark/>
          </w:tcPr>
          <w:p w14:paraId="054E3BA8" w14:textId="5D8162D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412,010</w:t>
            </w:r>
          </w:p>
        </w:tc>
      </w:tr>
      <w:tr w:rsidR="00387E5A" w:rsidRPr="00024D5A" w14:paraId="3EC509C7" w14:textId="77777777" w:rsidTr="00387E5A">
        <w:trPr>
          <w:trHeight w:val="20"/>
        </w:trPr>
        <w:tc>
          <w:tcPr>
            <w:tcW w:w="375" w:type="pct"/>
            <w:tcBorders>
              <w:top w:val="nil"/>
              <w:left w:val="single" w:sz="4" w:space="0" w:color="auto"/>
              <w:bottom w:val="single" w:sz="4" w:space="0" w:color="auto"/>
              <w:right w:val="nil"/>
            </w:tcBorders>
            <w:shd w:val="clear" w:color="000000" w:fill="FDE9D9"/>
            <w:vAlign w:val="center"/>
            <w:hideMark/>
          </w:tcPr>
          <w:p w14:paraId="0A00EA2D" w14:textId="51103AC0"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Objektivi specifik 3</w:t>
            </w:r>
            <w:r w:rsidR="00AC5DA9">
              <w:rPr>
                <w:rFonts w:ascii="Garamond" w:eastAsia="Times New Roman" w:hAnsi="Garamond" w:cs="Calibri"/>
                <w:b/>
                <w:bCs/>
                <w:sz w:val="6"/>
                <w:szCs w:val="6"/>
                <w:lang w:eastAsia="en-US"/>
              </w:rPr>
              <w:t>:</w:t>
            </w:r>
            <w:r w:rsidR="001D6785" w:rsidRPr="00024D5A">
              <w:rPr>
                <w:rFonts w:ascii="Garamond" w:eastAsia="Times New Roman" w:hAnsi="Garamond" w:cs="Calibri"/>
                <w:b/>
                <w:bCs/>
                <w:sz w:val="6"/>
                <w:szCs w:val="6"/>
                <w:lang w:eastAsia="en-US"/>
              </w:rPr>
              <w:t xml:space="preserve"> </w:t>
            </w:r>
            <w:r w:rsidRPr="00024D5A">
              <w:rPr>
                <w:rFonts w:ascii="Garamond" w:eastAsia="Times New Roman" w:hAnsi="Garamond" w:cs="Calibri"/>
                <w:b/>
                <w:bCs/>
                <w:sz w:val="6"/>
                <w:szCs w:val="6"/>
                <w:lang w:eastAsia="en-US"/>
              </w:rPr>
              <w:t>Të sigurohet që personat me aftësi të kufizuara në paraburgim dhe në institucionet e vuajtjes së dënimit të kenë ambiente të aksesueshme, shërbime shëndetësore e psikosociale dhe plane individuale mbështetjeje, për të garantuar trajtim dinjitoz dhe të barabartë.</w:t>
            </w:r>
          </w:p>
        </w:tc>
        <w:tc>
          <w:tcPr>
            <w:tcW w:w="244" w:type="pct"/>
            <w:tcBorders>
              <w:top w:val="nil"/>
              <w:left w:val="single" w:sz="8" w:space="0" w:color="auto"/>
              <w:bottom w:val="single" w:sz="4" w:space="0" w:color="auto"/>
              <w:right w:val="single" w:sz="4" w:space="0" w:color="auto"/>
            </w:tcBorders>
            <w:shd w:val="clear" w:color="000000" w:fill="FDE9D9"/>
            <w:vAlign w:val="center"/>
            <w:hideMark/>
          </w:tcPr>
          <w:p w14:paraId="60247193"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0</w:t>
            </w:r>
          </w:p>
        </w:tc>
        <w:tc>
          <w:tcPr>
            <w:tcW w:w="226" w:type="pct"/>
            <w:tcBorders>
              <w:top w:val="nil"/>
              <w:left w:val="nil"/>
              <w:bottom w:val="single" w:sz="4" w:space="0" w:color="auto"/>
              <w:right w:val="single" w:sz="4" w:space="0" w:color="auto"/>
            </w:tcBorders>
            <w:shd w:val="clear" w:color="000000" w:fill="FDE9D9"/>
            <w:vAlign w:val="center"/>
            <w:hideMark/>
          </w:tcPr>
          <w:p w14:paraId="7125FB34"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2030</w:t>
            </w:r>
          </w:p>
        </w:tc>
        <w:tc>
          <w:tcPr>
            <w:tcW w:w="664" w:type="pct"/>
            <w:tcBorders>
              <w:top w:val="nil"/>
              <w:left w:val="nil"/>
              <w:bottom w:val="single" w:sz="4" w:space="0" w:color="auto"/>
              <w:right w:val="single" w:sz="4" w:space="0" w:color="auto"/>
            </w:tcBorders>
            <w:shd w:val="clear" w:color="000000" w:fill="FDE9D9"/>
            <w:vAlign w:val="center"/>
            <w:hideMark/>
          </w:tcPr>
          <w:p w14:paraId="5922DBD2"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DPB</w:t>
            </w:r>
          </w:p>
        </w:tc>
        <w:tc>
          <w:tcPr>
            <w:tcW w:w="792" w:type="pct"/>
            <w:tcBorders>
              <w:top w:val="nil"/>
              <w:left w:val="nil"/>
              <w:bottom w:val="single" w:sz="4" w:space="0" w:color="auto"/>
              <w:right w:val="single" w:sz="8" w:space="0" w:color="auto"/>
            </w:tcBorders>
            <w:shd w:val="clear" w:color="000000" w:fill="FDE9D9"/>
            <w:vAlign w:val="center"/>
            <w:hideMark/>
          </w:tcPr>
          <w:p w14:paraId="2957F0B7" w14:textId="611F06C3"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MD/MSHMS</w:t>
            </w:r>
          </w:p>
        </w:tc>
        <w:tc>
          <w:tcPr>
            <w:tcW w:w="188" w:type="pct"/>
            <w:tcBorders>
              <w:top w:val="nil"/>
              <w:left w:val="nil"/>
              <w:bottom w:val="single" w:sz="4" w:space="0" w:color="auto"/>
              <w:right w:val="single" w:sz="4" w:space="0" w:color="auto"/>
            </w:tcBorders>
            <w:shd w:val="clear" w:color="000000" w:fill="FDE9D9"/>
            <w:vAlign w:val="center"/>
            <w:hideMark/>
          </w:tcPr>
          <w:p w14:paraId="2DBA65C3" w14:textId="5D1B6B6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2,085</w:t>
            </w:r>
          </w:p>
        </w:tc>
        <w:tc>
          <w:tcPr>
            <w:tcW w:w="190" w:type="pct"/>
            <w:tcBorders>
              <w:top w:val="nil"/>
              <w:left w:val="nil"/>
              <w:bottom w:val="single" w:sz="4" w:space="0" w:color="auto"/>
              <w:right w:val="single" w:sz="4" w:space="0" w:color="auto"/>
            </w:tcBorders>
            <w:shd w:val="clear" w:color="000000" w:fill="FDE9D9"/>
            <w:vAlign w:val="center"/>
            <w:hideMark/>
          </w:tcPr>
          <w:p w14:paraId="62DEB60A" w14:textId="597C06D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2,085</w:t>
            </w:r>
          </w:p>
        </w:tc>
        <w:tc>
          <w:tcPr>
            <w:tcW w:w="190" w:type="pct"/>
            <w:tcBorders>
              <w:top w:val="nil"/>
              <w:left w:val="nil"/>
              <w:bottom w:val="single" w:sz="4" w:space="0" w:color="auto"/>
              <w:right w:val="single" w:sz="4" w:space="0" w:color="auto"/>
            </w:tcBorders>
            <w:shd w:val="clear" w:color="000000" w:fill="FDE9D9"/>
            <w:vAlign w:val="center"/>
            <w:hideMark/>
          </w:tcPr>
          <w:p w14:paraId="14FA936C" w14:textId="52362A9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2,000</w:t>
            </w:r>
          </w:p>
        </w:tc>
        <w:tc>
          <w:tcPr>
            <w:tcW w:w="190" w:type="pct"/>
            <w:tcBorders>
              <w:top w:val="nil"/>
              <w:left w:val="nil"/>
              <w:bottom w:val="single" w:sz="4" w:space="0" w:color="auto"/>
              <w:right w:val="single" w:sz="4" w:space="0" w:color="auto"/>
            </w:tcBorders>
            <w:shd w:val="clear" w:color="000000" w:fill="FDE9D9"/>
            <w:vAlign w:val="center"/>
            <w:hideMark/>
          </w:tcPr>
          <w:p w14:paraId="6BF65E63" w14:textId="2EC922D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11,500</w:t>
            </w:r>
          </w:p>
        </w:tc>
        <w:tc>
          <w:tcPr>
            <w:tcW w:w="187" w:type="pct"/>
            <w:tcBorders>
              <w:top w:val="nil"/>
              <w:left w:val="nil"/>
              <w:bottom w:val="single" w:sz="4" w:space="0" w:color="auto"/>
              <w:right w:val="single" w:sz="4" w:space="0" w:color="auto"/>
            </w:tcBorders>
            <w:shd w:val="clear" w:color="000000" w:fill="FDE9D9"/>
            <w:vAlign w:val="center"/>
            <w:hideMark/>
          </w:tcPr>
          <w:p w14:paraId="658FF918" w14:textId="4726DD0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11,500</w:t>
            </w:r>
          </w:p>
        </w:tc>
        <w:tc>
          <w:tcPr>
            <w:tcW w:w="200" w:type="pct"/>
            <w:tcBorders>
              <w:top w:val="nil"/>
              <w:left w:val="nil"/>
              <w:bottom w:val="single" w:sz="4" w:space="0" w:color="auto"/>
              <w:right w:val="nil"/>
            </w:tcBorders>
            <w:shd w:val="clear" w:color="000000" w:fill="FDE9D9"/>
            <w:vAlign w:val="center"/>
            <w:hideMark/>
          </w:tcPr>
          <w:p w14:paraId="5F53F4BE" w14:textId="77310CA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29,170</w:t>
            </w:r>
          </w:p>
        </w:tc>
        <w:tc>
          <w:tcPr>
            <w:tcW w:w="209" w:type="pct"/>
            <w:tcBorders>
              <w:top w:val="nil"/>
              <w:left w:val="single" w:sz="8" w:space="0" w:color="auto"/>
              <w:bottom w:val="single" w:sz="4" w:space="0" w:color="auto"/>
              <w:right w:val="single" w:sz="4" w:space="0" w:color="auto"/>
            </w:tcBorders>
            <w:shd w:val="clear" w:color="000000" w:fill="FDE9D9"/>
            <w:vAlign w:val="center"/>
            <w:hideMark/>
          </w:tcPr>
          <w:p w14:paraId="32E113DC" w14:textId="310048E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170</w:t>
            </w:r>
          </w:p>
        </w:tc>
        <w:tc>
          <w:tcPr>
            <w:tcW w:w="209" w:type="pct"/>
            <w:tcBorders>
              <w:top w:val="nil"/>
              <w:left w:val="nil"/>
              <w:bottom w:val="single" w:sz="4" w:space="0" w:color="auto"/>
              <w:right w:val="single" w:sz="4" w:space="0" w:color="auto"/>
            </w:tcBorders>
            <w:shd w:val="clear" w:color="000000" w:fill="FDE9D9"/>
            <w:vAlign w:val="center"/>
            <w:hideMark/>
          </w:tcPr>
          <w:p w14:paraId="7FC3BBE8" w14:textId="09F4FEC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2,000</w:t>
            </w:r>
          </w:p>
        </w:tc>
        <w:tc>
          <w:tcPr>
            <w:tcW w:w="195" w:type="pct"/>
            <w:tcBorders>
              <w:top w:val="nil"/>
              <w:left w:val="nil"/>
              <w:bottom w:val="single" w:sz="4" w:space="0" w:color="auto"/>
              <w:right w:val="single" w:sz="8" w:space="0" w:color="auto"/>
            </w:tcBorders>
            <w:shd w:val="clear" w:color="000000" w:fill="FDE9D9"/>
            <w:vAlign w:val="center"/>
            <w:hideMark/>
          </w:tcPr>
          <w:p w14:paraId="130C9D15" w14:textId="14A53D1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27,000</w:t>
            </w:r>
          </w:p>
        </w:tc>
        <w:tc>
          <w:tcPr>
            <w:tcW w:w="202" w:type="pct"/>
            <w:tcBorders>
              <w:top w:val="nil"/>
              <w:left w:val="nil"/>
              <w:bottom w:val="single" w:sz="4" w:space="0" w:color="auto"/>
              <w:right w:val="single" w:sz="4" w:space="0" w:color="auto"/>
            </w:tcBorders>
            <w:shd w:val="clear" w:color="000000" w:fill="FDE9D9"/>
            <w:vAlign w:val="center"/>
            <w:hideMark/>
          </w:tcPr>
          <w:p w14:paraId="65F2F463" w14:textId="0929374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303,854</w:t>
            </w:r>
          </w:p>
        </w:tc>
        <w:tc>
          <w:tcPr>
            <w:tcW w:w="200" w:type="pct"/>
            <w:tcBorders>
              <w:top w:val="nil"/>
              <w:left w:val="nil"/>
              <w:bottom w:val="single" w:sz="4" w:space="0" w:color="auto"/>
              <w:right w:val="single" w:sz="4" w:space="0" w:color="auto"/>
            </w:tcBorders>
            <w:shd w:val="clear" w:color="000000" w:fill="FDE9D9"/>
            <w:vAlign w:val="center"/>
            <w:hideMark/>
          </w:tcPr>
          <w:p w14:paraId="349657ED" w14:textId="009574F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1,771</w:t>
            </w:r>
          </w:p>
        </w:tc>
        <w:tc>
          <w:tcPr>
            <w:tcW w:w="197" w:type="pct"/>
            <w:tcBorders>
              <w:top w:val="nil"/>
              <w:left w:val="nil"/>
              <w:bottom w:val="single" w:sz="4" w:space="0" w:color="auto"/>
              <w:right w:val="single" w:sz="4" w:space="0" w:color="auto"/>
            </w:tcBorders>
            <w:shd w:val="clear" w:color="000000" w:fill="FDE9D9"/>
            <w:vAlign w:val="center"/>
            <w:hideMark/>
          </w:tcPr>
          <w:p w14:paraId="06B7F066" w14:textId="59B72E6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20,833</w:t>
            </w:r>
          </w:p>
        </w:tc>
        <w:tc>
          <w:tcPr>
            <w:tcW w:w="342" w:type="pct"/>
            <w:tcBorders>
              <w:top w:val="nil"/>
              <w:left w:val="nil"/>
              <w:bottom w:val="single" w:sz="4" w:space="0" w:color="auto"/>
              <w:right w:val="single" w:sz="8" w:space="0" w:color="auto"/>
            </w:tcBorders>
            <w:shd w:val="clear" w:color="000000" w:fill="FDE9D9"/>
            <w:vAlign w:val="center"/>
            <w:hideMark/>
          </w:tcPr>
          <w:p w14:paraId="598E2F9A" w14:textId="1A67629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281,250</w:t>
            </w:r>
          </w:p>
        </w:tc>
      </w:tr>
      <w:tr w:rsidR="00387E5A" w:rsidRPr="00024D5A" w14:paraId="318DC51A"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2814E12D" w14:textId="0DDBDA7D"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Masa </w:t>
            </w:r>
            <w:r w:rsidR="009656D0" w:rsidRPr="00024D5A">
              <w:rPr>
                <w:rFonts w:ascii="Garamond" w:eastAsia="Times New Roman" w:hAnsi="Garamond" w:cs="Calibri"/>
                <w:b/>
                <w:bCs/>
                <w:sz w:val="6"/>
                <w:szCs w:val="6"/>
                <w:lang w:eastAsia="en-US"/>
              </w:rPr>
              <w:t xml:space="preserve">prioritare </w:t>
            </w:r>
            <w:r w:rsidRPr="00024D5A">
              <w:rPr>
                <w:rFonts w:ascii="Garamond" w:eastAsia="Times New Roman" w:hAnsi="Garamond" w:cs="Calibri"/>
                <w:b/>
                <w:bCs/>
                <w:sz w:val="6"/>
                <w:szCs w:val="6"/>
                <w:lang w:eastAsia="en-US"/>
              </w:rPr>
              <w:t>3.1</w:t>
            </w:r>
            <w:r w:rsidR="00AC5DA9">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Realizimi i aksesueshmërisë fizike dhe aksesueshmërisë në informacion e komunikim për të gjitha kategoritë e personave me aftësi të kufizuara në të gjitha institucionet e vuajtjes së dënimeve.</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440F3292"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2026</w:t>
            </w:r>
          </w:p>
        </w:tc>
        <w:tc>
          <w:tcPr>
            <w:tcW w:w="226" w:type="pct"/>
            <w:tcBorders>
              <w:top w:val="nil"/>
              <w:left w:val="nil"/>
              <w:bottom w:val="single" w:sz="4" w:space="0" w:color="auto"/>
              <w:right w:val="single" w:sz="4" w:space="0" w:color="auto"/>
            </w:tcBorders>
            <w:shd w:val="clear" w:color="000000" w:fill="DCE6F1"/>
            <w:vAlign w:val="center"/>
            <w:hideMark/>
          </w:tcPr>
          <w:p w14:paraId="1613DFDC"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137FC614"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DPB</w:t>
            </w:r>
          </w:p>
        </w:tc>
        <w:tc>
          <w:tcPr>
            <w:tcW w:w="792" w:type="pct"/>
            <w:tcBorders>
              <w:top w:val="nil"/>
              <w:left w:val="nil"/>
              <w:bottom w:val="single" w:sz="4" w:space="0" w:color="auto"/>
              <w:right w:val="single" w:sz="8" w:space="0" w:color="auto"/>
            </w:tcBorders>
            <w:shd w:val="clear" w:color="000000" w:fill="DCE6F1"/>
            <w:vAlign w:val="center"/>
            <w:hideMark/>
          </w:tcPr>
          <w:p w14:paraId="27DEA7DD"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MD/MSHMS</w:t>
            </w:r>
          </w:p>
        </w:tc>
        <w:tc>
          <w:tcPr>
            <w:tcW w:w="188" w:type="pct"/>
            <w:tcBorders>
              <w:top w:val="nil"/>
              <w:left w:val="nil"/>
              <w:bottom w:val="single" w:sz="4" w:space="0" w:color="auto"/>
              <w:right w:val="single" w:sz="4" w:space="0" w:color="auto"/>
            </w:tcBorders>
            <w:shd w:val="clear" w:color="000000" w:fill="DCE6F1"/>
            <w:vAlign w:val="center"/>
            <w:hideMark/>
          </w:tcPr>
          <w:p w14:paraId="23DA7E69" w14:textId="3FA6927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1,000</w:t>
            </w:r>
          </w:p>
        </w:tc>
        <w:tc>
          <w:tcPr>
            <w:tcW w:w="190" w:type="pct"/>
            <w:tcBorders>
              <w:top w:val="nil"/>
              <w:left w:val="nil"/>
              <w:bottom w:val="single" w:sz="4" w:space="0" w:color="auto"/>
              <w:right w:val="single" w:sz="4" w:space="0" w:color="auto"/>
            </w:tcBorders>
            <w:shd w:val="clear" w:color="000000" w:fill="DCE6F1"/>
            <w:vAlign w:val="center"/>
            <w:hideMark/>
          </w:tcPr>
          <w:p w14:paraId="103053AB" w14:textId="70E22D8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1,000</w:t>
            </w:r>
          </w:p>
        </w:tc>
        <w:tc>
          <w:tcPr>
            <w:tcW w:w="190" w:type="pct"/>
            <w:tcBorders>
              <w:top w:val="nil"/>
              <w:left w:val="nil"/>
              <w:bottom w:val="single" w:sz="4" w:space="0" w:color="auto"/>
              <w:right w:val="single" w:sz="4" w:space="0" w:color="auto"/>
            </w:tcBorders>
            <w:shd w:val="clear" w:color="000000" w:fill="DCE6F1"/>
            <w:vAlign w:val="center"/>
            <w:hideMark/>
          </w:tcPr>
          <w:p w14:paraId="29069293" w14:textId="201603C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1,000</w:t>
            </w:r>
          </w:p>
        </w:tc>
        <w:tc>
          <w:tcPr>
            <w:tcW w:w="190" w:type="pct"/>
            <w:tcBorders>
              <w:top w:val="nil"/>
              <w:left w:val="nil"/>
              <w:bottom w:val="single" w:sz="4" w:space="0" w:color="auto"/>
              <w:right w:val="single" w:sz="4" w:space="0" w:color="auto"/>
            </w:tcBorders>
            <w:shd w:val="clear" w:color="000000" w:fill="DCE6F1"/>
            <w:vAlign w:val="center"/>
            <w:hideMark/>
          </w:tcPr>
          <w:p w14:paraId="7C31E7DE" w14:textId="5DBECFE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2,500</w:t>
            </w:r>
          </w:p>
        </w:tc>
        <w:tc>
          <w:tcPr>
            <w:tcW w:w="187" w:type="pct"/>
            <w:tcBorders>
              <w:top w:val="nil"/>
              <w:left w:val="nil"/>
              <w:bottom w:val="single" w:sz="4" w:space="0" w:color="auto"/>
              <w:right w:val="single" w:sz="4" w:space="0" w:color="auto"/>
            </w:tcBorders>
            <w:shd w:val="clear" w:color="000000" w:fill="DCE6F1"/>
            <w:vAlign w:val="center"/>
            <w:hideMark/>
          </w:tcPr>
          <w:p w14:paraId="21992104" w14:textId="0CFBCC0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2,500</w:t>
            </w:r>
          </w:p>
        </w:tc>
        <w:tc>
          <w:tcPr>
            <w:tcW w:w="200" w:type="pct"/>
            <w:tcBorders>
              <w:top w:val="nil"/>
              <w:left w:val="nil"/>
              <w:bottom w:val="single" w:sz="4" w:space="0" w:color="auto"/>
              <w:right w:val="nil"/>
            </w:tcBorders>
            <w:shd w:val="clear" w:color="000000" w:fill="DCE6F1"/>
            <w:vAlign w:val="center"/>
            <w:hideMark/>
          </w:tcPr>
          <w:p w14:paraId="0A94698D" w14:textId="39B7FDC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8,000</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7AA20A8E" w14:textId="3C83A68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209" w:type="pct"/>
            <w:tcBorders>
              <w:top w:val="nil"/>
              <w:left w:val="nil"/>
              <w:bottom w:val="single" w:sz="4" w:space="0" w:color="auto"/>
              <w:right w:val="single" w:sz="4" w:space="0" w:color="auto"/>
            </w:tcBorders>
            <w:shd w:val="clear" w:color="000000" w:fill="DCE6F1"/>
            <w:vAlign w:val="center"/>
            <w:hideMark/>
          </w:tcPr>
          <w:p w14:paraId="357BDC9A" w14:textId="14940E7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1,000</w:t>
            </w:r>
          </w:p>
        </w:tc>
        <w:tc>
          <w:tcPr>
            <w:tcW w:w="195" w:type="pct"/>
            <w:tcBorders>
              <w:top w:val="nil"/>
              <w:left w:val="nil"/>
              <w:bottom w:val="single" w:sz="4" w:space="0" w:color="auto"/>
              <w:right w:val="single" w:sz="8" w:space="0" w:color="auto"/>
            </w:tcBorders>
            <w:shd w:val="clear" w:color="000000" w:fill="DCE6F1"/>
            <w:vAlign w:val="center"/>
            <w:hideMark/>
          </w:tcPr>
          <w:p w14:paraId="6BCAD2E3" w14:textId="4D8FB11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7,000</w:t>
            </w:r>
          </w:p>
        </w:tc>
        <w:tc>
          <w:tcPr>
            <w:tcW w:w="202" w:type="pct"/>
            <w:tcBorders>
              <w:top w:val="nil"/>
              <w:left w:val="nil"/>
              <w:bottom w:val="single" w:sz="4" w:space="0" w:color="auto"/>
              <w:right w:val="single" w:sz="4" w:space="0" w:color="auto"/>
            </w:tcBorders>
            <w:shd w:val="clear" w:color="000000" w:fill="DCE6F1"/>
            <w:vAlign w:val="center"/>
            <w:hideMark/>
          </w:tcPr>
          <w:p w14:paraId="5F095196" w14:textId="7101638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83,333</w:t>
            </w:r>
          </w:p>
        </w:tc>
        <w:tc>
          <w:tcPr>
            <w:tcW w:w="200" w:type="pct"/>
            <w:tcBorders>
              <w:top w:val="nil"/>
              <w:left w:val="nil"/>
              <w:bottom w:val="single" w:sz="4" w:space="0" w:color="auto"/>
              <w:right w:val="single" w:sz="4" w:space="0" w:color="auto"/>
            </w:tcBorders>
            <w:shd w:val="clear" w:color="000000" w:fill="DCE6F1"/>
            <w:vAlign w:val="center"/>
            <w:hideMark/>
          </w:tcPr>
          <w:p w14:paraId="038BE2E7" w14:textId="62DB946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7" w:type="pct"/>
            <w:tcBorders>
              <w:top w:val="nil"/>
              <w:left w:val="nil"/>
              <w:bottom w:val="single" w:sz="4" w:space="0" w:color="auto"/>
              <w:right w:val="single" w:sz="4" w:space="0" w:color="auto"/>
            </w:tcBorders>
            <w:shd w:val="clear" w:color="000000" w:fill="DCE6F1"/>
            <w:vAlign w:val="center"/>
            <w:hideMark/>
          </w:tcPr>
          <w:p w14:paraId="288C719D" w14:textId="64F744A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10,417</w:t>
            </w:r>
          </w:p>
        </w:tc>
        <w:tc>
          <w:tcPr>
            <w:tcW w:w="342" w:type="pct"/>
            <w:tcBorders>
              <w:top w:val="nil"/>
              <w:left w:val="nil"/>
              <w:bottom w:val="single" w:sz="4" w:space="0" w:color="auto"/>
              <w:right w:val="single" w:sz="8" w:space="0" w:color="auto"/>
            </w:tcBorders>
            <w:shd w:val="clear" w:color="000000" w:fill="DCE6F1"/>
            <w:vAlign w:val="center"/>
            <w:hideMark/>
          </w:tcPr>
          <w:p w14:paraId="2EEF68A1" w14:textId="7E5C7EF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72,917</w:t>
            </w:r>
          </w:p>
        </w:tc>
      </w:tr>
      <w:tr w:rsidR="00387E5A" w:rsidRPr="00024D5A" w14:paraId="74FDA892"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26CF3D67" w14:textId="7658C353"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Masa </w:t>
            </w:r>
            <w:r w:rsidR="001D6785" w:rsidRPr="00024D5A">
              <w:rPr>
                <w:rFonts w:ascii="Garamond" w:eastAsia="Times New Roman" w:hAnsi="Garamond" w:cs="Calibri"/>
                <w:b/>
                <w:bCs/>
                <w:sz w:val="6"/>
                <w:szCs w:val="6"/>
                <w:lang w:eastAsia="en-US"/>
              </w:rPr>
              <w:t xml:space="preserve">prioritare </w:t>
            </w:r>
            <w:r w:rsidRPr="00024D5A">
              <w:rPr>
                <w:rFonts w:ascii="Garamond" w:eastAsia="Times New Roman" w:hAnsi="Garamond" w:cs="Calibri"/>
                <w:b/>
                <w:bCs/>
                <w:sz w:val="6"/>
                <w:szCs w:val="6"/>
                <w:lang w:eastAsia="en-US"/>
              </w:rPr>
              <w:t>3.2</w:t>
            </w:r>
            <w:r w:rsidR="00AC5DA9">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Fuqizimi i kapaciteteve në institucionet e paraburgimit dhe ato të vuajtjes së dënimit, duke mundësuar mbështetjen bazuar në nevojat e personave me aftësi të kufizuara.</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777372C7"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2026</w:t>
            </w:r>
          </w:p>
        </w:tc>
        <w:tc>
          <w:tcPr>
            <w:tcW w:w="226" w:type="pct"/>
            <w:tcBorders>
              <w:top w:val="nil"/>
              <w:left w:val="nil"/>
              <w:bottom w:val="single" w:sz="4" w:space="0" w:color="auto"/>
              <w:right w:val="single" w:sz="4" w:space="0" w:color="auto"/>
            </w:tcBorders>
            <w:shd w:val="clear" w:color="000000" w:fill="DCE6F1"/>
            <w:vAlign w:val="center"/>
            <w:hideMark/>
          </w:tcPr>
          <w:p w14:paraId="23073EBF"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67FEE200"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DPB</w:t>
            </w:r>
          </w:p>
        </w:tc>
        <w:tc>
          <w:tcPr>
            <w:tcW w:w="792" w:type="pct"/>
            <w:tcBorders>
              <w:top w:val="nil"/>
              <w:left w:val="nil"/>
              <w:bottom w:val="single" w:sz="4" w:space="0" w:color="auto"/>
              <w:right w:val="single" w:sz="8" w:space="0" w:color="auto"/>
            </w:tcBorders>
            <w:shd w:val="clear" w:color="000000" w:fill="DCE6F1"/>
            <w:vAlign w:val="center"/>
            <w:hideMark/>
          </w:tcPr>
          <w:p w14:paraId="3831182E"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MD/MSHMS</w:t>
            </w:r>
          </w:p>
        </w:tc>
        <w:tc>
          <w:tcPr>
            <w:tcW w:w="188" w:type="pct"/>
            <w:tcBorders>
              <w:top w:val="nil"/>
              <w:left w:val="nil"/>
              <w:bottom w:val="single" w:sz="4" w:space="0" w:color="auto"/>
              <w:right w:val="single" w:sz="4" w:space="0" w:color="auto"/>
            </w:tcBorders>
            <w:shd w:val="clear" w:color="000000" w:fill="DCE6F1"/>
            <w:vAlign w:val="center"/>
            <w:hideMark/>
          </w:tcPr>
          <w:p w14:paraId="4E79720E" w14:textId="3B1A3B2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1,085</w:t>
            </w:r>
          </w:p>
        </w:tc>
        <w:tc>
          <w:tcPr>
            <w:tcW w:w="190" w:type="pct"/>
            <w:tcBorders>
              <w:top w:val="nil"/>
              <w:left w:val="nil"/>
              <w:bottom w:val="single" w:sz="4" w:space="0" w:color="auto"/>
              <w:right w:val="single" w:sz="4" w:space="0" w:color="auto"/>
            </w:tcBorders>
            <w:shd w:val="clear" w:color="000000" w:fill="DCE6F1"/>
            <w:vAlign w:val="center"/>
            <w:hideMark/>
          </w:tcPr>
          <w:p w14:paraId="241958A8" w14:textId="1C0D68A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1,085</w:t>
            </w:r>
          </w:p>
        </w:tc>
        <w:tc>
          <w:tcPr>
            <w:tcW w:w="190" w:type="pct"/>
            <w:tcBorders>
              <w:top w:val="nil"/>
              <w:left w:val="nil"/>
              <w:bottom w:val="single" w:sz="4" w:space="0" w:color="auto"/>
              <w:right w:val="single" w:sz="4" w:space="0" w:color="auto"/>
            </w:tcBorders>
            <w:shd w:val="clear" w:color="000000" w:fill="DCE6F1"/>
            <w:vAlign w:val="center"/>
            <w:hideMark/>
          </w:tcPr>
          <w:p w14:paraId="7B6AE923" w14:textId="0586515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1,000</w:t>
            </w:r>
          </w:p>
        </w:tc>
        <w:tc>
          <w:tcPr>
            <w:tcW w:w="190" w:type="pct"/>
            <w:tcBorders>
              <w:top w:val="nil"/>
              <w:left w:val="nil"/>
              <w:bottom w:val="single" w:sz="4" w:space="0" w:color="auto"/>
              <w:right w:val="single" w:sz="4" w:space="0" w:color="auto"/>
            </w:tcBorders>
            <w:shd w:val="clear" w:color="000000" w:fill="DCE6F1"/>
            <w:vAlign w:val="center"/>
            <w:hideMark/>
          </w:tcPr>
          <w:p w14:paraId="4F7EE830" w14:textId="3E5C8A5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9,000</w:t>
            </w:r>
          </w:p>
        </w:tc>
        <w:tc>
          <w:tcPr>
            <w:tcW w:w="187" w:type="pct"/>
            <w:tcBorders>
              <w:top w:val="nil"/>
              <w:left w:val="nil"/>
              <w:bottom w:val="single" w:sz="4" w:space="0" w:color="auto"/>
              <w:right w:val="single" w:sz="4" w:space="0" w:color="auto"/>
            </w:tcBorders>
            <w:shd w:val="clear" w:color="000000" w:fill="DCE6F1"/>
            <w:vAlign w:val="center"/>
            <w:hideMark/>
          </w:tcPr>
          <w:p w14:paraId="529E58AC" w14:textId="08B943F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9,000</w:t>
            </w:r>
          </w:p>
        </w:tc>
        <w:tc>
          <w:tcPr>
            <w:tcW w:w="200" w:type="pct"/>
            <w:tcBorders>
              <w:top w:val="nil"/>
              <w:left w:val="nil"/>
              <w:bottom w:val="single" w:sz="4" w:space="0" w:color="auto"/>
              <w:right w:val="nil"/>
            </w:tcBorders>
            <w:shd w:val="clear" w:color="000000" w:fill="DCE6F1"/>
            <w:vAlign w:val="center"/>
            <w:hideMark/>
          </w:tcPr>
          <w:p w14:paraId="1FBC9328" w14:textId="1C0153E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21,170</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206622C0" w14:textId="7BD94C8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170</w:t>
            </w:r>
          </w:p>
        </w:tc>
        <w:tc>
          <w:tcPr>
            <w:tcW w:w="209" w:type="pct"/>
            <w:tcBorders>
              <w:top w:val="nil"/>
              <w:left w:val="nil"/>
              <w:bottom w:val="single" w:sz="4" w:space="0" w:color="auto"/>
              <w:right w:val="single" w:sz="4" w:space="0" w:color="auto"/>
            </w:tcBorders>
            <w:shd w:val="clear" w:color="000000" w:fill="DCE6F1"/>
            <w:vAlign w:val="center"/>
            <w:hideMark/>
          </w:tcPr>
          <w:p w14:paraId="094FE297" w14:textId="690D2EB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1,000</w:t>
            </w:r>
          </w:p>
        </w:tc>
        <w:tc>
          <w:tcPr>
            <w:tcW w:w="195" w:type="pct"/>
            <w:tcBorders>
              <w:top w:val="nil"/>
              <w:left w:val="nil"/>
              <w:bottom w:val="single" w:sz="4" w:space="0" w:color="auto"/>
              <w:right w:val="single" w:sz="8" w:space="0" w:color="auto"/>
            </w:tcBorders>
            <w:shd w:val="clear" w:color="000000" w:fill="DCE6F1"/>
            <w:vAlign w:val="center"/>
            <w:hideMark/>
          </w:tcPr>
          <w:p w14:paraId="58B46F3B" w14:textId="028EF55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20,000</w:t>
            </w:r>
          </w:p>
        </w:tc>
        <w:tc>
          <w:tcPr>
            <w:tcW w:w="202" w:type="pct"/>
            <w:tcBorders>
              <w:top w:val="nil"/>
              <w:left w:val="nil"/>
              <w:bottom w:val="single" w:sz="4" w:space="0" w:color="auto"/>
              <w:right w:val="single" w:sz="4" w:space="0" w:color="auto"/>
            </w:tcBorders>
            <w:shd w:val="clear" w:color="000000" w:fill="DCE6F1"/>
            <w:vAlign w:val="center"/>
            <w:hideMark/>
          </w:tcPr>
          <w:p w14:paraId="1D1C0300" w14:textId="220C29F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220,521</w:t>
            </w:r>
          </w:p>
        </w:tc>
        <w:tc>
          <w:tcPr>
            <w:tcW w:w="200" w:type="pct"/>
            <w:tcBorders>
              <w:top w:val="nil"/>
              <w:left w:val="nil"/>
              <w:bottom w:val="single" w:sz="4" w:space="0" w:color="auto"/>
              <w:right w:val="single" w:sz="4" w:space="0" w:color="auto"/>
            </w:tcBorders>
            <w:shd w:val="clear" w:color="000000" w:fill="DCE6F1"/>
            <w:vAlign w:val="center"/>
            <w:hideMark/>
          </w:tcPr>
          <w:p w14:paraId="56ABE54D" w14:textId="29C932C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1,771</w:t>
            </w:r>
          </w:p>
        </w:tc>
        <w:tc>
          <w:tcPr>
            <w:tcW w:w="197" w:type="pct"/>
            <w:tcBorders>
              <w:top w:val="nil"/>
              <w:left w:val="nil"/>
              <w:bottom w:val="single" w:sz="4" w:space="0" w:color="auto"/>
              <w:right w:val="single" w:sz="4" w:space="0" w:color="auto"/>
            </w:tcBorders>
            <w:shd w:val="clear" w:color="000000" w:fill="DCE6F1"/>
            <w:vAlign w:val="center"/>
            <w:hideMark/>
          </w:tcPr>
          <w:p w14:paraId="1B888DB2" w14:textId="1F714A8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10,417</w:t>
            </w:r>
          </w:p>
        </w:tc>
        <w:tc>
          <w:tcPr>
            <w:tcW w:w="342" w:type="pct"/>
            <w:tcBorders>
              <w:top w:val="nil"/>
              <w:left w:val="nil"/>
              <w:bottom w:val="single" w:sz="4" w:space="0" w:color="auto"/>
              <w:right w:val="single" w:sz="8" w:space="0" w:color="auto"/>
            </w:tcBorders>
            <w:shd w:val="clear" w:color="000000" w:fill="DCE6F1"/>
            <w:vAlign w:val="center"/>
            <w:hideMark/>
          </w:tcPr>
          <w:p w14:paraId="60B0AD85" w14:textId="0D77A6E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208,333</w:t>
            </w:r>
          </w:p>
        </w:tc>
      </w:tr>
      <w:tr w:rsidR="00387E5A" w:rsidRPr="00024D5A" w14:paraId="698AFE1A" w14:textId="77777777" w:rsidTr="00387E5A">
        <w:trPr>
          <w:trHeight w:val="20"/>
        </w:trPr>
        <w:tc>
          <w:tcPr>
            <w:tcW w:w="375" w:type="pct"/>
            <w:tcBorders>
              <w:top w:val="nil"/>
              <w:left w:val="single" w:sz="4" w:space="0" w:color="auto"/>
              <w:bottom w:val="single" w:sz="4" w:space="0" w:color="auto"/>
              <w:right w:val="nil"/>
            </w:tcBorders>
            <w:shd w:val="clear" w:color="000000" w:fill="F276AB"/>
            <w:vAlign w:val="center"/>
            <w:hideMark/>
          </w:tcPr>
          <w:p w14:paraId="4238E066" w14:textId="77777777"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III. PUNËSIMI DHE AFTËSIMI</w:t>
            </w:r>
          </w:p>
        </w:tc>
        <w:tc>
          <w:tcPr>
            <w:tcW w:w="244" w:type="pct"/>
            <w:tcBorders>
              <w:top w:val="nil"/>
              <w:left w:val="single" w:sz="8" w:space="0" w:color="auto"/>
              <w:bottom w:val="single" w:sz="4" w:space="0" w:color="auto"/>
              <w:right w:val="single" w:sz="4" w:space="0" w:color="auto"/>
            </w:tcBorders>
            <w:shd w:val="clear" w:color="000000" w:fill="F276AB"/>
            <w:vAlign w:val="center"/>
            <w:hideMark/>
          </w:tcPr>
          <w:p w14:paraId="1B059089"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2026</w:t>
            </w:r>
          </w:p>
        </w:tc>
        <w:tc>
          <w:tcPr>
            <w:tcW w:w="226" w:type="pct"/>
            <w:tcBorders>
              <w:top w:val="nil"/>
              <w:left w:val="nil"/>
              <w:bottom w:val="single" w:sz="4" w:space="0" w:color="auto"/>
              <w:right w:val="single" w:sz="4" w:space="0" w:color="auto"/>
            </w:tcBorders>
            <w:shd w:val="clear" w:color="000000" w:fill="F276AB"/>
            <w:vAlign w:val="center"/>
            <w:hideMark/>
          </w:tcPr>
          <w:p w14:paraId="3F868554"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2030</w:t>
            </w:r>
          </w:p>
        </w:tc>
        <w:tc>
          <w:tcPr>
            <w:tcW w:w="664" w:type="pct"/>
            <w:tcBorders>
              <w:top w:val="nil"/>
              <w:left w:val="nil"/>
              <w:bottom w:val="single" w:sz="4" w:space="0" w:color="auto"/>
              <w:right w:val="single" w:sz="4" w:space="0" w:color="auto"/>
            </w:tcBorders>
            <w:shd w:val="clear" w:color="000000" w:fill="F276AB"/>
            <w:vAlign w:val="center"/>
            <w:hideMark/>
          </w:tcPr>
          <w:p w14:paraId="26B5ABC7" w14:textId="4249D4CA" w:rsidR="00DE4FCB" w:rsidRPr="00024D5A" w:rsidRDefault="00DE4FCB" w:rsidP="00387E5A">
            <w:pPr>
              <w:jc w:val="center"/>
              <w:rPr>
                <w:rFonts w:ascii="Garamond" w:eastAsia="Times New Roman" w:hAnsi="Garamond"/>
                <w:sz w:val="6"/>
                <w:szCs w:val="6"/>
                <w:lang w:eastAsia="en-US"/>
              </w:rPr>
            </w:pPr>
          </w:p>
        </w:tc>
        <w:tc>
          <w:tcPr>
            <w:tcW w:w="792" w:type="pct"/>
            <w:tcBorders>
              <w:top w:val="nil"/>
              <w:left w:val="nil"/>
              <w:bottom w:val="single" w:sz="4" w:space="0" w:color="auto"/>
              <w:right w:val="single" w:sz="8" w:space="0" w:color="auto"/>
            </w:tcBorders>
            <w:shd w:val="clear" w:color="000000" w:fill="F276AB"/>
            <w:vAlign w:val="center"/>
            <w:hideMark/>
          </w:tcPr>
          <w:p w14:paraId="228BB6FA" w14:textId="25751510" w:rsidR="00DE4FCB" w:rsidRPr="00024D5A" w:rsidRDefault="00DE4FCB" w:rsidP="00387E5A">
            <w:pPr>
              <w:jc w:val="center"/>
              <w:rPr>
                <w:rFonts w:ascii="Garamond" w:eastAsia="Times New Roman" w:hAnsi="Garamond"/>
                <w:sz w:val="6"/>
                <w:szCs w:val="6"/>
                <w:lang w:eastAsia="en-US"/>
              </w:rPr>
            </w:pPr>
          </w:p>
        </w:tc>
        <w:tc>
          <w:tcPr>
            <w:tcW w:w="188" w:type="pct"/>
            <w:tcBorders>
              <w:top w:val="nil"/>
              <w:left w:val="nil"/>
              <w:bottom w:val="single" w:sz="4" w:space="0" w:color="auto"/>
              <w:right w:val="single" w:sz="4" w:space="0" w:color="auto"/>
            </w:tcBorders>
            <w:shd w:val="clear" w:color="000000" w:fill="F276AB"/>
            <w:vAlign w:val="center"/>
            <w:hideMark/>
          </w:tcPr>
          <w:p w14:paraId="64F76BCF" w14:textId="34591C4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366,299</w:t>
            </w:r>
          </w:p>
        </w:tc>
        <w:tc>
          <w:tcPr>
            <w:tcW w:w="190" w:type="pct"/>
            <w:tcBorders>
              <w:top w:val="nil"/>
              <w:left w:val="nil"/>
              <w:bottom w:val="single" w:sz="4" w:space="0" w:color="auto"/>
              <w:right w:val="single" w:sz="4" w:space="0" w:color="auto"/>
            </w:tcBorders>
            <w:shd w:val="clear" w:color="000000" w:fill="F276AB"/>
            <w:vAlign w:val="center"/>
            <w:hideMark/>
          </w:tcPr>
          <w:p w14:paraId="02EFDFFC" w14:textId="4D02FE7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385,865</w:t>
            </w:r>
          </w:p>
        </w:tc>
        <w:tc>
          <w:tcPr>
            <w:tcW w:w="190" w:type="pct"/>
            <w:tcBorders>
              <w:top w:val="nil"/>
              <w:left w:val="nil"/>
              <w:bottom w:val="single" w:sz="4" w:space="0" w:color="auto"/>
              <w:right w:val="single" w:sz="4" w:space="0" w:color="auto"/>
            </w:tcBorders>
            <w:shd w:val="clear" w:color="000000" w:fill="F276AB"/>
            <w:vAlign w:val="center"/>
            <w:hideMark/>
          </w:tcPr>
          <w:p w14:paraId="47707CB8" w14:textId="5B2CEB9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346,515</w:t>
            </w:r>
          </w:p>
        </w:tc>
        <w:tc>
          <w:tcPr>
            <w:tcW w:w="190" w:type="pct"/>
            <w:tcBorders>
              <w:top w:val="nil"/>
              <w:left w:val="nil"/>
              <w:bottom w:val="single" w:sz="4" w:space="0" w:color="auto"/>
              <w:right w:val="single" w:sz="4" w:space="0" w:color="auto"/>
            </w:tcBorders>
            <w:shd w:val="clear" w:color="000000" w:fill="F276AB"/>
            <w:vAlign w:val="center"/>
            <w:hideMark/>
          </w:tcPr>
          <w:p w14:paraId="416D8533" w14:textId="7BA95B7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349,002</w:t>
            </w:r>
          </w:p>
        </w:tc>
        <w:tc>
          <w:tcPr>
            <w:tcW w:w="187" w:type="pct"/>
            <w:tcBorders>
              <w:top w:val="nil"/>
              <w:left w:val="nil"/>
              <w:bottom w:val="single" w:sz="4" w:space="0" w:color="auto"/>
              <w:right w:val="single" w:sz="4" w:space="0" w:color="auto"/>
            </w:tcBorders>
            <w:shd w:val="clear" w:color="000000" w:fill="F276AB"/>
            <w:vAlign w:val="center"/>
            <w:hideMark/>
          </w:tcPr>
          <w:p w14:paraId="219BC4A7" w14:textId="220D222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356,300</w:t>
            </w:r>
          </w:p>
        </w:tc>
        <w:tc>
          <w:tcPr>
            <w:tcW w:w="200" w:type="pct"/>
            <w:tcBorders>
              <w:top w:val="nil"/>
              <w:left w:val="nil"/>
              <w:bottom w:val="single" w:sz="4" w:space="0" w:color="auto"/>
              <w:right w:val="nil"/>
            </w:tcBorders>
            <w:shd w:val="clear" w:color="000000" w:fill="F276AB"/>
            <w:vAlign w:val="center"/>
            <w:hideMark/>
          </w:tcPr>
          <w:p w14:paraId="6FD40D50" w14:textId="622EDC2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1,803,980</w:t>
            </w:r>
          </w:p>
        </w:tc>
        <w:tc>
          <w:tcPr>
            <w:tcW w:w="209" w:type="pct"/>
            <w:tcBorders>
              <w:top w:val="nil"/>
              <w:left w:val="single" w:sz="8" w:space="0" w:color="auto"/>
              <w:bottom w:val="single" w:sz="4" w:space="0" w:color="auto"/>
              <w:right w:val="single" w:sz="4" w:space="0" w:color="auto"/>
            </w:tcBorders>
            <w:shd w:val="clear" w:color="000000" w:fill="F276AB"/>
            <w:vAlign w:val="center"/>
            <w:hideMark/>
          </w:tcPr>
          <w:p w14:paraId="350F9D51" w14:textId="2F715AA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1,551,414</w:t>
            </w:r>
          </w:p>
        </w:tc>
        <w:tc>
          <w:tcPr>
            <w:tcW w:w="209" w:type="pct"/>
            <w:tcBorders>
              <w:top w:val="nil"/>
              <w:left w:val="nil"/>
              <w:bottom w:val="single" w:sz="4" w:space="0" w:color="auto"/>
              <w:right w:val="single" w:sz="4" w:space="0" w:color="auto"/>
            </w:tcBorders>
            <w:shd w:val="clear" w:color="000000" w:fill="F276AB"/>
            <w:vAlign w:val="center"/>
            <w:hideMark/>
          </w:tcPr>
          <w:p w14:paraId="3312EB97" w14:textId="345F3D2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5" w:type="pct"/>
            <w:tcBorders>
              <w:top w:val="nil"/>
              <w:left w:val="nil"/>
              <w:bottom w:val="single" w:sz="4" w:space="0" w:color="auto"/>
              <w:right w:val="single" w:sz="8" w:space="0" w:color="auto"/>
            </w:tcBorders>
            <w:shd w:val="clear" w:color="000000" w:fill="F276AB"/>
            <w:vAlign w:val="center"/>
            <w:hideMark/>
          </w:tcPr>
          <w:p w14:paraId="77E4DE69" w14:textId="201814D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252,565</w:t>
            </w:r>
          </w:p>
        </w:tc>
        <w:tc>
          <w:tcPr>
            <w:tcW w:w="202" w:type="pct"/>
            <w:tcBorders>
              <w:top w:val="nil"/>
              <w:left w:val="nil"/>
              <w:bottom w:val="single" w:sz="4" w:space="0" w:color="auto"/>
              <w:right w:val="single" w:sz="4" w:space="0" w:color="auto"/>
            </w:tcBorders>
            <w:shd w:val="clear" w:color="000000" w:fill="F276AB"/>
            <w:vAlign w:val="center"/>
            <w:hideMark/>
          </w:tcPr>
          <w:p w14:paraId="22356B31" w14:textId="2D13706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18,791,456</w:t>
            </w:r>
          </w:p>
        </w:tc>
        <w:tc>
          <w:tcPr>
            <w:tcW w:w="200" w:type="pct"/>
            <w:tcBorders>
              <w:top w:val="nil"/>
              <w:left w:val="nil"/>
              <w:bottom w:val="single" w:sz="4" w:space="0" w:color="auto"/>
              <w:right w:val="single" w:sz="4" w:space="0" w:color="auto"/>
            </w:tcBorders>
            <w:shd w:val="clear" w:color="000000" w:fill="F276AB"/>
            <w:vAlign w:val="center"/>
            <w:hideMark/>
          </w:tcPr>
          <w:p w14:paraId="765DF2D1" w14:textId="180C18B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16,160,566</w:t>
            </w:r>
          </w:p>
        </w:tc>
        <w:tc>
          <w:tcPr>
            <w:tcW w:w="197" w:type="pct"/>
            <w:tcBorders>
              <w:top w:val="nil"/>
              <w:left w:val="nil"/>
              <w:bottom w:val="single" w:sz="4" w:space="0" w:color="auto"/>
              <w:right w:val="single" w:sz="4" w:space="0" w:color="auto"/>
            </w:tcBorders>
            <w:shd w:val="clear" w:color="000000" w:fill="F276AB"/>
            <w:vAlign w:val="center"/>
            <w:hideMark/>
          </w:tcPr>
          <w:p w14:paraId="0D3928BA" w14:textId="19C8601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nil"/>
            </w:tcBorders>
            <w:shd w:val="clear" w:color="000000" w:fill="F276AB"/>
            <w:vAlign w:val="center"/>
            <w:hideMark/>
          </w:tcPr>
          <w:p w14:paraId="64DC1127" w14:textId="249E785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2,630,890</w:t>
            </w:r>
          </w:p>
        </w:tc>
      </w:tr>
      <w:tr w:rsidR="00387E5A" w:rsidRPr="00024D5A" w14:paraId="525F1147" w14:textId="77777777" w:rsidTr="00387E5A">
        <w:trPr>
          <w:trHeight w:val="20"/>
        </w:trPr>
        <w:tc>
          <w:tcPr>
            <w:tcW w:w="375" w:type="pct"/>
            <w:tcBorders>
              <w:top w:val="nil"/>
              <w:left w:val="single" w:sz="4" w:space="0" w:color="auto"/>
              <w:bottom w:val="single" w:sz="4" w:space="0" w:color="auto"/>
              <w:right w:val="nil"/>
            </w:tcBorders>
            <w:shd w:val="clear" w:color="000000" w:fill="FDE9D9"/>
            <w:vAlign w:val="center"/>
            <w:hideMark/>
          </w:tcPr>
          <w:p w14:paraId="14430BBB" w14:textId="2A4FC36E"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Objektivi </w:t>
            </w:r>
            <w:r w:rsidR="007053C8" w:rsidRPr="00024D5A">
              <w:rPr>
                <w:rFonts w:ascii="Garamond" w:eastAsia="Times New Roman" w:hAnsi="Garamond" w:cs="Calibri"/>
                <w:b/>
                <w:bCs/>
                <w:sz w:val="6"/>
                <w:szCs w:val="6"/>
                <w:lang w:eastAsia="en-US"/>
              </w:rPr>
              <w:t xml:space="preserve">specifik </w:t>
            </w:r>
            <w:r w:rsidRPr="00024D5A">
              <w:rPr>
                <w:rFonts w:ascii="Garamond" w:eastAsia="Times New Roman" w:hAnsi="Garamond" w:cs="Calibri"/>
                <w:b/>
                <w:bCs/>
                <w:sz w:val="6"/>
                <w:szCs w:val="6"/>
                <w:lang w:eastAsia="en-US"/>
              </w:rPr>
              <w:t>1</w:t>
            </w:r>
            <w:r w:rsidR="00AC5DA9">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Nxitja e pjesëmarrjes, zgjerimi i aksesit dhe përfitimit të nxënësve dhe kursantëve me aftësi të kufizuara nga programet e arsimit dhe formimit profesional, në përputhje me nevojat e tregut të punës dhe parimet e arsimit gjithëpërfshirës.</w:t>
            </w:r>
          </w:p>
        </w:tc>
        <w:tc>
          <w:tcPr>
            <w:tcW w:w="244" w:type="pct"/>
            <w:tcBorders>
              <w:top w:val="nil"/>
              <w:left w:val="single" w:sz="8" w:space="0" w:color="auto"/>
              <w:bottom w:val="single" w:sz="4" w:space="0" w:color="auto"/>
              <w:right w:val="single" w:sz="4" w:space="0" w:color="auto"/>
            </w:tcBorders>
            <w:shd w:val="clear" w:color="000000" w:fill="FDE9D9"/>
            <w:vAlign w:val="center"/>
            <w:hideMark/>
          </w:tcPr>
          <w:p w14:paraId="6B25C811"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2026</w:t>
            </w:r>
          </w:p>
        </w:tc>
        <w:tc>
          <w:tcPr>
            <w:tcW w:w="226" w:type="pct"/>
            <w:tcBorders>
              <w:top w:val="nil"/>
              <w:left w:val="nil"/>
              <w:bottom w:val="single" w:sz="4" w:space="0" w:color="auto"/>
              <w:right w:val="single" w:sz="4" w:space="0" w:color="auto"/>
            </w:tcBorders>
            <w:shd w:val="clear" w:color="000000" w:fill="FDE9D9"/>
            <w:vAlign w:val="center"/>
            <w:hideMark/>
          </w:tcPr>
          <w:p w14:paraId="23792ACA"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2030</w:t>
            </w:r>
          </w:p>
        </w:tc>
        <w:tc>
          <w:tcPr>
            <w:tcW w:w="664" w:type="pct"/>
            <w:tcBorders>
              <w:top w:val="nil"/>
              <w:left w:val="nil"/>
              <w:bottom w:val="single" w:sz="4" w:space="0" w:color="auto"/>
              <w:right w:val="single" w:sz="4" w:space="0" w:color="auto"/>
            </w:tcBorders>
            <w:shd w:val="clear" w:color="000000" w:fill="FDE9D9"/>
            <w:vAlign w:val="center"/>
            <w:hideMark/>
          </w:tcPr>
          <w:p w14:paraId="7A6B4F89"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MEI, MA, AKPA AKAFPK,IOAFP</w:t>
            </w:r>
          </w:p>
        </w:tc>
        <w:tc>
          <w:tcPr>
            <w:tcW w:w="792" w:type="pct"/>
            <w:tcBorders>
              <w:top w:val="nil"/>
              <w:left w:val="nil"/>
              <w:bottom w:val="single" w:sz="4" w:space="0" w:color="auto"/>
              <w:right w:val="single" w:sz="8" w:space="0" w:color="auto"/>
            </w:tcBorders>
            <w:shd w:val="clear" w:color="000000" w:fill="FDE9D9"/>
            <w:vAlign w:val="center"/>
            <w:hideMark/>
          </w:tcPr>
          <w:p w14:paraId="01D737E7"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AKPA/ASCAP/AKAFPK/AKAP/ASCAP/IOAFP/MEI/NJVV</w:t>
            </w:r>
          </w:p>
        </w:tc>
        <w:tc>
          <w:tcPr>
            <w:tcW w:w="188" w:type="pct"/>
            <w:tcBorders>
              <w:top w:val="nil"/>
              <w:left w:val="nil"/>
              <w:bottom w:val="single" w:sz="4" w:space="0" w:color="auto"/>
              <w:right w:val="single" w:sz="4" w:space="0" w:color="auto"/>
            </w:tcBorders>
            <w:shd w:val="clear" w:color="000000" w:fill="FDE9D9"/>
            <w:vAlign w:val="center"/>
            <w:hideMark/>
          </w:tcPr>
          <w:p w14:paraId="38885995" w14:textId="7AE662D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126,789</w:t>
            </w:r>
          </w:p>
        </w:tc>
        <w:tc>
          <w:tcPr>
            <w:tcW w:w="190" w:type="pct"/>
            <w:tcBorders>
              <w:top w:val="nil"/>
              <w:left w:val="nil"/>
              <w:bottom w:val="single" w:sz="4" w:space="0" w:color="auto"/>
              <w:right w:val="single" w:sz="4" w:space="0" w:color="auto"/>
            </w:tcBorders>
            <w:shd w:val="clear" w:color="000000" w:fill="FDE9D9"/>
            <w:vAlign w:val="center"/>
            <w:hideMark/>
          </w:tcPr>
          <w:p w14:paraId="61E1799A" w14:textId="488AAF8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134,665</w:t>
            </w:r>
          </w:p>
        </w:tc>
        <w:tc>
          <w:tcPr>
            <w:tcW w:w="190" w:type="pct"/>
            <w:tcBorders>
              <w:top w:val="nil"/>
              <w:left w:val="nil"/>
              <w:bottom w:val="single" w:sz="4" w:space="0" w:color="auto"/>
              <w:right w:val="single" w:sz="4" w:space="0" w:color="auto"/>
            </w:tcBorders>
            <w:shd w:val="clear" w:color="000000" w:fill="FDE9D9"/>
            <w:vAlign w:val="center"/>
            <w:hideMark/>
          </w:tcPr>
          <w:p w14:paraId="2202FCF0" w14:textId="6E0727B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96,051</w:t>
            </w:r>
          </w:p>
        </w:tc>
        <w:tc>
          <w:tcPr>
            <w:tcW w:w="190" w:type="pct"/>
            <w:tcBorders>
              <w:top w:val="nil"/>
              <w:left w:val="nil"/>
              <w:bottom w:val="single" w:sz="4" w:space="0" w:color="auto"/>
              <w:right w:val="single" w:sz="4" w:space="0" w:color="auto"/>
            </w:tcBorders>
            <w:shd w:val="clear" w:color="000000" w:fill="FDE9D9"/>
            <w:vAlign w:val="center"/>
            <w:hideMark/>
          </w:tcPr>
          <w:p w14:paraId="67AE3D8E" w14:textId="40D8FD3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95,588</w:t>
            </w:r>
          </w:p>
        </w:tc>
        <w:tc>
          <w:tcPr>
            <w:tcW w:w="187" w:type="pct"/>
            <w:tcBorders>
              <w:top w:val="nil"/>
              <w:left w:val="nil"/>
              <w:bottom w:val="single" w:sz="4" w:space="0" w:color="auto"/>
              <w:right w:val="single" w:sz="4" w:space="0" w:color="auto"/>
            </w:tcBorders>
            <w:shd w:val="clear" w:color="000000" w:fill="FDE9D9"/>
            <w:vAlign w:val="center"/>
            <w:hideMark/>
          </w:tcPr>
          <w:p w14:paraId="227C5D89" w14:textId="56B6F46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95,588</w:t>
            </w:r>
          </w:p>
        </w:tc>
        <w:tc>
          <w:tcPr>
            <w:tcW w:w="200" w:type="pct"/>
            <w:tcBorders>
              <w:top w:val="nil"/>
              <w:left w:val="nil"/>
              <w:bottom w:val="single" w:sz="4" w:space="0" w:color="auto"/>
              <w:right w:val="nil"/>
            </w:tcBorders>
            <w:shd w:val="clear" w:color="000000" w:fill="FDE9D9"/>
            <w:vAlign w:val="center"/>
            <w:hideMark/>
          </w:tcPr>
          <w:p w14:paraId="181D084B" w14:textId="4695D9A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548,680</w:t>
            </w:r>
          </w:p>
        </w:tc>
        <w:tc>
          <w:tcPr>
            <w:tcW w:w="209" w:type="pct"/>
            <w:tcBorders>
              <w:top w:val="nil"/>
              <w:left w:val="single" w:sz="8" w:space="0" w:color="auto"/>
              <w:bottom w:val="single" w:sz="4" w:space="0" w:color="auto"/>
              <w:right w:val="single" w:sz="4" w:space="0" w:color="auto"/>
            </w:tcBorders>
            <w:shd w:val="clear" w:color="000000" w:fill="FDE9D9"/>
            <w:vAlign w:val="center"/>
            <w:hideMark/>
          </w:tcPr>
          <w:p w14:paraId="2CD3EF94" w14:textId="6F402D7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497,340</w:t>
            </w:r>
          </w:p>
        </w:tc>
        <w:tc>
          <w:tcPr>
            <w:tcW w:w="209" w:type="pct"/>
            <w:tcBorders>
              <w:top w:val="nil"/>
              <w:left w:val="nil"/>
              <w:bottom w:val="single" w:sz="4" w:space="0" w:color="auto"/>
              <w:right w:val="single" w:sz="4" w:space="0" w:color="auto"/>
            </w:tcBorders>
            <w:shd w:val="clear" w:color="000000" w:fill="FDE9D9"/>
            <w:vAlign w:val="center"/>
            <w:hideMark/>
          </w:tcPr>
          <w:p w14:paraId="599ABB6F" w14:textId="4D84120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5" w:type="pct"/>
            <w:tcBorders>
              <w:top w:val="nil"/>
              <w:left w:val="nil"/>
              <w:bottom w:val="single" w:sz="4" w:space="0" w:color="auto"/>
              <w:right w:val="single" w:sz="8" w:space="0" w:color="auto"/>
            </w:tcBorders>
            <w:shd w:val="clear" w:color="000000" w:fill="FDE9D9"/>
            <w:vAlign w:val="center"/>
            <w:hideMark/>
          </w:tcPr>
          <w:p w14:paraId="201573C8" w14:textId="6B1D62A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51,340</w:t>
            </w:r>
          </w:p>
        </w:tc>
        <w:tc>
          <w:tcPr>
            <w:tcW w:w="202" w:type="pct"/>
            <w:tcBorders>
              <w:top w:val="nil"/>
              <w:left w:val="nil"/>
              <w:bottom w:val="single" w:sz="4" w:space="0" w:color="auto"/>
              <w:right w:val="single" w:sz="4" w:space="0" w:color="auto"/>
            </w:tcBorders>
            <w:shd w:val="clear" w:color="000000" w:fill="FDE9D9"/>
            <w:vAlign w:val="center"/>
            <w:hideMark/>
          </w:tcPr>
          <w:p w14:paraId="72078D0E" w14:textId="66622C5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5,715,421</w:t>
            </w:r>
          </w:p>
        </w:tc>
        <w:tc>
          <w:tcPr>
            <w:tcW w:w="200" w:type="pct"/>
            <w:tcBorders>
              <w:top w:val="nil"/>
              <w:left w:val="nil"/>
              <w:bottom w:val="single" w:sz="4" w:space="0" w:color="auto"/>
              <w:right w:val="single" w:sz="4" w:space="0" w:color="auto"/>
            </w:tcBorders>
            <w:shd w:val="clear" w:color="000000" w:fill="FDE9D9"/>
            <w:vAlign w:val="center"/>
            <w:hideMark/>
          </w:tcPr>
          <w:p w14:paraId="26BB4447" w14:textId="1602E77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5,180,625</w:t>
            </w:r>
          </w:p>
        </w:tc>
        <w:tc>
          <w:tcPr>
            <w:tcW w:w="197" w:type="pct"/>
            <w:tcBorders>
              <w:top w:val="nil"/>
              <w:left w:val="nil"/>
              <w:bottom w:val="single" w:sz="4" w:space="0" w:color="auto"/>
              <w:right w:val="single" w:sz="4" w:space="0" w:color="auto"/>
            </w:tcBorders>
            <w:shd w:val="clear" w:color="000000" w:fill="FDE9D9"/>
            <w:vAlign w:val="center"/>
            <w:hideMark/>
          </w:tcPr>
          <w:p w14:paraId="79372ABC" w14:textId="6F03A07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single" w:sz="8" w:space="0" w:color="auto"/>
            </w:tcBorders>
            <w:shd w:val="clear" w:color="000000" w:fill="FDE9D9"/>
            <w:vAlign w:val="center"/>
            <w:hideMark/>
          </w:tcPr>
          <w:p w14:paraId="546F716C" w14:textId="19C2CC7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534,796</w:t>
            </w:r>
          </w:p>
        </w:tc>
      </w:tr>
      <w:tr w:rsidR="00387E5A" w:rsidRPr="00024D5A" w14:paraId="190DAAFC"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2426B0DA" w14:textId="634E5C97"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Masa </w:t>
            </w:r>
            <w:r w:rsidR="007053C8" w:rsidRPr="00024D5A">
              <w:rPr>
                <w:rFonts w:ascii="Garamond" w:eastAsia="Times New Roman" w:hAnsi="Garamond" w:cs="Calibri"/>
                <w:b/>
                <w:bCs/>
                <w:sz w:val="6"/>
                <w:szCs w:val="6"/>
                <w:lang w:eastAsia="en-US"/>
              </w:rPr>
              <w:t xml:space="preserve">prioritare </w:t>
            </w:r>
            <w:r w:rsidRPr="00024D5A">
              <w:rPr>
                <w:rFonts w:ascii="Garamond" w:eastAsia="Times New Roman" w:hAnsi="Garamond" w:cs="Calibri"/>
                <w:b/>
                <w:bCs/>
                <w:sz w:val="6"/>
                <w:szCs w:val="6"/>
                <w:lang w:eastAsia="en-US"/>
              </w:rPr>
              <w:t>1.1</w:t>
            </w:r>
            <w:r w:rsidR="00AC5DA9">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Përmirësimi i kornizës politike, ligjore dhe institucionale për arsim e formim profesional gjithëpërfshirës për nxënësit e kursantët me aftësi të kufizuara</w:t>
            </w:r>
            <w:r w:rsidR="007053C8" w:rsidRPr="00024D5A">
              <w:rPr>
                <w:rFonts w:ascii="Garamond" w:eastAsia="Times New Roman" w:hAnsi="Garamond" w:cs="Calibri"/>
                <w:b/>
                <w:bCs/>
                <w:sz w:val="6"/>
                <w:szCs w:val="6"/>
                <w:lang w:eastAsia="en-US"/>
              </w:rPr>
              <w:t>.</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7B5B6FC9"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2026</w:t>
            </w:r>
          </w:p>
        </w:tc>
        <w:tc>
          <w:tcPr>
            <w:tcW w:w="226" w:type="pct"/>
            <w:tcBorders>
              <w:top w:val="nil"/>
              <w:left w:val="nil"/>
              <w:bottom w:val="single" w:sz="4" w:space="0" w:color="auto"/>
              <w:right w:val="single" w:sz="4" w:space="0" w:color="auto"/>
            </w:tcBorders>
            <w:shd w:val="clear" w:color="000000" w:fill="DCE6F1"/>
            <w:vAlign w:val="center"/>
            <w:hideMark/>
          </w:tcPr>
          <w:p w14:paraId="7DDC74FE"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DBE5F1"/>
            <w:vAlign w:val="center"/>
            <w:hideMark/>
          </w:tcPr>
          <w:p w14:paraId="0D812199"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MEI, MA, AKAFPK</w:t>
            </w:r>
          </w:p>
        </w:tc>
        <w:tc>
          <w:tcPr>
            <w:tcW w:w="792" w:type="pct"/>
            <w:tcBorders>
              <w:top w:val="nil"/>
              <w:left w:val="nil"/>
              <w:bottom w:val="single" w:sz="4" w:space="0" w:color="auto"/>
              <w:right w:val="single" w:sz="8" w:space="0" w:color="auto"/>
            </w:tcBorders>
            <w:shd w:val="clear" w:color="000000" w:fill="DBE5F1"/>
            <w:vAlign w:val="center"/>
            <w:hideMark/>
          </w:tcPr>
          <w:p w14:paraId="2DF29EA9"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AKPA, ASCAP,AKAFPK; AKAP, ASCAP/IoAFP</w:t>
            </w:r>
          </w:p>
        </w:tc>
        <w:tc>
          <w:tcPr>
            <w:tcW w:w="188" w:type="pct"/>
            <w:tcBorders>
              <w:top w:val="nil"/>
              <w:left w:val="nil"/>
              <w:bottom w:val="single" w:sz="4" w:space="0" w:color="auto"/>
              <w:right w:val="single" w:sz="4" w:space="0" w:color="auto"/>
            </w:tcBorders>
            <w:shd w:val="clear" w:color="000000" w:fill="DCE6F1"/>
            <w:vAlign w:val="center"/>
            <w:hideMark/>
          </w:tcPr>
          <w:p w14:paraId="4FBD7616" w14:textId="4344319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38,773</w:t>
            </w:r>
          </w:p>
        </w:tc>
        <w:tc>
          <w:tcPr>
            <w:tcW w:w="190" w:type="pct"/>
            <w:tcBorders>
              <w:top w:val="nil"/>
              <w:left w:val="nil"/>
              <w:bottom w:val="single" w:sz="4" w:space="0" w:color="auto"/>
              <w:right w:val="single" w:sz="4" w:space="0" w:color="auto"/>
            </w:tcBorders>
            <w:shd w:val="clear" w:color="000000" w:fill="DCE6F1"/>
            <w:vAlign w:val="center"/>
            <w:hideMark/>
          </w:tcPr>
          <w:p w14:paraId="326808C7" w14:textId="2309DE8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46,377</w:t>
            </w:r>
          </w:p>
        </w:tc>
        <w:tc>
          <w:tcPr>
            <w:tcW w:w="190" w:type="pct"/>
            <w:tcBorders>
              <w:top w:val="nil"/>
              <w:left w:val="nil"/>
              <w:bottom w:val="single" w:sz="4" w:space="0" w:color="auto"/>
              <w:right w:val="single" w:sz="4" w:space="0" w:color="auto"/>
            </w:tcBorders>
            <w:shd w:val="clear" w:color="000000" w:fill="DCE6F1"/>
            <w:vAlign w:val="center"/>
            <w:hideMark/>
          </w:tcPr>
          <w:p w14:paraId="5C258B84" w14:textId="4DAAB7F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7,088</w:t>
            </w:r>
          </w:p>
        </w:tc>
        <w:tc>
          <w:tcPr>
            <w:tcW w:w="190" w:type="pct"/>
            <w:tcBorders>
              <w:top w:val="nil"/>
              <w:left w:val="nil"/>
              <w:bottom w:val="single" w:sz="4" w:space="0" w:color="auto"/>
              <w:right w:val="single" w:sz="4" w:space="0" w:color="auto"/>
            </w:tcBorders>
            <w:shd w:val="clear" w:color="000000" w:fill="DCE6F1"/>
            <w:vAlign w:val="center"/>
            <w:hideMark/>
          </w:tcPr>
          <w:p w14:paraId="27661CE6" w14:textId="5271416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6,843</w:t>
            </w:r>
          </w:p>
        </w:tc>
        <w:tc>
          <w:tcPr>
            <w:tcW w:w="187" w:type="pct"/>
            <w:tcBorders>
              <w:top w:val="nil"/>
              <w:left w:val="nil"/>
              <w:bottom w:val="single" w:sz="4" w:space="0" w:color="auto"/>
              <w:right w:val="single" w:sz="4" w:space="0" w:color="auto"/>
            </w:tcBorders>
            <w:shd w:val="clear" w:color="000000" w:fill="DCE6F1"/>
            <w:vAlign w:val="center"/>
            <w:hideMark/>
          </w:tcPr>
          <w:p w14:paraId="136F6425" w14:textId="1EA0CD2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6,843</w:t>
            </w:r>
          </w:p>
        </w:tc>
        <w:tc>
          <w:tcPr>
            <w:tcW w:w="200" w:type="pct"/>
            <w:tcBorders>
              <w:top w:val="nil"/>
              <w:left w:val="nil"/>
              <w:bottom w:val="single" w:sz="4" w:space="0" w:color="auto"/>
              <w:right w:val="nil"/>
            </w:tcBorders>
            <w:shd w:val="clear" w:color="000000" w:fill="DCE6F1"/>
            <w:vAlign w:val="center"/>
            <w:hideMark/>
          </w:tcPr>
          <w:p w14:paraId="3361A8F2" w14:textId="3F44961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105,924</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449B2D05" w14:textId="24E8792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64,231</w:t>
            </w:r>
          </w:p>
        </w:tc>
        <w:tc>
          <w:tcPr>
            <w:tcW w:w="209" w:type="pct"/>
            <w:tcBorders>
              <w:top w:val="nil"/>
              <w:left w:val="nil"/>
              <w:bottom w:val="single" w:sz="4" w:space="0" w:color="auto"/>
              <w:right w:val="single" w:sz="4" w:space="0" w:color="auto"/>
            </w:tcBorders>
            <w:shd w:val="clear" w:color="000000" w:fill="DCE6F1"/>
            <w:vAlign w:val="center"/>
            <w:hideMark/>
          </w:tcPr>
          <w:p w14:paraId="101B023E" w14:textId="2343A02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5" w:type="pct"/>
            <w:tcBorders>
              <w:top w:val="nil"/>
              <w:left w:val="nil"/>
              <w:bottom w:val="single" w:sz="4" w:space="0" w:color="auto"/>
              <w:right w:val="single" w:sz="8" w:space="0" w:color="auto"/>
            </w:tcBorders>
            <w:shd w:val="clear" w:color="000000" w:fill="DCE6F1"/>
            <w:vAlign w:val="center"/>
            <w:hideMark/>
          </w:tcPr>
          <w:p w14:paraId="7731CDCD" w14:textId="0F6313B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41,693</w:t>
            </w:r>
          </w:p>
        </w:tc>
        <w:tc>
          <w:tcPr>
            <w:tcW w:w="202" w:type="pct"/>
            <w:tcBorders>
              <w:top w:val="nil"/>
              <w:left w:val="nil"/>
              <w:bottom w:val="single" w:sz="4" w:space="0" w:color="auto"/>
              <w:right w:val="single" w:sz="4" w:space="0" w:color="auto"/>
            </w:tcBorders>
            <w:shd w:val="clear" w:color="000000" w:fill="DCE6F1"/>
            <w:vAlign w:val="center"/>
            <w:hideMark/>
          </w:tcPr>
          <w:p w14:paraId="4CB1240A" w14:textId="36F2877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1,103,371</w:t>
            </w:r>
          </w:p>
        </w:tc>
        <w:tc>
          <w:tcPr>
            <w:tcW w:w="200" w:type="pct"/>
            <w:tcBorders>
              <w:top w:val="nil"/>
              <w:left w:val="nil"/>
              <w:bottom w:val="single" w:sz="4" w:space="0" w:color="auto"/>
              <w:right w:val="single" w:sz="4" w:space="0" w:color="auto"/>
            </w:tcBorders>
            <w:shd w:val="clear" w:color="000000" w:fill="DCE6F1"/>
            <w:vAlign w:val="center"/>
            <w:hideMark/>
          </w:tcPr>
          <w:p w14:paraId="42C06322" w14:textId="4A23F66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669,072</w:t>
            </w:r>
          </w:p>
        </w:tc>
        <w:tc>
          <w:tcPr>
            <w:tcW w:w="197" w:type="pct"/>
            <w:tcBorders>
              <w:top w:val="nil"/>
              <w:left w:val="nil"/>
              <w:bottom w:val="single" w:sz="4" w:space="0" w:color="auto"/>
              <w:right w:val="single" w:sz="4" w:space="0" w:color="auto"/>
            </w:tcBorders>
            <w:shd w:val="clear" w:color="000000" w:fill="DCE6F1"/>
            <w:vAlign w:val="center"/>
            <w:hideMark/>
          </w:tcPr>
          <w:p w14:paraId="69A7DE79" w14:textId="556BC17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single" w:sz="8" w:space="0" w:color="auto"/>
            </w:tcBorders>
            <w:shd w:val="clear" w:color="000000" w:fill="DCE6F1"/>
            <w:vAlign w:val="center"/>
            <w:hideMark/>
          </w:tcPr>
          <w:p w14:paraId="680EC0F7" w14:textId="0A7B66B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434,299</w:t>
            </w:r>
          </w:p>
        </w:tc>
      </w:tr>
      <w:tr w:rsidR="00387E5A" w:rsidRPr="00024D5A" w14:paraId="23708BDF"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3C654490" w14:textId="32D25E3E"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Masa </w:t>
            </w:r>
            <w:r w:rsidR="00E51640" w:rsidRPr="00024D5A">
              <w:rPr>
                <w:rFonts w:ascii="Garamond" w:eastAsia="Times New Roman" w:hAnsi="Garamond" w:cs="Calibri"/>
                <w:b/>
                <w:bCs/>
                <w:sz w:val="6"/>
                <w:szCs w:val="6"/>
                <w:lang w:eastAsia="en-US"/>
              </w:rPr>
              <w:t xml:space="preserve">prioritare </w:t>
            </w:r>
            <w:r w:rsidRPr="00024D5A">
              <w:rPr>
                <w:rFonts w:ascii="Garamond" w:eastAsia="Times New Roman" w:hAnsi="Garamond" w:cs="Calibri"/>
                <w:b/>
                <w:bCs/>
                <w:sz w:val="6"/>
                <w:szCs w:val="6"/>
                <w:lang w:eastAsia="en-US"/>
              </w:rPr>
              <w:t>1.2</w:t>
            </w:r>
            <w:r w:rsidR="00AC5DA9">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Përmirësimi i infrastrukturës dhe teknologjisë </w:t>
            </w:r>
            <w:r w:rsidRPr="00A74194">
              <w:rPr>
                <w:rFonts w:ascii="Garamond" w:eastAsia="Times New Roman" w:hAnsi="Garamond" w:cs="Calibri"/>
                <w:b/>
                <w:bCs/>
                <w:i/>
                <w:iCs/>
                <w:sz w:val="6"/>
                <w:szCs w:val="6"/>
                <w:lang w:eastAsia="en-US"/>
              </w:rPr>
              <w:t>asis</w:t>
            </w:r>
            <w:r w:rsidR="00A74194" w:rsidRPr="00A74194">
              <w:rPr>
                <w:rFonts w:ascii="Garamond" w:eastAsia="Times New Roman" w:hAnsi="Garamond" w:cs="Calibri"/>
                <w:b/>
                <w:bCs/>
                <w:i/>
                <w:iCs/>
                <w:sz w:val="6"/>
                <w:szCs w:val="6"/>
                <w:lang w:eastAsia="en-US"/>
              </w:rPr>
              <w:t>s</w:t>
            </w:r>
            <w:r w:rsidRPr="00A74194">
              <w:rPr>
                <w:rFonts w:ascii="Garamond" w:eastAsia="Times New Roman" w:hAnsi="Garamond" w:cs="Calibri"/>
                <w:b/>
                <w:bCs/>
                <w:i/>
                <w:iCs/>
                <w:sz w:val="6"/>
                <w:szCs w:val="6"/>
                <w:lang w:eastAsia="en-US"/>
              </w:rPr>
              <w:t>tive:</w:t>
            </w:r>
            <w:r w:rsidRPr="00024D5A">
              <w:rPr>
                <w:rFonts w:ascii="Garamond" w:eastAsia="Times New Roman" w:hAnsi="Garamond" w:cs="Calibri"/>
                <w:b/>
                <w:bCs/>
                <w:sz w:val="6"/>
                <w:szCs w:val="6"/>
                <w:lang w:eastAsia="en-US"/>
              </w:rPr>
              <w:t xml:space="preserve"> Krijimi i mjediseve mësimore të aksesueshme dhe të pajisura me teknologji mbështetëse.</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140418F0"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2026</w:t>
            </w:r>
          </w:p>
        </w:tc>
        <w:tc>
          <w:tcPr>
            <w:tcW w:w="226" w:type="pct"/>
            <w:tcBorders>
              <w:top w:val="nil"/>
              <w:left w:val="nil"/>
              <w:bottom w:val="single" w:sz="4" w:space="0" w:color="auto"/>
              <w:right w:val="single" w:sz="4" w:space="0" w:color="auto"/>
            </w:tcBorders>
            <w:shd w:val="clear" w:color="000000" w:fill="DCE6F1"/>
            <w:vAlign w:val="center"/>
            <w:hideMark/>
          </w:tcPr>
          <w:p w14:paraId="7C3D73BE"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DBE5F1"/>
            <w:vAlign w:val="center"/>
            <w:hideMark/>
          </w:tcPr>
          <w:p w14:paraId="5C8E47F1"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AKPA/AKAFPK</w:t>
            </w:r>
          </w:p>
        </w:tc>
        <w:tc>
          <w:tcPr>
            <w:tcW w:w="792" w:type="pct"/>
            <w:tcBorders>
              <w:top w:val="nil"/>
              <w:left w:val="nil"/>
              <w:bottom w:val="single" w:sz="4" w:space="0" w:color="auto"/>
              <w:right w:val="single" w:sz="8" w:space="0" w:color="auto"/>
            </w:tcBorders>
            <w:shd w:val="clear" w:color="000000" w:fill="DBE5F1"/>
            <w:vAlign w:val="center"/>
            <w:hideMark/>
          </w:tcPr>
          <w:p w14:paraId="596AD592" w14:textId="4746E77D"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MEI</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AKPA</w:t>
            </w:r>
          </w:p>
        </w:tc>
        <w:tc>
          <w:tcPr>
            <w:tcW w:w="188" w:type="pct"/>
            <w:tcBorders>
              <w:top w:val="nil"/>
              <w:left w:val="nil"/>
              <w:bottom w:val="single" w:sz="4" w:space="0" w:color="auto"/>
              <w:right w:val="single" w:sz="4" w:space="0" w:color="auto"/>
            </w:tcBorders>
            <w:shd w:val="clear" w:color="000000" w:fill="DCE6F1"/>
            <w:vAlign w:val="center"/>
            <w:hideMark/>
          </w:tcPr>
          <w:p w14:paraId="729026E4" w14:textId="0D23585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1,875</w:t>
            </w:r>
          </w:p>
        </w:tc>
        <w:tc>
          <w:tcPr>
            <w:tcW w:w="190" w:type="pct"/>
            <w:tcBorders>
              <w:top w:val="nil"/>
              <w:left w:val="nil"/>
              <w:bottom w:val="single" w:sz="4" w:space="0" w:color="auto"/>
              <w:right w:val="single" w:sz="4" w:space="0" w:color="auto"/>
            </w:tcBorders>
            <w:shd w:val="clear" w:color="000000" w:fill="DCE6F1"/>
            <w:vAlign w:val="center"/>
            <w:hideMark/>
          </w:tcPr>
          <w:p w14:paraId="1F30E567" w14:textId="5044DC7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2,148</w:t>
            </w:r>
          </w:p>
        </w:tc>
        <w:tc>
          <w:tcPr>
            <w:tcW w:w="190" w:type="pct"/>
            <w:tcBorders>
              <w:top w:val="nil"/>
              <w:left w:val="nil"/>
              <w:bottom w:val="single" w:sz="4" w:space="0" w:color="auto"/>
              <w:right w:val="single" w:sz="4" w:space="0" w:color="auto"/>
            </w:tcBorders>
            <w:shd w:val="clear" w:color="000000" w:fill="DCE6F1"/>
            <w:vAlign w:val="center"/>
            <w:hideMark/>
          </w:tcPr>
          <w:p w14:paraId="31DD5B8A" w14:textId="75DF122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1,875</w:t>
            </w:r>
          </w:p>
        </w:tc>
        <w:tc>
          <w:tcPr>
            <w:tcW w:w="190" w:type="pct"/>
            <w:tcBorders>
              <w:top w:val="nil"/>
              <w:left w:val="nil"/>
              <w:bottom w:val="single" w:sz="4" w:space="0" w:color="auto"/>
              <w:right w:val="single" w:sz="4" w:space="0" w:color="auto"/>
            </w:tcBorders>
            <w:shd w:val="clear" w:color="000000" w:fill="DCE6F1"/>
            <w:vAlign w:val="center"/>
            <w:hideMark/>
          </w:tcPr>
          <w:p w14:paraId="140D7CAD" w14:textId="61C429B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2,525</w:t>
            </w:r>
          </w:p>
        </w:tc>
        <w:tc>
          <w:tcPr>
            <w:tcW w:w="187" w:type="pct"/>
            <w:tcBorders>
              <w:top w:val="nil"/>
              <w:left w:val="nil"/>
              <w:bottom w:val="single" w:sz="4" w:space="0" w:color="auto"/>
              <w:right w:val="single" w:sz="4" w:space="0" w:color="auto"/>
            </w:tcBorders>
            <w:shd w:val="clear" w:color="000000" w:fill="DCE6F1"/>
            <w:vAlign w:val="center"/>
            <w:hideMark/>
          </w:tcPr>
          <w:p w14:paraId="6474AD85" w14:textId="05AE42C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2,525</w:t>
            </w:r>
          </w:p>
        </w:tc>
        <w:tc>
          <w:tcPr>
            <w:tcW w:w="200" w:type="pct"/>
            <w:tcBorders>
              <w:top w:val="nil"/>
              <w:left w:val="nil"/>
              <w:bottom w:val="single" w:sz="4" w:space="0" w:color="auto"/>
              <w:right w:val="nil"/>
            </w:tcBorders>
            <w:shd w:val="clear" w:color="000000" w:fill="DCE6F1"/>
            <w:vAlign w:val="center"/>
            <w:hideMark/>
          </w:tcPr>
          <w:p w14:paraId="6B31BBC1" w14:textId="7C2F63A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10,948</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6DFCBF4A" w14:textId="0254854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2,000</w:t>
            </w:r>
          </w:p>
        </w:tc>
        <w:tc>
          <w:tcPr>
            <w:tcW w:w="209" w:type="pct"/>
            <w:tcBorders>
              <w:top w:val="nil"/>
              <w:left w:val="nil"/>
              <w:bottom w:val="single" w:sz="4" w:space="0" w:color="auto"/>
              <w:right w:val="single" w:sz="4" w:space="0" w:color="auto"/>
            </w:tcBorders>
            <w:shd w:val="clear" w:color="000000" w:fill="DCE6F1"/>
            <w:vAlign w:val="center"/>
            <w:hideMark/>
          </w:tcPr>
          <w:p w14:paraId="1443748B" w14:textId="4F9E824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5" w:type="pct"/>
            <w:tcBorders>
              <w:top w:val="nil"/>
              <w:left w:val="nil"/>
              <w:bottom w:val="single" w:sz="4" w:space="0" w:color="auto"/>
              <w:right w:val="single" w:sz="8" w:space="0" w:color="auto"/>
            </w:tcBorders>
            <w:shd w:val="clear" w:color="000000" w:fill="DCE6F1"/>
            <w:vAlign w:val="center"/>
            <w:hideMark/>
          </w:tcPr>
          <w:p w14:paraId="7ADAB94E" w14:textId="1F5ABED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8,948</w:t>
            </w:r>
          </w:p>
        </w:tc>
        <w:tc>
          <w:tcPr>
            <w:tcW w:w="202" w:type="pct"/>
            <w:tcBorders>
              <w:top w:val="nil"/>
              <w:left w:val="nil"/>
              <w:bottom w:val="single" w:sz="4" w:space="0" w:color="auto"/>
              <w:right w:val="single" w:sz="4" w:space="0" w:color="auto"/>
            </w:tcBorders>
            <w:shd w:val="clear" w:color="000000" w:fill="DCE6F1"/>
            <w:vAlign w:val="center"/>
            <w:hideMark/>
          </w:tcPr>
          <w:p w14:paraId="3403EA1C" w14:textId="1354C09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114,039</w:t>
            </w:r>
          </w:p>
        </w:tc>
        <w:tc>
          <w:tcPr>
            <w:tcW w:w="200" w:type="pct"/>
            <w:tcBorders>
              <w:top w:val="nil"/>
              <w:left w:val="nil"/>
              <w:bottom w:val="single" w:sz="4" w:space="0" w:color="auto"/>
              <w:right w:val="single" w:sz="4" w:space="0" w:color="auto"/>
            </w:tcBorders>
            <w:shd w:val="clear" w:color="000000" w:fill="DCE6F1"/>
            <w:vAlign w:val="center"/>
            <w:hideMark/>
          </w:tcPr>
          <w:p w14:paraId="153908EB" w14:textId="3A3812E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20,833</w:t>
            </w:r>
          </w:p>
        </w:tc>
        <w:tc>
          <w:tcPr>
            <w:tcW w:w="197" w:type="pct"/>
            <w:tcBorders>
              <w:top w:val="nil"/>
              <w:left w:val="nil"/>
              <w:bottom w:val="single" w:sz="4" w:space="0" w:color="auto"/>
              <w:right w:val="single" w:sz="4" w:space="0" w:color="auto"/>
            </w:tcBorders>
            <w:shd w:val="clear" w:color="000000" w:fill="DCE6F1"/>
            <w:vAlign w:val="center"/>
            <w:hideMark/>
          </w:tcPr>
          <w:p w14:paraId="4817E38E" w14:textId="2DEA2D0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single" w:sz="8" w:space="0" w:color="auto"/>
            </w:tcBorders>
            <w:shd w:val="clear" w:color="000000" w:fill="DCE6F1"/>
            <w:vAlign w:val="center"/>
            <w:hideMark/>
          </w:tcPr>
          <w:p w14:paraId="5781A3AA" w14:textId="7994C9A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93,205</w:t>
            </w:r>
          </w:p>
        </w:tc>
      </w:tr>
      <w:tr w:rsidR="00387E5A" w:rsidRPr="00024D5A" w14:paraId="6A90D4BD"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2FB2BF0F" w14:textId="437FF73D"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Masa </w:t>
            </w:r>
            <w:r w:rsidR="007053C8" w:rsidRPr="00024D5A">
              <w:rPr>
                <w:rFonts w:ascii="Garamond" w:eastAsia="Times New Roman" w:hAnsi="Garamond" w:cs="Calibri"/>
                <w:b/>
                <w:bCs/>
                <w:sz w:val="6"/>
                <w:szCs w:val="6"/>
                <w:lang w:eastAsia="en-US"/>
              </w:rPr>
              <w:t xml:space="preserve">prioritare </w:t>
            </w:r>
            <w:r w:rsidRPr="00024D5A">
              <w:rPr>
                <w:rFonts w:ascii="Garamond" w:eastAsia="Times New Roman" w:hAnsi="Garamond" w:cs="Calibri"/>
                <w:b/>
                <w:bCs/>
                <w:sz w:val="6"/>
                <w:szCs w:val="6"/>
                <w:lang w:eastAsia="en-US"/>
              </w:rPr>
              <w:t>1.3</w:t>
            </w:r>
            <w:r w:rsidR="00AC5DA9">
              <w:rPr>
                <w:rFonts w:ascii="Garamond" w:eastAsia="Times New Roman" w:hAnsi="Garamond" w:cs="Calibri"/>
                <w:b/>
                <w:bCs/>
                <w:sz w:val="6"/>
                <w:szCs w:val="6"/>
                <w:lang w:eastAsia="en-US"/>
              </w:rPr>
              <w:t xml:space="preserve">: </w:t>
            </w:r>
            <w:r w:rsidRPr="00024D5A">
              <w:rPr>
                <w:rFonts w:ascii="Garamond" w:eastAsia="Times New Roman" w:hAnsi="Garamond" w:cs="Calibri"/>
                <w:b/>
                <w:bCs/>
                <w:sz w:val="6"/>
                <w:szCs w:val="6"/>
                <w:lang w:eastAsia="en-US"/>
              </w:rPr>
              <w:t>Përshtatja e kurrikulave dhe</w:t>
            </w:r>
            <w:r w:rsidR="00A74194">
              <w:rPr>
                <w:rFonts w:ascii="Garamond" w:eastAsia="Times New Roman" w:hAnsi="Garamond" w:cs="Calibri"/>
                <w:b/>
                <w:bCs/>
                <w:sz w:val="6"/>
                <w:szCs w:val="6"/>
                <w:lang w:eastAsia="en-US"/>
              </w:rPr>
              <w:t xml:space="preserve"> </w:t>
            </w:r>
            <w:r w:rsidRPr="00024D5A">
              <w:rPr>
                <w:rFonts w:ascii="Garamond" w:eastAsia="Times New Roman" w:hAnsi="Garamond" w:cs="Calibri"/>
                <w:b/>
                <w:bCs/>
                <w:sz w:val="6"/>
                <w:szCs w:val="6"/>
                <w:lang w:eastAsia="en-US"/>
              </w:rPr>
              <w:t xml:space="preserve"> programeve mësimore - Sigurimi që programet përfshirë programet digjitale dhe të gjelbra në AFP janë të aksesueshme dhe gjithëpërfshirëse</w:t>
            </w:r>
            <w:r w:rsidR="007053C8" w:rsidRPr="00024D5A">
              <w:rPr>
                <w:rFonts w:ascii="Garamond" w:eastAsia="Times New Roman" w:hAnsi="Garamond" w:cs="Calibri"/>
                <w:b/>
                <w:bCs/>
                <w:sz w:val="6"/>
                <w:szCs w:val="6"/>
                <w:lang w:eastAsia="en-US"/>
              </w:rPr>
              <w:t>.</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77585C24"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2026</w:t>
            </w:r>
          </w:p>
        </w:tc>
        <w:tc>
          <w:tcPr>
            <w:tcW w:w="226" w:type="pct"/>
            <w:tcBorders>
              <w:top w:val="nil"/>
              <w:left w:val="nil"/>
              <w:bottom w:val="single" w:sz="4" w:space="0" w:color="auto"/>
              <w:right w:val="single" w:sz="4" w:space="0" w:color="auto"/>
            </w:tcBorders>
            <w:shd w:val="clear" w:color="000000" w:fill="DCE6F1"/>
            <w:vAlign w:val="center"/>
            <w:hideMark/>
          </w:tcPr>
          <w:p w14:paraId="13D3CC0A"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DBE5F1"/>
            <w:vAlign w:val="center"/>
            <w:hideMark/>
          </w:tcPr>
          <w:p w14:paraId="3F4751F5"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AKAFPK/AKPA</w:t>
            </w:r>
          </w:p>
        </w:tc>
        <w:tc>
          <w:tcPr>
            <w:tcW w:w="792" w:type="pct"/>
            <w:tcBorders>
              <w:top w:val="nil"/>
              <w:left w:val="nil"/>
              <w:bottom w:val="single" w:sz="4" w:space="0" w:color="auto"/>
              <w:right w:val="single" w:sz="8" w:space="0" w:color="auto"/>
            </w:tcBorders>
            <w:shd w:val="clear" w:color="000000" w:fill="DBE5F1"/>
            <w:vAlign w:val="center"/>
            <w:hideMark/>
          </w:tcPr>
          <w:p w14:paraId="2E1FF1EE" w14:textId="18818B8C"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AKPA</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MEI</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A, AKAFPK, ASCAP</w:t>
            </w:r>
          </w:p>
        </w:tc>
        <w:tc>
          <w:tcPr>
            <w:tcW w:w="188" w:type="pct"/>
            <w:tcBorders>
              <w:top w:val="nil"/>
              <w:left w:val="nil"/>
              <w:bottom w:val="single" w:sz="4" w:space="0" w:color="auto"/>
              <w:right w:val="single" w:sz="4" w:space="0" w:color="auto"/>
            </w:tcBorders>
            <w:shd w:val="clear" w:color="000000" w:fill="DCE6F1"/>
            <w:vAlign w:val="center"/>
            <w:hideMark/>
          </w:tcPr>
          <w:p w14:paraId="1A910DB5" w14:textId="6EC9699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500</w:t>
            </w:r>
          </w:p>
        </w:tc>
        <w:tc>
          <w:tcPr>
            <w:tcW w:w="190" w:type="pct"/>
            <w:tcBorders>
              <w:top w:val="nil"/>
              <w:left w:val="nil"/>
              <w:bottom w:val="single" w:sz="4" w:space="0" w:color="auto"/>
              <w:right w:val="single" w:sz="4" w:space="0" w:color="auto"/>
            </w:tcBorders>
            <w:shd w:val="clear" w:color="000000" w:fill="DCE6F1"/>
            <w:vAlign w:val="center"/>
            <w:hideMark/>
          </w:tcPr>
          <w:p w14:paraId="49C78EDA" w14:textId="6D8E1DF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500</w:t>
            </w:r>
          </w:p>
        </w:tc>
        <w:tc>
          <w:tcPr>
            <w:tcW w:w="190" w:type="pct"/>
            <w:tcBorders>
              <w:top w:val="nil"/>
              <w:left w:val="nil"/>
              <w:bottom w:val="single" w:sz="4" w:space="0" w:color="auto"/>
              <w:right w:val="single" w:sz="4" w:space="0" w:color="auto"/>
            </w:tcBorders>
            <w:shd w:val="clear" w:color="000000" w:fill="DCE6F1"/>
            <w:vAlign w:val="center"/>
            <w:hideMark/>
          </w:tcPr>
          <w:p w14:paraId="07C02095" w14:textId="0109E24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1,000</w:t>
            </w:r>
          </w:p>
        </w:tc>
        <w:tc>
          <w:tcPr>
            <w:tcW w:w="190" w:type="pct"/>
            <w:tcBorders>
              <w:top w:val="nil"/>
              <w:left w:val="nil"/>
              <w:bottom w:val="single" w:sz="4" w:space="0" w:color="auto"/>
              <w:right w:val="single" w:sz="4" w:space="0" w:color="auto"/>
            </w:tcBorders>
            <w:shd w:val="clear" w:color="000000" w:fill="DCE6F1"/>
            <w:vAlign w:val="center"/>
            <w:hideMark/>
          </w:tcPr>
          <w:p w14:paraId="70AEB05E" w14:textId="02AAE51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1,000</w:t>
            </w:r>
          </w:p>
        </w:tc>
        <w:tc>
          <w:tcPr>
            <w:tcW w:w="187" w:type="pct"/>
            <w:tcBorders>
              <w:top w:val="nil"/>
              <w:left w:val="nil"/>
              <w:bottom w:val="single" w:sz="4" w:space="0" w:color="auto"/>
              <w:right w:val="single" w:sz="4" w:space="0" w:color="auto"/>
            </w:tcBorders>
            <w:shd w:val="clear" w:color="000000" w:fill="DCE6F1"/>
            <w:vAlign w:val="center"/>
            <w:hideMark/>
          </w:tcPr>
          <w:p w14:paraId="78B107D9" w14:textId="1E1BD37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1,000</w:t>
            </w:r>
          </w:p>
        </w:tc>
        <w:tc>
          <w:tcPr>
            <w:tcW w:w="200" w:type="pct"/>
            <w:tcBorders>
              <w:top w:val="nil"/>
              <w:left w:val="nil"/>
              <w:bottom w:val="single" w:sz="4" w:space="0" w:color="auto"/>
              <w:right w:val="nil"/>
            </w:tcBorders>
            <w:shd w:val="clear" w:color="000000" w:fill="DCE6F1"/>
            <w:vAlign w:val="center"/>
            <w:hideMark/>
          </w:tcPr>
          <w:p w14:paraId="3A86F9DB" w14:textId="4A8DCA5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4,000</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672C214B" w14:textId="52638FE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4,000</w:t>
            </w:r>
          </w:p>
        </w:tc>
        <w:tc>
          <w:tcPr>
            <w:tcW w:w="209" w:type="pct"/>
            <w:tcBorders>
              <w:top w:val="nil"/>
              <w:left w:val="nil"/>
              <w:bottom w:val="single" w:sz="4" w:space="0" w:color="auto"/>
              <w:right w:val="single" w:sz="4" w:space="0" w:color="auto"/>
            </w:tcBorders>
            <w:shd w:val="clear" w:color="000000" w:fill="DCE6F1"/>
            <w:vAlign w:val="center"/>
            <w:hideMark/>
          </w:tcPr>
          <w:p w14:paraId="2306392D" w14:textId="1103172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5" w:type="pct"/>
            <w:tcBorders>
              <w:top w:val="nil"/>
              <w:left w:val="nil"/>
              <w:bottom w:val="single" w:sz="4" w:space="0" w:color="auto"/>
              <w:right w:val="single" w:sz="8" w:space="0" w:color="auto"/>
            </w:tcBorders>
            <w:shd w:val="clear" w:color="000000" w:fill="DCE6F1"/>
            <w:vAlign w:val="center"/>
            <w:hideMark/>
          </w:tcPr>
          <w:p w14:paraId="40CC41A6" w14:textId="1192774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202" w:type="pct"/>
            <w:tcBorders>
              <w:top w:val="nil"/>
              <w:left w:val="nil"/>
              <w:bottom w:val="single" w:sz="4" w:space="0" w:color="auto"/>
              <w:right w:val="single" w:sz="4" w:space="0" w:color="auto"/>
            </w:tcBorders>
            <w:shd w:val="clear" w:color="000000" w:fill="DCE6F1"/>
            <w:vAlign w:val="center"/>
            <w:hideMark/>
          </w:tcPr>
          <w:p w14:paraId="76FF5006" w14:textId="3D14E7A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41,667</w:t>
            </w:r>
          </w:p>
        </w:tc>
        <w:tc>
          <w:tcPr>
            <w:tcW w:w="200" w:type="pct"/>
            <w:tcBorders>
              <w:top w:val="nil"/>
              <w:left w:val="nil"/>
              <w:bottom w:val="single" w:sz="4" w:space="0" w:color="auto"/>
              <w:right w:val="single" w:sz="4" w:space="0" w:color="auto"/>
            </w:tcBorders>
            <w:shd w:val="clear" w:color="000000" w:fill="DCE6F1"/>
            <w:vAlign w:val="center"/>
            <w:hideMark/>
          </w:tcPr>
          <w:p w14:paraId="3BADE466" w14:textId="6545060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41,667</w:t>
            </w:r>
          </w:p>
        </w:tc>
        <w:tc>
          <w:tcPr>
            <w:tcW w:w="197" w:type="pct"/>
            <w:tcBorders>
              <w:top w:val="nil"/>
              <w:left w:val="nil"/>
              <w:bottom w:val="single" w:sz="4" w:space="0" w:color="auto"/>
              <w:right w:val="single" w:sz="4" w:space="0" w:color="auto"/>
            </w:tcBorders>
            <w:shd w:val="clear" w:color="000000" w:fill="DCE6F1"/>
            <w:vAlign w:val="center"/>
            <w:hideMark/>
          </w:tcPr>
          <w:p w14:paraId="191FFE64" w14:textId="758F1B5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single" w:sz="8" w:space="0" w:color="auto"/>
            </w:tcBorders>
            <w:shd w:val="clear" w:color="000000" w:fill="DCE6F1"/>
            <w:vAlign w:val="center"/>
            <w:hideMark/>
          </w:tcPr>
          <w:p w14:paraId="7B6EF3ED" w14:textId="138EB34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r>
      <w:tr w:rsidR="00387E5A" w:rsidRPr="00024D5A" w14:paraId="1A060589"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513E4A6C" w14:textId="781C0076"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Masa prioritare 1.4</w:t>
            </w:r>
            <w:r w:rsidR="00AC5DA9">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Mbështetja e nxënësve dhe kursantëve me aftësi të kufizuara - Sigurimi i pjesëmarrjes së barabartë dhe përfundimit me sukses të programeve mësimore në institucionet ofruese të AFP-së</w:t>
            </w:r>
            <w:r w:rsidR="007053C8" w:rsidRPr="00024D5A">
              <w:rPr>
                <w:rFonts w:ascii="Garamond" w:eastAsia="Times New Roman" w:hAnsi="Garamond" w:cs="Calibri"/>
                <w:b/>
                <w:bCs/>
                <w:sz w:val="6"/>
                <w:szCs w:val="6"/>
                <w:lang w:eastAsia="en-US"/>
              </w:rPr>
              <w:t>.</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5DBA036C"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2026</w:t>
            </w:r>
          </w:p>
        </w:tc>
        <w:tc>
          <w:tcPr>
            <w:tcW w:w="226" w:type="pct"/>
            <w:tcBorders>
              <w:top w:val="nil"/>
              <w:left w:val="nil"/>
              <w:bottom w:val="single" w:sz="4" w:space="0" w:color="auto"/>
              <w:right w:val="single" w:sz="4" w:space="0" w:color="auto"/>
            </w:tcBorders>
            <w:shd w:val="clear" w:color="000000" w:fill="DCE6F1"/>
            <w:vAlign w:val="center"/>
            <w:hideMark/>
          </w:tcPr>
          <w:p w14:paraId="44223F8B"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DBE5F1"/>
            <w:vAlign w:val="center"/>
            <w:hideMark/>
          </w:tcPr>
          <w:p w14:paraId="70EC9441"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IOAFP/AKPA</w:t>
            </w:r>
          </w:p>
        </w:tc>
        <w:tc>
          <w:tcPr>
            <w:tcW w:w="792" w:type="pct"/>
            <w:tcBorders>
              <w:top w:val="nil"/>
              <w:left w:val="nil"/>
              <w:bottom w:val="single" w:sz="4" w:space="0" w:color="auto"/>
              <w:right w:val="single" w:sz="8" w:space="0" w:color="auto"/>
            </w:tcBorders>
            <w:shd w:val="clear" w:color="000000" w:fill="DBE5F1"/>
            <w:vAlign w:val="center"/>
            <w:hideMark/>
          </w:tcPr>
          <w:p w14:paraId="3F007CDF"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MEI/MA/AKAFPK/ASCAP/NJVV/AKPA</w:t>
            </w:r>
          </w:p>
        </w:tc>
        <w:tc>
          <w:tcPr>
            <w:tcW w:w="188" w:type="pct"/>
            <w:tcBorders>
              <w:top w:val="nil"/>
              <w:left w:val="nil"/>
              <w:bottom w:val="single" w:sz="4" w:space="0" w:color="auto"/>
              <w:right w:val="single" w:sz="4" w:space="0" w:color="auto"/>
            </w:tcBorders>
            <w:shd w:val="clear" w:color="000000" w:fill="DCE6F1"/>
            <w:vAlign w:val="center"/>
            <w:hideMark/>
          </w:tcPr>
          <w:p w14:paraId="10C34936" w14:textId="495B281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84,580</w:t>
            </w:r>
          </w:p>
        </w:tc>
        <w:tc>
          <w:tcPr>
            <w:tcW w:w="190" w:type="pct"/>
            <w:tcBorders>
              <w:top w:val="nil"/>
              <w:left w:val="nil"/>
              <w:bottom w:val="single" w:sz="4" w:space="0" w:color="auto"/>
              <w:right w:val="single" w:sz="4" w:space="0" w:color="auto"/>
            </w:tcBorders>
            <w:shd w:val="clear" w:color="000000" w:fill="DCE6F1"/>
            <w:vAlign w:val="center"/>
            <w:hideMark/>
          </w:tcPr>
          <w:p w14:paraId="2EDC5A0F" w14:textId="707A5F7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84,580</w:t>
            </w:r>
          </w:p>
        </w:tc>
        <w:tc>
          <w:tcPr>
            <w:tcW w:w="190" w:type="pct"/>
            <w:tcBorders>
              <w:top w:val="nil"/>
              <w:left w:val="nil"/>
              <w:bottom w:val="single" w:sz="4" w:space="0" w:color="auto"/>
              <w:right w:val="single" w:sz="4" w:space="0" w:color="auto"/>
            </w:tcBorders>
            <w:shd w:val="clear" w:color="000000" w:fill="DCE6F1"/>
            <w:vAlign w:val="center"/>
            <w:hideMark/>
          </w:tcPr>
          <w:p w14:paraId="5677C930" w14:textId="054E000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84,580</w:t>
            </w:r>
          </w:p>
        </w:tc>
        <w:tc>
          <w:tcPr>
            <w:tcW w:w="190" w:type="pct"/>
            <w:tcBorders>
              <w:top w:val="nil"/>
              <w:left w:val="nil"/>
              <w:bottom w:val="single" w:sz="4" w:space="0" w:color="auto"/>
              <w:right w:val="single" w:sz="4" w:space="0" w:color="auto"/>
            </w:tcBorders>
            <w:shd w:val="clear" w:color="000000" w:fill="DCE6F1"/>
            <w:vAlign w:val="center"/>
            <w:hideMark/>
          </w:tcPr>
          <w:p w14:paraId="4C6E2B2D" w14:textId="3463AFB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84,580</w:t>
            </w:r>
          </w:p>
        </w:tc>
        <w:tc>
          <w:tcPr>
            <w:tcW w:w="187" w:type="pct"/>
            <w:tcBorders>
              <w:top w:val="nil"/>
              <w:left w:val="nil"/>
              <w:bottom w:val="single" w:sz="4" w:space="0" w:color="auto"/>
              <w:right w:val="single" w:sz="4" w:space="0" w:color="auto"/>
            </w:tcBorders>
            <w:shd w:val="clear" w:color="000000" w:fill="DCE6F1"/>
            <w:vAlign w:val="center"/>
            <w:hideMark/>
          </w:tcPr>
          <w:p w14:paraId="397B370A" w14:textId="1FE0322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84,580</w:t>
            </w:r>
          </w:p>
        </w:tc>
        <w:tc>
          <w:tcPr>
            <w:tcW w:w="200" w:type="pct"/>
            <w:tcBorders>
              <w:top w:val="nil"/>
              <w:left w:val="nil"/>
              <w:bottom w:val="single" w:sz="4" w:space="0" w:color="auto"/>
              <w:right w:val="nil"/>
            </w:tcBorders>
            <w:shd w:val="clear" w:color="000000" w:fill="DCE6F1"/>
            <w:vAlign w:val="center"/>
            <w:hideMark/>
          </w:tcPr>
          <w:p w14:paraId="46FB3E5E" w14:textId="26FD8F8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422,900</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2F947DC8" w14:textId="40BEA0B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422,900</w:t>
            </w:r>
          </w:p>
        </w:tc>
        <w:tc>
          <w:tcPr>
            <w:tcW w:w="209" w:type="pct"/>
            <w:tcBorders>
              <w:top w:val="nil"/>
              <w:left w:val="nil"/>
              <w:bottom w:val="single" w:sz="4" w:space="0" w:color="auto"/>
              <w:right w:val="single" w:sz="4" w:space="0" w:color="auto"/>
            </w:tcBorders>
            <w:shd w:val="clear" w:color="000000" w:fill="DCE6F1"/>
            <w:vAlign w:val="center"/>
            <w:hideMark/>
          </w:tcPr>
          <w:p w14:paraId="6EAA2F21" w14:textId="14D0C1C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5" w:type="pct"/>
            <w:tcBorders>
              <w:top w:val="nil"/>
              <w:left w:val="nil"/>
              <w:bottom w:val="single" w:sz="4" w:space="0" w:color="auto"/>
              <w:right w:val="single" w:sz="8" w:space="0" w:color="auto"/>
            </w:tcBorders>
            <w:shd w:val="clear" w:color="000000" w:fill="DCE6F1"/>
            <w:vAlign w:val="center"/>
            <w:hideMark/>
          </w:tcPr>
          <w:p w14:paraId="11DEFE27" w14:textId="262DCC3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202" w:type="pct"/>
            <w:tcBorders>
              <w:top w:val="nil"/>
              <w:left w:val="nil"/>
              <w:bottom w:val="single" w:sz="4" w:space="0" w:color="auto"/>
              <w:right w:val="single" w:sz="4" w:space="0" w:color="auto"/>
            </w:tcBorders>
            <w:shd w:val="clear" w:color="000000" w:fill="DCE6F1"/>
            <w:vAlign w:val="center"/>
            <w:hideMark/>
          </w:tcPr>
          <w:p w14:paraId="32C8C6B5" w14:textId="7FB9D5C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4,405,208</w:t>
            </w:r>
          </w:p>
        </w:tc>
        <w:tc>
          <w:tcPr>
            <w:tcW w:w="200" w:type="pct"/>
            <w:tcBorders>
              <w:top w:val="nil"/>
              <w:left w:val="nil"/>
              <w:bottom w:val="single" w:sz="4" w:space="0" w:color="auto"/>
              <w:right w:val="single" w:sz="4" w:space="0" w:color="auto"/>
            </w:tcBorders>
            <w:shd w:val="clear" w:color="000000" w:fill="DCE6F1"/>
            <w:vAlign w:val="center"/>
            <w:hideMark/>
          </w:tcPr>
          <w:p w14:paraId="5B7BCB7E" w14:textId="4F0B7A2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4,405,208</w:t>
            </w:r>
          </w:p>
        </w:tc>
        <w:tc>
          <w:tcPr>
            <w:tcW w:w="197" w:type="pct"/>
            <w:tcBorders>
              <w:top w:val="nil"/>
              <w:left w:val="nil"/>
              <w:bottom w:val="single" w:sz="4" w:space="0" w:color="auto"/>
              <w:right w:val="single" w:sz="4" w:space="0" w:color="auto"/>
            </w:tcBorders>
            <w:shd w:val="clear" w:color="000000" w:fill="DCE6F1"/>
            <w:vAlign w:val="center"/>
            <w:hideMark/>
          </w:tcPr>
          <w:p w14:paraId="373A9463" w14:textId="5AA2C8B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single" w:sz="8" w:space="0" w:color="auto"/>
            </w:tcBorders>
            <w:shd w:val="clear" w:color="000000" w:fill="DCE6F1"/>
            <w:vAlign w:val="center"/>
            <w:hideMark/>
          </w:tcPr>
          <w:p w14:paraId="5D5B7E38" w14:textId="7660FE0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r>
      <w:tr w:rsidR="00387E5A" w:rsidRPr="00024D5A" w14:paraId="12E6B40B"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740F0E6A" w14:textId="77777777"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Masa prioritare 1.5: Bashkëpunimi me sektorin privat dhe tregun e punës - Lidhja e aftësive të fituara me punësimin real.</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00A8FAD0"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2026</w:t>
            </w:r>
          </w:p>
        </w:tc>
        <w:tc>
          <w:tcPr>
            <w:tcW w:w="226" w:type="pct"/>
            <w:tcBorders>
              <w:top w:val="nil"/>
              <w:left w:val="nil"/>
              <w:bottom w:val="single" w:sz="4" w:space="0" w:color="auto"/>
              <w:right w:val="single" w:sz="4" w:space="0" w:color="auto"/>
            </w:tcBorders>
            <w:shd w:val="clear" w:color="000000" w:fill="DCE6F1"/>
            <w:vAlign w:val="center"/>
            <w:hideMark/>
          </w:tcPr>
          <w:p w14:paraId="6DAAAC3E"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DBE5F1"/>
            <w:vAlign w:val="center"/>
            <w:hideMark/>
          </w:tcPr>
          <w:p w14:paraId="479EA695"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IOAFP</w:t>
            </w:r>
          </w:p>
        </w:tc>
        <w:tc>
          <w:tcPr>
            <w:tcW w:w="792" w:type="pct"/>
            <w:tcBorders>
              <w:top w:val="nil"/>
              <w:left w:val="nil"/>
              <w:bottom w:val="single" w:sz="4" w:space="0" w:color="auto"/>
              <w:right w:val="single" w:sz="8" w:space="0" w:color="auto"/>
            </w:tcBorders>
            <w:shd w:val="clear" w:color="000000" w:fill="DBE5F1"/>
            <w:vAlign w:val="center"/>
            <w:hideMark/>
          </w:tcPr>
          <w:p w14:paraId="2C698243"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IOAFP/AKPA/MEI/MA/ASCAP</w:t>
            </w:r>
          </w:p>
        </w:tc>
        <w:tc>
          <w:tcPr>
            <w:tcW w:w="188" w:type="pct"/>
            <w:tcBorders>
              <w:top w:val="nil"/>
              <w:left w:val="nil"/>
              <w:bottom w:val="single" w:sz="4" w:space="0" w:color="auto"/>
              <w:right w:val="single" w:sz="4" w:space="0" w:color="auto"/>
            </w:tcBorders>
            <w:shd w:val="clear" w:color="000000" w:fill="DCE6F1"/>
            <w:vAlign w:val="center"/>
            <w:hideMark/>
          </w:tcPr>
          <w:p w14:paraId="66B71FE6" w14:textId="1ED166F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520</w:t>
            </w:r>
          </w:p>
        </w:tc>
        <w:tc>
          <w:tcPr>
            <w:tcW w:w="190" w:type="pct"/>
            <w:tcBorders>
              <w:top w:val="nil"/>
              <w:left w:val="nil"/>
              <w:bottom w:val="single" w:sz="4" w:space="0" w:color="auto"/>
              <w:right w:val="single" w:sz="4" w:space="0" w:color="auto"/>
            </w:tcBorders>
            <w:shd w:val="clear" w:color="000000" w:fill="DCE6F1"/>
            <w:vAlign w:val="center"/>
            <w:hideMark/>
          </w:tcPr>
          <w:p w14:paraId="1A4FB969" w14:textId="29C1A26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520</w:t>
            </w:r>
          </w:p>
        </w:tc>
        <w:tc>
          <w:tcPr>
            <w:tcW w:w="190" w:type="pct"/>
            <w:tcBorders>
              <w:top w:val="nil"/>
              <w:left w:val="nil"/>
              <w:bottom w:val="single" w:sz="4" w:space="0" w:color="auto"/>
              <w:right w:val="single" w:sz="4" w:space="0" w:color="auto"/>
            </w:tcBorders>
            <w:shd w:val="clear" w:color="000000" w:fill="DCE6F1"/>
            <w:vAlign w:val="center"/>
            <w:hideMark/>
          </w:tcPr>
          <w:p w14:paraId="7F88B879" w14:textId="423473E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373</w:t>
            </w:r>
          </w:p>
        </w:tc>
        <w:tc>
          <w:tcPr>
            <w:tcW w:w="190" w:type="pct"/>
            <w:tcBorders>
              <w:top w:val="nil"/>
              <w:left w:val="nil"/>
              <w:bottom w:val="single" w:sz="4" w:space="0" w:color="auto"/>
              <w:right w:val="single" w:sz="4" w:space="0" w:color="auto"/>
            </w:tcBorders>
            <w:shd w:val="clear" w:color="000000" w:fill="DCE6F1"/>
            <w:vAlign w:val="center"/>
            <w:hideMark/>
          </w:tcPr>
          <w:p w14:paraId="3B19F72A" w14:textId="76EDF08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100</w:t>
            </w:r>
          </w:p>
        </w:tc>
        <w:tc>
          <w:tcPr>
            <w:tcW w:w="187" w:type="pct"/>
            <w:tcBorders>
              <w:top w:val="nil"/>
              <w:left w:val="nil"/>
              <w:bottom w:val="single" w:sz="4" w:space="0" w:color="auto"/>
              <w:right w:val="single" w:sz="4" w:space="0" w:color="auto"/>
            </w:tcBorders>
            <w:shd w:val="clear" w:color="000000" w:fill="DCE6F1"/>
            <w:vAlign w:val="center"/>
            <w:hideMark/>
          </w:tcPr>
          <w:p w14:paraId="6E2BCDD0" w14:textId="045E6E6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100</w:t>
            </w:r>
          </w:p>
        </w:tc>
        <w:tc>
          <w:tcPr>
            <w:tcW w:w="200" w:type="pct"/>
            <w:tcBorders>
              <w:top w:val="nil"/>
              <w:left w:val="nil"/>
              <w:bottom w:val="single" w:sz="4" w:space="0" w:color="auto"/>
              <w:right w:val="nil"/>
            </w:tcBorders>
            <w:shd w:val="clear" w:color="000000" w:fill="DCE6F1"/>
            <w:vAlign w:val="center"/>
            <w:hideMark/>
          </w:tcPr>
          <w:p w14:paraId="21839050" w14:textId="792D060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1,614</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4F440855" w14:textId="4B80D8A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1,264</w:t>
            </w:r>
          </w:p>
        </w:tc>
        <w:tc>
          <w:tcPr>
            <w:tcW w:w="209" w:type="pct"/>
            <w:tcBorders>
              <w:top w:val="nil"/>
              <w:left w:val="nil"/>
              <w:bottom w:val="single" w:sz="4" w:space="0" w:color="auto"/>
              <w:right w:val="single" w:sz="4" w:space="0" w:color="auto"/>
            </w:tcBorders>
            <w:shd w:val="clear" w:color="000000" w:fill="DCE6F1"/>
            <w:vAlign w:val="center"/>
            <w:hideMark/>
          </w:tcPr>
          <w:p w14:paraId="0000725C" w14:textId="20EAA84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5" w:type="pct"/>
            <w:tcBorders>
              <w:top w:val="nil"/>
              <w:left w:val="nil"/>
              <w:bottom w:val="single" w:sz="4" w:space="0" w:color="auto"/>
              <w:right w:val="single" w:sz="8" w:space="0" w:color="auto"/>
            </w:tcBorders>
            <w:shd w:val="clear" w:color="000000" w:fill="DCE6F1"/>
            <w:vAlign w:val="center"/>
            <w:hideMark/>
          </w:tcPr>
          <w:p w14:paraId="2C2FDFDB" w14:textId="5D3F4C7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350</w:t>
            </w:r>
          </w:p>
        </w:tc>
        <w:tc>
          <w:tcPr>
            <w:tcW w:w="202" w:type="pct"/>
            <w:tcBorders>
              <w:top w:val="nil"/>
              <w:left w:val="nil"/>
              <w:bottom w:val="single" w:sz="4" w:space="0" w:color="auto"/>
              <w:right w:val="single" w:sz="4" w:space="0" w:color="auto"/>
            </w:tcBorders>
            <w:shd w:val="clear" w:color="000000" w:fill="DCE6F1"/>
            <w:vAlign w:val="center"/>
            <w:hideMark/>
          </w:tcPr>
          <w:p w14:paraId="43ABA362" w14:textId="599F331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16,809</w:t>
            </w:r>
          </w:p>
        </w:tc>
        <w:tc>
          <w:tcPr>
            <w:tcW w:w="200" w:type="pct"/>
            <w:tcBorders>
              <w:top w:val="nil"/>
              <w:left w:val="nil"/>
              <w:bottom w:val="single" w:sz="4" w:space="0" w:color="auto"/>
              <w:right w:val="single" w:sz="4" w:space="0" w:color="auto"/>
            </w:tcBorders>
            <w:shd w:val="clear" w:color="000000" w:fill="DCE6F1"/>
            <w:vAlign w:val="center"/>
            <w:hideMark/>
          </w:tcPr>
          <w:p w14:paraId="2AA7D187" w14:textId="5EB4A12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13,163</w:t>
            </w:r>
          </w:p>
        </w:tc>
        <w:tc>
          <w:tcPr>
            <w:tcW w:w="197" w:type="pct"/>
            <w:tcBorders>
              <w:top w:val="nil"/>
              <w:left w:val="nil"/>
              <w:bottom w:val="single" w:sz="4" w:space="0" w:color="auto"/>
              <w:right w:val="single" w:sz="4" w:space="0" w:color="auto"/>
            </w:tcBorders>
            <w:shd w:val="clear" w:color="000000" w:fill="DCE6F1"/>
            <w:vAlign w:val="center"/>
            <w:hideMark/>
          </w:tcPr>
          <w:p w14:paraId="031DE33E" w14:textId="708D987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single" w:sz="8" w:space="0" w:color="auto"/>
            </w:tcBorders>
            <w:shd w:val="clear" w:color="000000" w:fill="DCE6F1"/>
            <w:vAlign w:val="center"/>
            <w:hideMark/>
          </w:tcPr>
          <w:p w14:paraId="2CA361AB" w14:textId="519C65D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3,646</w:t>
            </w:r>
          </w:p>
        </w:tc>
      </w:tr>
      <w:tr w:rsidR="00387E5A" w:rsidRPr="00024D5A" w14:paraId="5AC5AB54"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3795C916" w14:textId="0A42461B"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Masa prioritare 1.6: Monitorimi, vlerësimi dhe administrimi i të dhënave</w:t>
            </w:r>
            <w:r w:rsidR="007053C8" w:rsidRPr="00024D5A">
              <w:rPr>
                <w:rFonts w:ascii="Garamond" w:eastAsia="Times New Roman" w:hAnsi="Garamond" w:cs="Calibri"/>
                <w:b/>
                <w:bCs/>
                <w:sz w:val="6"/>
                <w:szCs w:val="6"/>
                <w:lang w:eastAsia="en-US"/>
              </w:rPr>
              <w:t xml:space="preserve"> </w:t>
            </w:r>
            <w:r w:rsidRPr="00024D5A">
              <w:rPr>
                <w:rFonts w:ascii="Garamond" w:eastAsia="Times New Roman" w:hAnsi="Garamond" w:cs="Calibri"/>
                <w:b/>
                <w:bCs/>
                <w:sz w:val="6"/>
                <w:szCs w:val="6"/>
                <w:lang w:eastAsia="en-US"/>
              </w:rPr>
              <w:t>- Matja e progresit dhe përmirësimi i vazhdueshëm i masave të parashikuara në këtë sektor/objektiv të planit të veprimit</w:t>
            </w:r>
            <w:r w:rsidR="007053C8" w:rsidRPr="00024D5A">
              <w:rPr>
                <w:rFonts w:ascii="Garamond" w:eastAsia="Times New Roman" w:hAnsi="Garamond" w:cs="Calibri"/>
                <w:b/>
                <w:bCs/>
                <w:sz w:val="6"/>
                <w:szCs w:val="6"/>
                <w:lang w:eastAsia="en-US"/>
              </w:rPr>
              <w:t>.</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08502896"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2026</w:t>
            </w:r>
          </w:p>
        </w:tc>
        <w:tc>
          <w:tcPr>
            <w:tcW w:w="226" w:type="pct"/>
            <w:tcBorders>
              <w:top w:val="nil"/>
              <w:left w:val="nil"/>
              <w:bottom w:val="single" w:sz="4" w:space="0" w:color="auto"/>
              <w:right w:val="single" w:sz="4" w:space="0" w:color="auto"/>
            </w:tcBorders>
            <w:shd w:val="clear" w:color="000000" w:fill="DCE6F1"/>
            <w:vAlign w:val="center"/>
            <w:hideMark/>
          </w:tcPr>
          <w:p w14:paraId="0631C2EF"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DBE5F1"/>
            <w:vAlign w:val="center"/>
            <w:hideMark/>
          </w:tcPr>
          <w:p w14:paraId="3E100665"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IOAFP/AKPA</w:t>
            </w:r>
          </w:p>
        </w:tc>
        <w:tc>
          <w:tcPr>
            <w:tcW w:w="792" w:type="pct"/>
            <w:tcBorders>
              <w:top w:val="nil"/>
              <w:left w:val="nil"/>
              <w:bottom w:val="single" w:sz="4" w:space="0" w:color="auto"/>
              <w:right w:val="single" w:sz="8" w:space="0" w:color="auto"/>
            </w:tcBorders>
            <w:shd w:val="clear" w:color="000000" w:fill="DBE5F1"/>
            <w:vAlign w:val="center"/>
            <w:hideMark/>
          </w:tcPr>
          <w:p w14:paraId="07D213AE"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IOAFP/AKPA</w:t>
            </w:r>
          </w:p>
        </w:tc>
        <w:tc>
          <w:tcPr>
            <w:tcW w:w="188" w:type="pct"/>
            <w:tcBorders>
              <w:top w:val="nil"/>
              <w:left w:val="nil"/>
              <w:bottom w:val="single" w:sz="4" w:space="0" w:color="auto"/>
              <w:right w:val="single" w:sz="4" w:space="0" w:color="auto"/>
            </w:tcBorders>
            <w:shd w:val="clear" w:color="000000" w:fill="DCE6F1"/>
            <w:vAlign w:val="center"/>
            <w:hideMark/>
          </w:tcPr>
          <w:p w14:paraId="2149BC86" w14:textId="14F9127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540</w:t>
            </w:r>
          </w:p>
        </w:tc>
        <w:tc>
          <w:tcPr>
            <w:tcW w:w="190" w:type="pct"/>
            <w:tcBorders>
              <w:top w:val="nil"/>
              <w:left w:val="nil"/>
              <w:bottom w:val="single" w:sz="4" w:space="0" w:color="auto"/>
              <w:right w:val="single" w:sz="4" w:space="0" w:color="auto"/>
            </w:tcBorders>
            <w:shd w:val="clear" w:color="000000" w:fill="DCE6F1"/>
            <w:vAlign w:val="center"/>
            <w:hideMark/>
          </w:tcPr>
          <w:p w14:paraId="24D23101" w14:textId="536E587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540</w:t>
            </w:r>
          </w:p>
        </w:tc>
        <w:tc>
          <w:tcPr>
            <w:tcW w:w="190" w:type="pct"/>
            <w:tcBorders>
              <w:top w:val="nil"/>
              <w:left w:val="nil"/>
              <w:bottom w:val="single" w:sz="4" w:space="0" w:color="auto"/>
              <w:right w:val="single" w:sz="4" w:space="0" w:color="auto"/>
            </w:tcBorders>
            <w:shd w:val="clear" w:color="000000" w:fill="DCE6F1"/>
            <w:vAlign w:val="center"/>
            <w:hideMark/>
          </w:tcPr>
          <w:p w14:paraId="2EAEC26A" w14:textId="32F2C09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1,135</w:t>
            </w:r>
          </w:p>
        </w:tc>
        <w:tc>
          <w:tcPr>
            <w:tcW w:w="190" w:type="pct"/>
            <w:tcBorders>
              <w:top w:val="nil"/>
              <w:left w:val="nil"/>
              <w:bottom w:val="single" w:sz="4" w:space="0" w:color="auto"/>
              <w:right w:val="single" w:sz="4" w:space="0" w:color="auto"/>
            </w:tcBorders>
            <w:shd w:val="clear" w:color="000000" w:fill="DCE6F1"/>
            <w:vAlign w:val="center"/>
            <w:hideMark/>
          </w:tcPr>
          <w:p w14:paraId="01652831" w14:textId="614F80A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540</w:t>
            </w:r>
          </w:p>
        </w:tc>
        <w:tc>
          <w:tcPr>
            <w:tcW w:w="187" w:type="pct"/>
            <w:tcBorders>
              <w:top w:val="nil"/>
              <w:left w:val="nil"/>
              <w:bottom w:val="single" w:sz="4" w:space="0" w:color="auto"/>
              <w:right w:val="single" w:sz="4" w:space="0" w:color="auto"/>
            </w:tcBorders>
            <w:shd w:val="clear" w:color="000000" w:fill="DCE6F1"/>
            <w:vAlign w:val="center"/>
            <w:hideMark/>
          </w:tcPr>
          <w:p w14:paraId="20C37E73" w14:textId="621CAC5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540</w:t>
            </w:r>
          </w:p>
        </w:tc>
        <w:tc>
          <w:tcPr>
            <w:tcW w:w="200" w:type="pct"/>
            <w:tcBorders>
              <w:top w:val="nil"/>
              <w:left w:val="nil"/>
              <w:bottom w:val="single" w:sz="4" w:space="0" w:color="auto"/>
              <w:right w:val="nil"/>
            </w:tcBorders>
            <w:shd w:val="clear" w:color="000000" w:fill="DCE6F1"/>
            <w:vAlign w:val="center"/>
            <w:hideMark/>
          </w:tcPr>
          <w:p w14:paraId="06D6C06C" w14:textId="75CA561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3,295</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77A0A884" w14:textId="4834EDE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2,945</w:t>
            </w:r>
          </w:p>
        </w:tc>
        <w:tc>
          <w:tcPr>
            <w:tcW w:w="209" w:type="pct"/>
            <w:tcBorders>
              <w:top w:val="nil"/>
              <w:left w:val="nil"/>
              <w:bottom w:val="single" w:sz="4" w:space="0" w:color="auto"/>
              <w:right w:val="single" w:sz="4" w:space="0" w:color="auto"/>
            </w:tcBorders>
            <w:shd w:val="clear" w:color="000000" w:fill="DCE6F1"/>
            <w:vAlign w:val="center"/>
            <w:hideMark/>
          </w:tcPr>
          <w:p w14:paraId="696DB7C4" w14:textId="01F17E3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5" w:type="pct"/>
            <w:tcBorders>
              <w:top w:val="nil"/>
              <w:left w:val="nil"/>
              <w:bottom w:val="single" w:sz="4" w:space="0" w:color="auto"/>
              <w:right w:val="single" w:sz="8" w:space="0" w:color="auto"/>
            </w:tcBorders>
            <w:shd w:val="clear" w:color="000000" w:fill="DCE6F1"/>
            <w:vAlign w:val="center"/>
            <w:hideMark/>
          </w:tcPr>
          <w:p w14:paraId="312FBA56" w14:textId="3E6119E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350</w:t>
            </w:r>
          </w:p>
        </w:tc>
        <w:tc>
          <w:tcPr>
            <w:tcW w:w="202" w:type="pct"/>
            <w:tcBorders>
              <w:top w:val="nil"/>
              <w:left w:val="nil"/>
              <w:bottom w:val="single" w:sz="4" w:space="0" w:color="auto"/>
              <w:right w:val="single" w:sz="4" w:space="0" w:color="auto"/>
            </w:tcBorders>
            <w:shd w:val="clear" w:color="000000" w:fill="DCE6F1"/>
            <w:vAlign w:val="center"/>
            <w:hideMark/>
          </w:tcPr>
          <w:p w14:paraId="0F0C50CF" w14:textId="02DEEFA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34,328</w:t>
            </w:r>
          </w:p>
        </w:tc>
        <w:tc>
          <w:tcPr>
            <w:tcW w:w="200" w:type="pct"/>
            <w:tcBorders>
              <w:top w:val="nil"/>
              <w:left w:val="nil"/>
              <w:bottom w:val="single" w:sz="4" w:space="0" w:color="auto"/>
              <w:right w:val="single" w:sz="4" w:space="0" w:color="auto"/>
            </w:tcBorders>
            <w:shd w:val="clear" w:color="000000" w:fill="DCE6F1"/>
            <w:vAlign w:val="center"/>
            <w:hideMark/>
          </w:tcPr>
          <w:p w14:paraId="6684C753" w14:textId="544B45D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30,682</w:t>
            </w:r>
          </w:p>
        </w:tc>
        <w:tc>
          <w:tcPr>
            <w:tcW w:w="197" w:type="pct"/>
            <w:tcBorders>
              <w:top w:val="nil"/>
              <w:left w:val="nil"/>
              <w:bottom w:val="single" w:sz="4" w:space="0" w:color="auto"/>
              <w:right w:val="single" w:sz="4" w:space="0" w:color="auto"/>
            </w:tcBorders>
            <w:shd w:val="clear" w:color="000000" w:fill="DCE6F1"/>
            <w:vAlign w:val="center"/>
            <w:hideMark/>
          </w:tcPr>
          <w:p w14:paraId="0EDFA8DA" w14:textId="3DDF8AB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single" w:sz="8" w:space="0" w:color="auto"/>
            </w:tcBorders>
            <w:shd w:val="clear" w:color="000000" w:fill="DCE6F1"/>
            <w:vAlign w:val="center"/>
            <w:hideMark/>
          </w:tcPr>
          <w:p w14:paraId="355D63AD" w14:textId="1B88F15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3,646</w:t>
            </w:r>
          </w:p>
        </w:tc>
      </w:tr>
      <w:tr w:rsidR="00387E5A" w:rsidRPr="00024D5A" w14:paraId="20356BFE" w14:textId="77777777" w:rsidTr="00387E5A">
        <w:trPr>
          <w:trHeight w:val="20"/>
        </w:trPr>
        <w:tc>
          <w:tcPr>
            <w:tcW w:w="375" w:type="pct"/>
            <w:tcBorders>
              <w:top w:val="nil"/>
              <w:left w:val="single" w:sz="4" w:space="0" w:color="auto"/>
              <w:bottom w:val="single" w:sz="4" w:space="0" w:color="auto"/>
              <w:right w:val="nil"/>
            </w:tcBorders>
            <w:shd w:val="clear" w:color="000000" w:fill="FDE9D9"/>
            <w:vAlign w:val="center"/>
            <w:hideMark/>
          </w:tcPr>
          <w:p w14:paraId="6C4A9A4B" w14:textId="7C33E268"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Objektivi </w:t>
            </w:r>
            <w:r w:rsidR="00E51640" w:rsidRPr="00024D5A">
              <w:rPr>
                <w:rFonts w:ascii="Garamond" w:eastAsia="Times New Roman" w:hAnsi="Garamond" w:cs="Calibri"/>
                <w:b/>
                <w:bCs/>
                <w:sz w:val="6"/>
                <w:szCs w:val="6"/>
                <w:lang w:eastAsia="en-US"/>
              </w:rPr>
              <w:t xml:space="preserve">specifik </w:t>
            </w:r>
            <w:r w:rsidRPr="00024D5A">
              <w:rPr>
                <w:rFonts w:ascii="Garamond" w:eastAsia="Times New Roman" w:hAnsi="Garamond" w:cs="Calibri"/>
                <w:b/>
                <w:bCs/>
                <w:sz w:val="6"/>
                <w:szCs w:val="6"/>
                <w:lang w:eastAsia="en-US"/>
              </w:rPr>
              <w:t>2</w:t>
            </w:r>
            <w:r w:rsidR="00AC5DA9">
              <w:rPr>
                <w:rFonts w:ascii="Garamond" w:eastAsia="Times New Roman" w:hAnsi="Garamond" w:cs="Calibri"/>
                <w:b/>
                <w:bCs/>
                <w:sz w:val="6"/>
                <w:szCs w:val="6"/>
                <w:lang w:eastAsia="en-US"/>
              </w:rPr>
              <w:t>:</w:t>
            </w:r>
            <w:r w:rsidR="007053C8" w:rsidRPr="00024D5A">
              <w:rPr>
                <w:rFonts w:ascii="Garamond" w:eastAsia="Times New Roman" w:hAnsi="Garamond" w:cs="Calibri"/>
                <w:b/>
                <w:bCs/>
                <w:sz w:val="6"/>
                <w:szCs w:val="6"/>
                <w:lang w:eastAsia="en-US"/>
              </w:rPr>
              <w:t xml:space="preserve"> </w:t>
            </w:r>
            <w:r w:rsidRPr="00024D5A">
              <w:rPr>
                <w:rFonts w:ascii="Garamond" w:eastAsia="Times New Roman" w:hAnsi="Garamond" w:cs="Calibri"/>
                <w:b/>
                <w:bCs/>
                <w:sz w:val="6"/>
                <w:szCs w:val="6"/>
                <w:lang w:eastAsia="en-US"/>
              </w:rPr>
              <w:t>Zgjerimi dhe konsolidimi i shërbimeve të punësimit që synojnë fuqizimin ekonomik dhe përfshirjen në tregun e punës të personave me aftësi të kufizuara, përmes programeve gjithëpërfshirëse dhe atyre specifike të aftësimit dhe punësimit dhe ngritjes dhe konsolidimit të</w:t>
            </w:r>
            <w:r w:rsidR="008F29FA" w:rsidRPr="00024D5A">
              <w:rPr>
                <w:rFonts w:ascii="Garamond" w:eastAsia="Times New Roman" w:hAnsi="Garamond" w:cs="Calibri"/>
                <w:b/>
                <w:bCs/>
                <w:sz w:val="6"/>
                <w:szCs w:val="6"/>
                <w:lang w:eastAsia="en-US"/>
              </w:rPr>
              <w:t xml:space="preserve"> </w:t>
            </w:r>
            <w:r w:rsidRPr="00024D5A">
              <w:rPr>
                <w:rFonts w:ascii="Garamond" w:eastAsia="Times New Roman" w:hAnsi="Garamond" w:cs="Calibri"/>
                <w:b/>
                <w:bCs/>
                <w:sz w:val="6"/>
                <w:szCs w:val="6"/>
                <w:lang w:eastAsia="en-US"/>
              </w:rPr>
              <w:t>Fondit Social të Punësimit.</w:t>
            </w:r>
          </w:p>
        </w:tc>
        <w:tc>
          <w:tcPr>
            <w:tcW w:w="244" w:type="pct"/>
            <w:tcBorders>
              <w:top w:val="nil"/>
              <w:left w:val="single" w:sz="8" w:space="0" w:color="auto"/>
              <w:bottom w:val="single" w:sz="4" w:space="0" w:color="auto"/>
              <w:right w:val="single" w:sz="4" w:space="0" w:color="auto"/>
            </w:tcBorders>
            <w:shd w:val="clear" w:color="000000" w:fill="FDE9D9"/>
            <w:hideMark/>
          </w:tcPr>
          <w:p w14:paraId="050E14DA" w14:textId="77777777" w:rsidR="00DE4FCB" w:rsidRPr="00024D5A" w:rsidRDefault="00DE4FCB" w:rsidP="00387E5A">
            <w:pPr>
              <w:jc w:val="center"/>
              <w:rPr>
                <w:rFonts w:ascii="Garamond" w:eastAsia="Times New Roman" w:hAnsi="Garamond"/>
                <w:b/>
                <w:bCs/>
                <w:sz w:val="6"/>
                <w:szCs w:val="6"/>
                <w:lang w:eastAsia="en-US"/>
              </w:rPr>
            </w:pPr>
            <w:r w:rsidRPr="00024D5A">
              <w:rPr>
                <w:rFonts w:ascii="Garamond" w:eastAsia="Times New Roman" w:hAnsi="Garamond"/>
                <w:b/>
                <w:bCs/>
                <w:sz w:val="6"/>
                <w:szCs w:val="6"/>
                <w:lang w:eastAsia="en-US"/>
              </w:rPr>
              <w:t>2026</w:t>
            </w:r>
          </w:p>
        </w:tc>
        <w:tc>
          <w:tcPr>
            <w:tcW w:w="226" w:type="pct"/>
            <w:tcBorders>
              <w:top w:val="nil"/>
              <w:left w:val="nil"/>
              <w:bottom w:val="single" w:sz="4" w:space="0" w:color="auto"/>
              <w:right w:val="single" w:sz="4" w:space="0" w:color="auto"/>
            </w:tcBorders>
            <w:shd w:val="clear" w:color="000000" w:fill="FDE9D9"/>
            <w:hideMark/>
          </w:tcPr>
          <w:p w14:paraId="0842AE5D" w14:textId="77777777" w:rsidR="00DE4FCB" w:rsidRPr="00024D5A" w:rsidRDefault="00DE4FCB" w:rsidP="00387E5A">
            <w:pPr>
              <w:jc w:val="center"/>
              <w:rPr>
                <w:rFonts w:ascii="Garamond" w:eastAsia="Times New Roman" w:hAnsi="Garamond"/>
                <w:b/>
                <w:bCs/>
                <w:sz w:val="6"/>
                <w:szCs w:val="6"/>
                <w:lang w:eastAsia="en-US"/>
              </w:rPr>
            </w:pPr>
            <w:r w:rsidRPr="00024D5A">
              <w:rPr>
                <w:rFonts w:ascii="Garamond" w:eastAsia="Times New Roman" w:hAnsi="Garamond"/>
                <w:b/>
                <w:bCs/>
                <w:sz w:val="6"/>
                <w:szCs w:val="6"/>
                <w:lang w:eastAsia="en-US"/>
              </w:rPr>
              <w:t>2030</w:t>
            </w:r>
          </w:p>
        </w:tc>
        <w:tc>
          <w:tcPr>
            <w:tcW w:w="664" w:type="pct"/>
            <w:tcBorders>
              <w:top w:val="nil"/>
              <w:left w:val="nil"/>
              <w:bottom w:val="single" w:sz="4" w:space="0" w:color="auto"/>
              <w:right w:val="single" w:sz="4" w:space="0" w:color="auto"/>
            </w:tcBorders>
            <w:shd w:val="clear" w:color="000000" w:fill="FDE9D9"/>
            <w:vAlign w:val="center"/>
            <w:hideMark/>
          </w:tcPr>
          <w:p w14:paraId="0127DDFC"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MEI/MF/AKPA</w:t>
            </w:r>
          </w:p>
        </w:tc>
        <w:tc>
          <w:tcPr>
            <w:tcW w:w="792" w:type="pct"/>
            <w:tcBorders>
              <w:top w:val="nil"/>
              <w:left w:val="nil"/>
              <w:bottom w:val="single" w:sz="4" w:space="0" w:color="auto"/>
              <w:right w:val="single" w:sz="8" w:space="0" w:color="auto"/>
            </w:tcBorders>
            <w:shd w:val="clear" w:color="000000" w:fill="FDE9D9"/>
            <w:vAlign w:val="center"/>
            <w:hideMark/>
          </w:tcPr>
          <w:p w14:paraId="717BC8DD"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AKPA/ISSH/MF/DPT/MEI/AKAFPK</w:t>
            </w:r>
          </w:p>
        </w:tc>
        <w:tc>
          <w:tcPr>
            <w:tcW w:w="188" w:type="pct"/>
            <w:tcBorders>
              <w:top w:val="nil"/>
              <w:left w:val="nil"/>
              <w:bottom w:val="single" w:sz="4" w:space="0" w:color="auto"/>
              <w:right w:val="single" w:sz="4" w:space="0" w:color="auto"/>
            </w:tcBorders>
            <w:shd w:val="clear" w:color="000000" w:fill="FDE9D9"/>
            <w:vAlign w:val="center"/>
            <w:hideMark/>
          </w:tcPr>
          <w:p w14:paraId="34D5A898" w14:textId="59325A6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239,510</w:t>
            </w:r>
          </w:p>
        </w:tc>
        <w:tc>
          <w:tcPr>
            <w:tcW w:w="190" w:type="pct"/>
            <w:tcBorders>
              <w:top w:val="nil"/>
              <w:left w:val="nil"/>
              <w:bottom w:val="single" w:sz="4" w:space="0" w:color="auto"/>
              <w:right w:val="single" w:sz="4" w:space="0" w:color="auto"/>
            </w:tcBorders>
            <w:shd w:val="clear" w:color="000000" w:fill="FDE9D9"/>
            <w:vAlign w:val="center"/>
            <w:hideMark/>
          </w:tcPr>
          <w:p w14:paraId="03B19A3A" w14:textId="032AD94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251,200</w:t>
            </w:r>
          </w:p>
        </w:tc>
        <w:tc>
          <w:tcPr>
            <w:tcW w:w="190" w:type="pct"/>
            <w:tcBorders>
              <w:top w:val="nil"/>
              <w:left w:val="nil"/>
              <w:bottom w:val="single" w:sz="4" w:space="0" w:color="auto"/>
              <w:right w:val="single" w:sz="4" w:space="0" w:color="auto"/>
            </w:tcBorders>
            <w:shd w:val="clear" w:color="000000" w:fill="FDE9D9"/>
            <w:vAlign w:val="center"/>
            <w:hideMark/>
          </w:tcPr>
          <w:p w14:paraId="4F764FBA" w14:textId="66EF057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250,463</w:t>
            </w:r>
          </w:p>
        </w:tc>
        <w:tc>
          <w:tcPr>
            <w:tcW w:w="190" w:type="pct"/>
            <w:tcBorders>
              <w:top w:val="nil"/>
              <w:left w:val="nil"/>
              <w:bottom w:val="single" w:sz="4" w:space="0" w:color="auto"/>
              <w:right w:val="single" w:sz="4" w:space="0" w:color="auto"/>
            </w:tcBorders>
            <w:shd w:val="clear" w:color="000000" w:fill="FDE9D9"/>
            <w:vAlign w:val="center"/>
            <w:hideMark/>
          </w:tcPr>
          <w:p w14:paraId="08DD764E" w14:textId="1771219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253,414</w:t>
            </w:r>
          </w:p>
        </w:tc>
        <w:tc>
          <w:tcPr>
            <w:tcW w:w="187" w:type="pct"/>
            <w:tcBorders>
              <w:top w:val="nil"/>
              <w:left w:val="nil"/>
              <w:bottom w:val="single" w:sz="4" w:space="0" w:color="auto"/>
              <w:right w:val="single" w:sz="4" w:space="0" w:color="auto"/>
            </w:tcBorders>
            <w:shd w:val="clear" w:color="000000" w:fill="FDE9D9"/>
            <w:vAlign w:val="center"/>
            <w:hideMark/>
          </w:tcPr>
          <w:p w14:paraId="331038BF" w14:textId="322F2CF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260,712</w:t>
            </w:r>
          </w:p>
        </w:tc>
        <w:tc>
          <w:tcPr>
            <w:tcW w:w="200" w:type="pct"/>
            <w:tcBorders>
              <w:top w:val="nil"/>
              <w:left w:val="nil"/>
              <w:bottom w:val="single" w:sz="4" w:space="0" w:color="auto"/>
              <w:right w:val="nil"/>
            </w:tcBorders>
            <w:shd w:val="clear" w:color="000000" w:fill="FDE9D9"/>
            <w:vAlign w:val="center"/>
            <w:hideMark/>
          </w:tcPr>
          <w:p w14:paraId="105DC9E3" w14:textId="1074641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1,255,299</w:t>
            </w:r>
          </w:p>
        </w:tc>
        <w:tc>
          <w:tcPr>
            <w:tcW w:w="209" w:type="pct"/>
            <w:tcBorders>
              <w:top w:val="nil"/>
              <w:left w:val="single" w:sz="8" w:space="0" w:color="auto"/>
              <w:bottom w:val="single" w:sz="4" w:space="0" w:color="auto"/>
              <w:right w:val="single" w:sz="4" w:space="0" w:color="auto"/>
            </w:tcBorders>
            <w:shd w:val="clear" w:color="000000" w:fill="FDE9D9"/>
            <w:vAlign w:val="center"/>
            <w:hideMark/>
          </w:tcPr>
          <w:p w14:paraId="7916BC6A" w14:textId="2B93191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1,054,074</w:t>
            </w:r>
          </w:p>
        </w:tc>
        <w:tc>
          <w:tcPr>
            <w:tcW w:w="209" w:type="pct"/>
            <w:tcBorders>
              <w:top w:val="nil"/>
              <w:left w:val="nil"/>
              <w:bottom w:val="single" w:sz="4" w:space="0" w:color="auto"/>
              <w:right w:val="single" w:sz="4" w:space="0" w:color="auto"/>
            </w:tcBorders>
            <w:shd w:val="clear" w:color="000000" w:fill="FDE9D9"/>
            <w:vAlign w:val="center"/>
            <w:hideMark/>
          </w:tcPr>
          <w:p w14:paraId="78471C20" w14:textId="255751E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5" w:type="pct"/>
            <w:tcBorders>
              <w:top w:val="nil"/>
              <w:left w:val="nil"/>
              <w:bottom w:val="single" w:sz="4" w:space="0" w:color="auto"/>
              <w:right w:val="single" w:sz="8" w:space="0" w:color="auto"/>
            </w:tcBorders>
            <w:shd w:val="clear" w:color="000000" w:fill="FDE9D9"/>
            <w:vAlign w:val="center"/>
            <w:hideMark/>
          </w:tcPr>
          <w:p w14:paraId="5B0EEDEF" w14:textId="1E95A6E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201,225</w:t>
            </w:r>
          </w:p>
        </w:tc>
        <w:tc>
          <w:tcPr>
            <w:tcW w:w="202" w:type="pct"/>
            <w:tcBorders>
              <w:top w:val="nil"/>
              <w:left w:val="nil"/>
              <w:bottom w:val="single" w:sz="4" w:space="0" w:color="auto"/>
              <w:right w:val="single" w:sz="4" w:space="0" w:color="auto"/>
            </w:tcBorders>
            <w:shd w:val="clear" w:color="000000" w:fill="FDE9D9"/>
            <w:vAlign w:val="center"/>
            <w:hideMark/>
          </w:tcPr>
          <w:p w14:paraId="66CAE2D5" w14:textId="7507C45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13,076,034</w:t>
            </w:r>
          </w:p>
        </w:tc>
        <w:tc>
          <w:tcPr>
            <w:tcW w:w="200" w:type="pct"/>
            <w:tcBorders>
              <w:top w:val="nil"/>
              <w:left w:val="nil"/>
              <w:bottom w:val="single" w:sz="4" w:space="0" w:color="auto"/>
              <w:right w:val="single" w:sz="4" w:space="0" w:color="auto"/>
            </w:tcBorders>
            <w:shd w:val="clear" w:color="000000" w:fill="FDE9D9"/>
            <w:vAlign w:val="center"/>
            <w:hideMark/>
          </w:tcPr>
          <w:p w14:paraId="106CECA2" w14:textId="2B96020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10,979,941</w:t>
            </w:r>
          </w:p>
        </w:tc>
        <w:tc>
          <w:tcPr>
            <w:tcW w:w="197" w:type="pct"/>
            <w:tcBorders>
              <w:top w:val="nil"/>
              <w:left w:val="nil"/>
              <w:bottom w:val="single" w:sz="4" w:space="0" w:color="auto"/>
              <w:right w:val="single" w:sz="4" w:space="0" w:color="auto"/>
            </w:tcBorders>
            <w:shd w:val="clear" w:color="000000" w:fill="FDE9D9"/>
            <w:vAlign w:val="center"/>
            <w:hideMark/>
          </w:tcPr>
          <w:p w14:paraId="3DBEC1DE" w14:textId="63AA8F4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single" w:sz="8" w:space="0" w:color="auto"/>
            </w:tcBorders>
            <w:shd w:val="clear" w:color="000000" w:fill="FDE9D9"/>
            <w:vAlign w:val="center"/>
            <w:hideMark/>
          </w:tcPr>
          <w:p w14:paraId="5A203245" w14:textId="5E9BDA8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2,096,094</w:t>
            </w:r>
          </w:p>
        </w:tc>
      </w:tr>
      <w:tr w:rsidR="00387E5A" w:rsidRPr="00024D5A" w14:paraId="7082B3F3"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3C7CAA78" w14:textId="1FE22F68"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Masa Prioritare 2.1</w:t>
            </w:r>
            <w:r w:rsidR="00AC5DA9">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Plotësimi i kuadrit ligjor dhe institucional për të nxitur punësimin e punëkërkuesve me aftësi të kufizuara.</w:t>
            </w:r>
          </w:p>
        </w:tc>
        <w:tc>
          <w:tcPr>
            <w:tcW w:w="244" w:type="pct"/>
            <w:tcBorders>
              <w:top w:val="nil"/>
              <w:left w:val="single" w:sz="8" w:space="0" w:color="auto"/>
              <w:bottom w:val="single" w:sz="4" w:space="0" w:color="auto"/>
              <w:right w:val="single" w:sz="4" w:space="0" w:color="auto"/>
            </w:tcBorders>
            <w:shd w:val="clear" w:color="000000" w:fill="C5D9F1"/>
            <w:vAlign w:val="center"/>
            <w:hideMark/>
          </w:tcPr>
          <w:p w14:paraId="15A4841B"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2026</w:t>
            </w:r>
          </w:p>
        </w:tc>
        <w:tc>
          <w:tcPr>
            <w:tcW w:w="226" w:type="pct"/>
            <w:tcBorders>
              <w:top w:val="nil"/>
              <w:left w:val="nil"/>
              <w:bottom w:val="single" w:sz="4" w:space="0" w:color="auto"/>
              <w:right w:val="single" w:sz="4" w:space="0" w:color="auto"/>
            </w:tcBorders>
            <w:shd w:val="clear" w:color="000000" w:fill="C5D9F1"/>
            <w:vAlign w:val="center"/>
            <w:hideMark/>
          </w:tcPr>
          <w:p w14:paraId="636CB05C"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C5D9F1"/>
            <w:vAlign w:val="center"/>
            <w:hideMark/>
          </w:tcPr>
          <w:p w14:paraId="5BB6AE3C"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MEI/MF/AKPA</w:t>
            </w:r>
          </w:p>
        </w:tc>
        <w:tc>
          <w:tcPr>
            <w:tcW w:w="792" w:type="pct"/>
            <w:tcBorders>
              <w:top w:val="nil"/>
              <w:left w:val="nil"/>
              <w:bottom w:val="single" w:sz="4" w:space="0" w:color="auto"/>
              <w:right w:val="single" w:sz="8" w:space="0" w:color="auto"/>
            </w:tcBorders>
            <w:shd w:val="clear" w:color="000000" w:fill="C5D9F1"/>
            <w:vAlign w:val="center"/>
            <w:hideMark/>
          </w:tcPr>
          <w:p w14:paraId="0A471475"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AKPA/ISSH/MF/DPT/MEI</w:t>
            </w:r>
          </w:p>
        </w:tc>
        <w:tc>
          <w:tcPr>
            <w:tcW w:w="188" w:type="pct"/>
            <w:tcBorders>
              <w:top w:val="nil"/>
              <w:left w:val="nil"/>
              <w:bottom w:val="single" w:sz="4" w:space="0" w:color="auto"/>
              <w:right w:val="single" w:sz="4" w:space="0" w:color="auto"/>
            </w:tcBorders>
            <w:shd w:val="clear" w:color="000000" w:fill="DCE6F1"/>
            <w:vAlign w:val="center"/>
            <w:hideMark/>
          </w:tcPr>
          <w:p w14:paraId="63E88C1E" w14:textId="3FF611C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3,645</w:t>
            </w:r>
          </w:p>
        </w:tc>
        <w:tc>
          <w:tcPr>
            <w:tcW w:w="190" w:type="pct"/>
            <w:tcBorders>
              <w:top w:val="nil"/>
              <w:left w:val="nil"/>
              <w:bottom w:val="single" w:sz="4" w:space="0" w:color="auto"/>
              <w:right w:val="single" w:sz="4" w:space="0" w:color="auto"/>
            </w:tcBorders>
            <w:shd w:val="clear" w:color="000000" w:fill="DCE6F1"/>
            <w:vAlign w:val="center"/>
            <w:hideMark/>
          </w:tcPr>
          <w:p w14:paraId="6B543CE7" w14:textId="57A888F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5,031</w:t>
            </w:r>
          </w:p>
        </w:tc>
        <w:tc>
          <w:tcPr>
            <w:tcW w:w="190" w:type="pct"/>
            <w:tcBorders>
              <w:top w:val="nil"/>
              <w:left w:val="nil"/>
              <w:bottom w:val="single" w:sz="4" w:space="0" w:color="auto"/>
              <w:right w:val="single" w:sz="4" w:space="0" w:color="auto"/>
            </w:tcBorders>
            <w:shd w:val="clear" w:color="000000" w:fill="DCE6F1"/>
            <w:vAlign w:val="center"/>
            <w:hideMark/>
          </w:tcPr>
          <w:p w14:paraId="19B15A3D" w14:textId="7819733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0" w:type="pct"/>
            <w:tcBorders>
              <w:top w:val="nil"/>
              <w:left w:val="nil"/>
              <w:bottom w:val="single" w:sz="4" w:space="0" w:color="auto"/>
              <w:right w:val="single" w:sz="4" w:space="0" w:color="auto"/>
            </w:tcBorders>
            <w:shd w:val="clear" w:color="000000" w:fill="DCE6F1"/>
            <w:vAlign w:val="center"/>
            <w:hideMark/>
          </w:tcPr>
          <w:p w14:paraId="43DF946D" w14:textId="5E14C50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87" w:type="pct"/>
            <w:tcBorders>
              <w:top w:val="nil"/>
              <w:left w:val="nil"/>
              <w:bottom w:val="single" w:sz="4" w:space="0" w:color="auto"/>
              <w:right w:val="single" w:sz="4" w:space="0" w:color="auto"/>
            </w:tcBorders>
            <w:shd w:val="clear" w:color="000000" w:fill="DCE6F1"/>
            <w:vAlign w:val="center"/>
            <w:hideMark/>
          </w:tcPr>
          <w:p w14:paraId="734DF143" w14:textId="5213FD4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200" w:type="pct"/>
            <w:tcBorders>
              <w:top w:val="nil"/>
              <w:left w:val="nil"/>
              <w:bottom w:val="single" w:sz="4" w:space="0" w:color="auto"/>
              <w:right w:val="nil"/>
            </w:tcBorders>
            <w:shd w:val="clear" w:color="000000" w:fill="DCE6F1"/>
            <w:vAlign w:val="center"/>
            <w:hideMark/>
          </w:tcPr>
          <w:p w14:paraId="102D851D" w14:textId="56067B3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8,676</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3D58610F" w14:textId="09FA218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6,776</w:t>
            </w:r>
          </w:p>
        </w:tc>
        <w:tc>
          <w:tcPr>
            <w:tcW w:w="209" w:type="pct"/>
            <w:tcBorders>
              <w:top w:val="nil"/>
              <w:left w:val="nil"/>
              <w:bottom w:val="single" w:sz="4" w:space="0" w:color="auto"/>
              <w:right w:val="single" w:sz="4" w:space="0" w:color="auto"/>
            </w:tcBorders>
            <w:shd w:val="clear" w:color="000000" w:fill="DCE6F1"/>
            <w:vAlign w:val="center"/>
            <w:hideMark/>
          </w:tcPr>
          <w:p w14:paraId="029046C8" w14:textId="54F2D4A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5" w:type="pct"/>
            <w:tcBorders>
              <w:top w:val="nil"/>
              <w:left w:val="nil"/>
              <w:bottom w:val="single" w:sz="4" w:space="0" w:color="auto"/>
              <w:right w:val="single" w:sz="8" w:space="0" w:color="auto"/>
            </w:tcBorders>
            <w:shd w:val="clear" w:color="000000" w:fill="DCE6F1"/>
            <w:vAlign w:val="center"/>
            <w:hideMark/>
          </w:tcPr>
          <w:p w14:paraId="73F82152" w14:textId="6A21F11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1,900</w:t>
            </w:r>
          </w:p>
        </w:tc>
        <w:tc>
          <w:tcPr>
            <w:tcW w:w="202" w:type="pct"/>
            <w:tcBorders>
              <w:top w:val="nil"/>
              <w:left w:val="nil"/>
              <w:bottom w:val="single" w:sz="4" w:space="0" w:color="auto"/>
              <w:right w:val="single" w:sz="4" w:space="0" w:color="auto"/>
            </w:tcBorders>
            <w:shd w:val="clear" w:color="000000" w:fill="DCE6F1"/>
            <w:vAlign w:val="center"/>
            <w:hideMark/>
          </w:tcPr>
          <w:p w14:paraId="11234F9D" w14:textId="398BE4A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90,377</w:t>
            </w:r>
          </w:p>
        </w:tc>
        <w:tc>
          <w:tcPr>
            <w:tcW w:w="200" w:type="pct"/>
            <w:tcBorders>
              <w:top w:val="nil"/>
              <w:left w:val="nil"/>
              <w:bottom w:val="single" w:sz="4" w:space="0" w:color="auto"/>
              <w:right w:val="single" w:sz="4" w:space="0" w:color="auto"/>
            </w:tcBorders>
            <w:shd w:val="clear" w:color="000000" w:fill="DCE6F1"/>
            <w:vAlign w:val="center"/>
            <w:hideMark/>
          </w:tcPr>
          <w:p w14:paraId="12B1F827" w14:textId="0B408AF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70,585</w:t>
            </w:r>
          </w:p>
        </w:tc>
        <w:tc>
          <w:tcPr>
            <w:tcW w:w="197" w:type="pct"/>
            <w:tcBorders>
              <w:top w:val="nil"/>
              <w:left w:val="nil"/>
              <w:bottom w:val="single" w:sz="4" w:space="0" w:color="auto"/>
              <w:right w:val="single" w:sz="4" w:space="0" w:color="auto"/>
            </w:tcBorders>
            <w:shd w:val="clear" w:color="000000" w:fill="DCE6F1"/>
            <w:vAlign w:val="center"/>
            <w:hideMark/>
          </w:tcPr>
          <w:p w14:paraId="5089B9E6" w14:textId="62B0F38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single" w:sz="8" w:space="0" w:color="auto"/>
            </w:tcBorders>
            <w:shd w:val="clear" w:color="000000" w:fill="DCE6F1"/>
            <w:vAlign w:val="center"/>
            <w:hideMark/>
          </w:tcPr>
          <w:p w14:paraId="4EAD7C34" w14:textId="599E27B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19,792</w:t>
            </w:r>
          </w:p>
        </w:tc>
      </w:tr>
      <w:tr w:rsidR="00387E5A" w:rsidRPr="00024D5A" w14:paraId="3E68124D"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613E620B" w14:textId="40967DF4"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Masa prioritare 2.2</w:t>
            </w:r>
            <w:r w:rsidR="00AC5DA9">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Përmirësimi i aksesueshmërisë dhe kapaciteteve institucionale të AKPA-s dhe zyrave të punësimit për të garantuar akses dhe shërbime gjithëpërfshirëse punësimi për punëkërkuesit me aftësi të kufizuara</w:t>
            </w:r>
            <w:r w:rsidR="007053C8" w:rsidRPr="00024D5A">
              <w:rPr>
                <w:rFonts w:ascii="Garamond" w:eastAsia="Times New Roman" w:hAnsi="Garamond" w:cs="Calibri"/>
                <w:b/>
                <w:bCs/>
                <w:sz w:val="6"/>
                <w:szCs w:val="6"/>
                <w:lang w:eastAsia="en-US"/>
              </w:rPr>
              <w:t>.</w:t>
            </w:r>
          </w:p>
        </w:tc>
        <w:tc>
          <w:tcPr>
            <w:tcW w:w="244" w:type="pct"/>
            <w:tcBorders>
              <w:top w:val="nil"/>
              <w:left w:val="single" w:sz="8" w:space="0" w:color="auto"/>
              <w:bottom w:val="single" w:sz="4" w:space="0" w:color="auto"/>
              <w:right w:val="single" w:sz="4" w:space="0" w:color="auto"/>
            </w:tcBorders>
            <w:shd w:val="clear" w:color="000000" w:fill="C5D9F1"/>
            <w:vAlign w:val="center"/>
            <w:hideMark/>
          </w:tcPr>
          <w:p w14:paraId="31442813"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2026</w:t>
            </w:r>
          </w:p>
        </w:tc>
        <w:tc>
          <w:tcPr>
            <w:tcW w:w="226" w:type="pct"/>
            <w:tcBorders>
              <w:top w:val="nil"/>
              <w:left w:val="nil"/>
              <w:bottom w:val="single" w:sz="4" w:space="0" w:color="auto"/>
              <w:right w:val="single" w:sz="4" w:space="0" w:color="auto"/>
            </w:tcBorders>
            <w:shd w:val="clear" w:color="000000" w:fill="C5D9F1"/>
            <w:vAlign w:val="center"/>
            <w:hideMark/>
          </w:tcPr>
          <w:p w14:paraId="1EC21FD8"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C5D9F1"/>
            <w:vAlign w:val="center"/>
            <w:hideMark/>
          </w:tcPr>
          <w:p w14:paraId="184C6B20"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AKPA</w:t>
            </w:r>
          </w:p>
        </w:tc>
        <w:tc>
          <w:tcPr>
            <w:tcW w:w="792" w:type="pct"/>
            <w:tcBorders>
              <w:top w:val="nil"/>
              <w:left w:val="nil"/>
              <w:bottom w:val="single" w:sz="4" w:space="0" w:color="auto"/>
              <w:right w:val="single" w:sz="8" w:space="0" w:color="auto"/>
            </w:tcBorders>
            <w:shd w:val="clear" w:color="000000" w:fill="C5D9F1"/>
            <w:vAlign w:val="center"/>
            <w:hideMark/>
          </w:tcPr>
          <w:p w14:paraId="46B6734E"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MEI</w:t>
            </w:r>
          </w:p>
        </w:tc>
        <w:tc>
          <w:tcPr>
            <w:tcW w:w="188" w:type="pct"/>
            <w:tcBorders>
              <w:top w:val="nil"/>
              <w:left w:val="nil"/>
              <w:bottom w:val="single" w:sz="4" w:space="0" w:color="auto"/>
              <w:right w:val="single" w:sz="4" w:space="0" w:color="auto"/>
            </w:tcBorders>
            <w:shd w:val="clear" w:color="000000" w:fill="DCE6F1"/>
            <w:vAlign w:val="center"/>
            <w:hideMark/>
          </w:tcPr>
          <w:p w14:paraId="60725884" w14:textId="34D283D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7,100</w:t>
            </w:r>
          </w:p>
        </w:tc>
        <w:tc>
          <w:tcPr>
            <w:tcW w:w="190" w:type="pct"/>
            <w:tcBorders>
              <w:top w:val="nil"/>
              <w:left w:val="nil"/>
              <w:bottom w:val="single" w:sz="4" w:space="0" w:color="auto"/>
              <w:right w:val="single" w:sz="4" w:space="0" w:color="auto"/>
            </w:tcBorders>
            <w:shd w:val="clear" w:color="000000" w:fill="DCE6F1"/>
            <w:vAlign w:val="center"/>
            <w:hideMark/>
          </w:tcPr>
          <w:p w14:paraId="1DBAB059" w14:textId="54373FF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9,650</w:t>
            </w:r>
          </w:p>
        </w:tc>
        <w:tc>
          <w:tcPr>
            <w:tcW w:w="190" w:type="pct"/>
            <w:tcBorders>
              <w:top w:val="nil"/>
              <w:left w:val="nil"/>
              <w:bottom w:val="single" w:sz="4" w:space="0" w:color="auto"/>
              <w:right w:val="single" w:sz="4" w:space="0" w:color="auto"/>
            </w:tcBorders>
            <w:shd w:val="clear" w:color="000000" w:fill="DCE6F1"/>
            <w:vAlign w:val="center"/>
            <w:hideMark/>
          </w:tcPr>
          <w:p w14:paraId="1E0C0B7E" w14:textId="3CEE6B2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9,650</w:t>
            </w:r>
          </w:p>
        </w:tc>
        <w:tc>
          <w:tcPr>
            <w:tcW w:w="190" w:type="pct"/>
            <w:tcBorders>
              <w:top w:val="nil"/>
              <w:left w:val="nil"/>
              <w:bottom w:val="single" w:sz="4" w:space="0" w:color="auto"/>
              <w:right w:val="single" w:sz="4" w:space="0" w:color="auto"/>
            </w:tcBorders>
            <w:shd w:val="clear" w:color="000000" w:fill="DCE6F1"/>
            <w:vAlign w:val="center"/>
            <w:hideMark/>
          </w:tcPr>
          <w:p w14:paraId="4F21AD59" w14:textId="46F34D4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6,900</w:t>
            </w:r>
          </w:p>
        </w:tc>
        <w:tc>
          <w:tcPr>
            <w:tcW w:w="187" w:type="pct"/>
            <w:tcBorders>
              <w:top w:val="nil"/>
              <w:left w:val="nil"/>
              <w:bottom w:val="single" w:sz="4" w:space="0" w:color="auto"/>
              <w:right w:val="single" w:sz="4" w:space="0" w:color="auto"/>
            </w:tcBorders>
            <w:shd w:val="clear" w:color="000000" w:fill="DCE6F1"/>
            <w:vAlign w:val="center"/>
            <w:hideMark/>
          </w:tcPr>
          <w:p w14:paraId="5A042199" w14:textId="626DC39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6,900</w:t>
            </w:r>
          </w:p>
        </w:tc>
        <w:tc>
          <w:tcPr>
            <w:tcW w:w="200" w:type="pct"/>
            <w:tcBorders>
              <w:top w:val="nil"/>
              <w:left w:val="nil"/>
              <w:bottom w:val="single" w:sz="4" w:space="0" w:color="auto"/>
              <w:right w:val="nil"/>
            </w:tcBorders>
            <w:shd w:val="clear" w:color="000000" w:fill="DCE6F1"/>
            <w:vAlign w:val="center"/>
            <w:hideMark/>
          </w:tcPr>
          <w:p w14:paraId="6B89C47E" w14:textId="00FCCB0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40,200</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1F4414C7" w14:textId="6AE90E0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209" w:type="pct"/>
            <w:tcBorders>
              <w:top w:val="nil"/>
              <w:left w:val="nil"/>
              <w:bottom w:val="single" w:sz="4" w:space="0" w:color="auto"/>
              <w:right w:val="single" w:sz="4" w:space="0" w:color="auto"/>
            </w:tcBorders>
            <w:shd w:val="clear" w:color="000000" w:fill="DCE6F1"/>
            <w:vAlign w:val="center"/>
            <w:hideMark/>
          </w:tcPr>
          <w:p w14:paraId="11DDEBA4" w14:textId="7694942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5" w:type="pct"/>
            <w:tcBorders>
              <w:top w:val="nil"/>
              <w:left w:val="nil"/>
              <w:bottom w:val="single" w:sz="4" w:space="0" w:color="auto"/>
              <w:right w:val="single" w:sz="8" w:space="0" w:color="auto"/>
            </w:tcBorders>
            <w:shd w:val="clear" w:color="000000" w:fill="DCE6F1"/>
            <w:vAlign w:val="center"/>
            <w:hideMark/>
          </w:tcPr>
          <w:p w14:paraId="09A5A1C9" w14:textId="21249D0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40,200</w:t>
            </w:r>
          </w:p>
        </w:tc>
        <w:tc>
          <w:tcPr>
            <w:tcW w:w="202" w:type="pct"/>
            <w:tcBorders>
              <w:top w:val="nil"/>
              <w:left w:val="nil"/>
              <w:bottom w:val="single" w:sz="4" w:space="0" w:color="auto"/>
              <w:right w:val="single" w:sz="4" w:space="0" w:color="auto"/>
            </w:tcBorders>
            <w:shd w:val="clear" w:color="000000" w:fill="DCE6F1"/>
            <w:vAlign w:val="center"/>
            <w:hideMark/>
          </w:tcPr>
          <w:p w14:paraId="323C6021" w14:textId="3058EFC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418,750</w:t>
            </w:r>
          </w:p>
        </w:tc>
        <w:tc>
          <w:tcPr>
            <w:tcW w:w="200" w:type="pct"/>
            <w:tcBorders>
              <w:top w:val="nil"/>
              <w:left w:val="nil"/>
              <w:bottom w:val="single" w:sz="4" w:space="0" w:color="auto"/>
              <w:right w:val="single" w:sz="4" w:space="0" w:color="auto"/>
            </w:tcBorders>
            <w:shd w:val="clear" w:color="000000" w:fill="DCE6F1"/>
            <w:vAlign w:val="center"/>
            <w:hideMark/>
          </w:tcPr>
          <w:p w14:paraId="5140B019" w14:textId="11B36F9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7" w:type="pct"/>
            <w:tcBorders>
              <w:top w:val="nil"/>
              <w:left w:val="nil"/>
              <w:bottom w:val="single" w:sz="4" w:space="0" w:color="auto"/>
              <w:right w:val="single" w:sz="4" w:space="0" w:color="auto"/>
            </w:tcBorders>
            <w:shd w:val="clear" w:color="000000" w:fill="DCE6F1"/>
            <w:vAlign w:val="center"/>
            <w:hideMark/>
          </w:tcPr>
          <w:p w14:paraId="39B08E51" w14:textId="0A24B07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single" w:sz="8" w:space="0" w:color="auto"/>
            </w:tcBorders>
            <w:shd w:val="clear" w:color="000000" w:fill="DCE6F1"/>
            <w:vAlign w:val="center"/>
            <w:hideMark/>
          </w:tcPr>
          <w:p w14:paraId="45508E18" w14:textId="53CFB2C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418,750</w:t>
            </w:r>
          </w:p>
        </w:tc>
      </w:tr>
      <w:tr w:rsidR="00387E5A" w:rsidRPr="00024D5A" w14:paraId="1AF7A870"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3992D6CF" w14:textId="673410DA"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Masa prioritare 2.3</w:t>
            </w:r>
            <w:r w:rsidR="00AC5DA9">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Përmirësimi i sistemit të vlerësimit dhe regjistrimit të punëkërkuesve me aftësi të kufizuara, me fokus të veçante të rinjtë dhe gratë me aftësi të kufizuara</w:t>
            </w:r>
            <w:r w:rsidR="007053C8" w:rsidRPr="00024D5A">
              <w:rPr>
                <w:rFonts w:ascii="Garamond" w:eastAsia="Times New Roman" w:hAnsi="Garamond" w:cs="Calibri"/>
                <w:b/>
                <w:bCs/>
                <w:sz w:val="6"/>
                <w:szCs w:val="6"/>
                <w:lang w:eastAsia="en-US"/>
              </w:rPr>
              <w:t>.</w:t>
            </w:r>
          </w:p>
        </w:tc>
        <w:tc>
          <w:tcPr>
            <w:tcW w:w="244" w:type="pct"/>
            <w:tcBorders>
              <w:top w:val="nil"/>
              <w:left w:val="single" w:sz="8" w:space="0" w:color="auto"/>
              <w:bottom w:val="single" w:sz="4" w:space="0" w:color="auto"/>
              <w:right w:val="single" w:sz="4" w:space="0" w:color="auto"/>
            </w:tcBorders>
            <w:shd w:val="clear" w:color="000000" w:fill="C5D9F1"/>
            <w:vAlign w:val="center"/>
            <w:hideMark/>
          </w:tcPr>
          <w:p w14:paraId="51479DF0"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2027</w:t>
            </w:r>
          </w:p>
        </w:tc>
        <w:tc>
          <w:tcPr>
            <w:tcW w:w="226" w:type="pct"/>
            <w:tcBorders>
              <w:top w:val="nil"/>
              <w:left w:val="nil"/>
              <w:bottom w:val="single" w:sz="4" w:space="0" w:color="auto"/>
              <w:right w:val="single" w:sz="4" w:space="0" w:color="auto"/>
            </w:tcBorders>
            <w:shd w:val="clear" w:color="000000" w:fill="C5D9F1"/>
            <w:vAlign w:val="center"/>
            <w:hideMark/>
          </w:tcPr>
          <w:p w14:paraId="4382D8C1"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C5D9F1"/>
            <w:vAlign w:val="center"/>
            <w:hideMark/>
          </w:tcPr>
          <w:p w14:paraId="0DC2326B"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AKPA</w:t>
            </w:r>
          </w:p>
        </w:tc>
        <w:tc>
          <w:tcPr>
            <w:tcW w:w="792" w:type="pct"/>
            <w:tcBorders>
              <w:top w:val="nil"/>
              <w:left w:val="nil"/>
              <w:bottom w:val="single" w:sz="4" w:space="0" w:color="auto"/>
              <w:right w:val="single" w:sz="8" w:space="0" w:color="auto"/>
            </w:tcBorders>
            <w:shd w:val="clear" w:color="000000" w:fill="C5D9F1"/>
            <w:vAlign w:val="center"/>
            <w:hideMark/>
          </w:tcPr>
          <w:p w14:paraId="6E14DF3A"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MEI</w:t>
            </w:r>
          </w:p>
        </w:tc>
        <w:tc>
          <w:tcPr>
            <w:tcW w:w="188" w:type="pct"/>
            <w:tcBorders>
              <w:top w:val="nil"/>
              <w:left w:val="nil"/>
              <w:bottom w:val="single" w:sz="4" w:space="0" w:color="auto"/>
              <w:right w:val="single" w:sz="4" w:space="0" w:color="auto"/>
            </w:tcBorders>
            <w:shd w:val="clear" w:color="000000" w:fill="DCE6F1"/>
            <w:vAlign w:val="center"/>
            <w:hideMark/>
          </w:tcPr>
          <w:p w14:paraId="31C4A24B" w14:textId="3D5CAB3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0" w:type="pct"/>
            <w:tcBorders>
              <w:top w:val="nil"/>
              <w:left w:val="nil"/>
              <w:bottom w:val="single" w:sz="4" w:space="0" w:color="auto"/>
              <w:right w:val="single" w:sz="4" w:space="0" w:color="auto"/>
            </w:tcBorders>
            <w:shd w:val="clear" w:color="000000" w:fill="DCE6F1"/>
            <w:vAlign w:val="center"/>
            <w:hideMark/>
          </w:tcPr>
          <w:p w14:paraId="5F92D237" w14:textId="6F474A5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3,750</w:t>
            </w:r>
          </w:p>
        </w:tc>
        <w:tc>
          <w:tcPr>
            <w:tcW w:w="190" w:type="pct"/>
            <w:tcBorders>
              <w:top w:val="nil"/>
              <w:left w:val="nil"/>
              <w:bottom w:val="single" w:sz="4" w:space="0" w:color="auto"/>
              <w:right w:val="single" w:sz="4" w:space="0" w:color="auto"/>
            </w:tcBorders>
            <w:shd w:val="clear" w:color="000000" w:fill="DCE6F1"/>
            <w:vAlign w:val="center"/>
            <w:hideMark/>
          </w:tcPr>
          <w:p w14:paraId="1E975FF3" w14:textId="082D6EF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1,425</w:t>
            </w:r>
          </w:p>
        </w:tc>
        <w:tc>
          <w:tcPr>
            <w:tcW w:w="190" w:type="pct"/>
            <w:tcBorders>
              <w:top w:val="nil"/>
              <w:left w:val="nil"/>
              <w:bottom w:val="single" w:sz="4" w:space="0" w:color="auto"/>
              <w:right w:val="single" w:sz="4" w:space="0" w:color="auto"/>
            </w:tcBorders>
            <w:shd w:val="clear" w:color="000000" w:fill="DCE6F1"/>
            <w:vAlign w:val="center"/>
            <w:hideMark/>
          </w:tcPr>
          <w:p w14:paraId="3048AA32" w14:textId="674EE37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175</w:t>
            </w:r>
          </w:p>
        </w:tc>
        <w:tc>
          <w:tcPr>
            <w:tcW w:w="187" w:type="pct"/>
            <w:tcBorders>
              <w:top w:val="nil"/>
              <w:left w:val="nil"/>
              <w:bottom w:val="single" w:sz="4" w:space="0" w:color="auto"/>
              <w:right w:val="single" w:sz="4" w:space="0" w:color="auto"/>
            </w:tcBorders>
            <w:shd w:val="clear" w:color="000000" w:fill="DCE6F1"/>
            <w:vAlign w:val="center"/>
            <w:hideMark/>
          </w:tcPr>
          <w:p w14:paraId="6EB60D7D" w14:textId="55A63BF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175</w:t>
            </w:r>
          </w:p>
        </w:tc>
        <w:tc>
          <w:tcPr>
            <w:tcW w:w="200" w:type="pct"/>
            <w:tcBorders>
              <w:top w:val="nil"/>
              <w:left w:val="nil"/>
              <w:bottom w:val="single" w:sz="4" w:space="0" w:color="auto"/>
              <w:right w:val="nil"/>
            </w:tcBorders>
            <w:shd w:val="clear" w:color="000000" w:fill="DCE6F1"/>
            <w:vAlign w:val="center"/>
            <w:hideMark/>
          </w:tcPr>
          <w:p w14:paraId="59305FA2" w14:textId="5742A06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5,525</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2FD1A0FF" w14:textId="2602683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209" w:type="pct"/>
            <w:tcBorders>
              <w:top w:val="nil"/>
              <w:left w:val="nil"/>
              <w:bottom w:val="single" w:sz="4" w:space="0" w:color="auto"/>
              <w:right w:val="single" w:sz="4" w:space="0" w:color="auto"/>
            </w:tcBorders>
            <w:shd w:val="clear" w:color="000000" w:fill="DCE6F1"/>
            <w:vAlign w:val="center"/>
            <w:hideMark/>
          </w:tcPr>
          <w:p w14:paraId="181A13A2" w14:textId="5185556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5" w:type="pct"/>
            <w:tcBorders>
              <w:top w:val="nil"/>
              <w:left w:val="nil"/>
              <w:bottom w:val="single" w:sz="4" w:space="0" w:color="auto"/>
              <w:right w:val="single" w:sz="8" w:space="0" w:color="auto"/>
            </w:tcBorders>
            <w:shd w:val="clear" w:color="000000" w:fill="DCE6F1"/>
            <w:vAlign w:val="center"/>
            <w:hideMark/>
          </w:tcPr>
          <w:p w14:paraId="3B6FDBC9" w14:textId="0AE7C3F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5,525</w:t>
            </w:r>
          </w:p>
        </w:tc>
        <w:tc>
          <w:tcPr>
            <w:tcW w:w="202" w:type="pct"/>
            <w:tcBorders>
              <w:top w:val="nil"/>
              <w:left w:val="nil"/>
              <w:bottom w:val="single" w:sz="4" w:space="0" w:color="auto"/>
              <w:right w:val="single" w:sz="4" w:space="0" w:color="auto"/>
            </w:tcBorders>
            <w:shd w:val="clear" w:color="000000" w:fill="DCE6F1"/>
            <w:vAlign w:val="center"/>
            <w:hideMark/>
          </w:tcPr>
          <w:p w14:paraId="4D4F6EC2" w14:textId="1948691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57,552</w:t>
            </w:r>
          </w:p>
        </w:tc>
        <w:tc>
          <w:tcPr>
            <w:tcW w:w="200" w:type="pct"/>
            <w:tcBorders>
              <w:top w:val="nil"/>
              <w:left w:val="nil"/>
              <w:bottom w:val="single" w:sz="4" w:space="0" w:color="auto"/>
              <w:right w:val="single" w:sz="4" w:space="0" w:color="auto"/>
            </w:tcBorders>
            <w:shd w:val="clear" w:color="000000" w:fill="DCE6F1"/>
            <w:vAlign w:val="center"/>
            <w:hideMark/>
          </w:tcPr>
          <w:p w14:paraId="7B58DFEA" w14:textId="68697F8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7" w:type="pct"/>
            <w:tcBorders>
              <w:top w:val="nil"/>
              <w:left w:val="nil"/>
              <w:bottom w:val="single" w:sz="4" w:space="0" w:color="auto"/>
              <w:right w:val="single" w:sz="4" w:space="0" w:color="auto"/>
            </w:tcBorders>
            <w:shd w:val="clear" w:color="000000" w:fill="DCE6F1"/>
            <w:vAlign w:val="center"/>
            <w:hideMark/>
          </w:tcPr>
          <w:p w14:paraId="1B93133D" w14:textId="2E7839C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single" w:sz="8" w:space="0" w:color="auto"/>
            </w:tcBorders>
            <w:shd w:val="clear" w:color="000000" w:fill="DCE6F1"/>
            <w:vAlign w:val="center"/>
            <w:hideMark/>
          </w:tcPr>
          <w:p w14:paraId="7455CF1E" w14:textId="77C9F29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57,552</w:t>
            </w:r>
          </w:p>
        </w:tc>
      </w:tr>
      <w:tr w:rsidR="00387E5A" w:rsidRPr="00024D5A" w14:paraId="18D604AE"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2A0591F4" w14:textId="25BAF849"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Masë prioritare 2.4</w:t>
            </w:r>
            <w:r w:rsidR="00AC5DA9">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Konsolidimi dhe zgjerimi i shërbimeve për punëdhënësit dhe punëkërkuesit dhe përshtatja e vazhdueshme e tyre bazuar në praktikat e monitorimit dhe vlerësimit</w:t>
            </w:r>
            <w:r w:rsidR="007053C8" w:rsidRPr="00024D5A">
              <w:rPr>
                <w:rFonts w:ascii="Garamond" w:eastAsia="Times New Roman" w:hAnsi="Garamond" w:cs="Calibri"/>
                <w:b/>
                <w:bCs/>
                <w:sz w:val="6"/>
                <w:szCs w:val="6"/>
                <w:lang w:eastAsia="en-US"/>
              </w:rPr>
              <w:t>.</w:t>
            </w:r>
          </w:p>
        </w:tc>
        <w:tc>
          <w:tcPr>
            <w:tcW w:w="244" w:type="pct"/>
            <w:tcBorders>
              <w:top w:val="nil"/>
              <w:left w:val="single" w:sz="8" w:space="0" w:color="auto"/>
              <w:bottom w:val="single" w:sz="4" w:space="0" w:color="auto"/>
              <w:right w:val="single" w:sz="4" w:space="0" w:color="auto"/>
            </w:tcBorders>
            <w:shd w:val="clear" w:color="000000" w:fill="C5D9F1"/>
            <w:vAlign w:val="center"/>
            <w:hideMark/>
          </w:tcPr>
          <w:p w14:paraId="32BCF923"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2026</w:t>
            </w:r>
          </w:p>
        </w:tc>
        <w:tc>
          <w:tcPr>
            <w:tcW w:w="226" w:type="pct"/>
            <w:tcBorders>
              <w:top w:val="nil"/>
              <w:left w:val="nil"/>
              <w:bottom w:val="single" w:sz="4" w:space="0" w:color="auto"/>
              <w:right w:val="single" w:sz="4" w:space="0" w:color="auto"/>
            </w:tcBorders>
            <w:shd w:val="clear" w:color="000000" w:fill="C5D9F1"/>
            <w:vAlign w:val="center"/>
            <w:hideMark/>
          </w:tcPr>
          <w:p w14:paraId="16AE6FBC"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C5D9F1"/>
            <w:vAlign w:val="center"/>
            <w:hideMark/>
          </w:tcPr>
          <w:p w14:paraId="3D0145BB"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AKPA</w:t>
            </w:r>
          </w:p>
        </w:tc>
        <w:tc>
          <w:tcPr>
            <w:tcW w:w="792" w:type="pct"/>
            <w:tcBorders>
              <w:top w:val="nil"/>
              <w:left w:val="nil"/>
              <w:bottom w:val="single" w:sz="4" w:space="0" w:color="auto"/>
              <w:right w:val="single" w:sz="8" w:space="0" w:color="auto"/>
            </w:tcBorders>
            <w:shd w:val="clear" w:color="000000" w:fill="C5D9F1"/>
            <w:vAlign w:val="center"/>
            <w:hideMark/>
          </w:tcPr>
          <w:p w14:paraId="74DCE6E1"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MEI</w:t>
            </w:r>
          </w:p>
        </w:tc>
        <w:tc>
          <w:tcPr>
            <w:tcW w:w="188" w:type="pct"/>
            <w:tcBorders>
              <w:top w:val="nil"/>
              <w:left w:val="nil"/>
              <w:bottom w:val="single" w:sz="4" w:space="0" w:color="auto"/>
              <w:right w:val="single" w:sz="4" w:space="0" w:color="auto"/>
            </w:tcBorders>
            <w:shd w:val="clear" w:color="000000" w:fill="DCE6F1"/>
            <w:vAlign w:val="center"/>
            <w:hideMark/>
          </w:tcPr>
          <w:p w14:paraId="59923EAC" w14:textId="68EB1B3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225,285</w:t>
            </w:r>
          </w:p>
        </w:tc>
        <w:tc>
          <w:tcPr>
            <w:tcW w:w="190" w:type="pct"/>
            <w:tcBorders>
              <w:top w:val="nil"/>
              <w:left w:val="nil"/>
              <w:bottom w:val="single" w:sz="4" w:space="0" w:color="auto"/>
              <w:right w:val="single" w:sz="4" w:space="0" w:color="auto"/>
            </w:tcBorders>
            <w:shd w:val="clear" w:color="000000" w:fill="DCE6F1"/>
            <w:vAlign w:val="center"/>
            <w:hideMark/>
          </w:tcPr>
          <w:p w14:paraId="5A7B2CEA" w14:textId="356EE8B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231,389</w:t>
            </w:r>
          </w:p>
        </w:tc>
        <w:tc>
          <w:tcPr>
            <w:tcW w:w="190" w:type="pct"/>
            <w:tcBorders>
              <w:top w:val="nil"/>
              <w:left w:val="nil"/>
              <w:bottom w:val="single" w:sz="4" w:space="0" w:color="auto"/>
              <w:right w:val="single" w:sz="4" w:space="0" w:color="auto"/>
            </w:tcBorders>
            <w:shd w:val="clear" w:color="000000" w:fill="DCE6F1"/>
            <w:vAlign w:val="center"/>
            <w:hideMark/>
          </w:tcPr>
          <w:p w14:paraId="42770472" w14:textId="06743C1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238,008</w:t>
            </w:r>
          </w:p>
        </w:tc>
        <w:tc>
          <w:tcPr>
            <w:tcW w:w="190" w:type="pct"/>
            <w:tcBorders>
              <w:top w:val="nil"/>
              <w:left w:val="nil"/>
              <w:bottom w:val="single" w:sz="4" w:space="0" w:color="auto"/>
              <w:right w:val="single" w:sz="4" w:space="0" w:color="auto"/>
            </w:tcBorders>
            <w:shd w:val="clear" w:color="000000" w:fill="DCE6F1"/>
            <w:vAlign w:val="center"/>
            <w:hideMark/>
          </w:tcPr>
          <w:p w14:paraId="6AF2516B" w14:textId="738BA0F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244,959</w:t>
            </w:r>
          </w:p>
        </w:tc>
        <w:tc>
          <w:tcPr>
            <w:tcW w:w="187" w:type="pct"/>
            <w:tcBorders>
              <w:top w:val="nil"/>
              <w:left w:val="nil"/>
              <w:bottom w:val="single" w:sz="4" w:space="0" w:color="auto"/>
              <w:right w:val="single" w:sz="4" w:space="0" w:color="auto"/>
            </w:tcBorders>
            <w:shd w:val="clear" w:color="000000" w:fill="DCE6F1"/>
            <w:vAlign w:val="center"/>
            <w:hideMark/>
          </w:tcPr>
          <w:p w14:paraId="6D2A6510" w14:textId="0651D49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252,257</w:t>
            </w:r>
          </w:p>
        </w:tc>
        <w:tc>
          <w:tcPr>
            <w:tcW w:w="200" w:type="pct"/>
            <w:tcBorders>
              <w:top w:val="nil"/>
              <w:left w:val="nil"/>
              <w:bottom w:val="single" w:sz="4" w:space="0" w:color="auto"/>
              <w:right w:val="nil"/>
            </w:tcBorders>
            <w:shd w:val="clear" w:color="000000" w:fill="DCE6F1"/>
            <w:vAlign w:val="center"/>
            <w:hideMark/>
          </w:tcPr>
          <w:p w14:paraId="0E7405EF" w14:textId="32CE0BF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1,191,898</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141463B0" w14:textId="10A4A9E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1,040,698</w:t>
            </w:r>
          </w:p>
        </w:tc>
        <w:tc>
          <w:tcPr>
            <w:tcW w:w="209" w:type="pct"/>
            <w:tcBorders>
              <w:top w:val="nil"/>
              <w:left w:val="nil"/>
              <w:bottom w:val="single" w:sz="4" w:space="0" w:color="auto"/>
              <w:right w:val="single" w:sz="4" w:space="0" w:color="auto"/>
            </w:tcBorders>
            <w:shd w:val="clear" w:color="000000" w:fill="DCE6F1"/>
            <w:vAlign w:val="center"/>
            <w:hideMark/>
          </w:tcPr>
          <w:p w14:paraId="6D4123D0" w14:textId="5D1AE25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5" w:type="pct"/>
            <w:tcBorders>
              <w:top w:val="nil"/>
              <w:left w:val="nil"/>
              <w:bottom w:val="single" w:sz="4" w:space="0" w:color="auto"/>
              <w:right w:val="single" w:sz="8" w:space="0" w:color="auto"/>
            </w:tcBorders>
            <w:shd w:val="clear" w:color="000000" w:fill="DCE6F1"/>
            <w:vAlign w:val="center"/>
            <w:hideMark/>
          </w:tcPr>
          <w:p w14:paraId="7707CA56" w14:textId="7761B6B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151,200</w:t>
            </w:r>
          </w:p>
        </w:tc>
        <w:tc>
          <w:tcPr>
            <w:tcW w:w="202" w:type="pct"/>
            <w:tcBorders>
              <w:top w:val="nil"/>
              <w:left w:val="nil"/>
              <w:bottom w:val="single" w:sz="4" w:space="0" w:color="auto"/>
              <w:right w:val="single" w:sz="4" w:space="0" w:color="auto"/>
            </w:tcBorders>
            <w:shd w:val="clear" w:color="000000" w:fill="DCE6F1"/>
            <w:vAlign w:val="center"/>
            <w:hideMark/>
          </w:tcPr>
          <w:p w14:paraId="00EA351D" w14:textId="31843A1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12,415,605</w:t>
            </w:r>
          </w:p>
        </w:tc>
        <w:tc>
          <w:tcPr>
            <w:tcW w:w="200" w:type="pct"/>
            <w:tcBorders>
              <w:top w:val="nil"/>
              <w:left w:val="nil"/>
              <w:bottom w:val="single" w:sz="4" w:space="0" w:color="auto"/>
              <w:right w:val="single" w:sz="4" w:space="0" w:color="auto"/>
            </w:tcBorders>
            <w:shd w:val="clear" w:color="000000" w:fill="DCE6F1"/>
            <w:vAlign w:val="center"/>
            <w:hideMark/>
          </w:tcPr>
          <w:p w14:paraId="3404545B" w14:textId="0B902BD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10,840,605</w:t>
            </w:r>
          </w:p>
        </w:tc>
        <w:tc>
          <w:tcPr>
            <w:tcW w:w="197" w:type="pct"/>
            <w:tcBorders>
              <w:top w:val="nil"/>
              <w:left w:val="nil"/>
              <w:bottom w:val="single" w:sz="4" w:space="0" w:color="auto"/>
              <w:right w:val="single" w:sz="4" w:space="0" w:color="auto"/>
            </w:tcBorders>
            <w:shd w:val="clear" w:color="000000" w:fill="DCE6F1"/>
            <w:vAlign w:val="center"/>
            <w:hideMark/>
          </w:tcPr>
          <w:p w14:paraId="2524F117" w14:textId="1D8940E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single" w:sz="8" w:space="0" w:color="auto"/>
            </w:tcBorders>
            <w:shd w:val="clear" w:color="000000" w:fill="DCE6F1"/>
            <w:vAlign w:val="center"/>
            <w:hideMark/>
          </w:tcPr>
          <w:p w14:paraId="1541D005" w14:textId="5EA7C93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1,575,000</w:t>
            </w:r>
          </w:p>
        </w:tc>
      </w:tr>
      <w:tr w:rsidR="00387E5A" w:rsidRPr="00024D5A" w14:paraId="58E2AA0D"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657E5386" w14:textId="29AB8B99"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Masa </w:t>
            </w:r>
            <w:r w:rsidR="007053C8" w:rsidRPr="00024D5A">
              <w:rPr>
                <w:rFonts w:ascii="Garamond" w:eastAsia="Times New Roman" w:hAnsi="Garamond" w:cs="Calibri"/>
                <w:b/>
                <w:bCs/>
                <w:sz w:val="6"/>
                <w:szCs w:val="6"/>
                <w:lang w:eastAsia="en-US"/>
              </w:rPr>
              <w:t xml:space="preserve">prioritare </w:t>
            </w:r>
            <w:r w:rsidRPr="00024D5A">
              <w:rPr>
                <w:rFonts w:ascii="Garamond" w:eastAsia="Times New Roman" w:hAnsi="Garamond" w:cs="Calibri"/>
                <w:b/>
                <w:bCs/>
                <w:sz w:val="6"/>
                <w:szCs w:val="6"/>
                <w:lang w:eastAsia="en-US"/>
              </w:rPr>
              <w:t>2.5</w:t>
            </w:r>
            <w:r w:rsidR="00AC5DA9">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Forcimi i qeverisjes, koordinimit dhe monitorimit për punësimin e personave me aftësi të kufizuara</w:t>
            </w:r>
            <w:r w:rsidR="007053C8" w:rsidRPr="00024D5A">
              <w:rPr>
                <w:rFonts w:ascii="Garamond" w:eastAsia="Times New Roman" w:hAnsi="Garamond" w:cs="Calibri"/>
                <w:b/>
                <w:bCs/>
                <w:sz w:val="6"/>
                <w:szCs w:val="6"/>
                <w:lang w:eastAsia="en-US"/>
              </w:rPr>
              <w:t>.</w:t>
            </w:r>
          </w:p>
        </w:tc>
        <w:tc>
          <w:tcPr>
            <w:tcW w:w="244" w:type="pct"/>
            <w:tcBorders>
              <w:top w:val="nil"/>
              <w:left w:val="single" w:sz="8" w:space="0" w:color="auto"/>
              <w:bottom w:val="single" w:sz="4" w:space="0" w:color="auto"/>
              <w:right w:val="single" w:sz="4" w:space="0" w:color="auto"/>
            </w:tcBorders>
            <w:shd w:val="clear" w:color="000000" w:fill="C5D9F1"/>
            <w:vAlign w:val="center"/>
            <w:hideMark/>
          </w:tcPr>
          <w:p w14:paraId="3A5728BD"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2026</w:t>
            </w:r>
          </w:p>
        </w:tc>
        <w:tc>
          <w:tcPr>
            <w:tcW w:w="226" w:type="pct"/>
            <w:tcBorders>
              <w:top w:val="nil"/>
              <w:left w:val="nil"/>
              <w:bottom w:val="single" w:sz="4" w:space="0" w:color="auto"/>
              <w:right w:val="single" w:sz="4" w:space="0" w:color="auto"/>
            </w:tcBorders>
            <w:shd w:val="clear" w:color="000000" w:fill="C5D9F1"/>
            <w:vAlign w:val="center"/>
            <w:hideMark/>
          </w:tcPr>
          <w:p w14:paraId="3CC2AFC7"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C5D9F1"/>
            <w:vAlign w:val="center"/>
            <w:hideMark/>
          </w:tcPr>
          <w:p w14:paraId="13DE4C53"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AKPA/MEI</w:t>
            </w:r>
          </w:p>
        </w:tc>
        <w:tc>
          <w:tcPr>
            <w:tcW w:w="792" w:type="pct"/>
            <w:tcBorders>
              <w:top w:val="nil"/>
              <w:left w:val="nil"/>
              <w:bottom w:val="single" w:sz="4" w:space="0" w:color="auto"/>
              <w:right w:val="single" w:sz="8" w:space="0" w:color="auto"/>
            </w:tcBorders>
            <w:shd w:val="clear" w:color="000000" w:fill="C5D9F1"/>
            <w:vAlign w:val="center"/>
            <w:hideMark/>
          </w:tcPr>
          <w:p w14:paraId="5222B643"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MEI/AKPA/AKAFPK</w:t>
            </w:r>
          </w:p>
        </w:tc>
        <w:tc>
          <w:tcPr>
            <w:tcW w:w="188" w:type="pct"/>
            <w:tcBorders>
              <w:top w:val="nil"/>
              <w:left w:val="nil"/>
              <w:bottom w:val="single" w:sz="4" w:space="0" w:color="auto"/>
              <w:right w:val="single" w:sz="4" w:space="0" w:color="auto"/>
            </w:tcBorders>
            <w:shd w:val="clear" w:color="000000" w:fill="DCE6F1"/>
            <w:vAlign w:val="center"/>
            <w:hideMark/>
          </w:tcPr>
          <w:p w14:paraId="18B70554" w14:textId="656B91C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3,480</w:t>
            </w:r>
          </w:p>
        </w:tc>
        <w:tc>
          <w:tcPr>
            <w:tcW w:w="190" w:type="pct"/>
            <w:tcBorders>
              <w:top w:val="nil"/>
              <w:left w:val="nil"/>
              <w:bottom w:val="single" w:sz="4" w:space="0" w:color="auto"/>
              <w:right w:val="single" w:sz="4" w:space="0" w:color="auto"/>
            </w:tcBorders>
            <w:shd w:val="clear" w:color="000000" w:fill="DCE6F1"/>
            <w:vAlign w:val="center"/>
            <w:hideMark/>
          </w:tcPr>
          <w:p w14:paraId="40542AF4" w14:textId="7737D2D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1,380</w:t>
            </w:r>
          </w:p>
        </w:tc>
        <w:tc>
          <w:tcPr>
            <w:tcW w:w="190" w:type="pct"/>
            <w:tcBorders>
              <w:top w:val="nil"/>
              <w:left w:val="nil"/>
              <w:bottom w:val="single" w:sz="4" w:space="0" w:color="auto"/>
              <w:right w:val="single" w:sz="4" w:space="0" w:color="auto"/>
            </w:tcBorders>
            <w:shd w:val="clear" w:color="000000" w:fill="DCE6F1"/>
            <w:vAlign w:val="center"/>
            <w:hideMark/>
          </w:tcPr>
          <w:p w14:paraId="78009865" w14:textId="46625D3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1,380</w:t>
            </w:r>
          </w:p>
        </w:tc>
        <w:tc>
          <w:tcPr>
            <w:tcW w:w="190" w:type="pct"/>
            <w:tcBorders>
              <w:top w:val="nil"/>
              <w:left w:val="nil"/>
              <w:bottom w:val="single" w:sz="4" w:space="0" w:color="auto"/>
              <w:right w:val="single" w:sz="4" w:space="0" w:color="auto"/>
            </w:tcBorders>
            <w:shd w:val="clear" w:color="000000" w:fill="DCE6F1"/>
            <w:vAlign w:val="center"/>
            <w:hideMark/>
          </w:tcPr>
          <w:p w14:paraId="49E35F04" w14:textId="4DA9C29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1,380</w:t>
            </w:r>
          </w:p>
        </w:tc>
        <w:tc>
          <w:tcPr>
            <w:tcW w:w="187" w:type="pct"/>
            <w:tcBorders>
              <w:top w:val="nil"/>
              <w:left w:val="nil"/>
              <w:bottom w:val="single" w:sz="4" w:space="0" w:color="auto"/>
              <w:right w:val="single" w:sz="4" w:space="0" w:color="auto"/>
            </w:tcBorders>
            <w:shd w:val="clear" w:color="000000" w:fill="DCE6F1"/>
            <w:vAlign w:val="center"/>
            <w:hideMark/>
          </w:tcPr>
          <w:p w14:paraId="32C0EDE7" w14:textId="76E1628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1,380</w:t>
            </w:r>
          </w:p>
        </w:tc>
        <w:tc>
          <w:tcPr>
            <w:tcW w:w="200" w:type="pct"/>
            <w:tcBorders>
              <w:top w:val="nil"/>
              <w:left w:val="nil"/>
              <w:bottom w:val="single" w:sz="4" w:space="0" w:color="auto"/>
              <w:right w:val="nil"/>
            </w:tcBorders>
            <w:shd w:val="clear" w:color="000000" w:fill="DCE6F1"/>
            <w:vAlign w:val="center"/>
            <w:hideMark/>
          </w:tcPr>
          <w:p w14:paraId="2E737B67" w14:textId="2F9677D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9,000</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1F51F902" w14:textId="03C5072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6,600</w:t>
            </w:r>
          </w:p>
        </w:tc>
        <w:tc>
          <w:tcPr>
            <w:tcW w:w="209" w:type="pct"/>
            <w:tcBorders>
              <w:top w:val="nil"/>
              <w:left w:val="nil"/>
              <w:bottom w:val="single" w:sz="4" w:space="0" w:color="auto"/>
              <w:right w:val="single" w:sz="4" w:space="0" w:color="auto"/>
            </w:tcBorders>
            <w:shd w:val="clear" w:color="000000" w:fill="DCE6F1"/>
            <w:vAlign w:val="center"/>
            <w:hideMark/>
          </w:tcPr>
          <w:p w14:paraId="26CA8C5B" w14:textId="64E6426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5" w:type="pct"/>
            <w:tcBorders>
              <w:top w:val="nil"/>
              <w:left w:val="nil"/>
              <w:bottom w:val="single" w:sz="4" w:space="0" w:color="auto"/>
              <w:right w:val="single" w:sz="8" w:space="0" w:color="auto"/>
            </w:tcBorders>
            <w:shd w:val="clear" w:color="000000" w:fill="DCE6F1"/>
            <w:vAlign w:val="center"/>
            <w:hideMark/>
          </w:tcPr>
          <w:p w14:paraId="4377559A" w14:textId="11BEAB0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2,400</w:t>
            </w:r>
          </w:p>
        </w:tc>
        <w:tc>
          <w:tcPr>
            <w:tcW w:w="202" w:type="pct"/>
            <w:tcBorders>
              <w:top w:val="nil"/>
              <w:left w:val="nil"/>
              <w:bottom w:val="single" w:sz="4" w:space="0" w:color="auto"/>
              <w:right w:val="single" w:sz="4" w:space="0" w:color="auto"/>
            </w:tcBorders>
            <w:shd w:val="clear" w:color="000000" w:fill="DCE6F1"/>
            <w:vAlign w:val="center"/>
            <w:hideMark/>
          </w:tcPr>
          <w:p w14:paraId="541BC6EA" w14:textId="1EAAE5A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93,750</w:t>
            </w:r>
          </w:p>
        </w:tc>
        <w:tc>
          <w:tcPr>
            <w:tcW w:w="200" w:type="pct"/>
            <w:tcBorders>
              <w:top w:val="nil"/>
              <w:left w:val="nil"/>
              <w:bottom w:val="single" w:sz="4" w:space="0" w:color="auto"/>
              <w:right w:val="single" w:sz="4" w:space="0" w:color="auto"/>
            </w:tcBorders>
            <w:shd w:val="clear" w:color="000000" w:fill="DCE6F1"/>
            <w:vAlign w:val="center"/>
            <w:hideMark/>
          </w:tcPr>
          <w:p w14:paraId="48AAF445" w14:textId="3857A9B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68,750</w:t>
            </w:r>
          </w:p>
        </w:tc>
        <w:tc>
          <w:tcPr>
            <w:tcW w:w="197" w:type="pct"/>
            <w:tcBorders>
              <w:top w:val="nil"/>
              <w:left w:val="nil"/>
              <w:bottom w:val="single" w:sz="4" w:space="0" w:color="auto"/>
              <w:right w:val="single" w:sz="4" w:space="0" w:color="auto"/>
            </w:tcBorders>
            <w:shd w:val="clear" w:color="000000" w:fill="DCE6F1"/>
            <w:vAlign w:val="center"/>
            <w:hideMark/>
          </w:tcPr>
          <w:p w14:paraId="6169DF2B" w14:textId="00F060D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single" w:sz="8" w:space="0" w:color="auto"/>
            </w:tcBorders>
            <w:shd w:val="clear" w:color="000000" w:fill="DCE6F1"/>
            <w:vAlign w:val="center"/>
            <w:hideMark/>
          </w:tcPr>
          <w:p w14:paraId="35A3683D" w14:textId="1412AC5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25,000</w:t>
            </w:r>
          </w:p>
        </w:tc>
      </w:tr>
      <w:tr w:rsidR="00387E5A" w:rsidRPr="00024D5A" w14:paraId="1A3B522D" w14:textId="77777777" w:rsidTr="00387E5A">
        <w:trPr>
          <w:trHeight w:val="20"/>
        </w:trPr>
        <w:tc>
          <w:tcPr>
            <w:tcW w:w="375" w:type="pct"/>
            <w:tcBorders>
              <w:top w:val="nil"/>
              <w:left w:val="single" w:sz="4" w:space="0" w:color="auto"/>
              <w:bottom w:val="single" w:sz="4" w:space="0" w:color="auto"/>
              <w:right w:val="nil"/>
            </w:tcBorders>
            <w:shd w:val="clear" w:color="000000" w:fill="F276AB"/>
            <w:vAlign w:val="center"/>
            <w:hideMark/>
          </w:tcPr>
          <w:p w14:paraId="0AA28FEA" w14:textId="77777777"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IV. ARSIMI</w:t>
            </w:r>
          </w:p>
        </w:tc>
        <w:tc>
          <w:tcPr>
            <w:tcW w:w="244" w:type="pct"/>
            <w:tcBorders>
              <w:top w:val="nil"/>
              <w:left w:val="single" w:sz="8" w:space="0" w:color="auto"/>
              <w:bottom w:val="single" w:sz="4" w:space="0" w:color="auto"/>
              <w:right w:val="single" w:sz="4" w:space="0" w:color="auto"/>
            </w:tcBorders>
            <w:shd w:val="clear" w:color="000000" w:fill="F276AB"/>
            <w:vAlign w:val="center"/>
            <w:hideMark/>
          </w:tcPr>
          <w:p w14:paraId="1977B9A9"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2026</w:t>
            </w:r>
          </w:p>
        </w:tc>
        <w:tc>
          <w:tcPr>
            <w:tcW w:w="226" w:type="pct"/>
            <w:tcBorders>
              <w:top w:val="nil"/>
              <w:left w:val="nil"/>
              <w:bottom w:val="single" w:sz="4" w:space="0" w:color="auto"/>
              <w:right w:val="single" w:sz="4" w:space="0" w:color="auto"/>
            </w:tcBorders>
            <w:shd w:val="clear" w:color="000000" w:fill="F276AB"/>
            <w:vAlign w:val="center"/>
            <w:hideMark/>
          </w:tcPr>
          <w:p w14:paraId="211A3DF8"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2030</w:t>
            </w:r>
          </w:p>
        </w:tc>
        <w:tc>
          <w:tcPr>
            <w:tcW w:w="664" w:type="pct"/>
            <w:tcBorders>
              <w:top w:val="nil"/>
              <w:left w:val="nil"/>
              <w:bottom w:val="single" w:sz="4" w:space="0" w:color="auto"/>
              <w:right w:val="single" w:sz="4" w:space="0" w:color="auto"/>
            </w:tcBorders>
            <w:shd w:val="clear" w:color="000000" w:fill="F276AB"/>
            <w:vAlign w:val="center"/>
            <w:hideMark/>
          </w:tcPr>
          <w:p w14:paraId="06C82811" w14:textId="2B6AC935" w:rsidR="00DE4FCB" w:rsidRPr="00024D5A" w:rsidRDefault="00DE4FCB" w:rsidP="00387E5A">
            <w:pPr>
              <w:jc w:val="center"/>
              <w:rPr>
                <w:rFonts w:ascii="Garamond" w:eastAsia="Times New Roman" w:hAnsi="Garamond"/>
                <w:sz w:val="6"/>
                <w:szCs w:val="6"/>
                <w:lang w:eastAsia="en-US"/>
              </w:rPr>
            </w:pPr>
          </w:p>
        </w:tc>
        <w:tc>
          <w:tcPr>
            <w:tcW w:w="792" w:type="pct"/>
            <w:tcBorders>
              <w:top w:val="nil"/>
              <w:left w:val="nil"/>
              <w:bottom w:val="single" w:sz="4" w:space="0" w:color="auto"/>
              <w:right w:val="single" w:sz="8" w:space="0" w:color="auto"/>
            </w:tcBorders>
            <w:shd w:val="clear" w:color="000000" w:fill="F276AB"/>
            <w:vAlign w:val="center"/>
            <w:hideMark/>
          </w:tcPr>
          <w:p w14:paraId="47B5C6E7" w14:textId="3AB5C38B" w:rsidR="00DE4FCB" w:rsidRPr="00024D5A" w:rsidRDefault="00DE4FCB" w:rsidP="00387E5A">
            <w:pPr>
              <w:jc w:val="center"/>
              <w:rPr>
                <w:rFonts w:ascii="Garamond" w:eastAsia="Times New Roman" w:hAnsi="Garamond"/>
                <w:sz w:val="6"/>
                <w:szCs w:val="6"/>
                <w:lang w:eastAsia="en-US"/>
              </w:rPr>
            </w:pPr>
          </w:p>
        </w:tc>
        <w:tc>
          <w:tcPr>
            <w:tcW w:w="188" w:type="pct"/>
            <w:tcBorders>
              <w:top w:val="nil"/>
              <w:left w:val="nil"/>
              <w:bottom w:val="single" w:sz="4" w:space="0" w:color="auto"/>
              <w:right w:val="single" w:sz="4" w:space="0" w:color="auto"/>
            </w:tcBorders>
            <w:shd w:val="clear" w:color="000000" w:fill="F276AB"/>
            <w:vAlign w:val="center"/>
            <w:hideMark/>
          </w:tcPr>
          <w:p w14:paraId="239C64A3" w14:textId="3C0C5F1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331,251</w:t>
            </w:r>
          </w:p>
        </w:tc>
        <w:tc>
          <w:tcPr>
            <w:tcW w:w="190" w:type="pct"/>
            <w:tcBorders>
              <w:top w:val="nil"/>
              <w:left w:val="nil"/>
              <w:bottom w:val="single" w:sz="4" w:space="0" w:color="auto"/>
              <w:right w:val="single" w:sz="4" w:space="0" w:color="auto"/>
            </w:tcBorders>
            <w:shd w:val="clear" w:color="000000" w:fill="F276AB"/>
            <w:vAlign w:val="center"/>
            <w:hideMark/>
          </w:tcPr>
          <w:p w14:paraId="41CD7717" w14:textId="656324E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562,523</w:t>
            </w:r>
          </w:p>
        </w:tc>
        <w:tc>
          <w:tcPr>
            <w:tcW w:w="190" w:type="pct"/>
            <w:tcBorders>
              <w:top w:val="nil"/>
              <w:left w:val="nil"/>
              <w:bottom w:val="single" w:sz="4" w:space="0" w:color="auto"/>
              <w:right w:val="single" w:sz="4" w:space="0" w:color="auto"/>
            </w:tcBorders>
            <w:shd w:val="clear" w:color="000000" w:fill="F276AB"/>
            <w:vAlign w:val="center"/>
            <w:hideMark/>
          </w:tcPr>
          <w:p w14:paraId="025E77D7" w14:textId="585C8C6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633,142</w:t>
            </w:r>
          </w:p>
        </w:tc>
        <w:tc>
          <w:tcPr>
            <w:tcW w:w="190" w:type="pct"/>
            <w:tcBorders>
              <w:top w:val="nil"/>
              <w:left w:val="nil"/>
              <w:bottom w:val="single" w:sz="4" w:space="0" w:color="auto"/>
              <w:right w:val="single" w:sz="4" w:space="0" w:color="auto"/>
            </w:tcBorders>
            <w:shd w:val="clear" w:color="000000" w:fill="F276AB"/>
            <w:vAlign w:val="center"/>
            <w:hideMark/>
          </w:tcPr>
          <w:p w14:paraId="7D281558" w14:textId="4F10E87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680,211</w:t>
            </w:r>
          </w:p>
        </w:tc>
        <w:tc>
          <w:tcPr>
            <w:tcW w:w="187" w:type="pct"/>
            <w:tcBorders>
              <w:top w:val="nil"/>
              <w:left w:val="nil"/>
              <w:bottom w:val="single" w:sz="4" w:space="0" w:color="auto"/>
              <w:right w:val="single" w:sz="4" w:space="0" w:color="auto"/>
            </w:tcBorders>
            <w:shd w:val="clear" w:color="000000" w:fill="F276AB"/>
            <w:vAlign w:val="center"/>
            <w:hideMark/>
          </w:tcPr>
          <w:p w14:paraId="05C7D18D" w14:textId="2212230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733,312</w:t>
            </w:r>
          </w:p>
        </w:tc>
        <w:tc>
          <w:tcPr>
            <w:tcW w:w="200" w:type="pct"/>
            <w:tcBorders>
              <w:top w:val="nil"/>
              <w:left w:val="nil"/>
              <w:bottom w:val="single" w:sz="4" w:space="0" w:color="auto"/>
              <w:right w:val="nil"/>
            </w:tcBorders>
            <w:shd w:val="clear" w:color="000000" w:fill="F276AB"/>
            <w:vAlign w:val="center"/>
            <w:hideMark/>
          </w:tcPr>
          <w:p w14:paraId="5DBECD16" w14:textId="6266426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2,940,438</w:t>
            </w:r>
          </w:p>
        </w:tc>
        <w:tc>
          <w:tcPr>
            <w:tcW w:w="209" w:type="pct"/>
            <w:tcBorders>
              <w:top w:val="nil"/>
              <w:left w:val="single" w:sz="8" w:space="0" w:color="auto"/>
              <w:bottom w:val="single" w:sz="4" w:space="0" w:color="auto"/>
              <w:right w:val="single" w:sz="4" w:space="0" w:color="auto"/>
            </w:tcBorders>
            <w:shd w:val="clear" w:color="000000" w:fill="F276AB"/>
            <w:vAlign w:val="center"/>
            <w:hideMark/>
          </w:tcPr>
          <w:p w14:paraId="7BCEAE0A" w14:textId="3A5624E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2,256,785</w:t>
            </w:r>
          </w:p>
        </w:tc>
        <w:tc>
          <w:tcPr>
            <w:tcW w:w="209" w:type="pct"/>
            <w:tcBorders>
              <w:top w:val="nil"/>
              <w:left w:val="nil"/>
              <w:bottom w:val="single" w:sz="4" w:space="0" w:color="auto"/>
              <w:right w:val="single" w:sz="4" w:space="0" w:color="auto"/>
            </w:tcBorders>
            <w:shd w:val="clear" w:color="000000" w:fill="F276AB"/>
            <w:vAlign w:val="center"/>
            <w:hideMark/>
          </w:tcPr>
          <w:p w14:paraId="42F7A8CC" w14:textId="4097873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16,298</w:t>
            </w:r>
          </w:p>
        </w:tc>
        <w:tc>
          <w:tcPr>
            <w:tcW w:w="195" w:type="pct"/>
            <w:tcBorders>
              <w:top w:val="nil"/>
              <w:left w:val="nil"/>
              <w:bottom w:val="single" w:sz="4" w:space="0" w:color="auto"/>
              <w:right w:val="single" w:sz="8" w:space="0" w:color="auto"/>
            </w:tcBorders>
            <w:shd w:val="clear" w:color="000000" w:fill="F276AB"/>
            <w:vAlign w:val="center"/>
            <w:hideMark/>
          </w:tcPr>
          <w:p w14:paraId="32137AFE" w14:textId="10A5097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667,355</w:t>
            </w:r>
          </w:p>
        </w:tc>
        <w:tc>
          <w:tcPr>
            <w:tcW w:w="202" w:type="pct"/>
            <w:tcBorders>
              <w:top w:val="nil"/>
              <w:left w:val="nil"/>
              <w:bottom w:val="single" w:sz="4" w:space="0" w:color="auto"/>
              <w:right w:val="single" w:sz="4" w:space="0" w:color="auto"/>
            </w:tcBorders>
            <w:shd w:val="clear" w:color="000000" w:fill="F276AB"/>
            <w:vAlign w:val="center"/>
            <w:hideMark/>
          </w:tcPr>
          <w:p w14:paraId="306236CB" w14:textId="0A97860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30,629,561</w:t>
            </w:r>
          </w:p>
        </w:tc>
        <w:tc>
          <w:tcPr>
            <w:tcW w:w="200" w:type="pct"/>
            <w:tcBorders>
              <w:top w:val="nil"/>
              <w:left w:val="nil"/>
              <w:bottom w:val="single" w:sz="4" w:space="0" w:color="auto"/>
              <w:right w:val="single" w:sz="4" w:space="0" w:color="auto"/>
            </w:tcBorders>
            <w:shd w:val="clear" w:color="000000" w:fill="F276AB"/>
            <w:vAlign w:val="center"/>
            <w:hideMark/>
          </w:tcPr>
          <w:p w14:paraId="42DCDF64" w14:textId="1EF1AFD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23,508,178</w:t>
            </w:r>
          </w:p>
        </w:tc>
        <w:tc>
          <w:tcPr>
            <w:tcW w:w="197" w:type="pct"/>
            <w:tcBorders>
              <w:top w:val="nil"/>
              <w:left w:val="nil"/>
              <w:bottom w:val="single" w:sz="4" w:space="0" w:color="auto"/>
              <w:right w:val="single" w:sz="4" w:space="0" w:color="auto"/>
            </w:tcBorders>
            <w:shd w:val="clear" w:color="000000" w:fill="F276AB"/>
            <w:vAlign w:val="center"/>
            <w:hideMark/>
          </w:tcPr>
          <w:p w14:paraId="2E72CA68" w14:textId="73374A2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169,771</w:t>
            </w:r>
          </w:p>
        </w:tc>
        <w:tc>
          <w:tcPr>
            <w:tcW w:w="342" w:type="pct"/>
            <w:tcBorders>
              <w:top w:val="nil"/>
              <w:left w:val="nil"/>
              <w:bottom w:val="single" w:sz="4" w:space="0" w:color="auto"/>
              <w:right w:val="single" w:sz="8" w:space="0" w:color="auto"/>
            </w:tcBorders>
            <w:shd w:val="clear" w:color="000000" w:fill="F276AB"/>
            <w:vAlign w:val="center"/>
            <w:hideMark/>
          </w:tcPr>
          <w:p w14:paraId="04CBD1C6" w14:textId="5823914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6,951,612</w:t>
            </w:r>
          </w:p>
        </w:tc>
      </w:tr>
      <w:tr w:rsidR="00387E5A" w:rsidRPr="00024D5A" w14:paraId="452AC83B" w14:textId="77777777" w:rsidTr="00387E5A">
        <w:trPr>
          <w:trHeight w:val="20"/>
        </w:trPr>
        <w:tc>
          <w:tcPr>
            <w:tcW w:w="375" w:type="pct"/>
            <w:tcBorders>
              <w:top w:val="nil"/>
              <w:left w:val="single" w:sz="4" w:space="0" w:color="auto"/>
              <w:bottom w:val="single" w:sz="4" w:space="0" w:color="auto"/>
              <w:right w:val="nil"/>
            </w:tcBorders>
            <w:shd w:val="clear" w:color="000000" w:fill="FDE9D9"/>
            <w:vAlign w:val="center"/>
            <w:hideMark/>
          </w:tcPr>
          <w:p w14:paraId="70CC597E" w14:textId="571E041D"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Objektivi </w:t>
            </w:r>
            <w:r w:rsidR="007053C8" w:rsidRPr="00024D5A">
              <w:rPr>
                <w:rFonts w:ascii="Garamond" w:eastAsia="Times New Roman" w:hAnsi="Garamond" w:cs="Calibri"/>
                <w:b/>
                <w:bCs/>
                <w:sz w:val="6"/>
                <w:szCs w:val="6"/>
                <w:lang w:eastAsia="en-US"/>
              </w:rPr>
              <w:t xml:space="preserve">specifik </w:t>
            </w:r>
            <w:r w:rsidRPr="00024D5A">
              <w:rPr>
                <w:rFonts w:ascii="Garamond" w:eastAsia="Times New Roman" w:hAnsi="Garamond" w:cs="Calibri"/>
                <w:b/>
                <w:bCs/>
                <w:sz w:val="6"/>
                <w:szCs w:val="6"/>
                <w:lang w:eastAsia="en-US"/>
              </w:rPr>
              <w:t>1</w:t>
            </w:r>
            <w:r w:rsidR="00AC5DA9">
              <w:rPr>
                <w:rFonts w:ascii="Garamond" w:eastAsia="Times New Roman" w:hAnsi="Garamond" w:cs="Calibri"/>
                <w:b/>
                <w:bCs/>
                <w:sz w:val="6"/>
                <w:szCs w:val="6"/>
                <w:lang w:eastAsia="en-US"/>
              </w:rPr>
              <w:t>:</w:t>
            </w:r>
            <w:r w:rsidR="007053C8" w:rsidRPr="00024D5A">
              <w:rPr>
                <w:rFonts w:ascii="Garamond" w:eastAsia="Times New Roman" w:hAnsi="Garamond" w:cs="Calibri"/>
                <w:b/>
                <w:bCs/>
                <w:sz w:val="6"/>
                <w:szCs w:val="6"/>
                <w:lang w:eastAsia="en-US"/>
              </w:rPr>
              <w:t xml:space="preserve"> </w:t>
            </w:r>
            <w:r w:rsidRPr="00024D5A">
              <w:rPr>
                <w:rFonts w:ascii="Garamond" w:eastAsia="Times New Roman" w:hAnsi="Garamond" w:cs="Calibri"/>
                <w:b/>
                <w:bCs/>
                <w:sz w:val="6"/>
                <w:szCs w:val="6"/>
                <w:lang w:eastAsia="en-US"/>
              </w:rPr>
              <w:t>Zhvillimi dhe edukimi gjithëpërfshirës i fëmijëve me aftësi të kufizuara në fëmijërinë e hershme dhe arsimin parashkollor duke investuar në infrastrukturë, shërbime mbështetëse dhe zhvillimin profesional të stafit të kopshteve.</w:t>
            </w:r>
          </w:p>
        </w:tc>
        <w:tc>
          <w:tcPr>
            <w:tcW w:w="244" w:type="pct"/>
            <w:tcBorders>
              <w:top w:val="nil"/>
              <w:left w:val="single" w:sz="8" w:space="0" w:color="auto"/>
              <w:bottom w:val="single" w:sz="4" w:space="0" w:color="auto"/>
              <w:right w:val="single" w:sz="4" w:space="0" w:color="auto"/>
            </w:tcBorders>
            <w:shd w:val="clear" w:color="000000" w:fill="FDE9D9"/>
            <w:hideMark/>
          </w:tcPr>
          <w:p w14:paraId="6A922C1C"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2026</w:t>
            </w:r>
          </w:p>
        </w:tc>
        <w:tc>
          <w:tcPr>
            <w:tcW w:w="226" w:type="pct"/>
            <w:tcBorders>
              <w:top w:val="nil"/>
              <w:left w:val="nil"/>
              <w:bottom w:val="single" w:sz="4" w:space="0" w:color="auto"/>
              <w:right w:val="single" w:sz="4" w:space="0" w:color="auto"/>
            </w:tcBorders>
            <w:shd w:val="clear" w:color="000000" w:fill="FDE9D9"/>
            <w:hideMark/>
          </w:tcPr>
          <w:p w14:paraId="04B31966"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FDE9D9"/>
            <w:vAlign w:val="center"/>
            <w:hideMark/>
          </w:tcPr>
          <w:p w14:paraId="65E20EC2" w14:textId="2A1A7046"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MA</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MPV/NJVV/ASCAP/AKAP/ZVA/DRAP/NJPV</w:t>
            </w:r>
          </w:p>
        </w:tc>
        <w:tc>
          <w:tcPr>
            <w:tcW w:w="792" w:type="pct"/>
            <w:tcBorders>
              <w:top w:val="nil"/>
              <w:left w:val="nil"/>
              <w:bottom w:val="single" w:sz="4" w:space="0" w:color="auto"/>
              <w:right w:val="single" w:sz="8" w:space="0" w:color="auto"/>
            </w:tcBorders>
            <w:shd w:val="clear" w:color="000000" w:fill="FDE9D9"/>
            <w:vAlign w:val="center"/>
            <w:hideMark/>
          </w:tcPr>
          <w:p w14:paraId="2C5D04DD" w14:textId="27D9EFEF"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NJVV</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DRAP</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ZVAP</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DRSHKSH</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INSTITUCIONE ARSIMORE/BASHKI/AKAP/DRAP/ZVA</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ASCAP</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MSHMS</w:t>
            </w:r>
          </w:p>
        </w:tc>
        <w:tc>
          <w:tcPr>
            <w:tcW w:w="188" w:type="pct"/>
            <w:tcBorders>
              <w:top w:val="nil"/>
              <w:left w:val="nil"/>
              <w:bottom w:val="single" w:sz="4" w:space="0" w:color="auto"/>
              <w:right w:val="single" w:sz="4" w:space="0" w:color="auto"/>
            </w:tcBorders>
            <w:shd w:val="clear" w:color="000000" w:fill="FDE9D9"/>
            <w:vAlign w:val="center"/>
            <w:hideMark/>
          </w:tcPr>
          <w:p w14:paraId="07906AB4" w14:textId="3C25EE8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60,325</w:t>
            </w:r>
          </w:p>
        </w:tc>
        <w:tc>
          <w:tcPr>
            <w:tcW w:w="190" w:type="pct"/>
            <w:tcBorders>
              <w:top w:val="nil"/>
              <w:left w:val="nil"/>
              <w:bottom w:val="single" w:sz="4" w:space="0" w:color="auto"/>
              <w:right w:val="single" w:sz="4" w:space="0" w:color="auto"/>
            </w:tcBorders>
            <w:shd w:val="clear" w:color="000000" w:fill="FDE9D9"/>
            <w:vAlign w:val="center"/>
            <w:hideMark/>
          </w:tcPr>
          <w:p w14:paraId="4A5A3BC1" w14:textId="1406020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91,518</w:t>
            </w:r>
          </w:p>
        </w:tc>
        <w:tc>
          <w:tcPr>
            <w:tcW w:w="190" w:type="pct"/>
            <w:tcBorders>
              <w:top w:val="nil"/>
              <w:left w:val="nil"/>
              <w:bottom w:val="single" w:sz="4" w:space="0" w:color="auto"/>
              <w:right w:val="single" w:sz="4" w:space="0" w:color="auto"/>
            </w:tcBorders>
            <w:shd w:val="clear" w:color="000000" w:fill="FDE9D9"/>
            <w:vAlign w:val="center"/>
            <w:hideMark/>
          </w:tcPr>
          <w:p w14:paraId="02B33615" w14:textId="03A3073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90,150</w:t>
            </w:r>
          </w:p>
        </w:tc>
        <w:tc>
          <w:tcPr>
            <w:tcW w:w="190" w:type="pct"/>
            <w:tcBorders>
              <w:top w:val="nil"/>
              <w:left w:val="nil"/>
              <w:bottom w:val="single" w:sz="4" w:space="0" w:color="auto"/>
              <w:right w:val="single" w:sz="4" w:space="0" w:color="auto"/>
            </w:tcBorders>
            <w:shd w:val="clear" w:color="000000" w:fill="FDE9D9"/>
            <w:vAlign w:val="center"/>
            <w:hideMark/>
          </w:tcPr>
          <w:p w14:paraId="302E6460" w14:textId="60265A2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90,150</w:t>
            </w:r>
          </w:p>
        </w:tc>
        <w:tc>
          <w:tcPr>
            <w:tcW w:w="187" w:type="pct"/>
            <w:tcBorders>
              <w:top w:val="nil"/>
              <w:left w:val="nil"/>
              <w:bottom w:val="single" w:sz="4" w:space="0" w:color="auto"/>
              <w:right w:val="single" w:sz="4" w:space="0" w:color="auto"/>
            </w:tcBorders>
            <w:shd w:val="clear" w:color="000000" w:fill="FDE9D9"/>
            <w:vAlign w:val="center"/>
            <w:hideMark/>
          </w:tcPr>
          <w:p w14:paraId="7ECD78D0" w14:textId="4ADE6CD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90,150</w:t>
            </w:r>
          </w:p>
        </w:tc>
        <w:tc>
          <w:tcPr>
            <w:tcW w:w="200" w:type="pct"/>
            <w:tcBorders>
              <w:top w:val="nil"/>
              <w:left w:val="nil"/>
              <w:bottom w:val="single" w:sz="4" w:space="0" w:color="auto"/>
              <w:right w:val="nil"/>
            </w:tcBorders>
            <w:shd w:val="clear" w:color="000000" w:fill="FDE9D9"/>
            <w:vAlign w:val="center"/>
            <w:hideMark/>
          </w:tcPr>
          <w:p w14:paraId="2BA0AE69" w14:textId="1506004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422,293</w:t>
            </w:r>
          </w:p>
        </w:tc>
        <w:tc>
          <w:tcPr>
            <w:tcW w:w="209" w:type="pct"/>
            <w:tcBorders>
              <w:top w:val="nil"/>
              <w:left w:val="single" w:sz="8" w:space="0" w:color="auto"/>
              <w:bottom w:val="single" w:sz="4" w:space="0" w:color="auto"/>
              <w:right w:val="single" w:sz="4" w:space="0" w:color="auto"/>
            </w:tcBorders>
            <w:shd w:val="clear" w:color="000000" w:fill="FDE9D9"/>
            <w:vAlign w:val="center"/>
            <w:hideMark/>
          </w:tcPr>
          <w:p w14:paraId="4E4FCCE2" w14:textId="6F1FA72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345,943</w:t>
            </w:r>
          </w:p>
        </w:tc>
        <w:tc>
          <w:tcPr>
            <w:tcW w:w="209" w:type="pct"/>
            <w:tcBorders>
              <w:top w:val="nil"/>
              <w:left w:val="nil"/>
              <w:bottom w:val="single" w:sz="4" w:space="0" w:color="auto"/>
              <w:right w:val="single" w:sz="4" w:space="0" w:color="auto"/>
            </w:tcBorders>
            <w:shd w:val="clear" w:color="000000" w:fill="FDE9D9"/>
            <w:vAlign w:val="center"/>
            <w:hideMark/>
          </w:tcPr>
          <w:p w14:paraId="6673D2AA" w14:textId="00C4B41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175</w:t>
            </w:r>
          </w:p>
        </w:tc>
        <w:tc>
          <w:tcPr>
            <w:tcW w:w="195" w:type="pct"/>
            <w:tcBorders>
              <w:top w:val="nil"/>
              <w:left w:val="nil"/>
              <w:bottom w:val="single" w:sz="4" w:space="0" w:color="auto"/>
              <w:right w:val="single" w:sz="8" w:space="0" w:color="auto"/>
            </w:tcBorders>
            <w:shd w:val="clear" w:color="000000" w:fill="FDE9D9"/>
            <w:vAlign w:val="center"/>
            <w:hideMark/>
          </w:tcPr>
          <w:p w14:paraId="0465B86D" w14:textId="0A3BABF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76,175</w:t>
            </w:r>
          </w:p>
        </w:tc>
        <w:tc>
          <w:tcPr>
            <w:tcW w:w="202" w:type="pct"/>
            <w:tcBorders>
              <w:top w:val="nil"/>
              <w:left w:val="nil"/>
              <w:bottom w:val="single" w:sz="4" w:space="0" w:color="auto"/>
              <w:right w:val="single" w:sz="4" w:space="0" w:color="auto"/>
            </w:tcBorders>
            <w:shd w:val="clear" w:color="000000" w:fill="FDE9D9"/>
            <w:vAlign w:val="center"/>
            <w:hideMark/>
          </w:tcPr>
          <w:p w14:paraId="4D60D9F4" w14:textId="709FC2C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4,398,885</w:t>
            </w:r>
          </w:p>
        </w:tc>
        <w:tc>
          <w:tcPr>
            <w:tcW w:w="200" w:type="pct"/>
            <w:tcBorders>
              <w:top w:val="nil"/>
              <w:left w:val="nil"/>
              <w:bottom w:val="single" w:sz="4" w:space="0" w:color="auto"/>
              <w:right w:val="single" w:sz="4" w:space="0" w:color="auto"/>
            </w:tcBorders>
            <w:shd w:val="clear" w:color="000000" w:fill="FDE9D9"/>
            <w:vAlign w:val="center"/>
            <w:hideMark/>
          </w:tcPr>
          <w:p w14:paraId="179653DD" w14:textId="66C06D5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3,603,573</w:t>
            </w:r>
          </w:p>
        </w:tc>
        <w:tc>
          <w:tcPr>
            <w:tcW w:w="197" w:type="pct"/>
            <w:tcBorders>
              <w:top w:val="nil"/>
              <w:left w:val="nil"/>
              <w:bottom w:val="single" w:sz="4" w:space="0" w:color="auto"/>
              <w:right w:val="single" w:sz="4" w:space="0" w:color="auto"/>
            </w:tcBorders>
            <w:shd w:val="clear" w:color="000000" w:fill="FDE9D9"/>
            <w:vAlign w:val="center"/>
            <w:hideMark/>
          </w:tcPr>
          <w:p w14:paraId="7D1C002D" w14:textId="36FFFAA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1,823</w:t>
            </w:r>
          </w:p>
        </w:tc>
        <w:tc>
          <w:tcPr>
            <w:tcW w:w="342" w:type="pct"/>
            <w:tcBorders>
              <w:top w:val="nil"/>
              <w:left w:val="nil"/>
              <w:bottom w:val="single" w:sz="4" w:space="0" w:color="auto"/>
              <w:right w:val="single" w:sz="8" w:space="0" w:color="auto"/>
            </w:tcBorders>
            <w:shd w:val="clear" w:color="000000" w:fill="FDE9D9"/>
            <w:vAlign w:val="center"/>
            <w:hideMark/>
          </w:tcPr>
          <w:p w14:paraId="363FB5B6" w14:textId="240691A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793,490</w:t>
            </w:r>
          </w:p>
        </w:tc>
      </w:tr>
      <w:tr w:rsidR="00387E5A" w:rsidRPr="00024D5A" w14:paraId="7C0E95FB"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1550535B" w14:textId="0CC69A76"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Masa </w:t>
            </w:r>
            <w:r w:rsidR="007053C8" w:rsidRPr="00024D5A">
              <w:rPr>
                <w:rFonts w:ascii="Garamond" w:eastAsia="Times New Roman" w:hAnsi="Garamond" w:cs="Calibri"/>
                <w:b/>
                <w:bCs/>
                <w:sz w:val="6"/>
                <w:szCs w:val="6"/>
                <w:lang w:eastAsia="en-US"/>
              </w:rPr>
              <w:t xml:space="preserve">prioritare </w:t>
            </w:r>
            <w:r w:rsidRPr="00024D5A">
              <w:rPr>
                <w:rFonts w:ascii="Garamond" w:eastAsia="Times New Roman" w:hAnsi="Garamond" w:cs="Calibri"/>
                <w:b/>
                <w:bCs/>
                <w:sz w:val="6"/>
                <w:szCs w:val="6"/>
                <w:lang w:eastAsia="en-US"/>
              </w:rPr>
              <w:t>1.1</w:t>
            </w:r>
            <w:r w:rsidR="00AC5DA9">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Përmirësimi i kuadrit të politikave dhe qeverisjes për të garantuar akses të barabartë në edukimin e hershëm për fëmijët me aftësi të kufizuara</w:t>
            </w:r>
            <w:r w:rsidR="007053C8" w:rsidRPr="00024D5A">
              <w:rPr>
                <w:rFonts w:ascii="Garamond" w:eastAsia="Times New Roman" w:hAnsi="Garamond" w:cs="Calibri"/>
                <w:b/>
                <w:bCs/>
                <w:sz w:val="6"/>
                <w:szCs w:val="6"/>
                <w:lang w:eastAsia="en-US"/>
              </w:rPr>
              <w:t>.</w:t>
            </w:r>
          </w:p>
        </w:tc>
        <w:tc>
          <w:tcPr>
            <w:tcW w:w="244" w:type="pct"/>
            <w:tcBorders>
              <w:top w:val="nil"/>
              <w:left w:val="single" w:sz="8" w:space="0" w:color="auto"/>
              <w:bottom w:val="single" w:sz="4" w:space="0" w:color="auto"/>
              <w:right w:val="single" w:sz="4" w:space="0" w:color="auto"/>
            </w:tcBorders>
            <w:shd w:val="clear" w:color="000000" w:fill="DCE6F1"/>
            <w:hideMark/>
          </w:tcPr>
          <w:p w14:paraId="459A8E51"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2026</w:t>
            </w:r>
          </w:p>
        </w:tc>
        <w:tc>
          <w:tcPr>
            <w:tcW w:w="226" w:type="pct"/>
            <w:tcBorders>
              <w:top w:val="nil"/>
              <w:left w:val="nil"/>
              <w:bottom w:val="single" w:sz="4" w:space="0" w:color="auto"/>
              <w:right w:val="single" w:sz="4" w:space="0" w:color="auto"/>
            </w:tcBorders>
            <w:shd w:val="clear" w:color="000000" w:fill="DCE6F1"/>
            <w:hideMark/>
          </w:tcPr>
          <w:p w14:paraId="5552A579"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2027</w:t>
            </w:r>
          </w:p>
        </w:tc>
        <w:tc>
          <w:tcPr>
            <w:tcW w:w="664" w:type="pct"/>
            <w:tcBorders>
              <w:top w:val="nil"/>
              <w:left w:val="nil"/>
              <w:bottom w:val="single" w:sz="4" w:space="0" w:color="auto"/>
              <w:right w:val="single" w:sz="4" w:space="0" w:color="auto"/>
            </w:tcBorders>
            <w:shd w:val="clear" w:color="000000" w:fill="DCE6F1"/>
            <w:vAlign w:val="center"/>
            <w:hideMark/>
          </w:tcPr>
          <w:p w14:paraId="5EA2E9F2" w14:textId="2B0DFA33"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MA, MPV, NJVV</w:t>
            </w:r>
          </w:p>
        </w:tc>
        <w:tc>
          <w:tcPr>
            <w:tcW w:w="792" w:type="pct"/>
            <w:tcBorders>
              <w:top w:val="nil"/>
              <w:left w:val="nil"/>
              <w:bottom w:val="single" w:sz="4" w:space="0" w:color="auto"/>
              <w:right w:val="single" w:sz="8" w:space="0" w:color="auto"/>
            </w:tcBorders>
            <w:shd w:val="clear" w:color="000000" w:fill="DCE6F1"/>
            <w:vAlign w:val="center"/>
            <w:hideMark/>
          </w:tcPr>
          <w:p w14:paraId="2AF5E4B2" w14:textId="5244442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NJVV, DRAP, ZVAP, DRSHKSH, MSHMS,</w:t>
            </w:r>
          </w:p>
        </w:tc>
        <w:tc>
          <w:tcPr>
            <w:tcW w:w="188" w:type="pct"/>
            <w:tcBorders>
              <w:top w:val="nil"/>
              <w:left w:val="nil"/>
              <w:bottom w:val="single" w:sz="4" w:space="0" w:color="auto"/>
              <w:right w:val="single" w:sz="4" w:space="0" w:color="auto"/>
            </w:tcBorders>
            <w:shd w:val="clear" w:color="000000" w:fill="DCE6F1"/>
            <w:vAlign w:val="center"/>
            <w:hideMark/>
          </w:tcPr>
          <w:p w14:paraId="36535D34" w14:textId="7219A07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175</w:t>
            </w:r>
          </w:p>
        </w:tc>
        <w:tc>
          <w:tcPr>
            <w:tcW w:w="190" w:type="pct"/>
            <w:tcBorders>
              <w:top w:val="nil"/>
              <w:left w:val="nil"/>
              <w:bottom w:val="single" w:sz="4" w:space="0" w:color="auto"/>
              <w:right w:val="single" w:sz="4" w:space="0" w:color="auto"/>
            </w:tcBorders>
            <w:shd w:val="clear" w:color="000000" w:fill="DCE6F1"/>
            <w:vAlign w:val="center"/>
            <w:hideMark/>
          </w:tcPr>
          <w:p w14:paraId="372B53E1" w14:textId="18C69C5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868</w:t>
            </w:r>
          </w:p>
        </w:tc>
        <w:tc>
          <w:tcPr>
            <w:tcW w:w="190" w:type="pct"/>
            <w:tcBorders>
              <w:top w:val="nil"/>
              <w:left w:val="nil"/>
              <w:bottom w:val="single" w:sz="4" w:space="0" w:color="auto"/>
              <w:right w:val="single" w:sz="4" w:space="0" w:color="auto"/>
            </w:tcBorders>
            <w:shd w:val="clear" w:color="000000" w:fill="DCE6F1"/>
            <w:vAlign w:val="center"/>
            <w:hideMark/>
          </w:tcPr>
          <w:p w14:paraId="143DBD3A" w14:textId="6EB1522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0" w:type="pct"/>
            <w:tcBorders>
              <w:top w:val="nil"/>
              <w:left w:val="nil"/>
              <w:bottom w:val="single" w:sz="4" w:space="0" w:color="auto"/>
              <w:right w:val="single" w:sz="4" w:space="0" w:color="auto"/>
            </w:tcBorders>
            <w:shd w:val="clear" w:color="000000" w:fill="DCE6F1"/>
            <w:vAlign w:val="center"/>
            <w:hideMark/>
          </w:tcPr>
          <w:p w14:paraId="1F910F6C" w14:textId="24F9260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87" w:type="pct"/>
            <w:tcBorders>
              <w:top w:val="nil"/>
              <w:left w:val="nil"/>
              <w:bottom w:val="single" w:sz="4" w:space="0" w:color="auto"/>
              <w:right w:val="single" w:sz="4" w:space="0" w:color="auto"/>
            </w:tcBorders>
            <w:shd w:val="clear" w:color="000000" w:fill="DCE6F1"/>
            <w:vAlign w:val="center"/>
            <w:hideMark/>
          </w:tcPr>
          <w:p w14:paraId="1B09624D" w14:textId="3EB1635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200" w:type="pct"/>
            <w:tcBorders>
              <w:top w:val="nil"/>
              <w:left w:val="nil"/>
              <w:bottom w:val="single" w:sz="4" w:space="0" w:color="auto"/>
              <w:right w:val="single" w:sz="4" w:space="0" w:color="auto"/>
            </w:tcBorders>
            <w:shd w:val="clear" w:color="000000" w:fill="DCE6F1"/>
            <w:vAlign w:val="center"/>
            <w:hideMark/>
          </w:tcPr>
          <w:p w14:paraId="520CE310" w14:textId="4311655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1,043</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536FB467" w14:textId="4A5C2D5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693</w:t>
            </w:r>
          </w:p>
        </w:tc>
        <w:tc>
          <w:tcPr>
            <w:tcW w:w="209" w:type="pct"/>
            <w:tcBorders>
              <w:top w:val="nil"/>
              <w:left w:val="nil"/>
              <w:bottom w:val="single" w:sz="4" w:space="0" w:color="auto"/>
              <w:right w:val="single" w:sz="4" w:space="0" w:color="auto"/>
            </w:tcBorders>
            <w:shd w:val="clear" w:color="000000" w:fill="DCE6F1"/>
            <w:vAlign w:val="center"/>
            <w:hideMark/>
          </w:tcPr>
          <w:p w14:paraId="7F68BA37" w14:textId="7DCA6A7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175</w:t>
            </w:r>
          </w:p>
        </w:tc>
        <w:tc>
          <w:tcPr>
            <w:tcW w:w="195" w:type="pct"/>
            <w:tcBorders>
              <w:top w:val="nil"/>
              <w:left w:val="nil"/>
              <w:bottom w:val="single" w:sz="4" w:space="0" w:color="auto"/>
              <w:right w:val="single" w:sz="8" w:space="0" w:color="auto"/>
            </w:tcBorders>
            <w:shd w:val="clear" w:color="000000" w:fill="DCE6F1"/>
            <w:vAlign w:val="center"/>
            <w:hideMark/>
          </w:tcPr>
          <w:p w14:paraId="6FBCD846" w14:textId="5E782C6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175</w:t>
            </w:r>
          </w:p>
        </w:tc>
        <w:tc>
          <w:tcPr>
            <w:tcW w:w="202" w:type="pct"/>
            <w:tcBorders>
              <w:top w:val="nil"/>
              <w:left w:val="nil"/>
              <w:bottom w:val="single" w:sz="4" w:space="0" w:color="auto"/>
              <w:right w:val="single" w:sz="4" w:space="0" w:color="auto"/>
            </w:tcBorders>
            <w:shd w:val="clear" w:color="000000" w:fill="DCE6F1"/>
            <w:vAlign w:val="center"/>
            <w:hideMark/>
          </w:tcPr>
          <w:p w14:paraId="3AC1DEDB" w14:textId="58D7398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10,865</w:t>
            </w:r>
          </w:p>
        </w:tc>
        <w:tc>
          <w:tcPr>
            <w:tcW w:w="200" w:type="pct"/>
            <w:tcBorders>
              <w:top w:val="nil"/>
              <w:left w:val="nil"/>
              <w:bottom w:val="single" w:sz="4" w:space="0" w:color="auto"/>
              <w:right w:val="single" w:sz="4" w:space="0" w:color="auto"/>
            </w:tcBorders>
            <w:shd w:val="clear" w:color="000000" w:fill="DCE6F1"/>
            <w:vAlign w:val="center"/>
            <w:hideMark/>
          </w:tcPr>
          <w:p w14:paraId="3A8F40EA" w14:textId="281753E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7,219</w:t>
            </w:r>
          </w:p>
        </w:tc>
        <w:tc>
          <w:tcPr>
            <w:tcW w:w="197" w:type="pct"/>
            <w:tcBorders>
              <w:top w:val="nil"/>
              <w:left w:val="nil"/>
              <w:bottom w:val="single" w:sz="4" w:space="0" w:color="auto"/>
              <w:right w:val="single" w:sz="4" w:space="0" w:color="auto"/>
            </w:tcBorders>
            <w:shd w:val="clear" w:color="000000" w:fill="DCE6F1"/>
            <w:vAlign w:val="center"/>
            <w:hideMark/>
          </w:tcPr>
          <w:p w14:paraId="24BA242E" w14:textId="3AA3041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1,823</w:t>
            </w:r>
          </w:p>
        </w:tc>
        <w:tc>
          <w:tcPr>
            <w:tcW w:w="342" w:type="pct"/>
            <w:tcBorders>
              <w:top w:val="nil"/>
              <w:left w:val="nil"/>
              <w:bottom w:val="single" w:sz="4" w:space="0" w:color="auto"/>
              <w:right w:val="single" w:sz="8" w:space="0" w:color="auto"/>
            </w:tcBorders>
            <w:shd w:val="clear" w:color="000000" w:fill="DCE6F1"/>
            <w:vAlign w:val="center"/>
            <w:hideMark/>
          </w:tcPr>
          <w:p w14:paraId="140AC404" w14:textId="29513E1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1,823</w:t>
            </w:r>
          </w:p>
        </w:tc>
      </w:tr>
      <w:tr w:rsidR="00387E5A" w:rsidRPr="00024D5A" w14:paraId="4485B023"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569CB7CB" w14:textId="11218F77"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Masa Prioritare 1.2</w:t>
            </w:r>
            <w:r w:rsidR="00AC5DA9">
              <w:rPr>
                <w:rFonts w:ascii="Garamond" w:eastAsia="Times New Roman" w:hAnsi="Garamond" w:cs="Calibri"/>
                <w:b/>
                <w:bCs/>
                <w:sz w:val="6"/>
                <w:szCs w:val="6"/>
                <w:lang w:eastAsia="en-US"/>
              </w:rPr>
              <w:t xml:space="preserve">: </w:t>
            </w:r>
            <w:r w:rsidRPr="00024D5A">
              <w:rPr>
                <w:rFonts w:ascii="Garamond" w:eastAsia="Times New Roman" w:hAnsi="Garamond" w:cs="Calibri"/>
                <w:b/>
                <w:bCs/>
                <w:sz w:val="6"/>
                <w:szCs w:val="6"/>
                <w:lang w:eastAsia="en-US"/>
              </w:rPr>
              <w:t>Krijimi i infrastrukturës dhe mjediseve të aksesueshme, të sigurta, miqësore dhe gjithëpërfshirëse për fëmijët me aftësi të kufizuara në kopshte dhe arsim parashkollor.</w:t>
            </w:r>
          </w:p>
        </w:tc>
        <w:tc>
          <w:tcPr>
            <w:tcW w:w="244" w:type="pct"/>
            <w:tcBorders>
              <w:top w:val="nil"/>
              <w:left w:val="single" w:sz="8" w:space="0" w:color="auto"/>
              <w:bottom w:val="single" w:sz="4" w:space="0" w:color="auto"/>
              <w:right w:val="single" w:sz="4" w:space="0" w:color="auto"/>
            </w:tcBorders>
            <w:shd w:val="clear" w:color="000000" w:fill="DCE6F1"/>
            <w:hideMark/>
          </w:tcPr>
          <w:p w14:paraId="5543B917"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2026</w:t>
            </w:r>
          </w:p>
        </w:tc>
        <w:tc>
          <w:tcPr>
            <w:tcW w:w="226" w:type="pct"/>
            <w:tcBorders>
              <w:top w:val="nil"/>
              <w:left w:val="nil"/>
              <w:bottom w:val="single" w:sz="4" w:space="0" w:color="auto"/>
              <w:right w:val="single" w:sz="4" w:space="0" w:color="auto"/>
            </w:tcBorders>
            <w:shd w:val="clear" w:color="000000" w:fill="DCE6F1"/>
            <w:hideMark/>
          </w:tcPr>
          <w:p w14:paraId="22209919"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579E2394" w14:textId="4D163881"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MA</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MSHPV</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AKAP/DRAP/ZVAP/NJVV</w:t>
            </w:r>
          </w:p>
        </w:tc>
        <w:tc>
          <w:tcPr>
            <w:tcW w:w="792" w:type="pct"/>
            <w:tcBorders>
              <w:top w:val="nil"/>
              <w:left w:val="nil"/>
              <w:bottom w:val="single" w:sz="4" w:space="0" w:color="auto"/>
              <w:right w:val="single" w:sz="8" w:space="0" w:color="auto"/>
            </w:tcBorders>
            <w:shd w:val="clear" w:color="000000" w:fill="DCE6F1"/>
            <w:vAlign w:val="center"/>
            <w:hideMark/>
          </w:tcPr>
          <w:p w14:paraId="68C7DA40"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NJVV/INSTITUCIONE ARSIMORE/KOPSHTE/BASHKI</w:t>
            </w:r>
          </w:p>
        </w:tc>
        <w:tc>
          <w:tcPr>
            <w:tcW w:w="188" w:type="pct"/>
            <w:tcBorders>
              <w:top w:val="nil"/>
              <w:left w:val="nil"/>
              <w:bottom w:val="single" w:sz="4" w:space="0" w:color="auto"/>
              <w:right w:val="single" w:sz="4" w:space="0" w:color="auto"/>
            </w:tcBorders>
            <w:shd w:val="clear" w:color="000000" w:fill="DCE6F1"/>
            <w:vAlign w:val="center"/>
            <w:hideMark/>
          </w:tcPr>
          <w:p w14:paraId="560CC242" w14:textId="2776592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59,400</w:t>
            </w:r>
          </w:p>
        </w:tc>
        <w:tc>
          <w:tcPr>
            <w:tcW w:w="190" w:type="pct"/>
            <w:tcBorders>
              <w:top w:val="nil"/>
              <w:left w:val="nil"/>
              <w:bottom w:val="single" w:sz="4" w:space="0" w:color="auto"/>
              <w:right w:val="single" w:sz="4" w:space="0" w:color="auto"/>
            </w:tcBorders>
            <w:shd w:val="clear" w:color="000000" w:fill="DCE6F1"/>
            <w:vAlign w:val="center"/>
            <w:hideMark/>
          </w:tcPr>
          <w:p w14:paraId="4285453A" w14:textId="0B6BBF8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59,400</w:t>
            </w:r>
          </w:p>
        </w:tc>
        <w:tc>
          <w:tcPr>
            <w:tcW w:w="190" w:type="pct"/>
            <w:tcBorders>
              <w:top w:val="nil"/>
              <w:left w:val="nil"/>
              <w:bottom w:val="single" w:sz="4" w:space="0" w:color="auto"/>
              <w:right w:val="single" w:sz="4" w:space="0" w:color="auto"/>
            </w:tcBorders>
            <w:shd w:val="clear" w:color="000000" w:fill="DCE6F1"/>
            <w:vAlign w:val="center"/>
            <w:hideMark/>
          </w:tcPr>
          <w:p w14:paraId="0DBDA774" w14:textId="5A05122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59,400</w:t>
            </w:r>
          </w:p>
        </w:tc>
        <w:tc>
          <w:tcPr>
            <w:tcW w:w="190" w:type="pct"/>
            <w:tcBorders>
              <w:top w:val="nil"/>
              <w:left w:val="nil"/>
              <w:bottom w:val="single" w:sz="4" w:space="0" w:color="auto"/>
              <w:right w:val="single" w:sz="4" w:space="0" w:color="auto"/>
            </w:tcBorders>
            <w:shd w:val="clear" w:color="000000" w:fill="DCE6F1"/>
            <w:vAlign w:val="center"/>
            <w:hideMark/>
          </w:tcPr>
          <w:p w14:paraId="3FCDB767" w14:textId="0FD3FE0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59,400</w:t>
            </w:r>
          </w:p>
        </w:tc>
        <w:tc>
          <w:tcPr>
            <w:tcW w:w="187" w:type="pct"/>
            <w:tcBorders>
              <w:top w:val="nil"/>
              <w:left w:val="nil"/>
              <w:bottom w:val="single" w:sz="4" w:space="0" w:color="auto"/>
              <w:right w:val="single" w:sz="4" w:space="0" w:color="auto"/>
            </w:tcBorders>
            <w:shd w:val="clear" w:color="000000" w:fill="DCE6F1"/>
            <w:vAlign w:val="center"/>
            <w:hideMark/>
          </w:tcPr>
          <w:p w14:paraId="5201AEFA" w14:textId="1B5458D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59,400</w:t>
            </w:r>
          </w:p>
        </w:tc>
        <w:tc>
          <w:tcPr>
            <w:tcW w:w="200" w:type="pct"/>
            <w:tcBorders>
              <w:top w:val="nil"/>
              <w:left w:val="nil"/>
              <w:bottom w:val="single" w:sz="4" w:space="0" w:color="auto"/>
              <w:right w:val="nil"/>
            </w:tcBorders>
            <w:shd w:val="clear" w:color="000000" w:fill="DCE6F1"/>
            <w:vAlign w:val="center"/>
            <w:hideMark/>
          </w:tcPr>
          <w:p w14:paraId="25A28E61" w14:textId="6E27411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297,000</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683CE5BE" w14:textId="3F790B5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221,000</w:t>
            </w:r>
          </w:p>
        </w:tc>
        <w:tc>
          <w:tcPr>
            <w:tcW w:w="209" w:type="pct"/>
            <w:tcBorders>
              <w:top w:val="nil"/>
              <w:left w:val="nil"/>
              <w:bottom w:val="single" w:sz="4" w:space="0" w:color="auto"/>
              <w:right w:val="single" w:sz="4" w:space="0" w:color="auto"/>
            </w:tcBorders>
            <w:shd w:val="clear" w:color="000000" w:fill="DCE6F1"/>
            <w:vAlign w:val="center"/>
            <w:hideMark/>
          </w:tcPr>
          <w:p w14:paraId="0346A74F" w14:textId="2978B32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5" w:type="pct"/>
            <w:tcBorders>
              <w:top w:val="nil"/>
              <w:left w:val="nil"/>
              <w:bottom w:val="single" w:sz="4" w:space="0" w:color="auto"/>
              <w:right w:val="single" w:sz="8" w:space="0" w:color="auto"/>
            </w:tcBorders>
            <w:shd w:val="clear" w:color="000000" w:fill="DCE6F1"/>
            <w:vAlign w:val="center"/>
            <w:hideMark/>
          </w:tcPr>
          <w:p w14:paraId="488D29C9" w14:textId="6EA864F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76,000</w:t>
            </w:r>
          </w:p>
        </w:tc>
        <w:tc>
          <w:tcPr>
            <w:tcW w:w="202" w:type="pct"/>
            <w:tcBorders>
              <w:top w:val="nil"/>
              <w:left w:val="nil"/>
              <w:bottom w:val="single" w:sz="4" w:space="0" w:color="auto"/>
              <w:right w:val="single" w:sz="4" w:space="0" w:color="auto"/>
            </w:tcBorders>
            <w:shd w:val="clear" w:color="000000" w:fill="DCE6F1"/>
            <w:vAlign w:val="center"/>
            <w:hideMark/>
          </w:tcPr>
          <w:p w14:paraId="6A88E4AD" w14:textId="5346CD2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3,093,750</w:t>
            </w:r>
          </w:p>
        </w:tc>
        <w:tc>
          <w:tcPr>
            <w:tcW w:w="200" w:type="pct"/>
            <w:tcBorders>
              <w:top w:val="nil"/>
              <w:left w:val="nil"/>
              <w:bottom w:val="single" w:sz="4" w:space="0" w:color="auto"/>
              <w:right w:val="single" w:sz="4" w:space="0" w:color="auto"/>
            </w:tcBorders>
            <w:shd w:val="clear" w:color="000000" w:fill="DCE6F1"/>
            <w:vAlign w:val="center"/>
            <w:hideMark/>
          </w:tcPr>
          <w:p w14:paraId="20B9BDD5" w14:textId="3CEC927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2,302,083</w:t>
            </w:r>
          </w:p>
        </w:tc>
        <w:tc>
          <w:tcPr>
            <w:tcW w:w="197" w:type="pct"/>
            <w:tcBorders>
              <w:top w:val="nil"/>
              <w:left w:val="nil"/>
              <w:bottom w:val="single" w:sz="4" w:space="0" w:color="auto"/>
              <w:right w:val="single" w:sz="4" w:space="0" w:color="auto"/>
            </w:tcBorders>
            <w:shd w:val="clear" w:color="000000" w:fill="DCE6F1"/>
            <w:vAlign w:val="center"/>
            <w:hideMark/>
          </w:tcPr>
          <w:p w14:paraId="10B446F5" w14:textId="77A4F26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single" w:sz="8" w:space="0" w:color="auto"/>
            </w:tcBorders>
            <w:shd w:val="clear" w:color="000000" w:fill="DCE6F1"/>
            <w:vAlign w:val="center"/>
            <w:hideMark/>
          </w:tcPr>
          <w:p w14:paraId="6F12EFC8" w14:textId="6440FA2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791,667</w:t>
            </w:r>
          </w:p>
        </w:tc>
      </w:tr>
      <w:tr w:rsidR="00387E5A" w:rsidRPr="00024D5A" w14:paraId="78534BA4"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57C2F885" w14:textId="72D22CED"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Masa prioritare 1.3</w:t>
            </w:r>
            <w:r w:rsidR="00AC5DA9">
              <w:rPr>
                <w:rFonts w:ascii="Garamond" w:eastAsia="Times New Roman" w:hAnsi="Garamond" w:cs="Calibri"/>
                <w:b/>
                <w:bCs/>
                <w:sz w:val="6"/>
                <w:szCs w:val="6"/>
                <w:lang w:eastAsia="en-US"/>
              </w:rPr>
              <w:t xml:space="preserve">: </w:t>
            </w:r>
            <w:r w:rsidRPr="00024D5A">
              <w:rPr>
                <w:rFonts w:ascii="Garamond" w:eastAsia="Times New Roman" w:hAnsi="Garamond" w:cs="Calibri"/>
                <w:b/>
                <w:bCs/>
                <w:sz w:val="6"/>
                <w:szCs w:val="6"/>
                <w:lang w:eastAsia="en-US"/>
              </w:rPr>
              <w:t>Shërbime mbështetëse multidisiplinare</w:t>
            </w:r>
            <w:r w:rsidR="008F29FA" w:rsidRPr="00024D5A">
              <w:rPr>
                <w:rFonts w:ascii="Garamond" w:eastAsia="Times New Roman" w:hAnsi="Garamond" w:cs="Calibri"/>
                <w:b/>
                <w:bCs/>
                <w:sz w:val="6"/>
                <w:szCs w:val="6"/>
                <w:lang w:eastAsia="en-US"/>
              </w:rPr>
              <w:t xml:space="preserve"> </w:t>
            </w:r>
            <w:r w:rsidRPr="00024D5A">
              <w:rPr>
                <w:rFonts w:ascii="Garamond" w:eastAsia="Times New Roman" w:hAnsi="Garamond" w:cs="Calibri"/>
                <w:b/>
                <w:bCs/>
                <w:sz w:val="6"/>
                <w:szCs w:val="6"/>
                <w:lang w:eastAsia="en-US"/>
              </w:rPr>
              <w:t>dhe edukim i hershëm i individualizuar.</w:t>
            </w:r>
          </w:p>
        </w:tc>
        <w:tc>
          <w:tcPr>
            <w:tcW w:w="244" w:type="pct"/>
            <w:tcBorders>
              <w:top w:val="nil"/>
              <w:left w:val="single" w:sz="8" w:space="0" w:color="auto"/>
              <w:bottom w:val="single" w:sz="4" w:space="0" w:color="auto"/>
              <w:right w:val="single" w:sz="4" w:space="0" w:color="auto"/>
            </w:tcBorders>
            <w:shd w:val="clear" w:color="000000" w:fill="DCE6F1"/>
            <w:hideMark/>
          </w:tcPr>
          <w:p w14:paraId="6DC4DCEE"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2026</w:t>
            </w:r>
          </w:p>
        </w:tc>
        <w:tc>
          <w:tcPr>
            <w:tcW w:w="226" w:type="pct"/>
            <w:tcBorders>
              <w:top w:val="nil"/>
              <w:left w:val="nil"/>
              <w:bottom w:val="single" w:sz="4" w:space="0" w:color="auto"/>
              <w:right w:val="single" w:sz="4" w:space="0" w:color="auto"/>
            </w:tcBorders>
            <w:shd w:val="clear" w:color="000000" w:fill="DCE6F1"/>
            <w:hideMark/>
          </w:tcPr>
          <w:p w14:paraId="345C95C4"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5EEA4B0E"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MA/MSHPV/AKAP/DRAP/ZVAP/MPV/NJPV</w:t>
            </w:r>
          </w:p>
        </w:tc>
        <w:tc>
          <w:tcPr>
            <w:tcW w:w="792" w:type="pct"/>
            <w:tcBorders>
              <w:top w:val="nil"/>
              <w:left w:val="nil"/>
              <w:bottom w:val="single" w:sz="4" w:space="0" w:color="auto"/>
              <w:right w:val="single" w:sz="8" w:space="0" w:color="auto"/>
            </w:tcBorders>
            <w:shd w:val="clear" w:color="000000" w:fill="DCE6F1"/>
            <w:vAlign w:val="center"/>
            <w:hideMark/>
          </w:tcPr>
          <w:p w14:paraId="5D4E4388"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NJVV/AKAP/DRAP/ZVA/IAP/AKAP/DRAP/KOPSHTET</w:t>
            </w:r>
          </w:p>
        </w:tc>
        <w:tc>
          <w:tcPr>
            <w:tcW w:w="188" w:type="pct"/>
            <w:tcBorders>
              <w:top w:val="nil"/>
              <w:left w:val="nil"/>
              <w:bottom w:val="single" w:sz="4" w:space="0" w:color="auto"/>
              <w:right w:val="single" w:sz="4" w:space="0" w:color="auto"/>
            </w:tcBorders>
            <w:shd w:val="clear" w:color="000000" w:fill="DCE6F1"/>
            <w:vAlign w:val="center"/>
            <w:hideMark/>
          </w:tcPr>
          <w:p w14:paraId="1E81A461" w14:textId="6ADD494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0" w:type="pct"/>
            <w:tcBorders>
              <w:top w:val="nil"/>
              <w:left w:val="nil"/>
              <w:bottom w:val="single" w:sz="4" w:space="0" w:color="auto"/>
              <w:right w:val="single" w:sz="4" w:space="0" w:color="auto"/>
            </w:tcBorders>
            <w:shd w:val="clear" w:color="000000" w:fill="DCE6F1"/>
            <w:vAlign w:val="center"/>
            <w:hideMark/>
          </w:tcPr>
          <w:p w14:paraId="6E8BED42" w14:textId="3E20EBC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0" w:type="pct"/>
            <w:tcBorders>
              <w:top w:val="nil"/>
              <w:left w:val="nil"/>
              <w:bottom w:val="single" w:sz="4" w:space="0" w:color="auto"/>
              <w:right w:val="single" w:sz="4" w:space="0" w:color="auto"/>
            </w:tcBorders>
            <w:shd w:val="clear" w:color="000000" w:fill="DCE6F1"/>
            <w:vAlign w:val="center"/>
            <w:hideMark/>
          </w:tcPr>
          <w:p w14:paraId="0919FCE2" w14:textId="1084606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0" w:type="pct"/>
            <w:tcBorders>
              <w:top w:val="nil"/>
              <w:left w:val="nil"/>
              <w:bottom w:val="single" w:sz="4" w:space="0" w:color="auto"/>
              <w:right w:val="single" w:sz="4" w:space="0" w:color="auto"/>
            </w:tcBorders>
            <w:shd w:val="clear" w:color="000000" w:fill="DCE6F1"/>
            <w:vAlign w:val="center"/>
            <w:hideMark/>
          </w:tcPr>
          <w:p w14:paraId="45071FFA" w14:textId="0E5E102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87" w:type="pct"/>
            <w:tcBorders>
              <w:top w:val="nil"/>
              <w:left w:val="nil"/>
              <w:bottom w:val="single" w:sz="4" w:space="0" w:color="auto"/>
              <w:right w:val="single" w:sz="4" w:space="0" w:color="auto"/>
            </w:tcBorders>
            <w:shd w:val="clear" w:color="000000" w:fill="DCE6F1"/>
            <w:vAlign w:val="center"/>
            <w:hideMark/>
          </w:tcPr>
          <w:p w14:paraId="3D62844D" w14:textId="0A82998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200" w:type="pct"/>
            <w:tcBorders>
              <w:top w:val="nil"/>
              <w:left w:val="nil"/>
              <w:bottom w:val="single" w:sz="4" w:space="0" w:color="auto"/>
              <w:right w:val="nil"/>
            </w:tcBorders>
            <w:shd w:val="clear" w:color="000000" w:fill="DCE6F1"/>
            <w:vAlign w:val="center"/>
            <w:hideMark/>
          </w:tcPr>
          <w:p w14:paraId="077A4695" w14:textId="1059747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78F275FA" w14:textId="0B21936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209" w:type="pct"/>
            <w:tcBorders>
              <w:top w:val="nil"/>
              <w:left w:val="nil"/>
              <w:bottom w:val="single" w:sz="4" w:space="0" w:color="auto"/>
              <w:right w:val="single" w:sz="4" w:space="0" w:color="auto"/>
            </w:tcBorders>
            <w:shd w:val="clear" w:color="000000" w:fill="DCE6F1"/>
            <w:vAlign w:val="center"/>
            <w:hideMark/>
          </w:tcPr>
          <w:p w14:paraId="08A4EC56" w14:textId="60CDC3D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5" w:type="pct"/>
            <w:tcBorders>
              <w:top w:val="nil"/>
              <w:left w:val="nil"/>
              <w:bottom w:val="single" w:sz="4" w:space="0" w:color="auto"/>
              <w:right w:val="single" w:sz="8" w:space="0" w:color="auto"/>
            </w:tcBorders>
            <w:shd w:val="clear" w:color="000000" w:fill="DCE6F1"/>
            <w:vAlign w:val="center"/>
            <w:hideMark/>
          </w:tcPr>
          <w:p w14:paraId="3A0B641A" w14:textId="77A5B41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202" w:type="pct"/>
            <w:tcBorders>
              <w:top w:val="nil"/>
              <w:left w:val="nil"/>
              <w:bottom w:val="single" w:sz="4" w:space="0" w:color="auto"/>
              <w:right w:val="single" w:sz="4" w:space="0" w:color="auto"/>
            </w:tcBorders>
            <w:shd w:val="clear" w:color="000000" w:fill="DCE6F1"/>
            <w:vAlign w:val="center"/>
            <w:hideMark/>
          </w:tcPr>
          <w:p w14:paraId="620C1083" w14:textId="793EA17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200" w:type="pct"/>
            <w:tcBorders>
              <w:top w:val="nil"/>
              <w:left w:val="nil"/>
              <w:bottom w:val="single" w:sz="4" w:space="0" w:color="auto"/>
              <w:right w:val="single" w:sz="4" w:space="0" w:color="auto"/>
            </w:tcBorders>
            <w:shd w:val="clear" w:color="000000" w:fill="DCE6F1"/>
            <w:vAlign w:val="center"/>
            <w:hideMark/>
          </w:tcPr>
          <w:p w14:paraId="03E24DFB" w14:textId="2E2DD2D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7" w:type="pct"/>
            <w:tcBorders>
              <w:top w:val="nil"/>
              <w:left w:val="nil"/>
              <w:bottom w:val="single" w:sz="4" w:space="0" w:color="auto"/>
              <w:right w:val="single" w:sz="4" w:space="0" w:color="auto"/>
            </w:tcBorders>
            <w:shd w:val="clear" w:color="000000" w:fill="DCE6F1"/>
            <w:vAlign w:val="center"/>
            <w:hideMark/>
          </w:tcPr>
          <w:p w14:paraId="1BD6483D" w14:textId="5FA6D68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single" w:sz="8" w:space="0" w:color="auto"/>
            </w:tcBorders>
            <w:shd w:val="clear" w:color="000000" w:fill="DCE6F1"/>
            <w:vAlign w:val="center"/>
            <w:hideMark/>
          </w:tcPr>
          <w:p w14:paraId="069E0C87" w14:textId="5F41005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r>
      <w:tr w:rsidR="00387E5A" w:rsidRPr="00024D5A" w14:paraId="2A55DC9F"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2E89C00D" w14:textId="6921F780"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Masa prioritare 1.4</w:t>
            </w:r>
            <w:r w:rsidR="00AC5DA9">
              <w:rPr>
                <w:rFonts w:ascii="Garamond" w:eastAsia="Times New Roman" w:hAnsi="Garamond" w:cs="Calibri"/>
                <w:b/>
                <w:bCs/>
                <w:sz w:val="6"/>
                <w:szCs w:val="6"/>
                <w:lang w:eastAsia="en-US"/>
              </w:rPr>
              <w:t>:</w:t>
            </w:r>
            <w:r w:rsidR="00E51640" w:rsidRPr="00024D5A">
              <w:rPr>
                <w:rFonts w:ascii="Garamond" w:eastAsia="Times New Roman" w:hAnsi="Garamond" w:cs="Calibri"/>
                <w:b/>
                <w:bCs/>
                <w:sz w:val="6"/>
                <w:szCs w:val="6"/>
                <w:lang w:eastAsia="en-US"/>
              </w:rPr>
              <w:t xml:space="preserve"> </w:t>
            </w:r>
            <w:r w:rsidRPr="00024D5A">
              <w:rPr>
                <w:rFonts w:ascii="Garamond" w:eastAsia="Times New Roman" w:hAnsi="Garamond" w:cs="Calibri"/>
                <w:b/>
                <w:bCs/>
                <w:sz w:val="6"/>
                <w:szCs w:val="6"/>
                <w:lang w:eastAsia="en-US"/>
              </w:rPr>
              <w:t>Zhvillimi i kapaciteteve profesionale dhe sigurimi i cilësisë së edukimit të hershëm gjithëpërfshirës për fëmijët me aftësi të kufizuara.</w:t>
            </w:r>
          </w:p>
        </w:tc>
        <w:tc>
          <w:tcPr>
            <w:tcW w:w="244" w:type="pct"/>
            <w:tcBorders>
              <w:top w:val="nil"/>
              <w:left w:val="single" w:sz="8" w:space="0" w:color="auto"/>
              <w:bottom w:val="single" w:sz="4" w:space="0" w:color="auto"/>
              <w:right w:val="single" w:sz="4" w:space="0" w:color="auto"/>
            </w:tcBorders>
            <w:shd w:val="clear" w:color="000000" w:fill="DCE6F1"/>
            <w:hideMark/>
          </w:tcPr>
          <w:p w14:paraId="759974BB"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2026</w:t>
            </w:r>
          </w:p>
        </w:tc>
        <w:tc>
          <w:tcPr>
            <w:tcW w:w="226" w:type="pct"/>
            <w:tcBorders>
              <w:top w:val="nil"/>
              <w:left w:val="nil"/>
              <w:bottom w:val="single" w:sz="4" w:space="0" w:color="auto"/>
              <w:right w:val="single" w:sz="4" w:space="0" w:color="auto"/>
            </w:tcBorders>
            <w:shd w:val="clear" w:color="000000" w:fill="DCE6F1"/>
            <w:hideMark/>
          </w:tcPr>
          <w:p w14:paraId="1B202B1D"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3C22B0B5"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ASCAP/MA/MSHPV/AKAP/NJVV</w:t>
            </w:r>
          </w:p>
        </w:tc>
        <w:tc>
          <w:tcPr>
            <w:tcW w:w="792" w:type="pct"/>
            <w:tcBorders>
              <w:top w:val="nil"/>
              <w:left w:val="nil"/>
              <w:bottom w:val="single" w:sz="4" w:space="0" w:color="auto"/>
              <w:right w:val="single" w:sz="8" w:space="0" w:color="auto"/>
            </w:tcBorders>
            <w:shd w:val="clear" w:color="000000" w:fill="DCE6F1"/>
            <w:vAlign w:val="center"/>
            <w:hideMark/>
          </w:tcPr>
          <w:p w14:paraId="19E1D9F0"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DRAP/ZVAP/NJVV/ASCAP</w:t>
            </w:r>
          </w:p>
        </w:tc>
        <w:tc>
          <w:tcPr>
            <w:tcW w:w="188" w:type="pct"/>
            <w:tcBorders>
              <w:top w:val="nil"/>
              <w:left w:val="nil"/>
              <w:bottom w:val="single" w:sz="4" w:space="0" w:color="auto"/>
              <w:right w:val="single" w:sz="4" w:space="0" w:color="auto"/>
            </w:tcBorders>
            <w:shd w:val="clear" w:color="000000" w:fill="DCE6F1"/>
            <w:vAlign w:val="center"/>
            <w:hideMark/>
          </w:tcPr>
          <w:p w14:paraId="087278EC" w14:textId="75312CC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750</w:t>
            </w:r>
          </w:p>
        </w:tc>
        <w:tc>
          <w:tcPr>
            <w:tcW w:w="190" w:type="pct"/>
            <w:tcBorders>
              <w:top w:val="nil"/>
              <w:left w:val="nil"/>
              <w:bottom w:val="single" w:sz="4" w:space="0" w:color="auto"/>
              <w:right w:val="single" w:sz="4" w:space="0" w:color="auto"/>
            </w:tcBorders>
            <w:shd w:val="clear" w:color="000000" w:fill="DCE6F1"/>
            <w:vAlign w:val="center"/>
            <w:hideMark/>
          </w:tcPr>
          <w:p w14:paraId="2A95BA12" w14:textId="79EBF02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31,250</w:t>
            </w:r>
          </w:p>
        </w:tc>
        <w:tc>
          <w:tcPr>
            <w:tcW w:w="190" w:type="pct"/>
            <w:tcBorders>
              <w:top w:val="nil"/>
              <w:left w:val="nil"/>
              <w:bottom w:val="single" w:sz="4" w:space="0" w:color="auto"/>
              <w:right w:val="single" w:sz="4" w:space="0" w:color="auto"/>
            </w:tcBorders>
            <w:shd w:val="clear" w:color="000000" w:fill="DCE6F1"/>
            <w:vAlign w:val="center"/>
            <w:hideMark/>
          </w:tcPr>
          <w:p w14:paraId="4D101131" w14:textId="22AD258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30,750</w:t>
            </w:r>
          </w:p>
        </w:tc>
        <w:tc>
          <w:tcPr>
            <w:tcW w:w="190" w:type="pct"/>
            <w:tcBorders>
              <w:top w:val="nil"/>
              <w:left w:val="nil"/>
              <w:bottom w:val="single" w:sz="4" w:space="0" w:color="auto"/>
              <w:right w:val="single" w:sz="4" w:space="0" w:color="auto"/>
            </w:tcBorders>
            <w:shd w:val="clear" w:color="000000" w:fill="DCE6F1"/>
            <w:vAlign w:val="center"/>
            <w:hideMark/>
          </w:tcPr>
          <w:p w14:paraId="7C7057AB" w14:textId="70DF501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30,750</w:t>
            </w:r>
          </w:p>
        </w:tc>
        <w:tc>
          <w:tcPr>
            <w:tcW w:w="187" w:type="pct"/>
            <w:tcBorders>
              <w:top w:val="nil"/>
              <w:left w:val="nil"/>
              <w:bottom w:val="single" w:sz="4" w:space="0" w:color="auto"/>
              <w:right w:val="single" w:sz="4" w:space="0" w:color="auto"/>
            </w:tcBorders>
            <w:shd w:val="clear" w:color="000000" w:fill="DCE6F1"/>
            <w:vAlign w:val="center"/>
            <w:hideMark/>
          </w:tcPr>
          <w:p w14:paraId="7CE03746" w14:textId="163E1FB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30,750</w:t>
            </w:r>
          </w:p>
        </w:tc>
        <w:tc>
          <w:tcPr>
            <w:tcW w:w="200" w:type="pct"/>
            <w:tcBorders>
              <w:top w:val="nil"/>
              <w:left w:val="nil"/>
              <w:bottom w:val="single" w:sz="4" w:space="0" w:color="auto"/>
              <w:right w:val="nil"/>
            </w:tcBorders>
            <w:shd w:val="clear" w:color="000000" w:fill="DCE6F1"/>
            <w:vAlign w:val="center"/>
            <w:hideMark/>
          </w:tcPr>
          <w:p w14:paraId="40B577E2" w14:textId="3C1CF76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124,250</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0CC4F1E5" w14:textId="0F5E95A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124,250</w:t>
            </w:r>
          </w:p>
        </w:tc>
        <w:tc>
          <w:tcPr>
            <w:tcW w:w="209" w:type="pct"/>
            <w:tcBorders>
              <w:top w:val="nil"/>
              <w:left w:val="nil"/>
              <w:bottom w:val="single" w:sz="4" w:space="0" w:color="auto"/>
              <w:right w:val="single" w:sz="4" w:space="0" w:color="auto"/>
            </w:tcBorders>
            <w:shd w:val="clear" w:color="000000" w:fill="DCE6F1"/>
            <w:vAlign w:val="center"/>
            <w:hideMark/>
          </w:tcPr>
          <w:p w14:paraId="7A809B08" w14:textId="19C7E6C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5" w:type="pct"/>
            <w:tcBorders>
              <w:top w:val="nil"/>
              <w:left w:val="nil"/>
              <w:bottom w:val="single" w:sz="4" w:space="0" w:color="auto"/>
              <w:right w:val="single" w:sz="8" w:space="0" w:color="auto"/>
            </w:tcBorders>
            <w:shd w:val="clear" w:color="000000" w:fill="DCE6F1"/>
            <w:vAlign w:val="center"/>
            <w:hideMark/>
          </w:tcPr>
          <w:p w14:paraId="32C86EA1" w14:textId="3208CD2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202" w:type="pct"/>
            <w:tcBorders>
              <w:top w:val="nil"/>
              <w:left w:val="nil"/>
              <w:bottom w:val="single" w:sz="4" w:space="0" w:color="auto"/>
              <w:right w:val="single" w:sz="4" w:space="0" w:color="auto"/>
            </w:tcBorders>
            <w:shd w:val="clear" w:color="000000" w:fill="DCE6F1"/>
            <w:vAlign w:val="center"/>
            <w:hideMark/>
          </w:tcPr>
          <w:p w14:paraId="4E48DF8B" w14:textId="2069CCD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1,294,271</w:t>
            </w:r>
          </w:p>
        </w:tc>
        <w:tc>
          <w:tcPr>
            <w:tcW w:w="200" w:type="pct"/>
            <w:tcBorders>
              <w:top w:val="nil"/>
              <w:left w:val="nil"/>
              <w:bottom w:val="single" w:sz="4" w:space="0" w:color="auto"/>
              <w:right w:val="single" w:sz="4" w:space="0" w:color="auto"/>
            </w:tcBorders>
            <w:shd w:val="clear" w:color="000000" w:fill="DCE6F1"/>
            <w:vAlign w:val="center"/>
            <w:hideMark/>
          </w:tcPr>
          <w:p w14:paraId="5CB4B528" w14:textId="73410F5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1,294,271</w:t>
            </w:r>
          </w:p>
        </w:tc>
        <w:tc>
          <w:tcPr>
            <w:tcW w:w="197" w:type="pct"/>
            <w:tcBorders>
              <w:top w:val="nil"/>
              <w:left w:val="nil"/>
              <w:bottom w:val="single" w:sz="4" w:space="0" w:color="auto"/>
              <w:right w:val="single" w:sz="4" w:space="0" w:color="auto"/>
            </w:tcBorders>
            <w:shd w:val="clear" w:color="000000" w:fill="DCE6F1"/>
            <w:vAlign w:val="center"/>
            <w:hideMark/>
          </w:tcPr>
          <w:p w14:paraId="1B969B52" w14:textId="0AC264A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single" w:sz="8" w:space="0" w:color="auto"/>
            </w:tcBorders>
            <w:shd w:val="clear" w:color="000000" w:fill="DCE6F1"/>
            <w:vAlign w:val="center"/>
            <w:hideMark/>
          </w:tcPr>
          <w:p w14:paraId="7BD15FD1" w14:textId="07B6D71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r>
      <w:tr w:rsidR="00387E5A" w:rsidRPr="00024D5A" w14:paraId="62640BFE" w14:textId="77777777" w:rsidTr="00387E5A">
        <w:trPr>
          <w:trHeight w:val="20"/>
        </w:trPr>
        <w:tc>
          <w:tcPr>
            <w:tcW w:w="375" w:type="pct"/>
            <w:tcBorders>
              <w:top w:val="nil"/>
              <w:left w:val="single" w:sz="4" w:space="0" w:color="auto"/>
              <w:bottom w:val="single" w:sz="4" w:space="0" w:color="auto"/>
              <w:right w:val="nil"/>
            </w:tcBorders>
            <w:shd w:val="clear" w:color="000000" w:fill="FDE9D9"/>
            <w:vAlign w:val="center"/>
            <w:hideMark/>
          </w:tcPr>
          <w:p w14:paraId="3AFD97CE" w14:textId="6020A9D1"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Objektivi </w:t>
            </w:r>
            <w:r w:rsidR="007053C8" w:rsidRPr="00024D5A">
              <w:rPr>
                <w:rFonts w:ascii="Garamond" w:eastAsia="Times New Roman" w:hAnsi="Garamond" w:cs="Calibri"/>
                <w:b/>
                <w:bCs/>
                <w:sz w:val="6"/>
                <w:szCs w:val="6"/>
                <w:lang w:eastAsia="en-US"/>
              </w:rPr>
              <w:t xml:space="preserve">specifik </w:t>
            </w:r>
            <w:r w:rsidRPr="00024D5A">
              <w:rPr>
                <w:rFonts w:ascii="Garamond" w:eastAsia="Times New Roman" w:hAnsi="Garamond" w:cs="Calibri"/>
                <w:b/>
                <w:bCs/>
                <w:sz w:val="6"/>
                <w:szCs w:val="6"/>
                <w:lang w:eastAsia="en-US"/>
              </w:rPr>
              <w:t>2</w:t>
            </w:r>
            <w:r w:rsidR="00AC5DA9">
              <w:rPr>
                <w:rFonts w:ascii="Garamond" w:eastAsia="Times New Roman" w:hAnsi="Garamond" w:cs="Calibri"/>
                <w:b/>
                <w:bCs/>
                <w:sz w:val="6"/>
                <w:szCs w:val="6"/>
                <w:lang w:eastAsia="en-US"/>
              </w:rPr>
              <w:t xml:space="preserve">: </w:t>
            </w:r>
            <w:r w:rsidRPr="00024D5A">
              <w:rPr>
                <w:rFonts w:ascii="Garamond" w:eastAsia="Times New Roman" w:hAnsi="Garamond" w:cs="Calibri"/>
                <w:b/>
                <w:bCs/>
                <w:sz w:val="6"/>
                <w:szCs w:val="6"/>
                <w:lang w:eastAsia="en-US"/>
              </w:rPr>
              <w:t>Garantimi i arsimit parauniversitar gjithëpërfshirës, cilësor dhe të barabartë për nxënësit me aftësi të kufizuara.</w:t>
            </w:r>
          </w:p>
        </w:tc>
        <w:tc>
          <w:tcPr>
            <w:tcW w:w="244" w:type="pct"/>
            <w:tcBorders>
              <w:top w:val="nil"/>
              <w:left w:val="single" w:sz="8" w:space="0" w:color="auto"/>
              <w:bottom w:val="single" w:sz="4" w:space="0" w:color="auto"/>
              <w:right w:val="single" w:sz="4" w:space="0" w:color="auto"/>
            </w:tcBorders>
            <w:shd w:val="clear" w:color="000000" w:fill="FDE9D9"/>
            <w:hideMark/>
          </w:tcPr>
          <w:p w14:paraId="2DB57DB9"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2026</w:t>
            </w:r>
          </w:p>
        </w:tc>
        <w:tc>
          <w:tcPr>
            <w:tcW w:w="226" w:type="pct"/>
            <w:tcBorders>
              <w:top w:val="nil"/>
              <w:left w:val="nil"/>
              <w:bottom w:val="single" w:sz="4" w:space="0" w:color="auto"/>
              <w:right w:val="single" w:sz="4" w:space="0" w:color="auto"/>
            </w:tcBorders>
            <w:shd w:val="clear" w:color="000000" w:fill="FDE9D9"/>
            <w:hideMark/>
          </w:tcPr>
          <w:p w14:paraId="26A4EB6A"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2030</w:t>
            </w:r>
          </w:p>
        </w:tc>
        <w:tc>
          <w:tcPr>
            <w:tcW w:w="664" w:type="pct"/>
            <w:tcBorders>
              <w:top w:val="nil"/>
              <w:left w:val="nil"/>
              <w:bottom w:val="single" w:sz="4" w:space="0" w:color="auto"/>
              <w:right w:val="single" w:sz="4" w:space="0" w:color="auto"/>
            </w:tcBorders>
            <w:shd w:val="clear" w:color="000000" w:fill="FDE9D9"/>
            <w:vAlign w:val="center"/>
            <w:hideMark/>
          </w:tcPr>
          <w:p w14:paraId="1FE806BE" w14:textId="472FDFD5"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MA/MPV/</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ASCAP/AKAP/ZVA/MA/MPV</w:t>
            </w:r>
          </w:p>
        </w:tc>
        <w:tc>
          <w:tcPr>
            <w:tcW w:w="792" w:type="pct"/>
            <w:tcBorders>
              <w:top w:val="nil"/>
              <w:left w:val="nil"/>
              <w:bottom w:val="single" w:sz="4" w:space="0" w:color="auto"/>
              <w:right w:val="single" w:sz="8" w:space="0" w:color="auto"/>
            </w:tcBorders>
            <w:shd w:val="clear" w:color="000000" w:fill="FDE9D9"/>
            <w:vAlign w:val="center"/>
            <w:hideMark/>
          </w:tcPr>
          <w:p w14:paraId="23577A92" w14:textId="669D3E09"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DRAP</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ZVAP/NJVV/DROSHKSH/KMD</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AKAP/NJVV/ASCAP/ZVAP/AP</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MSHMS</w:t>
            </w:r>
          </w:p>
        </w:tc>
        <w:tc>
          <w:tcPr>
            <w:tcW w:w="188" w:type="pct"/>
            <w:tcBorders>
              <w:top w:val="nil"/>
              <w:left w:val="nil"/>
              <w:bottom w:val="single" w:sz="4" w:space="0" w:color="auto"/>
              <w:right w:val="single" w:sz="4" w:space="0" w:color="auto"/>
            </w:tcBorders>
            <w:shd w:val="clear" w:color="000000" w:fill="FDE9D9"/>
            <w:vAlign w:val="center"/>
            <w:hideMark/>
          </w:tcPr>
          <w:p w14:paraId="6E05FAD1" w14:textId="39089E6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242,260</w:t>
            </w:r>
          </w:p>
        </w:tc>
        <w:tc>
          <w:tcPr>
            <w:tcW w:w="190" w:type="pct"/>
            <w:tcBorders>
              <w:top w:val="nil"/>
              <w:left w:val="nil"/>
              <w:bottom w:val="single" w:sz="4" w:space="0" w:color="auto"/>
              <w:right w:val="single" w:sz="4" w:space="0" w:color="auto"/>
            </w:tcBorders>
            <w:shd w:val="clear" w:color="000000" w:fill="FDE9D9"/>
            <w:vAlign w:val="center"/>
            <w:hideMark/>
          </w:tcPr>
          <w:p w14:paraId="76742493" w14:textId="1FB988A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316,465</w:t>
            </w:r>
          </w:p>
        </w:tc>
        <w:tc>
          <w:tcPr>
            <w:tcW w:w="190" w:type="pct"/>
            <w:tcBorders>
              <w:top w:val="nil"/>
              <w:left w:val="nil"/>
              <w:bottom w:val="single" w:sz="4" w:space="0" w:color="auto"/>
              <w:right w:val="single" w:sz="4" w:space="0" w:color="auto"/>
            </w:tcBorders>
            <w:shd w:val="clear" w:color="000000" w:fill="FDE9D9"/>
            <w:vAlign w:val="center"/>
            <w:hideMark/>
          </w:tcPr>
          <w:p w14:paraId="60AC16F5" w14:textId="4837AD1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390,132</w:t>
            </w:r>
          </w:p>
        </w:tc>
        <w:tc>
          <w:tcPr>
            <w:tcW w:w="190" w:type="pct"/>
            <w:tcBorders>
              <w:top w:val="nil"/>
              <w:left w:val="nil"/>
              <w:bottom w:val="single" w:sz="4" w:space="0" w:color="auto"/>
              <w:right w:val="single" w:sz="4" w:space="0" w:color="auto"/>
            </w:tcBorders>
            <w:shd w:val="clear" w:color="000000" w:fill="FDE9D9"/>
            <w:vAlign w:val="center"/>
            <w:hideMark/>
          </w:tcPr>
          <w:p w14:paraId="44F9A313" w14:textId="1B4A61D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443,451</w:t>
            </w:r>
          </w:p>
        </w:tc>
        <w:tc>
          <w:tcPr>
            <w:tcW w:w="187" w:type="pct"/>
            <w:tcBorders>
              <w:top w:val="nil"/>
              <w:left w:val="nil"/>
              <w:bottom w:val="single" w:sz="4" w:space="0" w:color="auto"/>
              <w:right w:val="single" w:sz="4" w:space="0" w:color="auto"/>
            </w:tcBorders>
            <w:shd w:val="clear" w:color="000000" w:fill="FDE9D9"/>
            <w:vAlign w:val="center"/>
            <w:hideMark/>
          </w:tcPr>
          <w:p w14:paraId="37F1E339" w14:textId="5FDA59F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496,552</w:t>
            </w:r>
          </w:p>
        </w:tc>
        <w:tc>
          <w:tcPr>
            <w:tcW w:w="200" w:type="pct"/>
            <w:tcBorders>
              <w:top w:val="nil"/>
              <w:left w:val="nil"/>
              <w:bottom w:val="single" w:sz="4" w:space="0" w:color="auto"/>
              <w:right w:val="nil"/>
            </w:tcBorders>
            <w:shd w:val="clear" w:color="000000" w:fill="FDE9D9"/>
            <w:vAlign w:val="center"/>
            <w:hideMark/>
          </w:tcPr>
          <w:p w14:paraId="55A6DAF2" w14:textId="1D330FD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1,888,859</w:t>
            </w:r>
          </w:p>
        </w:tc>
        <w:tc>
          <w:tcPr>
            <w:tcW w:w="209" w:type="pct"/>
            <w:tcBorders>
              <w:top w:val="nil"/>
              <w:left w:val="single" w:sz="8" w:space="0" w:color="auto"/>
              <w:bottom w:val="single" w:sz="4" w:space="0" w:color="auto"/>
              <w:right w:val="single" w:sz="4" w:space="0" w:color="auto"/>
            </w:tcBorders>
            <w:shd w:val="clear" w:color="000000" w:fill="FDE9D9"/>
            <w:vAlign w:val="center"/>
            <w:hideMark/>
          </w:tcPr>
          <w:p w14:paraId="7D2A5C90" w14:textId="5D7BC06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1,402,506</w:t>
            </w:r>
          </w:p>
        </w:tc>
        <w:tc>
          <w:tcPr>
            <w:tcW w:w="209" w:type="pct"/>
            <w:tcBorders>
              <w:top w:val="nil"/>
              <w:left w:val="nil"/>
              <w:bottom w:val="single" w:sz="4" w:space="0" w:color="auto"/>
              <w:right w:val="single" w:sz="4" w:space="0" w:color="auto"/>
            </w:tcBorders>
            <w:shd w:val="clear" w:color="000000" w:fill="FDE9D9"/>
            <w:vAlign w:val="center"/>
            <w:hideMark/>
          </w:tcPr>
          <w:p w14:paraId="5D2DFAAB" w14:textId="50FF5AC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13,798</w:t>
            </w:r>
          </w:p>
        </w:tc>
        <w:tc>
          <w:tcPr>
            <w:tcW w:w="195" w:type="pct"/>
            <w:tcBorders>
              <w:top w:val="nil"/>
              <w:left w:val="nil"/>
              <w:bottom w:val="single" w:sz="4" w:space="0" w:color="auto"/>
              <w:right w:val="single" w:sz="8" w:space="0" w:color="auto"/>
            </w:tcBorders>
            <w:shd w:val="clear" w:color="000000" w:fill="FDE9D9"/>
            <w:vAlign w:val="center"/>
            <w:hideMark/>
          </w:tcPr>
          <w:p w14:paraId="47F663CA" w14:textId="29F7C7F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472,555</w:t>
            </w:r>
          </w:p>
        </w:tc>
        <w:tc>
          <w:tcPr>
            <w:tcW w:w="202" w:type="pct"/>
            <w:tcBorders>
              <w:top w:val="nil"/>
              <w:left w:val="nil"/>
              <w:bottom w:val="single" w:sz="4" w:space="0" w:color="auto"/>
              <w:right w:val="single" w:sz="4" w:space="0" w:color="auto"/>
            </w:tcBorders>
            <w:shd w:val="clear" w:color="000000" w:fill="FDE9D9"/>
            <w:vAlign w:val="center"/>
            <w:hideMark/>
          </w:tcPr>
          <w:p w14:paraId="525F04EA" w14:textId="18E9605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19,675,613</w:t>
            </w:r>
          </w:p>
        </w:tc>
        <w:tc>
          <w:tcPr>
            <w:tcW w:w="200" w:type="pct"/>
            <w:tcBorders>
              <w:top w:val="nil"/>
              <w:left w:val="nil"/>
              <w:bottom w:val="single" w:sz="4" w:space="0" w:color="auto"/>
              <w:right w:val="single" w:sz="4" w:space="0" w:color="auto"/>
            </w:tcBorders>
            <w:shd w:val="clear" w:color="000000" w:fill="FDE9D9"/>
            <w:vAlign w:val="center"/>
            <w:hideMark/>
          </w:tcPr>
          <w:p w14:paraId="224C5841" w14:textId="1F23C16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14,609,438</w:t>
            </w:r>
          </w:p>
        </w:tc>
        <w:tc>
          <w:tcPr>
            <w:tcW w:w="197" w:type="pct"/>
            <w:tcBorders>
              <w:top w:val="nil"/>
              <w:left w:val="nil"/>
              <w:bottom w:val="single" w:sz="4" w:space="0" w:color="auto"/>
              <w:right w:val="single" w:sz="4" w:space="0" w:color="auto"/>
            </w:tcBorders>
            <w:shd w:val="clear" w:color="000000" w:fill="FDE9D9"/>
            <w:vAlign w:val="center"/>
            <w:hideMark/>
          </w:tcPr>
          <w:p w14:paraId="65E287E2" w14:textId="2C1FB92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143,729</w:t>
            </w:r>
          </w:p>
        </w:tc>
        <w:tc>
          <w:tcPr>
            <w:tcW w:w="342" w:type="pct"/>
            <w:tcBorders>
              <w:top w:val="nil"/>
              <w:left w:val="nil"/>
              <w:bottom w:val="single" w:sz="4" w:space="0" w:color="auto"/>
              <w:right w:val="single" w:sz="8" w:space="0" w:color="auto"/>
            </w:tcBorders>
            <w:shd w:val="clear" w:color="000000" w:fill="FDE9D9"/>
            <w:vAlign w:val="center"/>
            <w:hideMark/>
          </w:tcPr>
          <w:p w14:paraId="3E83D3E0" w14:textId="6B857E1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4,922,445</w:t>
            </w:r>
          </w:p>
        </w:tc>
      </w:tr>
      <w:tr w:rsidR="00387E5A" w:rsidRPr="00024D5A" w14:paraId="20B6D8C9"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332D0463" w14:textId="38C4A110"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Masa </w:t>
            </w:r>
            <w:r w:rsidR="007053C8" w:rsidRPr="00024D5A">
              <w:rPr>
                <w:rFonts w:ascii="Garamond" w:eastAsia="Times New Roman" w:hAnsi="Garamond" w:cs="Calibri"/>
                <w:b/>
                <w:bCs/>
                <w:sz w:val="6"/>
                <w:szCs w:val="6"/>
                <w:lang w:eastAsia="en-US"/>
              </w:rPr>
              <w:t xml:space="preserve">prioritare </w:t>
            </w:r>
            <w:r w:rsidRPr="00024D5A">
              <w:rPr>
                <w:rFonts w:ascii="Garamond" w:eastAsia="Times New Roman" w:hAnsi="Garamond" w:cs="Calibri"/>
                <w:b/>
                <w:bCs/>
                <w:sz w:val="6"/>
                <w:szCs w:val="6"/>
                <w:lang w:eastAsia="en-US"/>
              </w:rPr>
              <w:t>2.1</w:t>
            </w:r>
            <w:r w:rsidR="00AC5DA9">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Kuadër ligjor, institucional dhe mekanizma të qeverisjes për arsimin parauniversitar gjithëpërfshirës.</w:t>
            </w:r>
          </w:p>
        </w:tc>
        <w:tc>
          <w:tcPr>
            <w:tcW w:w="244" w:type="pct"/>
            <w:tcBorders>
              <w:top w:val="nil"/>
              <w:left w:val="single" w:sz="8" w:space="0" w:color="auto"/>
              <w:bottom w:val="single" w:sz="4" w:space="0" w:color="auto"/>
              <w:right w:val="single" w:sz="4" w:space="0" w:color="auto"/>
            </w:tcBorders>
            <w:shd w:val="clear" w:color="000000" w:fill="DCE6F1"/>
            <w:hideMark/>
          </w:tcPr>
          <w:p w14:paraId="610E2021"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2026</w:t>
            </w:r>
          </w:p>
        </w:tc>
        <w:tc>
          <w:tcPr>
            <w:tcW w:w="226" w:type="pct"/>
            <w:tcBorders>
              <w:top w:val="nil"/>
              <w:left w:val="nil"/>
              <w:bottom w:val="single" w:sz="4" w:space="0" w:color="auto"/>
              <w:right w:val="single" w:sz="4" w:space="0" w:color="auto"/>
            </w:tcBorders>
            <w:shd w:val="clear" w:color="000000" w:fill="DCE6F1"/>
            <w:hideMark/>
          </w:tcPr>
          <w:p w14:paraId="75F38DD7"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1B957AFA" w14:textId="7A739A60"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MA/MPV</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ASCAP/AKAP/MSHMS</w:t>
            </w:r>
          </w:p>
        </w:tc>
        <w:tc>
          <w:tcPr>
            <w:tcW w:w="792" w:type="pct"/>
            <w:tcBorders>
              <w:top w:val="nil"/>
              <w:left w:val="nil"/>
              <w:bottom w:val="single" w:sz="4" w:space="0" w:color="auto"/>
              <w:right w:val="single" w:sz="8" w:space="0" w:color="auto"/>
            </w:tcBorders>
            <w:shd w:val="clear" w:color="000000" w:fill="DCE6F1"/>
            <w:vAlign w:val="center"/>
            <w:hideMark/>
          </w:tcPr>
          <w:p w14:paraId="509B84B0" w14:textId="68C30B15"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DRAP</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ZVAP/NJVV/DROSHKSH/KMD/</w:t>
            </w:r>
          </w:p>
        </w:tc>
        <w:tc>
          <w:tcPr>
            <w:tcW w:w="188" w:type="pct"/>
            <w:tcBorders>
              <w:top w:val="nil"/>
              <w:left w:val="nil"/>
              <w:bottom w:val="single" w:sz="4" w:space="0" w:color="auto"/>
              <w:right w:val="single" w:sz="4" w:space="0" w:color="auto"/>
            </w:tcBorders>
            <w:shd w:val="clear" w:color="000000" w:fill="DCE6F1"/>
            <w:vAlign w:val="center"/>
            <w:hideMark/>
          </w:tcPr>
          <w:p w14:paraId="793E32CB" w14:textId="6A5EF4A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611</w:t>
            </w:r>
          </w:p>
        </w:tc>
        <w:tc>
          <w:tcPr>
            <w:tcW w:w="190" w:type="pct"/>
            <w:tcBorders>
              <w:top w:val="nil"/>
              <w:left w:val="nil"/>
              <w:bottom w:val="single" w:sz="4" w:space="0" w:color="auto"/>
              <w:right w:val="single" w:sz="4" w:space="0" w:color="auto"/>
            </w:tcBorders>
            <w:shd w:val="clear" w:color="000000" w:fill="DCE6F1"/>
            <w:vAlign w:val="center"/>
            <w:hideMark/>
          </w:tcPr>
          <w:p w14:paraId="622F944C" w14:textId="3440FD4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611</w:t>
            </w:r>
          </w:p>
        </w:tc>
        <w:tc>
          <w:tcPr>
            <w:tcW w:w="190" w:type="pct"/>
            <w:tcBorders>
              <w:top w:val="nil"/>
              <w:left w:val="nil"/>
              <w:bottom w:val="single" w:sz="4" w:space="0" w:color="auto"/>
              <w:right w:val="single" w:sz="4" w:space="0" w:color="auto"/>
            </w:tcBorders>
            <w:shd w:val="clear" w:color="000000" w:fill="DCE6F1"/>
            <w:vAlign w:val="center"/>
            <w:hideMark/>
          </w:tcPr>
          <w:p w14:paraId="56591FDE" w14:textId="10C09CF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73</w:t>
            </w:r>
          </w:p>
        </w:tc>
        <w:tc>
          <w:tcPr>
            <w:tcW w:w="190" w:type="pct"/>
            <w:tcBorders>
              <w:top w:val="nil"/>
              <w:left w:val="nil"/>
              <w:bottom w:val="single" w:sz="4" w:space="0" w:color="auto"/>
              <w:right w:val="single" w:sz="4" w:space="0" w:color="auto"/>
            </w:tcBorders>
            <w:shd w:val="clear" w:color="000000" w:fill="DCE6F1"/>
            <w:vAlign w:val="center"/>
            <w:hideMark/>
          </w:tcPr>
          <w:p w14:paraId="342875F2" w14:textId="4D3C1F7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73</w:t>
            </w:r>
          </w:p>
        </w:tc>
        <w:tc>
          <w:tcPr>
            <w:tcW w:w="187" w:type="pct"/>
            <w:tcBorders>
              <w:top w:val="nil"/>
              <w:left w:val="nil"/>
              <w:bottom w:val="single" w:sz="4" w:space="0" w:color="auto"/>
              <w:right w:val="single" w:sz="4" w:space="0" w:color="auto"/>
            </w:tcBorders>
            <w:shd w:val="clear" w:color="000000" w:fill="DCE6F1"/>
            <w:vAlign w:val="center"/>
            <w:hideMark/>
          </w:tcPr>
          <w:p w14:paraId="0F4186C8" w14:textId="31E3820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73</w:t>
            </w:r>
          </w:p>
        </w:tc>
        <w:tc>
          <w:tcPr>
            <w:tcW w:w="200" w:type="pct"/>
            <w:tcBorders>
              <w:top w:val="nil"/>
              <w:left w:val="nil"/>
              <w:bottom w:val="single" w:sz="4" w:space="0" w:color="auto"/>
              <w:right w:val="nil"/>
            </w:tcBorders>
            <w:shd w:val="clear" w:color="000000" w:fill="DCE6F1"/>
            <w:vAlign w:val="center"/>
            <w:hideMark/>
          </w:tcPr>
          <w:p w14:paraId="5FDC4D2B" w14:textId="2F858D6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1,439</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21895266" w14:textId="23E8455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1,117</w:t>
            </w:r>
          </w:p>
        </w:tc>
        <w:tc>
          <w:tcPr>
            <w:tcW w:w="209" w:type="pct"/>
            <w:tcBorders>
              <w:top w:val="nil"/>
              <w:left w:val="nil"/>
              <w:bottom w:val="single" w:sz="4" w:space="0" w:color="auto"/>
              <w:right w:val="single" w:sz="4" w:space="0" w:color="auto"/>
            </w:tcBorders>
            <w:shd w:val="clear" w:color="000000" w:fill="DCE6F1"/>
            <w:vAlign w:val="center"/>
            <w:hideMark/>
          </w:tcPr>
          <w:p w14:paraId="2C2ADC7C" w14:textId="001F8E7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198</w:t>
            </w:r>
          </w:p>
        </w:tc>
        <w:tc>
          <w:tcPr>
            <w:tcW w:w="195" w:type="pct"/>
            <w:tcBorders>
              <w:top w:val="nil"/>
              <w:left w:val="nil"/>
              <w:bottom w:val="single" w:sz="4" w:space="0" w:color="auto"/>
              <w:right w:val="single" w:sz="8" w:space="0" w:color="auto"/>
            </w:tcBorders>
            <w:shd w:val="clear" w:color="000000" w:fill="DCE6F1"/>
            <w:vAlign w:val="center"/>
            <w:hideMark/>
          </w:tcPr>
          <w:p w14:paraId="03595B31" w14:textId="64B8776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125</w:t>
            </w:r>
          </w:p>
        </w:tc>
        <w:tc>
          <w:tcPr>
            <w:tcW w:w="202" w:type="pct"/>
            <w:tcBorders>
              <w:top w:val="nil"/>
              <w:left w:val="nil"/>
              <w:bottom w:val="single" w:sz="4" w:space="0" w:color="auto"/>
              <w:right w:val="single" w:sz="4" w:space="0" w:color="auto"/>
            </w:tcBorders>
            <w:shd w:val="clear" w:color="000000" w:fill="DCE6F1"/>
            <w:vAlign w:val="center"/>
            <w:hideMark/>
          </w:tcPr>
          <w:p w14:paraId="160C079F" w14:textId="117C616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14,992</w:t>
            </w:r>
          </w:p>
        </w:tc>
        <w:tc>
          <w:tcPr>
            <w:tcW w:w="200" w:type="pct"/>
            <w:tcBorders>
              <w:top w:val="nil"/>
              <w:left w:val="nil"/>
              <w:bottom w:val="single" w:sz="4" w:space="0" w:color="auto"/>
              <w:right w:val="single" w:sz="4" w:space="0" w:color="auto"/>
            </w:tcBorders>
            <w:shd w:val="clear" w:color="000000" w:fill="DCE6F1"/>
            <w:vAlign w:val="center"/>
            <w:hideMark/>
          </w:tcPr>
          <w:p w14:paraId="668D27AA" w14:textId="23EE919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11,631</w:t>
            </w:r>
          </w:p>
        </w:tc>
        <w:tc>
          <w:tcPr>
            <w:tcW w:w="197" w:type="pct"/>
            <w:tcBorders>
              <w:top w:val="nil"/>
              <w:left w:val="nil"/>
              <w:bottom w:val="single" w:sz="4" w:space="0" w:color="auto"/>
              <w:right w:val="single" w:sz="4" w:space="0" w:color="auto"/>
            </w:tcBorders>
            <w:shd w:val="clear" w:color="000000" w:fill="DCE6F1"/>
            <w:vAlign w:val="center"/>
            <w:hideMark/>
          </w:tcPr>
          <w:p w14:paraId="50379AD8" w14:textId="1F6CB1F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2,063</w:t>
            </w:r>
          </w:p>
        </w:tc>
        <w:tc>
          <w:tcPr>
            <w:tcW w:w="342" w:type="pct"/>
            <w:tcBorders>
              <w:top w:val="nil"/>
              <w:left w:val="nil"/>
              <w:bottom w:val="single" w:sz="4" w:space="0" w:color="auto"/>
              <w:right w:val="single" w:sz="8" w:space="0" w:color="auto"/>
            </w:tcBorders>
            <w:shd w:val="clear" w:color="000000" w:fill="DCE6F1"/>
            <w:vAlign w:val="center"/>
            <w:hideMark/>
          </w:tcPr>
          <w:p w14:paraId="003C3481" w14:textId="6383EA7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1,299</w:t>
            </w:r>
          </w:p>
        </w:tc>
      </w:tr>
      <w:tr w:rsidR="00387E5A" w:rsidRPr="00024D5A" w14:paraId="29503BA1"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21A75909" w14:textId="0CC54150"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Masa </w:t>
            </w:r>
            <w:r w:rsidR="007053C8" w:rsidRPr="00024D5A">
              <w:rPr>
                <w:rFonts w:ascii="Garamond" w:eastAsia="Times New Roman" w:hAnsi="Garamond" w:cs="Calibri"/>
                <w:b/>
                <w:bCs/>
                <w:sz w:val="6"/>
                <w:szCs w:val="6"/>
                <w:lang w:eastAsia="en-US"/>
              </w:rPr>
              <w:t xml:space="preserve">prioritare </w:t>
            </w:r>
            <w:r w:rsidRPr="00024D5A">
              <w:rPr>
                <w:rFonts w:ascii="Garamond" w:eastAsia="Times New Roman" w:hAnsi="Garamond" w:cs="Calibri"/>
                <w:b/>
                <w:bCs/>
                <w:sz w:val="6"/>
                <w:szCs w:val="6"/>
                <w:lang w:eastAsia="en-US"/>
              </w:rPr>
              <w:t>2.2</w:t>
            </w:r>
            <w:r w:rsidR="00AC5DA9">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Identifikim i hershëm, vlerësim multidisiplinar dhe planifikim arsimor i individualizuar për nxënësit me aftësi të kufizuara.</w:t>
            </w:r>
          </w:p>
        </w:tc>
        <w:tc>
          <w:tcPr>
            <w:tcW w:w="244" w:type="pct"/>
            <w:tcBorders>
              <w:top w:val="nil"/>
              <w:left w:val="single" w:sz="8" w:space="0" w:color="auto"/>
              <w:bottom w:val="single" w:sz="4" w:space="0" w:color="auto"/>
              <w:right w:val="single" w:sz="4" w:space="0" w:color="auto"/>
            </w:tcBorders>
            <w:shd w:val="clear" w:color="000000" w:fill="DCE6F1"/>
            <w:hideMark/>
          </w:tcPr>
          <w:p w14:paraId="2C0F711B"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2026</w:t>
            </w:r>
          </w:p>
        </w:tc>
        <w:tc>
          <w:tcPr>
            <w:tcW w:w="226" w:type="pct"/>
            <w:tcBorders>
              <w:top w:val="nil"/>
              <w:left w:val="nil"/>
              <w:bottom w:val="single" w:sz="4" w:space="0" w:color="auto"/>
              <w:right w:val="single" w:sz="4" w:space="0" w:color="auto"/>
            </w:tcBorders>
            <w:shd w:val="clear" w:color="000000" w:fill="DCE6F1"/>
            <w:hideMark/>
          </w:tcPr>
          <w:p w14:paraId="6772F38B"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3FF61A6D" w14:textId="5FA7428F"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AKAP</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DRAP</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ZVAP/MA</w:t>
            </w:r>
          </w:p>
        </w:tc>
        <w:tc>
          <w:tcPr>
            <w:tcW w:w="792" w:type="pct"/>
            <w:tcBorders>
              <w:top w:val="nil"/>
              <w:left w:val="nil"/>
              <w:bottom w:val="single" w:sz="4" w:space="0" w:color="auto"/>
              <w:right w:val="single" w:sz="8" w:space="0" w:color="auto"/>
            </w:tcBorders>
            <w:shd w:val="clear" w:color="000000" w:fill="DCE6F1"/>
            <w:vAlign w:val="center"/>
            <w:hideMark/>
          </w:tcPr>
          <w:p w14:paraId="5F6095E5" w14:textId="034714A4"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AKAP/DRAP</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ZVAP/NJVV</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DROSHKSH/IAP/AKAP/ASCAP</w:t>
            </w:r>
          </w:p>
        </w:tc>
        <w:tc>
          <w:tcPr>
            <w:tcW w:w="188" w:type="pct"/>
            <w:tcBorders>
              <w:top w:val="nil"/>
              <w:left w:val="nil"/>
              <w:bottom w:val="single" w:sz="4" w:space="0" w:color="auto"/>
              <w:right w:val="single" w:sz="4" w:space="0" w:color="auto"/>
            </w:tcBorders>
            <w:shd w:val="clear" w:color="000000" w:fill="DCE6F1"/>
            <w:vAlign w:val="center"/>
            <w:hideMark/>
          </w:tcPr>
          <w:p w14:paraId="17636B47" w14:textId="32A5F4D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218</w:t>
            </w:r>
          </w:p>
        </w:tc>
        <w:tc>
          <w:tcPr>
            <w:tcW w:w="190" w:type="pct"/>
            <w:tcBorders>
              <w:top w:val="nil"/>
              <w:left w:val="nil"/>
              <w:bottom w:val="single" w:sz="4" w:space="0" w:color="auto"/>
              <w:right w:val="single" w:sz="4" w:space="0" w:color="auto"/>
            </w:tcBorders>
            <w:shd w:val="clear" w:color="000000" w:fill="DCE6F1"/>
            <w:vAlign w:val="center"/>
            <w:hideMark/>
          </w:tcPr>
          <w:p w14:paraId="5C174AA6" w14:textId="00309A7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218</w:t>
            </w:r>
          </w:p>
        </w:tc>
        <w:tc>
          <w:tcPr>
            <w:tcW w:w="190" w:type="pct"/>
            <w:tcBorders>
              <w:top w:val="nil"/>
              <w:left w:val="nil"/>
              <w:bottom w:val="single" w:sz="4" w:space="0" w:color="auto"/>
              <w:right w:val="single" w:sz="4" w:space="0" w:color="auto"/>
            </w:tcBorders>
            <w:shd w:val="clear" w:color="000000" w:fill="DCE6F1"/>
            <w:vAlign w:val="center"/>
            <w:hideMark/>
          </w:tcPr>
          <w:p w14:paraId="0497A391" w14:textId="7240733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218</w:t>
            </w:r>
          </w:p>
        </w:tc>
        <w:tc>
          <w:tcPr>
            <w:tcW w:w="190" w:type="pct"/>
            <w:tcBorders>
              <w:top w:val="nil"/>
              <w:left w:val="nil"/>
              <w:bottom w:val="single" w:sz="4" w:space="0" w:color="auto"/>
              <w:right w:val="single" w:sz="4" w:space="0" w:color="auto"/>
            </w:tcBorders>
            <w:shd w:val="clear" w:color="000000" w:fill="DCE6F1"/>
            <w:vAlign w:val="center"/>
            <w:hideMark/>
          </w:tcPr>
          <w:p w14:paraId="486A9C4F" w14:textId="56602E1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327</w:t>
            </w:r>
          </w:p>
        </w:tc>
        <w:tc>
          <w:tcPr>
            <w:tcW w:w="187" w:type="pct"/>
            <w:tcBorders>
              <w:top w:val="nil"/>
              <w:left w:val="nil"/>
              <w:bottom w:val="single" w:sz="4" w:space="0" w:color="auto"/>
              <w:right w:val="single" w:sz="4" w:space="0" w:color="auto"/>
            </w:tcBorders>
            <w:shd w:val="clear" w:color="000000" w:fill="DCE6F1"/>
            <w:vAlign w:val="center"/>
            <w:hideMark/>
          </w:tcPr>
          <w:p w14:paraId="3CFB6A1A" w14:textId="0817156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218</w:t>
            </w:r>
          </w:p>
        </w:tc>
        <w:tc>
          <w:tcPr>
            <w:tcW w:w="200" w:type="pct"/>
            <w:tcBorders>
              <w:top w:val="nil"/>
              <w:left w:val="nil"/>
              <w:bottom w:val="single" w:sz="4" w:space="0" w:color="auto"/>
              <w:right w:val="nil"/>
            </w:tcBorders>
            <w:shd w:val="clear" w:color="000000" w:fill="DCE6F1"/>
            <w:vAlign w:val="center"/>
            <w:hideMark/>
          </w:tcPr>
          <w:p w14:paraId="14223466" w14:textId="1EEBEAF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1,200</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7F40F56F" w14:textId="07033F1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1,200</w:t>
            </w:r>
          </w:p>
        </w:tc>
        <w:tc>
          <w:tcPr>
            <w:tcW w:w="209" w:type="pct"/>
            <w:tcBorders>
              <w:top w:val="nil"/>
              <w:left w:val="nil"/>
              <w:bottom w:val="single" w:sz="4" w:space="0" w:color="auto"/>
              <w:right w:val="single" w:sz="4" w:space="0" w:color="auto"/>
            </w:tcBorders>
            <w:shd w:val="clear" w:color="000000" w:fill="DCE6F1"/>
            <w:vAlign w:val="center"/>
            <w:hideMark/>
          </w:tcPr>
          <w:p w14:paraId="7A148EFE" w14:textId="265F308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5" w:type="pct"/>
            <w:tcBorders>
              <w:top w:val="nil"/>
              <w:left w:val="nil"/>
              <w:bottom w:val="single" w:sz="4" w:space="0" w:color="auto"/>
              <w:right w:val="single" w:sz="8" w:space="0" w:color="auto"/>
            </w:tcBorders>
            <w:shd w:val="clear" w:color="000000" w:fill="DCE6F1"/>
            <w:vAlign w:val="center"/>
            <w:hideMark/>
          </w:tcPr>
          <w:p w14:paraId="01BEA73B" w14:textId="6922EC7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202" w:type="pct"/>
            <w:tcBorders>
              <w:top w:val="nil"/>
              <w:left w:val="nil"/>
              <w:bottom w:val="single" w:sz="4" w:space="0" w:color="auto"/>
              <w:right w:val="single" w:sz="4" w:space="0" w:color="auto"/>
            </w:tcBorders>
            <w:shd w:val="clear" w:color="000000" w:fill="DCE6F1"/>
            <w:vAlign w:val="center"/>
            <w:hideMark/>
          </w:tcPr>
          <w:p w14:paraId="0A2226C7" w14:textId="464A13A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12,500</w:t>
            </w:r>
          </w:p>
        </w:tc>
        <w:tc>
          <w:tcPr>
            <w:tcW w:w="200" w:type="pct"/>
            <w:tcBorders>
              <w:top w:val="nil"/>
              <w:left w:val="nil"/>
              <w:bottom w:val="single" w:sz="4" w:space="0" w:color="auto"/>
              <w:right w:val="single" w:sz="4" w:space="0" w:color="auto"/>
            </w:tcBorders>
            <w:shd w:val="clear" w:color="000000" w:fill="DCE6F1"/>
            <w:vAlign w:val="center"/>
            <w:hideMark/>
          </w:tcPr>
          <w:p w14:paraId="5B365771" w14:textId="48077CA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12,500</w:t>
            </w:r>
          </w:p>
        </w:tc>
        <w:tc>
          <w:tcPr>
            <w:tcW w:w="197" w:type="pct"/>
            <w:tcBorders>
              <w:top w:val="nil"/>
              <w:left w:val="nil"/>
              <w:bottom w:val="single" w:sz="4" w:space="0" w:color="auto"/>
              <w:right w:val="single" w:sz="4" w:space="0" w:color="auto"/>
            </w:tcBorders>
            <w:shd w:val="clear" w:color="000000" w:fill="DCE6F1"/>
            <w:vAlign w:val="center"/>
            <w:hideMark/>
          </w:tcPr>
          <w:p w14:paraId="4EC56EE5" w14:textId="2088F5F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single" w:sz="8" w:space="0" w:color="auto"/>
            </w:tcBorders>
            <w:shd w:val="clear" w:color="000000" w:fill="DCE6F1"/>
            <w:vAlign w:val="center"/>
            <w:hideMark/>
          </w:tcPr>
          <w:p w14:paraId="073C247B" w14:textId="2C9B3AD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r>
      <w:tr w:rsidR="00387E5A" w:rsidRPr="00024D5A" w14:paraId="5C26CFD0"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060C6B21" w14:textId="44613571"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Masa </w:t>
            </w:r>
            <w:r w:rsidR="007053C8" w:rsidRPr="00024D5A">
              <w:rPr>
                <w:rFonts w:ascii="Garamond" w:eastAsia="Times New Roman" w:hAnsi="Garamond" w:cs="Calibri"/>
                <w:b/>
                <w:bCs/>
                <w:sz w:val="6"/>
                <w:szCs w:val="6"/>
                <w:lang w:eastAsia="en-US"/>
              </w:rPr>
              <w:t xml:space="preserve">prioritare </w:t>
            </w:r>
            <w:r w:rsidRPr="00024D5A">
              <w:rPr>
                <w:rFonts w:ascii="Garamond" w:eastAsia="Times New Roman" w:hAnsi="Garamond" w:cs="Calibri"/>
                <w:b/>
                <w:bCs/>
                <w:sz w:val="6"/>
                <w:szCs w:val="6"/>
                <w:lang w:eastAsia="en-US"/>
              </w:rPr>
              <w:t>2.3</w:t>
            </w:r>
            <w:r w:rsidR="00AC5DA9">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Mbështetje profesionale, kurrikulare për nxënie gjithëpërfshirëse për </w:t>
            </w:r>
            <w:r w:rsidR="00E51640" w:rsidRPr="00024D5A">
              <w:rPr>
                <w:rFonts w:ascii="Garamond" w:eastAsia="Times New Roman" w:hAnsi="Garamond" w:cs="Calibri"/>
                <w:b/>
                <w:bCs/>
                <w:sz w:val="6"/>
                <w:szCs w:val="6"/>
                <w:lang w:eastAsia="en-US"/>
              </w:rPr>
              <w:t>nxënësit</w:t>
            </w:r>
            <w:r w:rsidRPr="00024D5A">
              <w:rPr>
                <w:rFonts w:ascii="Garamond" w:eastAsia="Times New Roman" w:hAnsi="Garamond" w:cs="Calibri"/>
                <w:b/>
                <w:bCs/>
                <w:sz w:val="6"/>
                <w:szCs w:val="6"/>
                <w:lang w:eastAsia="en-US"/>
              </w:rPr>
              <w:t xml:space="preserve"> me aftësi të kufizuara.</w:t>
            </w:r>
          </w:p>
        </w:tc>
        <w:tc>
          <w:tcPr>
            <w:tcW w:w="244" w:type="pct"/>
            <w:tcBorders>
              <w:top w:val="nil"/>
              <w:left w:val="single" w:sz="8" w:space="0" w:color="auto"/>
              <w:bottom w:val="single" w:sz="4" w:space="0" w:color="auto"/>
              <w:right w:val="single" w:sz="4" w:space="0" w:color="auto"/>
            </w:tcBorders>
            <w:shd w:val="clear" w:color="000000" w:fill="DCE6F1"/>
            <w:hideMark/>
          </w:tcPr>
          <w:p w14:paraId="25768A16"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2026</w:t>
            </w:r>
          </w:p>
        </w:tc>
        <w:tc>
          <w:tcPr>
            <w:tcW w:w="226" w:type="pct"/>
            <w:tcBorders>
              <w:top w:val="nil"/>
              <w:left w:val="nil"/>
              <w:bottom w:val="single" w:sz="4" w:space="0" w:color="auto"/>
              <w:right w:val="single" w:sz="4" w:space="0" w:color="auto"/>
            </w:tcBorders>
            <w:shd w:val="clear" w:color="000000" w:fill="DCE6F1"/>
            <w:hideMark/>
          </w:tcPr>
          <w:p w14:paraId="4F9C3134"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36186F1C"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MA/MPV</w:t>
            </w:r>
          </w:p>
        </w:tc>
        <w:tc>
          <w:tcPr>
            <w:tcW w:w="792" w:type="pct"/>
            <w:tcBorders>
              <w:top w:val="nil"/>
              <w:left w:val="nil"/>
              <w:bottom w:val="single" w:sz="4" w:space="0" w:color="auto"/>
              <w:right w:val="single" w:sz="8" w:space="0" w:color="auto"/>
            </w:tcBorders>
            <w:shd w:val="clear" w:color="000000" w:fill="DCE6F1"/>
            <w:vAlign w:val="center"/>
            <w:hideMark/>
          </w:tcPr>
          <w:p w14:paraId="626B4921" w14:textId="0D01D34C"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AKAP</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DRAP</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ZVAP</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ASCAP</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IAP</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NJVV</w:t>
            </w:r>
          </w:p>
        </w:tc>
        <w:tc>
          <w:tcPr>
            <w:tcW w:w="188" w:type="pct"/>
            <w:tcBorders>
              <w:top w:val="nil"/>
              <w:left w:val="nil"/>
              <w:bottom w:val="single" w:sz="4" w:space="0" w:color="auto"/>
              <w:right w:val="single" w:sz="4" w:space="0" w:color="auto"/>
            </w:tcBorders>
            <w:shd w:val="clear" w:color="000000" w:fill="DCE6F1"/>
            <w:vAlign w:val="center"/>
            <w:hideMark/>
          </w:tcPr>
          <w:p w14:paraId="48E16D86" w14:textId="0DA9B08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241,431</w:t>
            </w:r>
          </w:p>
        </w:tc>
        <w:tc>
          <w:tcPr>
            <w:tcW w:w="190" w:type="pct"/>
            <w:tcBorders>
              <w:top w:val="nil"/>
              <w:left w:val="nil"/>
              <w:bottom w:val="single" w:sz="4" w:space="0" w:color="auto"/>
              <w:right w:val="single" w:sz="4" w:space="0" w:color="auto"/>
            </w:tcBorders>
            <w:shd w:val="clear" w:color="000000" w:fill="DCE6F1"/>
            <w:vAlign w:val="center"/>
            <w:hideMark/>
          </w:tcPr>
          <w:p w14:paraId="0B339529" w14:textId="40BAE6F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315,636</w:t>
            </w:r>
          </w:p>
        </w:tc>
        <w:tc>
          <w:tcPr>
            <w:tcW w:w="190" w:type="pct"/>
            <w:tcBorders>
              <w:top w:val="nil"/>
              <w:left w:val="nil"/>
              <w:bottom w:val="single" w:sz="4" w:space="0" w:color="auto"/>
              <w:right w:val="single" w:sz="4" w:space="0" w:color="auto"/>
            </w:tcBorders>
            <w:shd w:val="clear" w:color="000000" w:fill="DCE6F1"/>
            <w:vAlign w:val="center"/>
            <w:hideMark/>
          </w:tcPr>
          <w:p w14:paraId="54EDF373" w14:textId="40FB4C0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389,841</w:t>
            </w:r>
          </w:p>
        </w:tc>
        <w:tc>
          <w:tcPr>
            <w:tcW w:w="190" w:type="pct"/>
            <w:tcBorders>
              <w:top w:val="nil"/>
              <w:left w:val="nil"/>
              <w:bottom w:val="single" w:sz="4" w:space="0" w:color="auto"/>
              <w:right w:val="single" w:sz="4" w:space="0" w:color="auto"/>
            </w:tcBorders>
            <w:shd w:val="clear" w:color="000000" w:fill="DCE6F1"/>
            <w:vAlign w:val="center"/>
            <w:hideMark/>
          </w:tcPr>
          <w:p w14:paraId="47A16D66" w14:textId="65B605A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443,051</w:t>
            </w:r>
          </w:p>
        </w:tc>
        <w:tc>
          <w:tcPr>
            <w:tcW w:w="187" w:type="pct"/>
            <w:tcBorders>
              <w:top w:val="nil"/>
              <w:left w:val="nil"/>
              <w:bottom w:val="single" w:sz="4" w:space="0" w:color="auto"/>
              <w:right w:val="single" w:sz="4" w:space="0" w:color="auto"/>
            </w:tcBorders>
            <w:shd w:val="clear" w:color="000000" w:fill="DCE6F1"/>
            <w:vAlign w:val="center"/>
            <w:hideMark/>
          </w:tcPr>
          <w:p w14:paraId="16EECE1B" w14:textId="75B685A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496,261</w:t>
            </w:r>
          </w:p>
        </w:tc>
        <w:tc>
          <w:tcPr>
            <w:tcW w:w="200" w:type="pct"/>
            <w:tcBorders>
              <w:top w:val="nil"/>
              <w:left w:val="nil"/>
              <w:bottom w:val="single" w:sz="4" w:space="0" w:color="auto"/>
              <w:right w:val="nil"/>
            </w:tcBorders>
            <w:shd w:val="clear" w:color="000000" w:fill="DCE6F1"/>
            <w:vAlign w:val="center"/>
            <w:hideMark/>
          </w:tcPr>
          <w:p w14:paraId="6265926F" w14:textId="21150D3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1,886,220</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6DAFA81A" w14:textId="36D63AF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1,400,190</w:t>
            </w:r>
          </w:p>
        </w:tc>
        <w:tc>
          <w:tcPr>
            <w:tcW w:w="209" w:type="pct"/>
            <w:tcBorders>
              <w:top w:val="nil"/>
              <w:left w:val="nil"/>
              <w:bottom w:val="single" w:sz="4" w:space="0" w:color="auto"/>
              <w:right w:val="single" w:sz="4" w:space="0" w:color="auto"/>
            </w:tcBorders>
            <w:shd w:val="clear" w:color="000000" w:fill="DCE6F1"/>
            <w:vAlign w:val="center"/>
            <w:hideMark/>
          </w:tcPr>
          <w:p w14:paraId="06D0F059" w14:textId="02023EE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13,600</w:t>
            </w:r>
          </w:p>
        </w:tc>
        <w:tc>
          <w:tcPr>
            <w:tcW w:w="195" w:type="pct"/>
            <w:tcBorders>
              <w:top w:val="nil"/>
              <w:left w:val="nil"/>
              <w:bottom w:val="single" w:sz="4" w:space="0" w:color="auto"/>
              <w:right w:val="single" w:sz="8" w:space="0" w:color="auto"/>
            </w:tcBorders>
            <w:shd w:val="clear" w:color="000000" w:fill="DCE6F1"/>
            <w:vAlign w:val="center"/>
            <w:hideMark/>
          </w:tcPr>
          <w:p w14:paraId="18A14666" w14:textId="6FACBE3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472,430</w:t>
            </w:r>
          </w:p>
        </w:tc>
        <w:tc>
          <w:tcPr>
            <w:tcW w:w="202" w:type="pct"/>
            <w:tcBorders>
              <w:top w:val="nil"/>
              <w:left w:val="nil"/>
              <w:bottom w:val="single" w:sz="4" w:space="0" w:color="auto"/>
              <w:right w:val="single" w:sz="4" w:space="0" w:color="auto"/>
            </w:tcBorders>
            <w:shd w:val="clear" w:color="000000" w:fill="DCE6F1"/>
            <w:vAlign w:val="center"/>
            <w:hideMark/>
          </w:tcPr>
          <w:p w14:paraId="7E167624" w14:textId="0B213EB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19,648,120</w:t>
            </w:r>
          </w:p>
        </w:tc>
        <w:tc>
          <w:tcPr>
            <w:tcW w:w="200" w:type="pct"/>
            <w:tcBorders>
              <w:top w:val="nil"/>
              <w:left w:val="nil"/>
              <w:bottom w:val="single" w:sz="4" w:space="0" w:color="auto"/>
              <w:right w:val="single" w:sz="4" w:space="0" w:color="auto"/>
            </w:tcBorders>
            <w:shd w:val="clear" w:color="000000" w:fill="DCE6F1"/>
            <w:vAlign w:val="center"/>
            <w:hideMark/>
          </w:tcPr>
          <w:p w14:paraId="3EBF4108" w14:textId="12A15E4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14,585,308</w:t>
            </w:r>
          </w:p>
        </w:tc>
        <w:tc>
          <w:tcPr>
            <w:tcW w:w="197" w:type="pct"/>
            <w:tcBorders>
              <w:top w:val="nil"/>
              <w:left w:val="nil"/>
              <w:bottom w:val="single" w:sz="4" w:space="0" w:color="auto"/>
              <w:right w:val="single" w:sz="4" w:space="0" w:color="auto"/>
            </w:tcBorders>
            <w:shd w:val="clear" w:color="000000" w:fill="DCE6F1"/>
            <w:vAlign w:val="center"/>
            <w:hideMark/>
          </w:tcPr>
          <w:p w14:paraId="4A2EB6C8" w14:textId="2C01FFE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141,667</w:t>
            </w:r>
          </w:p>
        </w:tc>
        <w:tc>
          <w:tcPr>
            <w:tcW w:w="342" w:type="pct"/>
            <w:tcBorders>
              <w:top w:val="nil"/>
              <w:left w:val="nil"/>
              <w:bottom w:val="single" w:sz="4" w:space="0" w:color="auto"/>
              <w:right w:val="single" w:sz="8" w:space="0" w:color="auto"/>
            </w:tcBorders>
            <w:shd w:val="clear" w:color="000000" w:fill="DCE6F1"/>
            <w:vAlign w:val="center"/>
            <w:hideMark/>
          </w:tcPr>
          <w:p w14:paraId="7D26FF8D" w14:textId="7B65F5A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4,921,146</w:t>
            </w:r>
          </w:p>
        </w:tc>
      </w:tr>
      <w:tr w:rsidR="00387E5A" w:rsidRPr="00024D5A" w14:paraId="1FBA84A0"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57FF47B0" w14:textId="6143B491"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Masë prioritare 2.4</w:t>
            </w:r>
            <w:r w:rsidR="00AC5DA9">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Zhvillimi i kapaciteteve njerëzore dhe përfshirja e prindërve dhe komunitetit.</w:t>
            </w:r>
          </w:p>
        </w:tc>
        <w:tc>
          <w:tcPr>
            <w:tcW w:w="244" w:type="pct"/>
            <w:tcBorders>
              <w:top w:val="nil"/>
              <w:left w:val="single" w:sz="8" w:space="0" w:color="auto"/>
              <w:bottom w:val="single" w:sz="4" w:space="0" w:color="auto"/>
              <w:right w:val="single" w:sz="4" w:space="0" w:color="auto"/>
            </w:tcBorders>
            <w:shd w:val="clear" w:color="000000" w:fill="DCE6F1"/>
            <w:hideMark/>
          </w:tcPr>
          <w:p w14:paraId="776DFEB4"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2026</w:t>
            </w:r>
          </w:p>
        </w:tc>
        <w:tc>
          <w:tcPr>
            <w:tcW w:w="226" w:type="pct"/>
            <w:tcBorders>
              <w:top w:val="nil"/>
              <w:left w:val="nil"/>
              <w:bottom w:val="single" w:sz="4" w:space="0" w:color="auto"/>
              <w:right w:val="single" w:sz="4" w:space="0" w:color="auto"/>
            </w:tcBorders>
            <w:shd w:val="clear" w:color="000000" w:fill="DCE6F1"/>
            <w:hideMark/>
          </w:tcPr>
          <w:p w14:paraId="51D14270"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63EEB70D"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MA</w:t>
            </w:r>
          </w:p>
        </w:tc>
        <w:tc>
          <w:tcPr>
            <w:tcW w:w="792" w:type="pct"/>
            <w:tcBorders>
              <w:top w:val="nil"/>
              <w:left w:val="nil"/>
              <w:bottom w:val="single" w:sz="4" w:space="0" w:color="auto"/>
              <w:right w:val="single" w:sz="8" w:space="0" w:color="auto"/>
            </w:tcBorders>
            <w:shd w:val="clear" w:color="000000" w:fill="DCE6F1"/>
            <w:vAlign w:val="center"/>
            <w:hideMark/>
          </w:tcPr>
          <w:p w14:paraId="57F14AEF"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DRAP/ZVAP</w:t>
            </w:r>
          </w:p>
        </w:tc>
        <w:tc>
          <w:tcPr>
            <w:tcW w:w="188" w:type="pct"/>
            <w:tcBorders>
              <w:top w:val="nil"/>
              <w:left w:val="nil"/>
              <w:bottom w:val="single" w:sz="4" w:space="0" w:color="auto"/>
              <w:right w:val="single" w:sz="4" w:space="0" w:color="auto"/>
            </w:tcBorders>
            <w:shd w:val="clear" w:color="000000" w:fill="DCE6F1"/>
            <w:vAlign w:val="center"/>
            <w:hideMark/>
          </w:tcPr>
          <w:p w14:paraId="5ED48B2A" w14:textId="6A27E4F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0" w:type="pct"/>
            <w:tcBorders>
              <w:top w:val="nil"/>
              <w:left w:val="nil"/>
              <w:bottom w:val="single" w:sz="4" w:space="0" w:color="auto"/>
              <w:right w:val="single" w:sz="4" w:space="0" w:color="auto"/>
            </w:tcBorders>
            <w:shd w:val="clear" w:color="000000" w:fill="DCE6F1"/>
            <w:vAlign w:val="center"/>
            <w:hideMark/>
          </w:tcPr>
          <w:p w14:paraId="1AEBAA05" w14:textId="398BF0D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0" w:type="pct"/>
            <w:tcBorders>
              <w:top w:val="nil"/>
              <w:left w:val="nil"/>
              <w:bottom w:val="single" w:sz="4" w:space="0" w:color="auto"/>
              <w:right w:val="single" w:sz="4" w:space="0" w:color="auto"/>
            </w:tcBorders>
            <w:shd w:val="clear" w:color="000000" w:fill="DCE6F1"/>
            <w:vAlign w:val="center"/>
            <w:hideMark/>
          </w:tcPr>
          <w:p w14:paraId="5DE63A89" w14:textId="2CDD2B9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0" w:type="pct"/>
            <w:tcBorders>
              <w:top w:val="nil"/>
              <w:left w:val="nil"/>
              <w:bottom w:val="single" w:sz="4" w:space="0" w:color="auto"/>
              <w:right w:val="single" w:sz="4" w:space="0" w:color="auto"/>
            </w:tcBorders>
            <w:shd w:val="clear" w:color="000000" w:fill="DCE6F1"/>
            <w:vAlign w:val="center"/>
            <w:hideMark/>
          </w:tcPr>
          <w:p w14:paraId="646086DD" w14:textId="41B1F57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87" w:type="pct"/>
            <w:tcBorders>
              <w:top w:val="nil"/>
              <w:left w:val="nil"/>
              <w:bottom w:val="single" w:sz="4" w:space="0" w:color="auto"/>
              <w:right w:val="single" w:sz="4" w:space="0" w:color="auto"/>
            </w:tcBorders>
            <w:shd w:val="clear" w:color="000000" w:fill="DCE6F1"/>
            <w:vAlign w:val="center"/>
            <w:hideMark/>
          </w:tcPr>
          <w:p w14:paraId="6622B81B" w14:textId="34DA8BB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200" w:type="pct"/>
            <w:tcBorders>
              <w:top w:val="nil"/>
              <w:left w:val="nil"/>
              <w:bottom w:val="single" w:sz="4" w:space="0" w:color="auto"/>
              <w:right w:val="nil"/>
            </w:tcBorders>
            <w:shd w:val="clear" w:color="000000" w:fill="DCE6F1"/>
            <w:vAlign w:val="center"/>
            <w:hideMark/>
          </w:tcPr>
          <w:p w14:paraId="5CFDCC42" w14:textId="0E3E2C3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0F91E1C3" w14:textId="0D2D516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209" w:type="pct"/>
            <w:tcBorders>
              <w:top w:val="nil"/>
              <w:left w:val="nil"/>
              <w:bottom w:val="single" w:sz="4" w:space="0" w:color="auto"/>
              <w:right w:val="single" w:sz="4" w:space="0" w:color="auto"/>
            </w:tcBorders>
            <w:shd w:val="clear" w:color="000000" w:fill="DCE6F1"/>
            <w:vAlign w:val="center"/>
            <w:hideMark/>
          </w:tcPr>
          <w:p w14:paraId="6A8EAAE3" w14:textId="0B3AC1F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5" w:type="pct"/>
            <w:tcBorders>
              <w:top w:val="nil"/>
              <w:left w:val="nil"/>
              <w:bottom w:val="single" w:sz="4" w:space="0" w:color="auto"/>
              <w:right w:val="single" w:sz="8" w:space="0" w:color="auto"/>
            </w:tcBorders>
            <w:shd w:val="clear" w:color="000000" w:fill="DCE6F1"/>
            <w:vAlign w:val="center"/>
            <w:hideMark/>
          </w:tcPr>
          <w:p w14:paraId="7E3EB761" w14:textId="3C31220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202" w:type="pct"/>
            <w:tcBorders>
              <w:top w:val="nil"/>
              <w:left w:val="nil"/>
              <w:bottom w:val="single" w:sz="4" w:space="0" w:color="auto"/>
              <w:right w:val="single" w:sz="4" w:space="0" w:color="auto"/>
            </w:tcBorders>
            <w:shd w:val="clear" w:color="000000" w:fill="DCE6F1"/>
            <w:vAlign w:val="center"/>
            <w:hideMark/>
          </w:tcPr>
          <w:p w14:paraId="470DFA2D" w14:textId="7667241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200" w:type="pct"/>
            <w:tcBorders>
              <w:top w:val="nil"/>
              <w:left w:val="nil"/>
              <w:bottom w:val="single" w:sz="4" w:space="0" w:color="auto"/>
              <w:right w:val="single" w:sz="4" w:space="0" w:color="auto"/>
            </w:tcBorders>
            <w:shd w:val="clear" w:color="000000" w:fill="DCE6F1"/>
            <w:vAlign w:val="center"/>
            <w:hideMark/>
          </w:tcPr>
          <w:p w14:paraId="7E436696" w14:textId="361E662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7" w:type="pct"/>
            <w:tcBorders>
              <w:top w:val="nil"/>
              <w:left w:val="nil"/>
              <w:bottom w:val="single" w:sz="4" w:space="0" w:color="auto"/>
              <w:right w:val="single" w:sz="4" w:space="0" w:color="auto"/>
            </w:tcBorders>
            <w:shd w:val="clear" w:color="000000" w:fill="DCE6F1"/>
            <w:vAlign w:val="center"/>
            <w:hideMark/>
          </w:tcPr>
          <w:p w14:paraId="7AC38B50" w14:textId="4DDDC3B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single" w:sz="8" w:space="0" w:color="auto"/>
            </w:tcBorders>
            <w:shd w:val="clear" w:color="000000" w:fill="DCE6F1"/>
            <w:vAlign w:val="center"/>
            <w:hideMark/>
          </w:tcPr>
          <w:p w14:paraId="3AC481F6" w14:textId="5AA43E2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r>
      <w:tr w:rsidR="00387E5A" w:rsidRPr="00024D5A" w14:paraId="27FB674D" w14:textId="77777777" w:rsidTr="00387E5A">
        <w:trPr>
          <w:trHeight w:val="20"/>
        </w:trPr>
        <w:tc>
          <w:tcPr>
            <w:tcW w:w="375" w:type="pct"/>
            <w:tcBorders>
              <w:top w:val="nil"/>
              <w:left w:val="single" w:sz="4" w:space="0" w:color="auto"/>
              <w:bottom w:val="single" w:sz="4" w:space="0" w:color="auto"/>
              <w:right w:val="nil"/>
            </w:tcBorders>
            <w:shd w:val="clear" w:color="000000" w:fill="FDE9D9"/>
            <w:vAlign w:val="center"/>
            <w:hideMark/>
          </w:tcPr>
          <w:p w14:paraId="517EA1D3" w14:textId="401EE155"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Objektivi </w:t>
            </w:r>
            <w:r w:rsidR="007053C8" w:rsidRPr="00024D5A">
              <w:rPr>
                <w:rFonts w:ascii="Garamond" w:eastAsia="Times New Roman" w:hAnsi="Garamond" w:cs="Calibri"/>
                <w:b/>
                <w:bCs/>
                <w:sz w:val="6"/>
                <w:szCs w:val="6"/>
                <w:lang w:eastAsia="en-US"/>
              </w:rPr>
              <w:t xml:space="preserve">specifik </w:t>
            </w:r>
            <w:r w:rsidRPr="00024D5A">
              <w:rPr>
                <w:rFonts w:ascii="Garamond" w:eastAsia="Times New Roman" w:hAnsi="Garamond" w:cs="Calibri"/>
                <w:b/>
                <w:bCs/>
                <w:sz w:val="6"/>
                <w:szCs w:val="6"/>
                <w:lang w:eastAsia="en-US"/>
              </w:rPr>
              <w:t>3</w:t>
            </w:r>
            <w:r w:rsidR="00AC5DA9">
              <w:rPr>
                <w:rFonts w:ascii="Garamond" w:eastAsia="Times New Roman" w:hAnsi="Garamond" w:cs="Calibri"/>
                <w:b/>
                <w:bCs/>
                <w:sz w:val="6"/>
                <w:szCs w:val="6"/>
                <w:lang w:eastAsia="en-US"/>
              </w:rPr>
              <w:t>:</w:t>
            </w:r>
            <w:r w:rsidR="008F29FA" w:rsidRPr="00024D5A">
              <w:rPr>
                <w:rFonts w:ascii="Garamond" w:eastAsia="Times New Roman" w:hAnsi="Garamond" w:cs="Calibri"/>
                <w:b/>
                <w:bCs/>
                <w:sz w:val="6"/>
                <w:szCs w:val="6"/>
                <w:lang w:eastAsia="en-US"/>
              </w:rPr>
              <w:t xml:space="preserve"> </w:t>
            </w:r>
            <w:r w:rsidRPr="00024D5A">
              <w:rPr>
                <w:rFonts w:ascii="Garamond" w:eastAsia="Times New Roman" w:hAnsi="Garamond" w:cs="Calibri"/>
                <w:b/>
                <w:bCs/>
                <w:sz w:val="6"/>
                <w:szCs w:val="6"/>
                <w:lang w:eastAsia="en-US"/>
              </w:rPr>
              <w:t xml:space="preserve">Transformimi/riorganizimii shkollave specialenë </w:t>
            </w:r>
            <w:r w:rsidR="007053C8" w:rsidRPr="00024D5A">
              <w:rPr>
                <w:rFonts w:ascii="Garamond" w:eastAsia="Times New Roman" w:hAnsi="Garamond" w:cs="Calibri"/>
                <w:b/>
                <w:bCs/>
                <w:sz w:val="6"/>
                <w:szCs w:val="6"/>
                <w:lang w:eastAsia="en-US"/>
              </w:rPr>
              <w:t>qendra</w:t>
            </w:r>
            <w:r w:rsidRPr="00024D5A">
              <w:rPr>
                <w:rFonts w:ascii="Garamond" w:eastAsia="Times New Roman" w:hAnsi="Garamond" w:cs="Calibri"/>
                <w:b/>
                <w:bCs/>
                <w:sz w:val="6"/>
                <w:szCs w:val="6"/>
                <w:lang w:eastAsia="en-US"/>
              </w:rPr>
              <w:t xml:space="preserve"> burimore</w:t>
            </w:r>
            <w:r w:rsidR="007053C8" w:rsidRPr="00024D5A">
              <w:rPr>
                <w:rFonts w:ascii="Garamond" w:eastAsia="Times New Roman" w:hAnsi="Garamond" w:cs="Calibri"/>
                <w:b/>
                <w:bCs/>
                <w:sz w:val="6"/>
                <w:szCs w:val="6"/>
                <w:lang w:eastAsia="en-US"/>
              </w:rPr>
              <w:t xml:space="preserve"> </w:t>
            </w:r>
            <w:r w:rsidRPr="00024D5A">
              <w:rPr>
                <w:rFonts w:ascii="Garamond" w:eastAsia="Times New Roman" w:hAnsi="Garamond" w:cs="Calibri"/>
                <w:b/>
                <w:bCs/>
                <w:sz w:val="6"/>
                <w:szCs w:val="6"/>
                <w:lang w:eastAsia="en-US"/>
              </w:rPr>
              <w:t xml:space="preserve">dhe konsolidimi </w:t>
            </w:r>
            <w:r w:rsidR="007053C8" w:rsidRPr="00024D5A">
              <w:rPr>
                <w:rFonts w:ascii="Garamond" w:eastAsia="Times New Roman" w:hAnsi="Garamond" w:cs="Calibri"/>
                <w:b/>
                <w:bCs/>
                <w:sz w:val="6"/>
                <w:szCs w:val="6"/>
                <w:lang w:eastAsia="en-US"/>
              </w:rPr>
              <w:t>i</w:t>
            </w:r>
            <w:r w:rsidRPr="00024D5A">
              <w:rPr>
                <w:rFonts w:ascii="Garamond" w:eastAsia="Times New Roman" w:hAnsi="Garamond" w:cs="Calibri"/>
                <w:b/>
                <w:bCs/>
                <w:sz w:val="6"/>
                <w:szCs w:val="6"/>
                <w:lang w:eastAsia="en-US"/>
              </w:rPr>
              <w:t xml:space="preserve"> rolit dhe veprimtarisë së tyre</w:t>
            </w:r>
          </w:p>
        </w:tc>
        <w:tc>
          <w:tcPr>
            <w:tcW w:w="244" w:type="pct"/>
            <w:tcBorders>
              <w:top w:val="nil"/>
              <w:left w:val="single" w:sz="8" w:space="0" w:color="auto"/>
              <w:bottom w:val="single" w:sz="4" w:space="0" w:color="auto"/>
              <w:right w:val="single" w:sz="4" w:space="0" w:color="auto"/>
            </w:tcBorders>
            <w:shd w:val="clear" w:color="000000" w:fill="FDE9D9"/>
            <w:hideMark/>
          </w:tcPr>
          <w:p w14:paraId="0213023C"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2026</w:t>
            </w:r>
          </w:p>
        </w:tc>
        <w:tc>
          <w:tcPr>
            <w:tcW w:w="226" w:type="pct"/>
            <w:tcBorders>
              <w:top w:val="nil"/>
              <w:left w:val="nil"/>
              <w:bottom w:val="single" w:sz="4" w:space="0" w:color="auto"/>
              <w:right w:val="single" w:sz="4" w:space="0" w:color="auto"/>
            </w:tcBorders>
            <w:shd w:val="clear" w:color="000000" w:fill="FDE9D9"/>
            <w:hideMark/>
          </w:tcPr>
          <w:p w14:paraId="2E495E76"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2030</w:t>
            </w:r>
          </w:p>
        </w:tc>
        <w:tc>
          <w:tcPr>
            <w:tcW w:w="664" w:type="pct"/>
            <w:tcBorders>
              <w:top w:val="nil"/>
              <w:left w:val="nil"/>
              <w:bottom w:val="single" w:sz="4" w:space="0" w:color="auto"/>
              <w:right w:val="single" w:sz="4" w:space="0" w:color="auto"/>
            </w:tcBorders>
            <w:shd w:val="clear" w:color="000000" w:fill="FDE9D9"/>
            <w:vAlign w:val="center"/>
            <w:hideMark/>
          </w:tcPr>
          <w:p w14:paraId="4FB9A438"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MA/ASCAP</w:t>
            </w:r>
          </w:p>
        </w:tc>
        <w:tc>
          <w:tcPr>
            <w:tcW w:w="792" w:type="pct"/>
            <w:tcBorders>
              <w:top w:val="nil"/>
              <w:left w:val="nil"/>
              <w:bottom w:val="single" w:sz="4" w:space="0" w:color="auto"/>
              <w:right w:val="single" w:sz="8" w:space="0" w:color="auto"/>
            </w:tcBorders>
            <w:shd w:val="clear" w:color="000000" w:fill="FDE9D9"/>
            <w:vAlign w:val="center"/>
            <w:hideMark/>
          </w:tcPr>
          <w:p w14:paraId="1FDDD089" w14:textId="17AEF888"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 xml:space="preserve">MoE/QB për njerëzit që nuk dëgjojnë/MSHMS/INND/INNSH/Qendra Burimore për Nxënësit që nuk </w:t>
            </w:r>
            <w:r w:rsidR="007053C8" w:rsidRPr="00024D5A">
              <w:rPr>
                <w:rFonts w:ascii="Garamond" w:eastAsia="Times New Roman" w:hAnsi="Garamond"/>
                <w:sz w:val="6"/>
                <w:szCs w:val="6"/>
                <w:lang w:eastAsia="en-US"/>
              </w:rPr>
              <w:t>Dëgjojnë</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 xml:space="preserve">Qendra Burimore </w:t>
            </w:r>
            <w:r w:rsidR="0078161D" w:rsidRPr="00024D5A">
              <w:rPr>
                <w:rFonts w:ascii="Garamond" w:eastAsia="Times New Roman" w:hAnsi="Garamond"/>
                <w:sz w:val="6"/>
                <w:szCs w:val="6"/>
                <w:lang w:eastAsia="en-US"/>
              </w:rPr>
              <w:t>“</w:t>
            </w:r>
            <w:r w:rsidRPr="00024D5A">
              <w:rPr>
                <w:rFonts w:ascii="Garamond" w:eastAsia="Times New Roman" w:hAnsi="Garamond"/>
                <w:sz w:val="6"/>
                <w:szCs w:val="6"/>
                <w:lang w:eastAsia="en-US"/>
              </w:rPr>
              <w:t>Ramazan Kabashi</w:t>
            </w:r>
            <w:r w:rsidR="0078161D" w:rsidRPr="00024D5A">
              <w:rPr>
                <w:rFonts w:ascii="Garamond" w:eastAsia="Times New Roman" w:hAnsi="Garamond"/>
                <w:sz w:val="6"/>
                <w:szCs w:val="6"/>
                <w:lang w:eastAsia="en-US"/>
              </w:rPr>
              <w:t>”</w:t>
            </w:r>
            <w:r w:rsidRPr="00024D5A">
              <w:rPr>
                <w:rFonts w:ascii="Garamond" w:eastAsia="Times New Roman" w:hAnsi="Garamond"/>
                <w:sz w:val="6"/>
                <w:szCs w:val="6"/>
                <w:lang w:eastAsia="en-US"/>
              </w:rPr>
              <w:br/>
              <w:t>/PEI/IAL/ZVA/DRAP/NJVV/ASCAP/KMVA</w:t>
            </w:r>
          </w:p>
        </w:tc>
        <w:tc>
          <w:tcPr>
            <w:tcW w:w="188" w:type="pct"/>
            <w:tcBorders>
              <w:top w:val="nil"/>
              <w:left w:val="nil"/>
              <w:bottom w:val="single" w:sz="4" w:space="0" w:color="auto"/>
              <w:right w:val="single" w:sz="4" w:space="0" w:color="auto"/>
            </w:tcBorders>
            <w:shd w:val="clear" w:color="000000" w:fill="FDE9D9"/>
            <w:vAlign w:val="center"/>
            <w:hideMark/>
          </w:tcPr>
          <w:p w14:paraId="1B95E998" w14:textId="5F58C2F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27,577</w:t>
            </w:r>
          </w:p>
        </w:tc>
        <w:tc>
          <w:tcPr>
            <w:tcW w:w="190" w:type="pct"/>
            <w:tcBorders>
              <w:top w:val="nil"/>
              <w:left w:val="nil"/>
              <w:bottom w:val="single" w:sz="4" w:space="0" w:color="auto"/>
              <w:right w:val="single" w:sz="4" w:space="0" w:color="auto"/>
            </w:tcBorders>
            <w:shd w:val="clear" w:color="000000" w:fill="FDE9D9"/>
            <w:vAlign w:val="center"/>
            <w:hideMark/>
          </w:tcPr>
          <w:p w14:paraId="612F2D2E" w14:textId="7CD16B9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28,439</w:t>
            </w:r>
          </w:p>
        </w:tc>
        <w:tc>
          <w:tcPr>
            <w:tcW w:w="190" w:type="pct"/>
            <w:tcBorders>
              <w:top w:val="nil"/>
              <w:left w:val="nil"/>
              <w:bottom w:val="single" w:sz="4" w:space="0" w:color="auto"/>
              <w:right w:val="single" w:sz="4" w:space="0" w:color="auto"/>
            </w:tcBorders>
            <w:shd w:val="clear" w:color="000000" w:fill="FDE9D9"/>
            <w:vAlign w:val="center"/>
            <w:hideMark/>
          </w:tcPr>
          <w:p w14:paraId="69E52A0E" w14:textId="3DAF8E5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27,827</w:t>
            </w:r>
          </w:p>
        </w:tc>
        <w:tc>
          <w:tcPr>
            <w:tcW w:w="190" w:type="pct"/>
            <w:tcBorders>
              <w:top w:val="nil"/>
              <w:left w:val="nil"/>
              <w:bottom w:val="single" w:sz="4" w:space="0" w:color="auto"/>
              <w:right w:val="single" w:sz="4" w:space="0" w:color="auto"/>
            </w:tcBorders>
            <w:shd w:val="clear" w:color="000000" w:fill="FDE9D9"/>
            <w:vAlign w:val="center"/>
            <w:hideMark/>
          </w:tcPr>
          <w:p w14:paraId="178B4DF4" w14:textId="2808EAF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21,577</w:t>
            </w:r>
          </w:p>
        </w:tc>
        <w:tc>
          <w:tcPr>
            <w:tcW w:w="187" w:type="pct"/>
            <w:tcBorders>
              <w:top w:val="nil"/>
              <w:left w:val="nil"/>
              <w:bottom w:val="single" w:sz="4" w:space="0" w:color="auto"/>
              <w:right w:val="single" w:sz="4" w:space="0" w:color="auto"/>
            </w:tcBorders>
            <w:shd w:val="clear" w:color="000000" w:fill="FDE9D9"/>
            <w:vAlign w:val="center"/>
            <w:hideMark/>
          </w:tcPr>
          <w:p w14:paraId="563A4E93" w14:textId="1815DB9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21,577</w:t>
            </w:r>
          </w:p>
        </w:tc>
        <w:tc>
          <w:tcPr>
            <w:tcW w:w="200" w:type="pct"/>
            <w:tcBorders>
              <w:top w:val="nil"/>
              <w:left w:val="nil"/>
              <w:bottom w:val="single" w:sz="4" w:space="0" w:color="auto"/>
              <w:right w:val="nil"/>
            </w:tcBorders>
            <w:shd w:val="clear" w:color="000000" w:fill="FDE9D9"/>
            <w:vAlign w:val="center"/>
            <w:hideMark/>
          </w:tcPr>
          <w:p w14:paraId="15E53B71" w14:textId="1B1B85D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126,998</w:t>
            </w:r>
          </w:p>
        </w:tc>
        <w:tc>
          <w:tcPr>
            <w:tcW w:w="209" w:type="pct"/>
            <w:tcBorders>
              <w:top w:val="nil"/>
              <w:left w:val="single" w:sz="8" w:space="0" w:color="auto"/>
              <w:bottom w:val="single" w:sz="4" w:space="0" w:color="auto"/>
              <w:right w:val="single" w:sz="4" w:space="0" w:color="auto"/>
            </w:tcBorders>
            <w:shd w:val="clear" w:color="000000" w:fill="FDE9D9"/>
            <w:vAlign w:val="center"/>
            <w:hideMark/>
          </w:tcPr>
          <w:p w14:paraId="16260FF5" w14:textId="030D4B1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107,248</w:t>
            </w:r>
          </w:p>
        </w:tc>
        <w:tc>
          <w:tcPr>
            <w:tcW w:w="209" w:type="pct"/>
            <w:tcBorders>
              <w:top w:val="nil"/>
              <w:left w:val="nil"/>
              <w:bottom w:val="single" w:sz="4" w:space="0" w:color="auto"/>
              <w:right w:val="single" w:sz="4" w:space="0" w:color="auto"/>
            </w:tcBorders>
            <w:shd w:val="clear" w:color="000000" w:fill="FDE9D9"/>
            <w:vAlign w:val="center"/>
            <w:hideMark/>
          </w:tcPr>
          <w:p w14:paraId="4D3EDC6E" w14:textId="2C94938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1,500</w:t>
            </w:r>
          </w:p>
        </w:tc>
        <w:tc>
          <w:tcPr>
            <w:tcW w:w="195" w:type="pct"/>
            <w:tcBorders>
              <w:top w:val="nil"/>
              <w:left w:val="nil"/>
              <w:bottom w:val="single" w:sz="4" w:space="0" w:color="auto"/>
              <w:right w:val="single" w:sz="8" w:space="0" w:color="auto"/>
            </w:tcBorders>
            <w:shd w:val="clear" w:color="000000" w:fill="FDE9D9"/>
            <w:vAlign w:val="center"/>
            <w:hideMark/>
          </w:tcPr>
          <w:p w14:paraId="7F9B4B2A" w14:textId="229772F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18,250</w:t>
            </w:r>
          </w:p>
        </w:tc>
        <w:tc>
          <w:tcPr>
            <w:tcW w:w="202" w:type="pct"/>
            <w:tcBorders>
              <w:top w:val="nil"/>
              <w:left w:val="nil"/>
              <w:bottom w:val="single" w:sz="4" w:space="0" w:color="auto"/>
              <w:right w:val="single" w:sz="4" w:space="0" w:color="auto"/>
            </w:tcBorders>
            <w:shd w:val="clear" w:color="000000" w:fill="FDE9D9"/>
            <w:vAlign w:val="center"/>
            <w:hideMark/>
          </w:tcPr>
          <w:p w14:paraId="039F76FC" w14:textId="5D7BA3D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1,322,900</w:t>
            </w:r>
          </w:p>
        </w:tc>
        <w:tc>
          <w:tcPr>
            <w:tcW w:w="200" w:type="pct"/>
            <w:tcBorders>
              <w:top w:val="nil"/>
              <w:left w:val="nil"/>
              <w:bottom w:val="single" w:sz="4" w:space="0" w:color="auto"/>
              <w:right w:val="single" w:sz="4" w:space="0" w:color="auto"/>
            </w:tcBorders>
            <w:shd w:val="clear" w:color="000000" w:fill="FDE9D9"/>
            <w:vAlign w:val="center"/>
            <w:hideMark/>
          </w:tcPr>
          <w:p w14:paraId="17A4443E" w14:textId="5AF7CF2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1,117,170</w:t>
            </w:r>
          </w:p>
        </w:tc>
        <w:tc>
          <w:tcPr>
            <w:tcW w:w="197" w:type="pct"/>
            <w:tcBorders>
              <w:top w:val="nil"/>
              <w:left w:val="nil"/>
              <w:bottom w:val="single" w:sz="4" w:space="0" w:color="auto"/>
              <w:right w:val="single" w:sz="4" w:space="0" w:color="auto"/>
            </w:tcBorders>
            <w:shd w:val="clear" w:color="000000" w:fill="FDE9D9"/>
            <w:vAlign w:val="center"/>
            <w:hideMark/>
          </w:tcPr>
          <w:p w14:paraId="13DAB5D3" w14:textId="35A9491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15,625</w:t>
            </w:r>
          </w:p>
        </w:tc>
        <w:tc>
          <w:tcPr>
            <w:tcW w:w="342" w:type="pct"/>
            <w:tcBorders>
              <w:top w:val="nil"/>
              <w:left w:val="nil"/>
              <w:bottom w:val="single" w:sz="4" w:space="0" w:color="auto"/>
              <w:right w:val="single" w:sz="8" w:space="0" w:color="auto"/>
            </w:tcBorders>
            <w:shd w:val="clear" w:color="000000" w:fill="FDE9D9"/>
            <w:vAlign w:val="center"/>
            <w:hideMark/>
          </w:tcPr>
          <w:p w14:paraId="487E1513" w14:textId="43A8B11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190,104</w:t>
            </w:r>
          </w:p>
        </w:tc>
      </w:tr>
      <w:tr w:rsidR="00387E5A" w:rsidRPr="00024D5A" w14:paraId="6FFE7CC1"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72B6AFF0" w14:textId="42D84F1B"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Masa </w:t>
            </w:r>
            <w:r w:rsidR="007053C8" w:rsidRPr="00024D5A">
              <w:rPr>
                <w:rFonts w:ascii="Garamond" w:eastAsia="Times New Roman" w:hAnsi="Garamond" w:cs="Calibri"/>
                <w:b/>
                <w:bCs/>
                <w:sz w:val="6"/>
                <w:szCs w:val="6"/>
                <w:lang w:eastAsia="en-US"/>
              </w:rPr>
              <w:t xml:space="preserve">prioritare </w:t>
            </w:r>
            <w:r w:rsidRPr="00024D5A">
              <w:rPr>
                <w:rFonts w:ascii="Garamond" w:eastAsia="Times New Roman" w:hAnsi="Garamond" w:cs="Calibri"/>
                <w:b/>
                <w:bCs/>
                <w:sz w:val="6"/>
                <w:szCs w:val="6"/>
                <w:lang w:eastAsia="en-US"/>
              </w:rPr>
              <w:t>3.1</w:t>
            </w:r>
            <w:r w:rsidR="00AC5DA9">
              <w:rPr>
                <w:rFonts w:ascii="Garamond" w:eastAsia="Times New Roman" w:hAnsi="Garamond" w:cs="Calibri"/>
                <w:b/>
                <w:bCs/>
                <w:sz w:val="6"/>
                <w:szCs w:val="6"/>
                <w:lang w:eastAsia="en-US"/>
              </w:rPr>
              <w:t xml:space="preserve">: </w:t>
            </w:r>
            <w:r w:rsidRPr="00024D5A">
              <w:rPr>
                <w:rFonts w:ascii="Garamond" w:eastAsia="Times New Roman" w:hAnsi="Garamond" w:cs="Calibri"/>
                <w:b/>
                <w:bCs/>
                <w:sz w:val="6"/>
                <w:szCs w:val="6"/>
                <w:lang w:eastAsia="en-US"/>
              </w:rPr>
              <w:t>Konsolidimi i kuadrit rregullator për qendrat burimore.</w:t>
            </w:r>
          </w:p>
        </w:tc>
        <w:tc>
          <w:tcPr>
            <w:tcW w:w="244" w:type="pct"/>
            <w:tcBorders>
              <w:top w:val="nil"/>
              <w:left w:val="single" w:sz="8" w:space="0" w:color="auto"/>
              <w:bottom w:val="single" w:sz="4" w:space="0" w:color="auto"/>
              <w:right w:val="single" w:sz="4" w:space="0" w:color="auto"/>
            </w:tcBorders>
            <w:shd w:val="clear" w:color="000000" w:fill="DCE6F1"/>
            <w:hideMark/>
          </w:tcPr>
          <w:p w14:paraId="65888884"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2026</w:t>
            </w:r>
          </w:p>
        </w:tc>
        <w:tc>
          <w:tcPr>
            <w:tcW w:w="226" w:type="pct"/>
            <w:tcBorders>
              <w:top w:val="nil"/>
              <w:left w:val="nil"/>
              <w:bottom w:val="single" w:sz="4" w:space="0" w:color="auto"/>
              <w:right w:val="single" w:sz="4" w:space="0" w:color="auto"/>
            </w:tcBorders>
            <w:shd w:val="clear" w:color="000000" w:fill="DCE6F1"/>
            <w:hideMark/>
          </w:tcPr>
          <w:p w14:paraId="41EA1362"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4BF671DD"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MA</w:t>
            </w:r>
          </w:p>
        </w:tc>
        <w:tc>
          <w:tcPr>
            <w:tcW w:w="792" w:type="pct"/>
            <w:tcBorders>
              <w:top w:val="nil"/>
              <w:left w:val="nil"/>
              <w:bottom w:val="single" w:sz="4" w:space="0" w:color="auto"/>
              <w:right w:val="single" w:sz="8" w:space="0" w:color="auto"/>
            </w:tcBorders>
            <w:shd w:val="clear" w:color="000000" w:fill="DCE6F1"/>
            <w:vAlign w:val="center"/>
            <w:hideMark/>
          </w:tcPr>
          <w:p w14:paraId="487B0E44"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MA/QB për njerëzit që nuk dëgjojnë/MSHMS</w:t>
            </w:r>
          </w:p>
        </w:tc>
        <w:tc>
          <w:tcPr>
            <w:tcW w:w="188" w:type="pct"/>
            <w:tcBorders>
              <w:top w:val="nil"/>
              <w:left w:val="nil"/>
              <w:bottom w:val="single" w:sz="4" w:space="0" w:color="auto"/>
              <w:right w:val="single" w:sz="4" w:space="0" w:color="auto"/>
            </w:tcBorders>
            <w:shd w:val="clear" w:color="000000" w:fill="DCE6F1"/>
            <w:vAlign w:val="center"/>
            <w:hideMark/>
          </w:tcPr>
          <w:p w14:paraId="33DF1E85" w14:textId="74C3914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0" w:type="pct"/>
            <w:tcBorders>
              <w:top w:val="nil"/>
              <w:left w:val="nil"/>
              <w:bottom w:val="single" w:sz="4" w:space="0" w:color="auto"/>
              <w:right w:val="single" w:sz="4" w:space="0" w:color="auto"/>
            </w:tcBorders>
            <w:shd w:val="clear" w:color="000000" w:fill="DCE6F1"/>
            <w:vAlign w:val="center"/>
            <w:hideMark/>
          </w:tcPr>
          <w:p w14:paraId="11A2A9AA" w14:textId="2C206E4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462</w:t>
            </w:r>
          </w:p>
        </w:tc>
        <w:tc>
          <w:tcPr>
            <w:tcW w:w="190" w:type="pct"/>
            <w:tcBorders>
              <w:top w:val="nil"/>
              <w:left w:val="nil"/>
              <w:bottom w:val="single" w:sz="4" w:space="0" w:color="auto"/>
              <w:right w:val="single" w:sz="4" w:space="0" w:color="auto"/>
            </w:tcBorders>
            <w:shd w:val="clear" w:color="000000" w:fill="DCE6F1"/>
            <w:vAlign w:val="center"/>
            <w:hideMark/>
          </w:tcPr>
          <w:p w14:paraId="28538DF7" w14:textId="78466BD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0" w:type="pct"/>
            <w:tcBorders>
              <w:top w:val="nil"/>
              <w:left w:val="nil"/>
              <w:bottom w:val="single" w:sz="4" w:space="0" w:color="auto"/>
              <w:right w:val="single" w:sz="4" w:space="0" w:color="auto"/>
            </w:tcBorders>
            <w:shd w:val="clear" w:color="000000" w:fill="DCE6F1"/>
            <w:vAlign w:val="center"/>
            <w:hideMark/>
          </w:tcPr>
          <w:p w14:paraId="287A00D8" w14:textId="644F628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87" w:type="pct"/>
            <w:tcBorders>
              <w:top w:val="nil"/>
              <w:left w:val="nil"/>
              <w:bottom w:val="single" w:sz="4" w:space="0" w:color="auto"/>
              <w:right w:val="single" w:sz="4" w:space="0" w:color="auto"/>
            </w:tcBorders>
            <w:shd w:val="clear" w:color="000000" w:fill="DCE6F1"/>
            <w:vAlign w:val="center"/>
            <w:hideMark/>
          </w:tcPr>
          <w:p w14:paraId="6B7F1637" w14:textId="4B5178A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200" w:type="pct"/>
            <w:tcBorders>
              <w:top w:val="nil"/>
              <w:left w:val="nil"/>
              <w:bottom w:val="single" w:sz="4" w:space="0" w:color="auto"/>
              <w:right w:val="nil"/>
            </w:tcBorders>
            <w:shd w:val="clear" w:color="000000" w:fill="DCE6F1"/>
            <w:vAlign w:val="center"/>
            <w:hideMark/>
          </w:tcPr>
          <w:p w14:paraId="05841B38" w14:textId="4860ED9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462</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3814E1BA" w14:textId="6EDB609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462</w:t>
            </w:r>
          </w:p>
        </w:tc>
        <w:tc>
          <w:tcPr>
            <w:tcW w:w="209" w:type="pct"/>
            <w:tcBorders>
              <w:top w:val="nil"/>
              <w:left w:val="nil"/>
              <w:bottom w:val="single" w:sz="4" w:space="0" w:color="auto"/>
              <w:right w:val="single" w:sz="4" w:space="0" w:color="auto"/>
            </w:tcBorders>
            <w:shd w:val="clear" w:color="000000" w:fill="DCE6F1"/>
            <w:vAlign w:val="center"/>
            <w:hideMark/>
          </w:tcPr>
          <w:p w14:paraId="142460C2" w14:textId="0D06137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5" w:type="pct"/>
            <w:tcBorders>
              <w:top w:val="nil"/>
              <w:left w:val="nil"/>
              <w:bottom w:val="single" w:sz="4" w:space="0" w:color="auto"/>
              <w:right w:val="single" w:sz="8" w:space="0" w:color="auto"/>
            </w:tcBorders>
            <w:shd w:val="clear" w:color="000000" w:fill="DCE6F1"/>
            <w:vAlign w:val="center"/>
            <w:hideMark/>
          </w:tcPr>
          <w:p w14:paraId="52A0B131" w14:textId="4598F73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202" w:type="pct"/>
            <w:tcBorders>
              <w:top w:val="nil"/>
              <w:left w:val="nil"/>
              <w:bottom w:val="single" w:sz="4" w:space="0" w:color="auto"/>
              <w:right w:val="single" w:sz="4" w:space="0" w:color="auto"/>
            </w:tcBorders>
            <w:shd w:val="clear" w:color="000000" w:fill="DCE6F1"/>
            <w:vAlign w:val="center"/>
            <w:hideMark/>
          </w:tcPr>
          <w:p w14:paraId="79BA7FE9" w14:textId="4645B12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4,813</w:t>
            </w:r>
          </w:p>
        </w:tc>
        <w:tc>
          <w:tcPr>
            <w:tcW w:w="200" w:type="pct"/>
            <w:tcBorders>
              <w:top w:val="nil"/>
              <w:left w:val="nil"/>
              <w:bottom w:val="single" w:sz="4" w:space="0" w:color="auto"/>
              <w:right w:val="single" w:sz="4" w:space="0" w:color="auto"/>
            </w:tcBorders>
            <w:shd w:val="clear" w:color="000000" w:fill="DCE6F1"/>
            <w:vAlign w:val="center"/>
            <w:hideMark/>
          </w:tcPr>
          <w:p w14:paraId="02CA090E" w14:textId="058F5D7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4,813</w:t>
            </w:r>
          </w:p>
        </w:tc>
        <w:tc>
          <w:tcPr>
            <w:tcW w:w="197" w:type="pct"/>
            <w:tcBorders>
              <w:top w:val="nil"/>
              <w:left w:val="nil"/>
              <w:bottom w:val="single" w:sz="4" w:space="0" w:color="auto"/>
              <w:right w:val="single" w:sz="4" w:space="0" w:color="auto"/>
            </w:tcBorders>
            <w:shd w:val="clear" w:color="000000" w:fill="DCE6F1"/>
            <w:vAlign w:val="center"/>
            <w:hideMark/>
          </w:tcPr>
          <w:p w14:paraId="1BCA17DC" w14:textId="45C2B46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single" w:sz="8" w:space="0" w:color="auto"/>
            </w:tcBorders>
            <w:shd w:val="clear" w:color="000000" w:fill="DCE6F1"/>
            <w:vAlign w:val="center"/>
            <w:hideMark/>
          </w:tcPr>
          <w:p w14:paraId="33020820" w14:textId="6B4660C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r>
      <w:tr w:rsidR="00387E5A" w:rsidRPr="00024D5A" w14:paraId="6C826348"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1104DCBF" w14:textId="134FF462"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Masa </w:t>
            </w:r>
            <w:r w:rsidR="007053C8" w:rsidRPr="00024D5A">
              <w:rPr>
                <w:rFonts w:ascii="Garamond" w:eastAsia="Times New Roman" w:hAnsi="Garamond" w:cs="Calibri"/>
                <w:b/>
                <w:bCs/>
                <w:sz w:val="6"/>
                <w:szCs w:val="6"/>
                <w:lang w:eastAsia="en-US"/>
              </w:rPr>
              <w:t xml:space="preserve">prioritare </w:t>
            </w:r>
            <w:r w:rsidRPr="00024D5A">
              <w:rPr>
                <w:rFonts w:ascii="Garamond" w:eastAsia="Times New Roman" w:hAnsi="Garamond" w:cs="Calibri"/>
                <w:b/>
                <w:bCs/>
                <w:sz w:val="6"/>
                <w:szCs w:val="6"/>
                <w:lang w:eastAsia="en-US"/>
              </w:rPr>
              <w:t>3.2</w:t>
            </w:r>
            <w:r w:rsidR="00AC5DA9">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Akreditimi dhe integrimi i moduleve të trajnimit të hartuara nga </w:t>
            </w:r>
            <w:r w:rsidR="007053C8" w:rsidRPr="00024D5A">
              <w:rPr>
                <w:rFonts w:ascii="Garamond" w:eastAsia="Times New Roman" w:hAnsi="Garamond" w:cs="Calibri"/>
                <w:b/>
                <w:bCs/>
                <w:sz w:val="6"/>
                <w:szCs w:val="6"/>
                <w:lang w:eastAsia="en-US"/>
              </w:rPr>
              <w:t>Qendrat</w:t>
            </w:r>
            <w:r w:rsidRPr="00024D5A">
              <w:rPr>
                <w:rFonts w:ascii="Garamond" w:eastAsia="Times New Roman" w:hAnsi="Garamond" w:cs="Calibri"/>
                <w:b/>
                <w:bCs/>
                <w:sz w:val="6"/>
                <w:szCs w:val="6"/>
                <w:lang w:eastAsia="en-US"/>
              </w:rPr>
              <w:t xml:space="preserve"> Burimore në programet kombëtare të zhvillimit.</w:t>
            </w:r>
          </w:p>
        </w:tc>
        <w:tc>
          <w:tcPr>
            <w:tcW w:w="244" w:type="pct"/>
            <w:tcBorders>
              <w:top w:val="nil"/>
              <w:left w:val="single" w:sz="8" w:space="0" w:color="auto"/>
              <w:bottom w:val="single" w:sz="4" w:space="0" w:color="auto"/>
              <w:right w:val="single" w:sz="4" w:space="0" w:color="auto"/>
            </w:tcBorders>
            <w:shd w:val="clear" w:color="000000" w:fill="DCE6F1"/>
            <w:noWrap/>
            <w:vAlign w:val="center"/>
            <w:hideMark/>
          </w:tcPr>
          <w:p w14:paraId="02953CC5"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2026</w:t>
            </w:r>
          </w:p>
        </w:tc>
        <w:tc>
          <w:tcPr>
            <w:tcW w:w="226" w:type="pct"/>
            <w:tcBorders>
              <w:top w:val="nil"/>
              <w:left w:val="nil"/>
              <w:bottom w:val="single" w:sz="4" w:space="0" w:color="auto"/>
              <w:right w:val="single" w:sz="4" w:space="0" w:color="auto"/>
            </w:tcBorders>
            <w:shd w:val="clear" w:color="000000" w:fill="DCE6F1"/>
            <w:noWrap/>
            <w:vAlign w:val="center"/>
            <w:hideMark/>
          </w:tcPr>
          <w:p w14:paraId="3248F994"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349B7C75"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ASCAP, MA</w:t>
            </w:r>
          </w:p>
        </w:tc>
        <w:tc>
          <w:tcPr>
            <w:tcW w:w="792" w:type="pct"/>
            <w:tcBorders>
              <w:top w:val="nil"/>
              <w:left w:val="nil"/>
              <w:bottom w:val="single" w:sz="4" w:space="0" w:color="auto"/>
              <w:right w:val="single" w:sz="8" w:space="0" w:color="auto"/>
            </w:tcBorders>
            <w:shd w:val="clear" w:color="000000" w:fill="DCE6F1"/>
            <w:vAlign w:val="center"/>
            <w:hideMark/>
          </w:tcPr>
          <w:p w14:paraId="4C026F3E" w14:textId="44E31E08"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Qendra Burimore për Nxënësit që nuk dëgjojnë</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 xml:space="preserve">Qendra Burimore </w:t>
            </w:r>
            <w:r w:rsidR="0078161D" w:rsidRPr="00024D5A">
              <w:rPr>
                <w:rFonts w:ascii="Garamond" w:eastAsia="Times New Roman" w:hAnsi="Garamond"/>
                <w:sz w:val="6"/>
                <w:szCs w:val="6"/>
                <w:lang w:eastAsia="en-US"/>
              </w:rPr>
              <w:t>“</w:t>
            </w:r>
            <w:r w:rsidRPr="00024D5A">
              <w:rPr>
                <w:rFonts w:ascii="Garamond" w:eastAsia="Times New Roman" w:hAnsi="Garamond"/>
                <w:sz w:val="6"/>
                <w:szCs w:val="6"/>
                <w:lang w:eastAsia="en-US"/>
              </w:rPr>
              <w:t>Ramazan Kabashi</w:t>
            </w:r>
            <w:r w:rsidR="0078161D" w:rsidRPr="00024D5A">
              <w:rPr>
                <w:rFonts w:ascii="Garamond" w:eastAsia="Times New Roman" w:hAnsi="Garamond"/>
                <w:sz w:val="6"/>
                <w:szCs w:val="6"/>
                <w:lang w:eastAsia="en-US"/>
              </w:rPr>
              <w:t>”</w:t>
            </w:r>
            <w:r w:rsidRPr="00024D5A">
              <w:rPr>
                <w:rFonts w:ascii="Garamond" w:eastAsia="Times New Roman" w:hAnsi="Garamond"/>
                <w:sz w:val="6"/>
                <w:szCs w:val="6"/>
                <w:lang w:eastAsia="en-US"/>
              </w:rPr>
              <w:br/>
              <w:t>/IAP/IAL</w:t>
            </w:r>
          </w:p>
        </w:tc>
        <w:tc>
          <w:tcPr>
            <w:tcW w:w="188" w:type="pct"/>
            <w:tcBorders>
              <w:top w:val="nil"/>
              <w:left w:val="nil"/>
              <w:bottom w:val="single" w:sz="4" w:space="0" w:color="auto"/>
              <w:right w:val="single" w:sz="4" w:space="0" w:color="auto"/>
            </w:tcBorders>
            <w:shd w:val="clear" w:color="000000" w:fill="DCE6F1"/>
            <w:vAlign w:val="center"/>
            <w:hideMark/>
          </w:tcPr>
          <w:p w14:paraId="14727617" w14:textId="2BE328D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0" w:type="pct"/>
            <w:tcBorders>
              <w:top w:val="nil"/>
              <w:left w:val="nil"/>
              <w:bottom w:val="single" w:sz="4" w:space="0" w:color="auto"/>
              <w:right w:val="single" w:sz="4" w:space="0" w:color="auto"/>
            </w:tcBorders>
            <w:shd w:val="clear" w:color="000000" w:fill="DCE6F1"/>
            <w:vAlign w:val="center"/>
            <w:hideMark/>
          </w:tcPr>
          <w:p w14:paraId="06291EA9" w14:textId="2A5AE8B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400</w:t>
            </w:r>
          </w:p>
        </w:tc>
        <w:tc>
          <w:tcPr>
            <w:tcW w:w="190" w:type="pct"/>
            <w:tcBorders>
              <w:top w:val="nil"/>
              <w:left w:val="nil"/>
              <w:bottom w:val="single" w:sz="4" w:space="0" w:color="auto"/>
              <w:right w:val="single" w:sz="4" w:space="0" w:color="auto"/>
            </w:tcBorders>
            <w:shd w:val="clear" w:color="000000" w:fill="DCE6F1"/>
            <w:vAlign w:val="center"/>
            <w:hideMark/>
          </w:tcPr>
          <w:p w14:paraId="7289E5C0" w14:textId="6FA04E1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0" w:type="pct"/>
            <w:tcBorders>
              <w:top w:val="nil"/>
              <w:left w:val="nil"/>
              <w:bottom w:val="single" w:sz="4" w:space="0" w:color="auto"/>
              <w:right w:val="single" w:sz="4" w:space="0" w:color="auto"/>
            </w:tcBorders>
            <w:shd w:val="clear" w:color="000000" w:fill="DCE6F1"/>
            <w:vAlign w:val="center"/>
            <w:hideMark/>
          </w:tcPr>
          <w:p w14:paraId="2F3FE4F9" w14:textId="005E2CC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87" w:type="pct"/>
            <w:tcBorders>
              <w:top w:val="nil"/>
              <w:left w:val="nil"/>
              <w:bottom w:val="single" w:sz="4" w:space="0" w:color="auto"/>
              <w:right w:val="single" w:sz="4" w:space="0" w:color="auto"/>
            </w:tcBorders>
            <w:shd w:val="clear" w:color="000000" w:fill="DCE6F1"/>
            <w:vAlign w:val="center"/>
            <w:hideMark/>
          </w:tcPr>
          <w:p w14:paraId="413FDF6D" w14:textId="0419B32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200" w:type="pct"/>
            <w:tcBorders>
              <w:top w:val="nil"/>
              <w:left w:val="nil"/>
              <w:bottom w:val="single" w:sz="4" w:space="0" w:color="auto"/>
              <w:right w:val="nil"/>
            </w:tcBorders>
            <w:shd w:val="clear" w:color="000000" w:fill="DCE6F1"/>
            <w:vAlign w:val="center"/>
            <w:hideMark/>
          </w:tcPr>
          <w:p w14:paraId="4A6B3090" w14:textId="633F66B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400</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0D32E799" w14:textId="4B2A7D5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400</w:t>
            </w:r>
          </w:p>
        </w:tc>
        <w:tc>
          <w:tcPr>
            <w:tcW w:w="209" w:type="pct"/>
            <w:tcBorders>
              <w:top w:val="nil"/>
              <w:left w:val="nil"/>
              <w:bottom w:val="single" w:sz="4" w:space="0" w:color="auto"/>
              <w:right w:val="single" w:sz="4" w:space="0" w:color="auto"/>
            </w:tcBorders>
            <w:shd w:val="clear" w:color="000000" w:fill="DCE6F1"/>
            <w:vAlign w:val="center"/>
            <w:hideMark/>
          </w:tcPr>
          <w:p w14:paraId="74EB7F8B" w14:textId="51FBA6B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5" w:type="pct"/>
            <w:tcBorders>
              <w:top w:val="nil"/>
              <w:left w:val="nil"/>
              <w:bottom w:val="single" w:sz="4" w:space="0" w:color="auto"/>
              <w:right w:val="single" w:sz="8" w:space="0" w:color="auto"/>
            </w:tcBorders>
            <w:shd w:val="clear" w:color="000000" w:fill="DCE6F1"/>
            <w:vAlign w:val="center"/>
            <w:hideMark/>
          </w:tcPr>
          <w:p w14:paraId="0988E2B9" w14:textId="0E8B3C3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202" w:type="pct"/>
            <w:tcBorders>
              <w:top w:val="nil"/>
              <w:left w:val="nil"/>
              <w:bottom w:val="single" w:sz="4" w:space="0" w:color="auto"/>
              <w:right w:val="single" w:sz="4" w:space="0" w:color="auto"/>
            </w:tcBorders>
            <w:shd w:val="clear" w:color="000000" w:fill="DCE6F1"/>
            <w:vAlign w:val="center"/>
            <w:hideMark/>
          </w:tcPr>
          <w:p w14:paraId="636E83FC" w14:textId="140AB9D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4,167</w:t>
            </w:r>
          </w:p>
        </w:tc>
        <w:tc>
          <w:tcPr>
            <w:tcW w:w="200" w:type="pct"/>
            <w:tcBorders>
              <w:top w:val="nil"/>
              <w:left w:val="nil"/>
              <w:bottom w:val="single" w:sz="4" w:space="0" w:color="auto"/>
              <w:right w:val="single" w:sz="4" w:space="0" w:color="auto"/>
            </w:tcBorders>
            <w:shd w:val="clear" w:color="000000" w:fill="DCE6F1"/>
            <w:vAlign w:val="center"/>
            <w:hideMark/>
          </w:tcPr>
          <w:p w14:paraId="21CA3DE7" w14:textId="4D0D0E3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4,167</w:t>
            </w:r>
          </w:p>
        </w:tc>
        <w:tc>
          <w:tcPr>
            <w:tcW w:w="197" w:type="pct"/>
            <w:tcBorders>
              <w:top w:val="nil"/>
              <w:left w:val="nil"/>
              <w:bottom w:val="single" w:sz="4" w:space="0" w:color="auto"/>
              <w:right w:val="single" w:sz="4" w:space="0" w:color="auto"/>
            </w:tcBorders>
            <w:shd w:val="clear" w:color="000000" w:fill="DCE6F1"/>
            <w:vAlign w:val="center"/>
            <w:hideMark/>
          </w:tcPr>
          <w:p w14:paraId="66B59B36" w14:textId="342F94B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single" w:sz="8" w:space="0" w:color="auto"/>
            </w:tcBorders>
            <w:shd w:val="clear" w:color="000000" w:fill="DCE6F1"/>
            <w:vAlign w:val="center"/>
            <w:hideMark/>
          </w:tcPr>
          <w:p w14:paraId="60104DB8" w14:textId="667BCFB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r>
      <w:tr w:rsidR="00387E5A" w:rsidRPr="00024D5A" w14:paraId="4EA264C8"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6127C062" w14:textId="41EA1893"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Masa </w:t>
            </w:r>
            <w:r w:rsidR="007053C8" w:rsidRPr="00024D5A">
              <w:rPr>
                <w:rFonts w:ascii="Garamond" w:eastAsia="Times New Roman" w:hAnsi="Garamond" w:cs="Calibri"/>
                <w:b/>
                <w:bCs/>
                <w:sz w:val="6"/>
                <w:szCs w:val="6"/>
                <w:lang w:eastAsia="en-US"/>
              </w:rPr>
              <w:t xml:space="preserve">prioritare </w:t>
            </w:r>
            <w:r w:rsidRPr="00024D5A">
              <w:rPr>
                <w:rFonts w:ascii="Garamond" w:eastAsia="Times New Roman" w:hAnsi="Garamond" w:cs="Calibri"/>
                <w:b/>
                <w:bCs/>
                <w:sz w:val="6"/>
                <w:szCs w:val="6"/>
                <w:lang w:eastAsia="en-US"/>
              </w:rPr>
              <w:t>3.3</w:t>
            </w:r>
            <w:r w:rsidR="00AC5DA9">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Zgjerimi territorial dhe funksional i shërbimeve të qendrave burimore</w:t>
            </w:r>
          </w:p>
        </w:tc>
        <w:tc>
          <w:tcPr>
            <w:tcW w:w="244" w:type="pct"/>
            <w:tcBorders>
              <w:top w:val="nil"/>
              <w:left w:val="single" w:sz="8" w:space="0" w:color="auto"/>
              <w:bottom w:val="single" w:sz="4" w:space="0" w:color="auto"/>
              <w:right w:val="single" w:sz="4" w:space="0" w:color="auto"/>
            </w:tcBorders>
            <w:shd w:val="clear" w:color="000000" w:fill="DCE6F1"/>
            <w:hideMark/>
          </w:tcPr>
          <w:p w14:paraId="4D0C59ED"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2026</w:t>
            </w:r>
          </w:p>
        </w:tc>
        <w:tc>
          <w:tcPr>
            <w:tcW w:w="226" w:type="pct"/>
            <w:tcBorders>
              <w:top w:val="nil"/>
              <w:left w:val="nil"/>
              <w:bottom w:val="single" w:sz="4" w:space="0" w:color="auto"/>
              <w:right w:val="single" w:sz="4" w:space="0" w:color="auto"/>
            </w:tcBorders>
            <w:shd w:val="clear" w:color="000000" w:fill="DCE6F1"/>
            <w:hideMark/>
          </w:tcPr>
          <w:p w14:paraId="6DE2A945"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2B84A38B"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MA</w:t>
            </w:r>
          </w:p>
        </w:tc>
        <w:tc>
          <w:tcPr>
            <w:tcW w:w="792" w:type="pct"/>
            <w:tcBorders>
              <w:top w:val="nil"/>
              <w:left w:val="nil"/>
              <w:bottom w:val="single" w:sz="4" w:space="0" w:color="auto"/>
              <w:right w:val="single" w:sz="8" w:space="0" w:color="auto"/>
            </w:tcBorders>
            <w:shd w:val="clear" w:color="000000" w:fill="DCE6F1"/>
            <w:vAlign w:val="center"/>
            <w:hideMark/>
          </w:tcPr>
          <w:p w14:paraId="1A82DF7E" w14:textId="46812386"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ZVAP</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DRAP</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NJVV</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ASCAP</w:t>
            </w:r>
          </w:p>
        </w:tc>
        <w:tc>
          <w:tcPr>
            <w:tcW w:w="188" w:type="pct"/>
            <w:tcBorders>
              <w:top w:val="nil"/>
              <w:left w:val="nil"/>
              <w:bottom w:val="single" w:sz="4" w:space="0" w:color="auto"/>
              <w:right w:val="single" w:sz="4" w:space="0" w:color="auto"/>
            </w:tcBorders>
            <w:shd w:val="clear" w:color="000000" w:fill="DCE6F1"/>
            <w:vAlign w:val="center"/>
            <w:hideMark/>
          </w:tcPr>
          <w:p w14:paraId="29C4B001" w14:textId="6F2B158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27,500</w:t>
            </w:r>
          </w:p>
        </w:tc>
        <w:tc>
          <w:tcPr>
            <w:tcW w:w="190" w:type="pct"/>
            <w:tcBorders>
              <w:top w:val="nil"/>
              <w:left w:val="nil"/>
              <w:bottom w:val="single" w:sz="4" w:space="0" w:color="auto"/>
              <w:right w:val="single" w:sz="4" w:space="0" w:color="auto"/>
            </w:tcBorders>
            <w:shd w:val="clear" w:color="000000" w:fill="DCE6F1"/>
            <w:vAlign w:val="center"/>
            <w:hideMark/>
          </w:tcPr>
          <w:p w14:paraId="79A0D7EC" w14:textId="7E65C51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27,500</w:t>
            </w:r>
          </w:p>
        </w:tc>
        <w:tc>
          <w:tcPr>
            <w:tcW w:w="190" w:type="pct"/>
            <w:tcBorders>
              <w:top w:val="nil"/>
              <w:left w:val="nil"/>
              <w:bottom w:val="single" w:sz="4" w:space="0" w:color="auto"/>
              <w:right w:val="single" w:sz="4" w:space="0" w:color="auto"/>
            </w:tcBorders>
            <w:shd w:val="clear" w:color="000000" w:fill="DCE6F1"/>
            <w:vAlign w:val="center"/>
            <w:hideMark/>
          </w:tcPr>
          <w:p w14:paraId="2A887677" w14:textId="6473690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27,500</w:t>
            </w:r>
          </w:p>
        </w:tc>
        <w:tc>
          <w:tcPr>
            <w:tcW w:w="190" w:type="pct"/>
            <w:tcBorders>
              <w:top w:val="nil"/>
              <w:left w:val="nil"/>
              <w:bottom w:val="single" w:sz="4" w:space="0" w:color="auto"/>
              <w:right w:val="single" w:sz="4" w:space="0" w:color="auto"/>
            </w:tcBorders>
            <w:shd w:val="clear" w:color="000000" w:fill="DCE6F1"/>
            <w:vAlign w:val="center"/>
            <w:hideMark/>
          </w:tcPr>
          <w:p w14:paraId="50358547" w14:textId="151F291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21,500</w:t>
            </w:r>
          </w:p>
        </w:tc>
        <w:tc>
          <w:tcPr>
            <w:tcW w:w="187" w:type="pct"/>
            <w:tcBorders>
              <w:top w:val="nil"/>
              <w:left w:val="nil"/>
              <w:bottom w:val="single" w:sz="4" w:space="0" w:color="auto"/>
              <w:right w:val="single" w:sz="4" w:space="0" w:color="auto"/>
            </w:tcBorders>
            <w:shd w:val="clear" w:color="000000" w:fill="DCE6F1"/>
            <w:vAlign w:val="center"/>
            <w:hideMark/>
          </w:tcPr>
          <w:p w14:paraId="3046CAA9" w14:textId="6694097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21,500</w:t>
            </w:r>
          </w:p>
        </w:tc>
        <w:tc>
          <w:tcPr>
            <w:tcW w:w="200" w:type="pct"/>
            <w:tcBorders>
              <w:top w:val="nil"/>
              <w:left w:val="nil"/>
              <w:bottom w:val="single" w:sz="4" w:space="0" w:color="auto"/>
              <w:right w:val="nil"/>
            </w:tcBorders>
            <w:shd w:val="clear" w:color="000000" w:fill="DCE6F1"/>
            <w:vAlign w:val="center"/>
            <w:hideMark/>
          </w:tcPr>
          <w:p w14:paraId="26D99561" w14:textId="22E663B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125,500</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044477DE" w14:textId="2C9AA63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106,000</w:t>
            </w:r>
          </w:p>
        </w:tc>
        <w:tc>
          <w:tcPr>
            <w:tcW w:w="209" w:type="pct"/>
            <w:tcBorders>
              <w:top w:val="nil"/>
              <w:left w:val="nil"/>
              <w:bottom w:val="single" w:sz="4" w:space="0" w:color="auto"/>
              <w:right w:val="single" w:sz="4" w:space="0" w:color="auto"/>
            </w:tcBorders>
            <w:shd w:val="clear" w:color="000000" w:fill="DCE6F1"/>
            <w:vAlign w:val="center"/>
            <w:hideMark/>
          </w:tcPr>
          <w:p w14:paraId="51B73A04" w14:textId="4430D13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1,500</w:t>
            </w:r>
          </w:p>
        </w:tc>
        <w:tc>
          <w:tcPr>
            <w:tcW w:w="195" w:type="pct"/>
            <w:tcBorders>
              <w:top w:val="nil"/>
              <w:left w:val="nil"/>
              <w:bottom w:val="single" w:sz="4" w:space="0" w:color="auto"/>
              <w:right w:val="single" w:sz="8" w:space="0" w:color="auto"/>
            </w:tcBorders>
            <w:shd w:val="clear" w:color="000000" w:fill="DCE6F1"/>
            <w:vAlign w:val="center"/>
            <w:hideMark/>
          </w:tcPr>
          <w:p w14:paraId="7D399865" w14:textId="1EABA43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18,000</w:t>
            </w:r>
          </w:p>
        </w:tc>
        <w:tc>
          <w:tcPr>
            <w:tcW w:w="202" w:type="pct"/>
            <w:tcBorders>
              <w:top w:val="nil"/>
              <w:left w:val="nil"/>
              <w:bottom w:val="single" w:sz="4" w:space="0" w:color="auto"/>
              <w:right w:val="single" w:sz="4" w:space="0" w:color="auto"/>
            </w:tcBorders>
            <w:shd w:val="clear" w:color="000000" w:fill="DCE6F1"/>
            <w:vAlign w:val="center"/>
            <w:hideMark/>
          </w:tcPr>
          <w:p w14:paraId="25985EF1" w14:textId="331BD06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1,307,292</w:t>
            </w:r>
          </w:p>
        </w:tc>
        <w:tc>
          <w:tcPr>
            <w:tcW w:w="200" w:type="pct"/>
            <w:tcBorders>
              <w:top w:val="nil"/>
              <w:left w:val="nil"/>
              <w:bottom w:val="single" w:sz="4" w:space="0" w:color="auto"/>
              <w:right w:val="single" w:sz="4" w:space="0" w:color="auto"/>
            </w:tcBorders>
            <w:shd w:val="clear" w:color="000000" w:fill="DCE6F1"/>
            <w:vAlign w:val="center"/>
            <w:hideMark/>
          </w:tcPr>
          <w:p w14:paraId="617F0DF4" w14:textId="1CEB047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1,104,167</w:t>
            </w:r>
          </w:p>
        </w:tc>
        <w:tc>
          <w:tcPr>
            <w:tcW w:w="197" w:type="pct"/>
            <w:tcBorders>
              <w:top w:val="nil"/>
              <w:left w:val="nil"/>
              <w:bottom w:val="single" w:sz="4" w:space="0" w:color="auto"/>
              <w:right w:val="single" w:sz="4" w:space="0" w:color="auto"/>
            </w:tcBorders>
            <w:shd w:val="clear" w:color="000000" w:fill="DCE6F1"/>
            <w:vAlign w:val="center"/>
            <w:hideMark/>
          </w:tcPr>
          <w:p w14:paraId="624731A4" w14:textId="588F294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15,625</w:t>
            </w:r>
          </w:p>
        </w:tc>
        <w:tc>
          <w:tcPr>
            <w:tcW w:w="342" w:type="pct"/>
            <w:tcBorders>
              <w:top w:val="nil"/>
              <w:left w:val="nil"/>
              <w:bottom w:val="single" w:sz="4" w:space="0" w:color="auto"/>
              <w:right w:val="single" w:sz="8" w:space="0" w:color="auto"/>
            </w:tcBorders>
            <w:shd w:val="clear" w:color="000000" w:fill="DCE6F1"/>
            <w:vAlign w:val="center"/>
            <w:hideMark/>
          </w:tcPr>
          <w:p w14:paraId="60483EE9" w14:textId="2F6070E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187,500</w:t>
            </w:r>
          </w:p>
        </w:tc>
      </w:tr>
      <w:tr w:rsidR="00387E5A" w:rsidRPr="00024D5A" w14:paraId="0B2F0ACA"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47013B53" w14:textId="21CC2444"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Masa </w:t>
            </w:r>
            <w:r w:rsidR="00E51640" w:rsidRPr="00024D5A">
              <w:rPr>
                <w:rFonts w:ascii="Garamond" w:eastAsia="Times New Roman" w:hAnsi="Garamond" w:cs="Calibri"/>
                <w:b/>
                <w:bCs/>
                <w:sz w:val="6"/>
                <w:szCs w:val="6"/>
                <w:lang w:eastAsia="en-US"/>
              </w:rPr>
              <w:t xml:space="preserve">prioritare </w:t>
            </w:r>
            <w:r w:rsidRPr="00024D5A">
              <w:rPr>
                <w:rFonts w:ascii="Garamond" w:eastAsia="Times New Roman" w:hAnsi="Garamond" w:cs="Calibri"/>
                <w:b/>
                <w:bCs/>
                <w:sz w:val="6"/>
                <w:szCs w:val="6"/>
                <w:lang w:eastAsia="en-US"/>
              </w:rPr>
              <w:t>3.4</w:t>
            </w:r>
            <w:r w:rsidR="00AC5DA9">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Monitorimi, vlerësimi dhe sigurimi i cilësisë së funksionimit të qendrave burimore</w:t>
            </w:r>
            <w:r w:rsidR="00E51640" w:rsidRPr="00024D5A">
              <w:rPr>
                <w:rFonts w:ascii="Garamond" w:eastAsia="Times New Roman" w:hAnsi="Garamond" w:cs="Calibri"/>
                <w:b/>
                <w:bCs/>
                <w:sz w:val="6"/>
                <w:szCs w:val="6"/>
                <w:lang w:eastAsia="en-US"/>
              </w:rPr>
              <w:t>.</w:t>
            </w:r>
          </w:p>
        </w:tc>
        <w:tc>
          <w:tcPr>
            <w:tcW w:w="244" w:type="pct"/>
            <w:tcBorders>
              <w:top w:val="nil"/>
              <w:left w:val="single" w:sz="8" w:space="0" w:color="auto"/>
              <w:bottom w:val="single" w:sz="4" w:space="0" w:color="auto"/>
              <w:right w:val="single" w:sz="4" w:space="0" w:color="auto"/>
            </w:tcBorders>
            <w:shd w:val="clear" w:color="000000" w:fill="DCE6F1"/>
            <w:hideMark/>
          </w:tcPr>
          <w:p w14:paraId="154DC3DC"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2028</w:t>
            </w:r>
          </w:p>
        </w:tc>
        <w:tc>
          <w:tcPr>
            <w:tcW w:w="226" w:type="pct"/>
            <w:tcBorders>
              <w:top w:val="nil"/>
              <w:left w:val="nil"/>
              <w:bottom w:val="single" w:sz="4" w:space="0" w:color="auto"/>
              <w:right w:val="single" w:sz="4" w:space="0" w:color="auto"/>
            </w:tcBorders>
            <w:shd w:val="clear" w:color="000000" w:fill="DCE6F1"/>
            <w:hideMark/>
          </w:tcPr>
          <w:p w14:paraId="635F8731"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62D24C73"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MA</w:t>
            </w:r>
          </w:p>
        </w:tc>
        <w:tc>
          <w:tcPr>
            <w:tcW w:w="792" w:type="pct"/>
            <w:tcBorders>
              <w:top w:val="nil"/>
              <w:left w:val="nil"/>
              <w:bottom w:val="single" w:sz="4" w:space="0" w:color="auto"/>
              <w:right w:val="single" w:sz="8" w:space="0" w:color="auto"/>
            </w:tcBorders>
            <w:shd w:val="clear" w:color="000000" w:fill="DCE6F1"/>
            <w:vAlign w:val="center"/>
            <w:hideMark/>
          </w:tcPr>
          <w:p w14:paraId="38CBB5F7"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ZVAP, DRAP, AKAP, ASCAP</w:t>
            </w:r>
          </w:p>
        </w:tc>
        <w:tc>
          <w:tcPr>
            <w:tcW w:w="188" w:type="pct"/>
            <w:tcBorders>
              <w:top w:val="nil"/>
              <w:left w:val="nil"/>
              <w:bottom w:val="single" w:sz="4" w:space="0" w:color="auto"/>
              <w:right w:val="single" w:sz="4" w:space="0" w:color="auto"/>
            </w:tcBorders>
            <w:shd w:val="clear" w:color="000000" w:fill="DCE6F1"/>
            <w:vAlign w:val="center"/>
            <w:hideMark/>
          </w:tcPr>
          <w:p w14:paraId="7A108491" w14:textId="6BE18E4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77</w:t>
            </w:r>
          </w:p>
        </w:tc>
        <w:tc>
          <w:tcPr>
            <w:tcW w:w="190" w:type="pct"/>
            <w:tcBorders>
              <w:top w:val="nil"/>
              <w:left w:val="nil"/>
              <w:bottom w:val="single" w:sz="4" w:space="0" w:color="auto"/>
              <w:right w:val="single" w:sz="4" w:space="0" w:color="auto"/>
            </w:tcBorders>
            <w:shd w:val="clear" w:color="000000" w:fill="DCE6F1"/>
            <w:vAlign w:val="center"/>
            <w:hideMark/>
          </w:tcPr>
          <w:p w14:paraId="66BAA596" w14:textId="30C486C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77</w:t>
            </w:r>
          </w:p>
        </w:tc>
        <w:tc>
          <w:tcPr>
            <w:tcW w:w="190" w:type="pct"/>
            <w:tcBorders>
              <w:top w:val="nil"/>
              <w:left w:val="nil"/>
              <w:bottom w:val="single" w:sz="4" w:space="0" w:color="auto"/>
              <w:right w:val="single" w:sz="4" w:space="0" w:color="auto"/>
            </w:tcBorders>
            <w:shd w:val="clear" w:color="000000" w:fill="DCE6F1"/>
            <w:vAlign w:val="center"/>
            <w:hideMark/>
          </w:tcPr>
          <w:p w14:paraId="216F4F86" w14:textId="27675DC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327</w:t>
            </w:r>
          </w:p>
        </w:tc>
        <w:tc>
          <w:tcPr>
            <w:tcW w:w="190" w:type="pct"/>
            <w:tcBorders>
              <w:top w:val="nil"/>
              <w:left w:val="nil"/>
              <w:bottom w:val="single" w:sz="4" w:space="0" w:color="auto"/>
              <w:right w:val="single" w:sz="4" w:space="0" w:color="auto"/>
            </w:tcBorders>
            <w:shd w:val="clear" w:color="000000" w:fill="DCE6F1"/>
            <w:vAlign w:val="center"/>
            <w:hideMark/>
          </w:tcPr>
          <w:p w14:paraId="464A8DF6" w14:textId="7213A93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77</w:t>
            </w:r>
          </w:p>
        </w:tc>
        <w:tc>
          <w:tcPr>
            <w:tcW w:w="187" w:type="pct"/>
            <w:tcBorders>
              <w:top w:val="nil"/>
              <w:left w:val="nil"/>
              <w:bottom w:val="single" w:sz="4" w:space="0" w:color="auto"/>
              <w:right w:val="single" w:sz="4" w:space="0" w:color="auto"/>
            </w:tcBorders>
            <w:shd w:val="clear" w:color="000000" w:fill="DCE6F1"/>
            <w:vAlign w:val="center"/>
            <w:hideMark/>
          </w:tcPr>
          <w:p w14:paraId="3534FEBE" w14:textId="3C7D782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77</w:t>
            </w:r>
          </w:p>
        </w:tc>
        <w:tc>
          <w:tcPr>
            <w:tcW w:w="200" w:type="pct"/>
            <w:tcBorders>
              <w:top w:val="nil"/>
              <w:left w:val="nil"/>
              <w:bottom w:val="single" w:sz="4" w:space="0" w:color="auto"/>
              <w:right w:val="nil"/>
            </w:tcBorders>
            <w:shd w:val="clear" w:color="000000" w:fill="DCE6F1"/>
            <w:vAlign w:val="center"/>
            <w:hideMark/>
          </w:tcPr>
          <w:p w14:paraId="4D1D99D6" w14:textId="04EB4FF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636</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03A38648" w14:textId="3AD0E3B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386</w:t>
            </w:r>
          </w:p>
        </w:tc>
        <w:tc>
          <w:tcPr>
            <w:tcW w:w="209" w:type="pct"/>
            <w:tcBorders>
              <w:top w:val="nil"/>
              <w:left w:val="nil"/>
              <w:bottom w:val="single" w:sz="4" w:space="0" w:color="auto"/>
              <w:right w:val="single" w:sz="4" w:space="0" w:color="auto"/>
            </w:tcBorders>
            <w:shd w:val="clear" w:color="000000" w:fill="DCE6F1"/>
            <w:vAlign w:val="center"/>
            <w:hideMark/>
          </w:tcPr>
          <w:p w14:paraId="33631BF9" w14:textId="114AE7F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5" w:type="pct"/>
            <w:tcBorders>
              <w:top w:val="nil"/>
              <w:left w:val="nil"/>
              <w:bottom w:val="single" w:sz="4" w:space="0" w:color="auto"/>
              <w:right w:val="single" w:sz="8" w:space="0" w:color="auto"/>
            </w:tcBorders>
            <w:shd w:val="clear" w:color="000000" w:fill="DCE6F1"/>
            <w:vAlign w:val="center"/>
            <w:hideMark/>
          </w:tcPr>
          <w:p w14:paraId="7C34F28D" w14:textId="47586C2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250</w:t>
            </w:r>
          </w:p>
        </w:tc>
        <w:tc>
          <w:tcPr>
            <w:tcW w:w="202" w:type="pct"/>
            <w:tcBorders>
              <w:top w:val="nil"/>
              <w:left w:val="nil"/>
              <w:bottom w:val="single" w:sz="4" w:space="0" w:color="auto"/>
              <w:right w:val="single" w:sz="4" w:space="0" w:color="auto"/>
            </w:tcBorders>
            <w:shd w:val="clear" w:color="000000" w:fill="DCE6F1"/>
            <w:vAlign w:val="center"/>
            <w:hideMark/>
          </w:tcPr>
          <w:p w14:paraId="1649F5EC" w14:textId="2F9C54D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6,629</w:t>
            </w:r>
          </w:p>
        </w:tc>
        <w:tc>
          <w:tcPr>
            <w:tcW w:w="200" w:type="pct"/>
            <w:tcBorders>
              <w:top w:val="nil"/>
              <w:left w:val="nil"/>
              <w:bottom w:val="single" w:sz="4" w:space="0" w:color="auto"/>
              <w:right w:val="single" w:sz="4" w:space="0" w:color="auto"/>
            </w:tcBorders>
            <w:shd w:val="clear" w:color="000000" w:fill="DCE6F1"/>
            <w:vAlign w:val="center"/>
            <w:hideMark/>
          </w:tcPr>
          <w:p w14:paraId="2E6C2B63" w14:textId="197242D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4,025</w:t>
            </w:r>
          </w:p>
        </w:tc>
        <w:tc>
          <w:tcPr>
            <w:tcW w:w="197" w:type="pct"/>
            <w:tcBorders>
              <w:top w:val="nil"/>
              <w:left w:val="nil"/>
              <w:bottom w:val="single" w:sz="4" w:space="0" w:color="auto"/>
              <w:right w:val="single" w:sz="4" w:space="0" w:color="auto"/>
            </w:tcBorders>
            <w:shd w:val="clear" w:color="000000" w:fill="DCE6F1"/>
            <w:vAlign w:val="center"/>
            <w:hideMark/>
          </w:tcPr>
          <w:p w14:paraId="06C947D7" w14:textId="3273FF9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single" w:sz="8" w:space="0" w:color="auto"/>
            </w:tcBorders>
            <w:shd w:val="clear" w:color="000000" w:fill="DCE6F1"/>
            <w:vAlign w:val="center"/>
            <w:hideMark/>
          </w:tcPr>
          <w:p w14:paraId="72D5B288" w14:textId="5BEABD5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2,604</w:t>
            </w:r>
          </w:p>
        </w:tc>
      </w:tr>
      <w:tr w:rsidR="00387E5A" w:rsidRPr="00024D5A" w14:paraId="1F92241B" w14:textId="77777777" w:rsidTr="00387E5A">
        <w:trPr>
          <w:trHeight w:val="20"/>
        </w:trPr>
        <w:tc>
          <w:tcPr>
            <w:tcW w:w="375" w:type="pct"/>
            <w:tcBorders>
              <w:top w:val="nil"/>
              <w:left w:val="single" w:sz="4" w:space="0" w:color="auto"/>
              <w:bottom w:val="single" w:sz="4" w:space="0" w:color="auto"/>
              <w:right w:val="nil"/>
            </w:tcBorders>
            <w:shd w:val="clear" w:color="000000" w:fill="FDE9D9"/>
            <w:vAlign w:val="center"/>
            <w:hideMark/>
          </w:tcPr>
          <w:p w14:paraId="26BD92C5" w14:textId="2F98019F"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Objektivi </w:t>
            </w:r>
            <w:r w:rsidR="007053C8" w:rsidRPr="00024D5A">
              <w:rPr>
                <w:rFonts w:ascii="Garamond" w:eastAsia="Times New Roman" w:hAnsi="Garamond" w:cs="Calibri"/>
                <w:b/>
                <w:bCs/>
                <w:sz w:val="6"/>
                <w:szCs w:val="6"/>
                <w:lang w:eastAsia="en-US"/>
              </w:rPr>
              <w:t xml:space="preserve">specifik </w:t>
            </w:r>
            <w:r w:rsidRPr="00024D5A">
              <w:rPr>
                <w:rFonts w:ascii="Garamond" w:eastAsia="Times New Roman" w:hAnsi="Garamond" w:cs="Calibri"/>
                <w:b/>
                <w:bCs/>
                <w:sz w:val="6"/>
                <w:szCs w:val="6"/>
                <w:lang w:eastAsia="en-US"/>
              </w:rPr>
              <w:t>4</w:t>
            </w:r>
            <w:r w:rsidR="00AC5DA9">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Arsim i lartë gjithëpërfshirës që plotëson standardet ndërkombëtare të aksesueshmërisë, cilësisë dhe mbështetjes për studentët me aftësi të kufizuara..</w:t>
            </w:r>
          </w:p>
        </w:tc>
        <w:tc>
          <w:tcPr>
            <w:tcW w:w="244" w:type="pct"/>
            <w:tcBorders>
              <w:top w:val="nil"/>
              <w:left w:val="single" w:sz="8" w:space="0" w:color="auto"/>
              <w:bottom w:val="single" w:sz="4" w:space="0" w:color="auto"/>
              <w:right w:val="single" w:sz="4" w:space="0" w:color="auto"/>
            </w:tcBorders>
            <w:shd w:val="clear" w:color="000000" w:fill="FDE9D9"/>
            <w:hideMark/>
          </w:tcPr>
          <w:p w14:paraId="51B4498F" w14:textId="77777777" w:rsidR="00DE4FCB" w:rsidRPr="00024D5A" w:rsidRDefault="00DE4FCB" w:rsidP="00387E5A">
            <w:pPr>
              <w:jc w:val="center"/>
              <w:rPr>
                <w:rFonts w:ascii="Garamond" w:eastAsia="Times New Roman" w:hAnsi="Garamond"/>
                <w:b/>
                <w:bCs/>
                <w:sz w:val="6"/>
                <w:szCs w:val="6"/>
                <w:lang w:eastAsia="en-US"/>
              </w:rPr>
            </w:pPr>
            <w:r w:rsidRPr="00024D5A">
              <w:rPr>
                <w:rFonts w:ascii="Garamond" w:eastAsia="Times New Roman" w:hAnsi="Garamond"/>
                <w:b/>
                <w:bCs/>
                <w:sz w:val="6"/>
                <w:szCs w:val="6"/>
                <w:lang w:eastAsia="en-US"/>
              </w:rPr>
              <w:t>2026</w:t>
            </w:r>
          </w:p>
        </w:tc>
        <w:tc>
          <w:tcPr>
            <w:tcW w:w="226" w:type="pct"/>
            <w:tcBorders>
              <w:top w:val="nil"/>
              <w:left w:val="nil"/>
              <w:bottom w:val="single" w:sz="4" w:space="0" w:color="auto"/>
              <w:right w:val="single" w:sz="4" w:space="0" w:color="auto"/>
            </w:tcBorders>
            <w:shd w:val="clear" w:color="000000" w:fill="FDE9D9"/>
            <w:hideMark/>
          </w:tcPr>
          <w:p w14:paraId="0C76E36C" w14:textId="77777777" w:rsidR="00DE4FCB" w:rsidRPr="00024D5A" w:rsidRDefault="00DE4FCB" w:rsidP="00387E5A">
            <w:pPr>
              <w:jc w:val="center"/>
              <w:rPr>
                <w:rFonts w:ascii="Garamond" w:eastAsia="Times New Roman" w:hAnsi="Garamond"/>
                <w:b/>
                <w:bCs/>
                <w:sz w:val="6"/>
                <w:szCs w:val="6"/>
                <w:lang w:eastAsia="en-US"/>
              </w:rPr>
            </w:pPr>
            <w:r w:rsidRPr="00024D5A">
              <w:rPr>
                <w:rFonts w:ascii="Garamond" w:eastAsia="Times New Roman" w:hAnsi="Garamond"/>
                <w:b/>
                <w:bCs/>
                <w:sz w:val="6"/>
                <w:szCs w:val="6"/>
                <w:lang w:eastAsia="en-US"/>
              </w:rPr>
              <w:t>2030</w:t>
            </w:r>
          </w:p>
        </w:tc>
        <w:tc>
          <w:tcPr>
            <w:tcW w:w="664" w:type="pct"/>
            <w:tcBorders>
              <w:top w:val="nil"/>
              <w:left w:val="nil"/>
              <w:bottom w:val="single" w:sz="4" w:space="0" w:color="auto"/>
              <w:right w:val="single" w:sz="4" w:space="0" w:color="auto"/>
            </w:tcBorders>
            <w:shd w:val="clear" w:color="000000" w:fill="FDE9D9"/>
            <w:vAlign w:val="center"/>
            <w:hideMark/>
          </w:tcPr>
          <w:p w14:paraId="47FF4C00"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MA</w:t>
            </w:r>
          </w:p>
        </w:tc>
        <w:tc>
          <w:tcPr>
            <w:tcW w:w="792" w:type="pct"/>
            <w:tcBorders>
              <w:top w:val="nil"/>
              <w:left w:val="nil"/>
              <w:bottom w:val="single" w:sz="4" w:space="0" w:color="auto"/>
              <w:right w:val="single" w:sz="8" w:space="0" w:color="auto"/>
            </w:tcBorders>
            <w:shd w:val="clear" w:color="000000" w:fill="FDE9D9"/>
            <w:vAlign w:val="center"/>
            <w:hideMark/>
          </w:tcPr>
          <w:p w14:paraId="28136475"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ASCAL/IAL</w:t>
            </w:r>
          </w:p>
        </w:tc>
        <w:tc>
          <w:tcPr>
            <w:tcW w:w="188" w:type="pct"/>
            <w:tcBorders>
              <w:top w:val="nil"/>
              <w:left w:val="nil"/>
              <w:bottom w:val="single" w:sz="4" w:space="0" w:color="auto"/>
              <w:right w:val="single" w:sz="4" w:space="0" w:color="auto"/>
            </w:tcBorders>
            <w:shd w:val="clear" w:color="000000" w:fill="FDE9D9"/>
            <w:vAlign w:val="center"/>
            <w:hideMark/>
          </w:tcPr>
          <w:p w14:paraId="0B01A8C9" w14:textId="1D22ECD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1,089</w:t>
            </w:r>
          </w:p>
        </w:tc>
        <w:tc>
          <w:tcPr>
            <w:tcW w:w="190" w:type="pct"/>
            <w:tcBorders>
              <w:top w:val="nil"/>
              <w:left w:val="nil"/>
              <w:bottom w:val="single" w:sz="4" w:space="0" w:color="auto"/>
              <w:right w:val="single" w:sz="4" w:space="0" w:color="auto"/>
            </w:tcBorders>
            <w:shd w:val="clear" w:color="000000" w:fill="FDE9D9"/>
            <w:vAlign w:val="center"/>
            <w:hideMark/>
          </w:tcPr>
          <w:p w14:paraId="59B4D70C" w14:textId="638A7EF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126,101</w:t>
            </w:r>
          </w:p>
        </w:tc>
        <w:tc>
          <w:tcPr>
            <w:tcW w:w="190" w:type="pct"/>
            <w:tcBorders>
              <w:top w:val="nil"/>
              <w:left w:val="nil"/>
              <w:bottom w:val="single" w:sz="4" w:space="0" w:color="auto"/>
              <w:right w:val="single" w:sz="4" w:space="0" w:color="auto"/>
            </w:tcBorders>
            <w:shd w:val="clear" w:color="000000" w:fill="FDE9D9"/>
            <w:vAlign w:val="center"/>
            <w:hideMark/>
          </w:tcPr>
          <w:p w14:paraId="09AAD1C3" w14:textId="3B83257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125,033</w:t>
            </w:r>
          </w:p>
        </w:tc>
        <w:tc>
          <w:tcPr>
            <w:tcW w:w="190" w:type="pct"/>
            <w:tcBorders>
              <w:top w:val="nil"/>
              <w:left w:val="nil"/>
              <w:bottom w:val="single" w:sz="4" w:space="0" w:color="auto"/>
              <w:right w:val="single" w:sz="4" w:space="0" w:color="auto"/>
            </w:tcBorders>
            <w:shd w:val="clear" w:color="000000" w:fill="FDE9D9"/>
            <w:vAlign w:val="center"/>
            <w:hideMark/>
          </w:tcPr>
          <w:p w14:paraId="793DD69D" w14:textId="5282970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125,033</w:t>
            </w:r>
          </w:p>
        </w:tc>
        <w:tc>
          <w:tcPr>
            <w:tcW w:w="187" w:type="pct"/>
            <w:tcBorders>
              <w:top w:val="nil"/>
              <w:left w:val="nil"/>
              <w:bottom w:val="single" w:sz="4" w:space="0" w:color="auto"/>
              <w:right w:val="single" w:sz="4" w:space="0" w:color="auto"/>
            </w:tcBorders>
            <w:shd w:val="clear" w:color="000000" w:fill="FDE9D9"/>
            <w:vAlign w:val="center"/>
            <w:hideMark/>
          </w:tcPr>
          <w:p w14:paraId="545F4EC1" w14:textId="655C1F0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125,033</w:t>
            </w:r>
          </w:p>
        </w:tc>
        <w:tc>
          <w:tcPr>
            <w:tcW w:w="200" w:type="pct"/>
            <w:tcBorders>
              <w:top w:val="nil"/>
              <w:left w:val="nil"/>
              <w:bottom w:val="single" w:sz="4" w:space="0" w:color="auto"/>
              <w:right w:val="nil"/>
            </w:tcBorders>
            <w:shd w:val="clear" w:color="000000" w:fill="FDE9D9"/>
            <w:vAlign w:val="center"/>
            <w:hideMark/>
          </w:tcPr>
          <w:p w14:paraId="675D168E" w14:textId="28ED99C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502,288</w:t>
            </w:r>
          </w:p>
        </w:tc>
        <w:tc>
          <w:tcPr>
            <w:tcW w:w="209" w:type="pct"/>
            <w:tcBorders>
              <w:top w:val="nil"/>
              <w:left w:val="single" w:sz="8" w:space="0" w:color="auto"/>
              <w:bottom w:val="single" w:sz="4" w:space="0" w:color="auto"/>
              <w:right w:val="single" w:sz="4" w:space="0" w:color="auto"/>
            </w:tcBorders>
            <w:shd w:val="clear" w:color="000000" w:fill="FDE9D9"/>
            <w:vAlign w:val="center"/>
            <w:hideMark/>
          </w:tcPr>
          <w:p w14:paraId="79373A9F" w14:textId="0320C11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401,088</w:t>
            </w:r>
          </w:p>
        </w:tc>
        <w:tc>
          <w:tcPr>
            <w:tcW w:w="209" w:type="pct"/>
            <w:tcBorders>
              <w:top w:val="nil"/>
              <w:left w:val="nil"/>
              <w:bottom w:val="single" w:sz="4" w:space="0" w:color="auto"/>
              <w:right w:val="single" w:sz="4" w:space="0" w:color="auto"/>
            </w:tcBorders>
            <w:shd w:val="clear" w:color="000000" w:fill="FDE9D9"/>
            <w:vAlign w:val="center"/>
            <w:hideMark/>
          </w:tcPr>
          <w:p w14:paraId="56D0DB53" w14:textId="66C27A9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825</w:t>
            </w:r>
          </w:p>
        </w:tc>
        <w:tc>
          <w:tcPr>
            <w:tcW w:w="195" w:type="pct"/>
            <w:tcBorders>
              <w:top w:val="nil"/>
              <w:left w:val="nil"/>
              <w:bottom w:val="single" w:sz="4" w:space="0" w:color="auto"/>
              <w:right w:val="single" w:sz="8" w:space="0" w:color="auto"/>
            </w:tcBorders>
            <w:shd w:val="clear" w:color="000000" w:fill="FDE9D9"/>
            <w:vAlign w:val="center"/>
            <w:hideMark/>
          </w:tcPr>
          <w:p w14:paraId="257AD8D8" w14:textId="09B8B77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100,375</w:t>
            </w:r>
          </w:p>
        </w:tc>
        <w:tc>
          <w:tcPr>
            <w:tcW w:w="202" w:type="pct"/>
            <w:tcBorders>
              <w:top w:val="nil"/>
              <w:left w:val="nil"/>
              <w:bottom w:val="single" w:sz="4" w:space="0" w:color="auto"/>
              <w:right w:val="single" w:sz="4" w:space="0" w:color="auto"/>
            </w:tcBorders>
            <w:shd w:val="clear" w:color="000000" w:fill="FDE9D9"/>
            <w:vAlign w:val="center"/>
            <w:hideMark/>
          </w:tcPr>
          <w:p w14:paraId="74DD9A33" w14:textId="1B6943E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5,232,163</w:t>
            </w:r>
          </w:p>
        </w:tc>
        <w:tc>
          <w:tcPr>
            <w:tcW w:w="200" w:type="pct"/>
            <w:tcBorders>
              <w:top w:val="nil"/>
              <w:left w:val="nil"/>
              <w:bottom w:val="single" w:sz="4" w:space="0" w:color="auto"/>
              <w:right w:val="single" w:sz="4" w:space="0" w:color="auto"/>
            </w:tcBorders>
            <w:shd w:val="clear" w:color="000000" w:fill="FDE9D9"/>
            <w:vAlign w:val="center"/>
            <w:hideMark/>
          </w:tcPr>
          <w:p w14:paraId="74719E85" w14:textId="46EE4C6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4,177,996</w:t>
            </w:r>
          </w:p>
        </w:tc>
        <w:tc>
          <w:tcPr>
            <w:tcW w:w="197" w:type="pct"/>
            <w:tcBorders>
              <w:top w:val="nil"/>
              <w:left w:val="nil"/>
              <w:bottom w:val="single" w:sz="4" w:space="0" w:color="auto"/>
              <w:right w:val="single" w:sz="4" w:space="0" w:color="auto"/>
            </w:tcBorders>
            <w:shd w:val="clear" w:color="000000" w:fill="FDE9D9"/>
            <w:vAlign w:val="center"/>
            <w:hideMark/>
          </w:tcPr>
          <w:p w14:paraId="45DB483B" w14:textId="199D1F4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8,594</w:t>
            </w:r>
          </w:p>
        </w:tc>
        <w:tc>
          <w:tcPr>
            <w:tcW w:w="342" w:type="pct"/>
            <w:tcBorders>
              <w:top w:val="nil"/>
              <w:left w:val="nil"/>
              <w:bottom w:val="single" w:sz="4" w:space="0" w:color="auto"/>
              <w:right w:val="single" w:sz="8" w:space="0" w:color="auto"/>
            </w:tcBorders>
            <w:shd w:val="clear" w:color="000000" w:fill="FDE9D9"/>
            <w:vAlign w:val="center"/>
            <w:hideMark/>
          </w:tcPr>
          <w:p w14:paraId="086ED947" w14:textId="06E6E96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1,045,573</w:t>
            </w:r>
          </w:p>
        </w:tc>
      </w:tr>
      <w:tr w:rsidR="00387E5A" w:rsidRPr="00024D5A" w14:paraId="505EE01A"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447FD2D6" w14:textId="3D5A7D37"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Masa </w:t>
            </w:r>
            <w:r w:rsidR="007053C8" w:rsidRPr="00024D5A">
              <w:rPr>
                <w:rFonts w:ascii="Garamond" w:eastAsia="Times New Roman" w:hAnsi="Garamond" w:cs="Calibri"/>
                <w:b/>
                <w:bCs/>
                <w:sz w:val="6"/>
                <w:szCs w:val="6"/>
                <w:lang w:eastAsia="en-US"/>
              </w:rPr>
              <w:t xml:space="preserve">prioritare </w:t>
            </w:r>
            <w:r w:rsidRPr="00024D5A">
              <w:rPr>
                <w:rFonts w:ascii="Garamond" w:eastAsia="Times New Roman" w:hAnsi="Garamond" w:cs="Calibri"/>
                <w:b/>
                <w:bCs/>
                <w:sz w:val="6"/>
                <w:szCs w:val="6"/>
                <w:lang w:eastAsia="en-US"/>
              </w:rPr>
              <w:t>4.1</w:t>
            </w:r>
            <w:r w:rsidR="00AC5DA9">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Rishikimi dhe forcimi i një kuadri të qëndrueshëm ligjor dhe institucional që garanton mosdiskriminimin, aksesin e barabartë dhe respektimin e standardeve ndërkombëtare të gjithëpërfshirjes së studentëve me aftësi të kufizuara në arsimin e lartë, i integruar me mekanizma të monitorimit dhe sigurimit të cilësisë.</w:t>
            </w:r>
          </w:p>
        </w:tc>
        <w:tc>
          <w:tcPr>
            <w:tcW w:w="244" w:type="pct"/>
            <w:tcBorders>
              <w:top w:val="nil"/>
              <w:left w:val="single" w:sz="8" w:space="0" w:color="auto"/>
              <w:bottom w:val="single" w:sz="4" w:space="0" w:color="auto"/>
              <w:right w:val="single" w:sz="4" w:space="0" w:color="auto"/>
            </w:tcBorders>
            <w:shd w:val="clear" w:color="000000" w:fill="DCE6F1"/>
            <w:hideMark/>
          </w:tcPr>
          <w:p w14:paraId="76C829F7"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2026</w:t>
            </w:r>
          </w:p>
        </w:tc>
        <w:tc>
          <w:tcPr>
            <w:tcW w:w="226" w:type="pct"/>
            <w:tcBorders>
              <w:top w:val="nil"/>
              <w:left w:val="nil"/>
              <w:bottom w:val="single" w:sz="4" w:space="0" w:color="auto"/>
              <w:right w:val="single" w:sz="4" w:space="0" w:color="auto"/>
            </w:tcBorders>
            <w:shd w:val="clear" w:color="000000" w:fill="DCE6F1"/>
            <w:hideMark/>
          </w:tcPr>
          <w:p w14:paraId="77FEDAD8"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071E82E3"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MA</w:t>
            </w:r>
          </w:p>
        </w:tc>
        <w:tc>
          <w:tcPr>
            <w:tcW w:w="792" w:type="pct"/>
            <w:tcBorders>
              <w:top w:val="nil"/>
              <w:left w:val="nil"/>
              <w:bottom w:val="single" w:sz="4" w:space="0" w:color="auto"/>
              <w:right w:val="single" w:sz="8" w:space="0" w:color="auto"/>
            </w:tcBorders>
            <w:shd w:val="clear" w:color="000000" w:fill="DCE6F1"/>
            <w:vAlign w:val="center"/>
            <w:hideMark/>
          </w:tcPr>
          <w:p w14:paraId="38900007"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ASCAL/IAL</w:t>
            </w:r>
          </w:p>
        </w:tc>
        <w:tc>
          <w:tcPr>
            <w:tcW w:w="188" w:type="pct"/>
            <w:tcBorders>
              <w:top w:val="nil"/>
              <w:left w:val="nil"/>
              <w:bottom w:val="single" w:sz="4" w:space="0" w:color="auto"/>
              <w:right w:val="single" w:sz="4" w:space="0" w:color="auto"/>
            </w:tcBorders>
            <w:shd w:val="clear" w:color="000000" w:fill="DCE6F1"/>
            <w:vAlign w:val="center"/>
            <w:hideMark/>
          </w:tcPr>
          <w:p w14:paraId="075DE3EA" w14:textId="3E51F81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389</w:t>
            </w:r>
          </w:p>
        </w:tc>
        <w:tc>
          <w:tcPr>
            <w:tcW w:w="190" w:type="pct"/>
            <w:tcBorders>
              <w:top w:val="nil"/>
              <w:left w:val="nil"/>
              <w:bottom w:val="single" w:sz="4" w:space="0" w:color="auto"/>
              <w:right w:val="single" w:sz="4" w:space="0" w:color="auto"/>
            </w:tcBorders>
            <w:shd w:val="clear" w:color="000000" w:fill="DCE6F1"/>
            <w:vAlign w:val="center"/>
            <w:hideMark/>
          </w:tcPr>
          <w:p w14:paraId="37FD338B" w14:textId="6C05831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1,101</w:t>
            </w:r>
          </w:p>
        </w:tc>
        <w:tc>
          <w:tcPr>
            <w:tcW w:w="190" w:type="pct"/>
            <w:tcBorders>
              <w:top w:val="nil"/>
              <w:left w:val="nil"/>
              <w:bottom w:val="single" w:sz="4" w:space="0" w:color="auto"/>
              <w:right w:val="single" w:sz="4" w:space="0" w:color="auto"/>
            </w:tcBorders>
            <w:shd w:val="clear" w:color="000000" w:fill="DCE6F1"/>
            <w:vAlign w:val="center"/>
            <w:hideMark/>
          </w:tcPr>
          <w:p w14:paraId="07AF236E" w14:textId="2CA9233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33</w:t>
            </w:r>
          </w:p>
        </w:tc>
        <w:tc>
          <w:tcPr>
            <w:tcW w:w="190" w:type="pct"/>
            <w:tcBorders>
              <w:top w:val="nil"/>
              <w:left w:val="nil"/>
              <w:bottom w:val="single" w:sz="4" w:space="0" w:color="auto"/>
              <w:right w:val="single" w:sz="4" w:space="0" w:color="auto"/>
            </w:tcBorders>
            <w:shd w:val="clear" w:color="000000" w:fill="DCE6F1"/>
            <w:vAlign w:val="center"/>
            <w:hideMark/>
          </w:tcPr>
          <w:p w14:paraId="64EEF4D2" w14:textId="245E0C5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33</w:t>
            </w:r>
          </w:p>
        </w:tc>
        <w:tc>
          <w:tcPr>
            <w:tcW w:w="187" w:type="pct"/>
            <w:tcBorders>
              <w:top w:val="nil"/>
              <w:left w:val="nil"/>
              <w:bottom w:val="single" w:sz="4" w:space="0" w:color="auto"/>
              <w:right w:val="single" w:sz="4" w:space="0" w:color="auto"/>
            </w:tcBorders>
            <w:shd w:val="clear" w:color="000000" w:fill="DCE6F1"/>
            <w:vAlign w:val="center"/>
            <w:hideMark/>
          </w:tcPr>
          <w:p w14:paraId="3E330F87" w14:textId="5967367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33</w:t>
            </w:r>
          </w:p>
        </w:tc>
        <w:tc>
          <w:tcPr>
            <w:tcW w:w="200" w:type="pct"/>
            <w:tcBorders>
              <w:top w:val="nil"/>
              <w:left w:val="nil"/>
              <w:bottom w:val="single" w:sz="4" w:space="0" w:color="auto"/>
              <w:right w:val="nil"/>
            </w:tcBorders>
            <w:shd w:val="clear" w:color="000000" w:fill="DCE6F1"/>
            <w:vAlign w:val="center"/>
            <w:hideMark/>
          </w:tcPr>
          <w:p w14:paraId="47E795D2" w14:textId="42C03D4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1,588</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1A6B62B9" w14:textId="5CC0B9D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1,088</w:t>
            </w:r>
          </w:p>
        </w:tc>
        <w:tc>
          <w:tcPr>
            <w:tcW w:w="209" w:type="pct"/>
            <w:tcBorders>
              <w:top w:val="nil"/>
              <w:left w:val="nil"/>
              <w:bottom w:val="single" w:sz="4" w:space="0" w:color="auto"/>
              <w:right w:val="single" w:sz="4" w:space="0" w:color="auto"/>
            </w:tcBorders>
            <w:shd w:val="clear" w:color="000000" w:fill="DCE6F1"/>
            <w:vAlign w:val="center"/>
            <w:hideMark/>
          </w:tcPr>
          <w:p w14:paraId="24B706FC" w14:textId="67515FD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125</w:t>
            </w:r>
          </w:p>
        </w:tc>
        <w:tc>
          <w:tcPr>
            <w:tcW w:w="195" w:type="pct"/>
            <w:tcBorders>
              <w:top w:val="nil"/>
              <w:left w:val="nil"/>
              <w:bottom w:val="single" w:sz="4" w:space="0" w:color="auto"/>
              <w:right w:val="single" w:sz="8" w:space="0" w:color="auto"/>
            </w:tcBorders>
            <w:shd w:val="clear" w:color="000000" w:fill="DCE6F1"/>
            <w:vAlign w:val="center"/>
            <w:hideMark/>
          </w:tcPr>
          <w:p w14:paraId="1C93B8BB" w14:textId="2AD277C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375</w:t>
            </w:r>
          </w:p>
        </w:tc>
        <w:tc>
          <w:tcPr>
            <w:tcW w:w="202" w:type="pct"/>
            <w:tcBorders>
              <w:top w:val="nil"/>
              <w:left w:val="nil"/>
              <w:bottom w:val="single" w:sz="4" w:space="0" w:color="auto"/>
              <w:right w:val="single" w:sz="4" w:space="0" w:color="auto"/>
            </w:tcBorders>
            <w:shd w:val="clear" w:color="000000" w:fill="DCE6F1"/>
            <w:vAlign w:val="center"/>
            <w:hideMark/>
          </w:tcPr>
          <w:p w14:paraId="6A22A6D6" w14:textId="0B0EF7F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16,538</w:t>
            </w:r>
          </w:p>
        </w:tc>
        <w:tc>
          <w:tcPr>
            <w:tcW w:w="200" w:type="pct"/>
            <w:tcBorders>
              <w:top w:val="nil"/>
              <w:left w:val="nil"/>
              <w:bottom w:val="single" w:sz="4" w:space="0" w:color="auto"/>
              <w:right w:val="single" w:sz="4" w:space="0" w:color="auto"/>
            </w:tcBorders>
            <w:shd w:val="clear" w:color="000000" w:fill="DCE6F1"/>
            <w:vAlign w:val="center"/>
            <w:hideMark/>
          </w:tcPr>
          <w:p w14:paraId="4E6755D4" w14:textId="749C8FC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11,330</w:t>
            </w:r>
          </w:p>
        </w:tc>
        <w:tc>
          <w:tcPr>
            <w:tcW w:w="197" w:type="pct"/>
            <w:tcBorders>
              <w:top w:val="nil"/>
              <w:left w:val="nil"/>
              <w:bottom w:val="single" w:sz="4" w:space="0" w:color="auto"/>
              <w:right w:val="single" w:sz="4" w:space="0" w:color="auto"/>
            </w:tcBorders>
            <w:shd w:val="clear" w:color="000000" w:fill="DCE6F1"/>
            <w:vAlign w:val="center"/>
            <w:hideMark/>
          </w:tcPr>
          <w:p w14:paraId="6D548A0B" w14:textId="264E997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1,302</w:t>
            </w:r>
          </w:p>
        </w:tc>
        <w:tc>
          <w:tcPr>
            <w:tcW w:w="342" w:type="pct"/>
            <w:tcBorders>
              <w:top w:val="nil"/>
              <w:left w:val="nil"/>
              <w:bottom w:val="single" w:sz="4" w:space="0" w:color="auto"/>
              <w:right w:val="single" w:sz="8" w:space="0" w:color="auto"/>
            </w:tcBorders>
            <w:shd w:val="clear" w:color="000000" w:fill="DCE6F1"/>
            <w:vAlign w:val="center"/>
            <w:hideMark/>
          </w:tcPr>
          <w:p w14:paraId="5F40B4A4" w14:textId="2172EFF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3,906</w:t>
            </w:r>
          </w:p>
        </w:tc>
      </w:tr>
      <w:tr w:rsidR="00387E5A" w:rsidRPr="00024D5A" w14:paraId="264E18B4"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62C82E31" w14:textId="53827E1F"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Masa </w:t>
            </w:r>
            <w:r w:rsidR="007053C8" w:rsidRPr="00024D5A">
              <w:rPr>
                <w:rFonts w:ascii="Garamond" w:eastAsia="Times New Roman" w:hAnsi="Garamond" w:cs="Calibri"/>
                <w:b/>
                <w:bCs/>
                <w:sz w:val="6"/>
                <w:szCs w:val="6"/>
                <w:lang w:eastAsia="en-US"/>
              </w:rPr>
              <w:t xml:space="preserve">prioritare </w:t>
            </w:r>
            <w:r w:rsidRPr="00024D5A">
              <w:rPr>
                <w:rFonts w:ascii="Garamond" w:eastAsia="Times New Roman" w:hAnsi="Garamond" w:cs="Calibri"/>
                <w:b/>
                <w:bCs/>
                <w:sz w:val="6"/>
                <w:szCs w:val="6"/>
                <w:lang w:eastAsia="en-US"/>
              </w:rPr>
              <w:t>4.2</w:t>
            </w:r>
            <w:r w:rsidR="00AC5DA9">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Aksesueshmëri e plotë fizike, digjitale dhe akademike në institucionet e arsimit të lartë Sigurimi i një mjedisi universitar të aksesueshëm për të gjithë studentët, përmes përshtatjes së infrastrukturës, teknologjisë, komunikimit dhe proceseve akademike, në përputhje me parimet e dizajnit universal.</w:t>
            </w:r>
          </w:p>
        </w:tc>
        <w:tc>
          <w:tcPr>
            <w:tcW w:w="244" w:type="pct"/>
            <w:tcBorders>
              <w:top w:val="nil"/>
              <w:left w:val="single" w:sz="8" w:space="0" w:color="auto"/>
              <w:bottom w:val="single" w:sz="4" w:space="0" w:color="auto"/>
              <w:right w:val="single" w:sz="4" w:space="0" w:color="auto"/>
            </w:tcBorders>
            <w:shd w:val="clear" w:color="000000" w:fill="DCE6F1"/>
            <w:hideMark/>
          </w:tcPr>
          <w:p w14:paraId="34A10B75"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2027</w:t>
            </w:r>
          </w:p>
        </w:tc>
        <w:tc>
          <w:tcPr>
            <w:tcW w:w="226" w:type="pct"/>
            <w:tcBorders>
              <w:top w:val="nil"/>
              <w:left w:val="nil"/>
              <w:bottom w:val="single" w:sz="4" w:space="0" w:color="auto"/>
              <w:right w:val="single" w:sz="4" w:space="0" w:color="auto"/>
            </w:tcBorders>
            <w:shd w:val="clear" w:color="000000" w:fill="DCE6F1"/>
            <w:hideMark/>
          </w:tcPr>
          <w:p w14:paraId="2141526F"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62043860"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MA</w:t>
            </w:r>
          </w:p>
        </w:tc>
        <w:tc>
          <w:tcPr>
            <w:tcW w:w="792" w:type="pct"/>
            <w:tcBorders>
              <w:top w:val="nil"/>
              <w:left w:val="nil"/>
              <w:bottom w:val="single" w:sz="4" w:space="0" w:color="auto"/>
              <w:right w:val="single" w:sz="8" w:space="0" w:color="auto"/>
            </w:tcBorders>
            <w:shd w:val="clear" w:color="000000" w:fill="DCE6F1"/>
            <w:vAlign w:val="center"/>
            <w:hideMark/>
          </w:tcPr>
          <w:p w14:paraId="56F3A2B9"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IAL</w:t>
            </w:r>
          </w:p>
        </w:tc>
        <w:tc>
          <w:tcPr>
            <w:tcW w:w="188" w:type="pct"/>
            <w:tcBorders>
              <w:top w:val="nil"/>
              <w:left w:val="nil"/>
              <w:bottom w:val="single" w:sz="4" w:space="0" w:color="auto"/>
              <w:right w:val="single" w:sz="4" w:space="0" w:color="auto"/>
            </w:tcBorders>
            <w:shd w:val="clear" w:color="000000" w:fill="DCE6F1"/>
            <w:vAlign w:val="center"/>
            <w:hideMark/>
          </w:tcPr>
          <w:p w14:paraId="5BB689F8" w14:textId="6134D0A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700</w:t>
            </w:r>
          </w:p>
        </w:tc>
        <w:tc>
          <w:tcPr>
            <w:tcW w:w="190" w:type="pct"/>
            <w:tcBorders>
              <w:top w:val="nil"/>
              <w:left w:val="nil"/>
              <w:bottom w:val="single" w:sz="4" w:space="0" w:color="auto"/>
              <w:right w:val="single" w:sz="4" w:space="0" w:color="auto"/>
            </w:tcBorders>
            <w:shd w:val="clear" w:color="000000" w:fill="DCE6F1"/>
            <w:vAlign w:val="center"/>
            <w:hideMark/>
          </w:tcPr>
          <w:p w14:paraId="04D7C51E" w14:textId="751025A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50,000</w:t>
            </w:r>
          </w:p>
        </w:tc>
        <w:tc>
          <w:tcPr>
            <w:tcW w:w="190" w:type="pct"/>
            <w:tcBorders>
              <w:top w:val="nil"/>
              <w:left w:val="nil"/>
              <w:bottom w:val="single" w:sz="4" w:space="0" w:color="auto"/>
              <w:right w:val="single" w:sz="4" w:space="0" w:color="auto"/>
            </w:tcBorders>
            <w:shd w:val="clear" w:color="000000" w:fill="DCE6F1"/>
            <w:vAlign w:val="center"/>
            <w:hideMark/>
          </w:tcPr>
          <w:p w14:paraId="64B1B117" w14:textId="13F0865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50,000</w:t>
            </w:r>
          </w:p>
        </w:tc>
        <w:tc>
          <w:tcPr>
            <w:tcW w:w="190" w:type="pct"/>
            <w:tcBorders>
              <w:top w:val="nil"/>
              <w:left w:val="nil"/>
              <w:bottom w:val="single" w:sz="4" w:space="0" w:color="auto"/>
              <w:right w:val="single" w:sz="4" w:space="0" w:color="auto"/>
            </w:tcBorders>
            <w:shd w:val="clear" w:color="000000" w:fill="DCE6F1"/>
            <w:vAlign w:val="center"/>
            <w:hideMark/>
          </w:tcPr>
          <w:p w14:paraId="0FE3AB1B" w14:textId="7CA8DA7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50,000</w:t>
            </w:r>
          </w:p>
        </w:tc>
        <w:tc>
          <w:tcPr>
            <w:tcW w:w="187" w:type="pct"/>
            <w:tcBorders>
              <w:top w:val="nil"/>
              <w:left w:val="nil"/>
              <w:bottom w:val="single" w:sz="4" w:space="0" w:color="auto"/>
              <w:right w:val="single" w:sz="4" w:space="0" w:color="auto"/>
            </w:tcBorders>
            <w:shd w:val="clear" w:color="000000" w:fill="DCE6F1"/>
            <w:vAlign w:val="center"/>
            <w:hideMark/>
          </w:tcPr>
          <w:p w14:paraId="2C27E5EE" w14:textId="6014169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50,000</w:t>
            </w:r>
          </w:p>
        </w:tc>
        <w:tc>
          <w:tcPr>
            <w:tcW w:w="200" w:type="pct"/>
            <w:tcBorders>
              <w:top w:val="nil"/>
              <w:left w:val="nil"/>
              <w:bottom w:val="single" w:sz="4" w:space="0" w:color="auto"/>
              <w:right w:val="nil"/>
            </w:tcBorders>
            <w:shd w:val="clear" w:color="000000" w:fill="DCE6F1"/>
            <w:vAlign w:val="center"/>
            <w:hideMark/>
          </w:tcPr>
          <w:p w14:paraId="11AC9B01" w14:textId="7F93943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200,700</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25C32A0A" w14:textId="0AB6BB9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100,000</w:t>
            </w:r>
          </w:p>
        </w:tc>
        <w:tc>
          <w:tcPr>
            <w:tcW w:w="209" w:type="pct"/>
            <w:tcBorders>
              <w:top w:val="nil"/>
              <w:left w:val="nil"/>
              <w:bottom w:val="single" w:sz="4" w:space="0" w:color="auto"/>
              <w:right w:val="single" w:sz="4" w:space="0" w:color="auto"/>
            </w:tcBorders>
            <w:shd w:val="clear" w:color="000000" w:fill="DCE6F1"/>
            <w:vAlign w:val="center"/>
            <w:hideMark/>
          </w:tcPr>
          <w:p w14:paraId="4B308FB5" w14:textId="36521D5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700</w:t>
            </w:r>
          </w:p>
        </w:tc>
        <w:tc>
          <w:tcPr>
            <w:tcW w:w="195" w:type="pct"/>
            <w:tcBorders>
              <w:top w:val="nil"/>
              <w:left w:val="nil"/>
              <w:bottom w:val="single" w:sz="4" w:space="0" w:color="auto"/>
              <w:right w:val="single" w:sz="8" w:space="0" w:color="auto"/>
            </w:tcBorders>
            <w:shd w:val="clear" w:color="000000" w:fill="DCE6F1"/>
            <w:vAlign w:val="center"/>
            <w:hideMark/>
          </w:tcPr>
          <w:p w14:paraId="2105F6EF" w14:textId="3C8DA1B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100,000</w:t>
            </w:r>
          </w:p>
        </w:tc>
        <w:tc>
          <w:tcPr>
            <w:tcW w:w="202" w:type="pct"/>
            <w:tcBorders>
              <w:top w:val="nil"/>
              <w:left w:val="nil"/>
              <w:bottom w:val="single" w:sz="4" w:space="0" w:color="auto"/>
              <w:right w:val="single" w:sz="4" w:space="0" w:color="auto"/>
            </w:tcBorders>
            <w:shd w:val="clear" w:color="000000" w:fill="DCE6F1"/>
            <w:vAlign w:val="center"/>
            <w:hideMark/>
          </w:tcPr>
          <w:p w14:paraId="7CDF030A" w14:textId="1C82528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2,090,625</w:t>
            </w:r>
          </w:p>
        </w:tc>
        <w:tc>
          <w:tcPr>
            <w:tcW w:w="200" w:type="pct"/>
            <w:tcBorders>
              <w:top w:val="nil"/>
              <w:left w:val="nil"/>
              <w:bottom w:val="single" w:sz="4" w:space="0" w:color="auto"/>
              <w:right w:val="single" w:sz="4" w:space="0" w:color="auto"/>
            </w:tcBorders>
            <w:shd w:val="clear" w:color="000000" w:fill="DCE6F1"/>
            <w:vAlign w:val="center"/>
            <w:hideMark/>
          </w:tcPr>
          <w:p w14:paraId="12849D22" w14:textId="0C36DF1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1,041,667</w:t>
            </w:r>
          </w:p>
        </w:tc>
        <w:tc>
          <w:tcPr>
            <w:tcW w:w="197" w:type="pct"/>
            <w:tcBorders>
              <w:top w:val="nil"/>
              <w:left w:val="nil"/>
              <w:bottom w:val="single" w:sz="4" w:space="0" w:color="auto"/>
              <w:right w:val="single" w:sz="4" w:space="0" w:color="auto"/>
            </w:tcBorders>
            <w:shd w:val="clear" w:color="000000" w:fill="DCE6F1"/>
            <w:vAlign w:val="center"/>
            <w:hideMark/>
          </w:tcPr>
          <w:p w14:paraId="048CD6A1" w14:textId="5B77E3D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7,292</w:t>
            </w:r>
          </w:p>
        </w:tc>
        <w:tc>
          <w:tcPr>
            <w:tcW w:w="342" w:type="pct"/>
            <w:tcBorders>
              <w:top w:val="nil"/>
              <w:left w:val="nil"/>
              <w:bottom w:val="single" w:sz="4" w:space="0" w:color="auto"/>
              <w:right w:val="single" w:sz="8" w:space="0" w:color="auto"/>
            </w:tcBorders>
            <w:shd w:val="clear" w:color="000000" w:fill="DCE6F1"/>
            <w:vAlign w:val="center"/>
            <w:hideMark/>
          </w:tcPr>
          <w:p w14:paraId="2A129796" w14:textId="70ED6A5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1,041,667</w:t>
            </w:r>
          </w:p>
        </w:tc>
      </w:tr>
      <w:tr w:rsidR="00387E5A" w:rsidRPr="00024D5A" w14:paraId="18DBCEED"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1D16889C" w14:textId="752DD7B1"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Masa </w:t>
            </w:r>
            <w:r w:rsidR="007053C8" w:rsidRPr="00024D5A">
              <w:rPr>
                <w:rFonts w:ascii="Garamond" w:eastAsia="Times New Roman" w:hAnsi="Garamond" w:cs="Calibri"/>
                <w:b/>
                <w:bCs/>
                <w:sz w:val="6"/>
                <w:szCs w:val="6"/>
                <w:lang w:eastAsia="en-US"/>
              </w:rPr>
              <w:t xml:space="preserve">prioritare </w:t>
            </w:r>
            <w:r w:rsidRPr="00024D5A">
              <w:rPr>
                <w:rFonts w:ascii="Garamond" w:eastAsia="Times New Roman" w:hAnsi="Garamond" w:cs="Calibri"/>
                <w:b/>
                <w:bCs/>
                <w:sz w:val="6"/>
                <w:szCs w:val="6"/>
                <w:lang w:eastAsia="en-US"/>
              </w:rPr>
              <w:t>4.3</w:t>
            </w:r>
            <w:r w:rsidR="00AC5DA9">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Shërbime mbështetëse dhe zhvillim kapacitetesh për arsimin e lartë gjithëpërfshirës Forcimi i mbështetjes institucionale dhe profesionale për studentët me aftësi të kufizuara, përmes shërbimeve të specializuara dhe rritjes së kapaciteteve të stafit akademik dhe administrativ.</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04838CA3"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2027</w:t>
            </w:r>
          </w:p>
        </w:tc>
        <w:tc>
          <w:tcPr>
            <w:tcW w:w="226" w:type="pct"/>
            <w:tcBorders>
              <w:top w:val="nil"/>
              <w:left w:val="nil"/>
              <w:bottom w:val="single" w:sz="4" w:space="0" w:color="auto"/>
              <w:right w:val="single" w:sz="4" w:space="0" w:color="auto"/>
            </w:tcBorders>
            <w:shd w:val="clear" w:color="000000" w:fill="DCE6F1"/>
            <w:vAlign w:val="center"/>
            <w:hideMark/>
          </w:tcPr>
          <w:p w14:paraId="45B6F306"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169614A9"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IAL</w:t>
            </w:r>
          </w:p>
        </w:tc>
        <w:tc>
          <w:tcPr>
            <w:tcW w:w="792" w:type="pct"/>
            <w:tcBorders>
              <w:top w:val="nil"/>
              <w:left w:val="nil"/>
              <w:bottom w:val="single" w:sz="4" w:space="0" w:color="auto"/>
              <w:right w:val="single" w:sz="8" w:space="0" w:color="auto"/>
            </w:tcBorders>
            <w:shd w:val="clear" w:color="000000" w:fill="DCE6F1"/>
            <w:vAlign w:val="center"/>
            <w:hideMark/>
          </w:tcPr>
          <w:p w14:paraId="16A344F4"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IAL</w:t>
            </w:r>
          </w:p>
        </w:tc>
        <w:tc>
          <w:tcPr>
            <w:tcW w:w="188" w:type="pct"/>
            <w:tcBorders>
              <w:top w:val="nil"/>
              <w:left w:val="nil"/>
              <w:bottom w:val="single" w:sz="4" w:space="0" w:color="auto"/>
              <w:right w:val="single" w:sz="4" w:space="0" w:color="auto"/>
            </w:tcBorders>
            <w:shd w:val="clear" w:color="000000" w:fill="DCE6F1"/>
            <w:vAlign w:val="center"/>
            <w:hideMark/>
          </w:tcPr>
          <w:p w14:paraId="109908E7" w14:textId="3B7845E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0" w:type="pct"/>
            <w:tcBorders>
              <w:top w:val="nil"/>
              <w:left w:val="nil"/>
              <w:bottom w:val="single" w:sz="4" w:space="0" w:color="auto"/>
              <w:right w:val="single" w:sz="4" w:space="0" w:color="auto"/>
            </w:tcBorders>
            <w:shd w:val="clear" w:color="000000" w:fill="DCE6F1"/>
            <w:vAlign w:val="center"/>
            <w:hideMark/>
          </w:tcPr>
          <w:p w14:paraId="59F74B9A" w14:textId="5DD2E3D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75,000</w:t>
            </w:r>
          </w:p>
        </w:tc>
        <w:tc>
          <w:tcPr>
            <w:tcW w:w="190" w:type="pct"/>
            <w:tcBorders>
              <w:top w:val="nil"/>
              <w:left w:val="nil"/>
              <w:bottom w:val="single" w:sz="4" w:space="0" w:color="auto"/>
              <w:right w:val="single" w:sz="4" w:space="0" w:color="auto"/>
            </w:tcBorders>
            <w:shd w:val="clear" w:color="000000" w:fill="DCE6F1"/>
            <w:vAlign w:val="center"/>
            <w:hideMark/>
          </w:tcPr>
          <w:p w14:paraId="7F1C29EF" w14:textId="64895A5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75,000</w:t>
            </w:r>
          </w:p>
        </w:tc>
        <w:tc>
          <w:tcPr>
            <w:tcW w:w="190" w:type="pct"/>
            <w:tcBorders>
              <w:top w:val="nil"/>
              <w:left w:val="nil"/>
              <w:bottom w:val="single" w:sz="4" w:space="0" w:color="auto"/>
              <w:right w:val="single" w:sz="4" w:space="0" w:color="auto"/>
            </w:tcBorders>
            <w:shd w:val="clear" w:color="000000" w:fill="DCE6F1"/>
            <w:vAlign w:val="center"/>
            <w:hideMark/>
          </w:tcPr>
          <w:p w14:paraId="7681B19A" w14:textId="5B80AD4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75,000</w:t>
            </w:r>
          </w:p>
        </w:tc>
        <w:tc>
          <w:tcPr>
            <w:tcW w:w="187" w:type="pct"/>
            <w:tcBorders>
              <w:top w:val="nil"/>
              <w:left w:val="nil"/>
              <w:bottom w:val="single" w:sz="4" w:space="0" w:color="auto"/>
              <w:right w:val="single" w:sz="4" w:space="0" w:color="auto"/>
            </w:tcBorders>
            <w:shd w:val="clear" w:color="000000" w:fill="DCE6F1"/>
            <w:vAlign w:val="center"/>
            <w:hideMark/>
          </w:tcPr>
          <w:p w14:paraId="688763D8" w14:textId="4A104DE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75,000</w:t>
            </w:r>
          </w:p>
        </w:tc>
        <w:tc>
          <w:tcPr>
            <w:tcW w:w="200" w:type="pct"/>
            <w:tcBorders>
              <w:top w:val="nil"/>
              <w:left w:val="nil"/>
              <w:bottom w:val="single" w:sz="4" w:space="0" w:color="auto"/>
              <w:right w:val="nil"/>
            </w:tcBorders>
            <w:shd w:val="clear" w:color="000000" w:fill="DCE6F1"/>
            <w:vAlign w:val="center"/>
            <w:hideMark/>
          </w:tcPr>
          <w:p w14:paraId="2D0E3BE6" w14:textId="31433D3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300,000</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161CA5A6" w14:textId="0F32476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300,000</w:t>
            </w:r>
          </w:p>
        </w:tc>
        <w:tc>
          <w:tcPr>
            <w:tcW w:w="209" w:type="pct"/>
            <w:tcBorders>
              <w:top w:val="nil"/>
              <w:left w:val="nil"/>
              <w:bottom w:val="single" w:sz="4" w:space="0" w:color="auto"/>
              <w:right w:val="single" w:sz="4" w:space="0" w:color="auto"/>
            </w:tcBorders>
            <w:shd w:val="clear" w:color="000000" w:fill="DCE6F1"/>
            <w:vAlign w:val="center"/>
            <w:hideMark/>
          </w:tcPr>
          <w:p w14:paraId="640B8288" w14:textId="1A51D1E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5" w:type="pct"/>
            <w:tcBorders>
              <w:top w:val="nil"/>
              <w:left w:val="nil"/>
              <w:bottom w:val="single" w:sz="4" w:space="0" w:color="auto"/>
              <w:right w:val="single" w:sz="8" w:space="0" w:color="auto"/>
            </w:tcBorders>
            <w:shd w:val="clear" w:color="000000" w:fill="DCE6F1"/>
            <w:vAlign w:val="center"/>
            <w:hideMark/>
          </w:tcPr>
          <w:p w14:paraId="289B8236" w14:textId="688D5DD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202" w:type="pct"/>
            <w:tcBorders>
              <w:top w:val="nil"/>
              <w:left w:val="nil"/>
              <w:bottom w:val="single" w:sz="4" w:space="0" w:color="auto"/>
              <w:right w:val="single" w:sz="4" w:space="0" w:color="auto"/>
            </w:tcBorders>
            <w:shd w:val="clear" w:color="000000" w:fill="DCE6F1"/>
            <w:vAlign w:val="center"/>
            <w:hideMark/>
          </w:tcPr>
          <w:p w14:paraId="70DF0D2F" w14:textId="25E8328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3,125,000</w:t>
            </w:r>
          </w:p>
        </w:tc>
        <w:tc>
          <w:tcPr>
            <w:tcW w:w="200" w:type="pct"/>
            <w:tcBorders>
              <w:top w:val="nil"/>
              <w:left w:val="nil"/>
              <w:bottom w:val="single" w:sz="4" w:space="0" w:color="auto"/>
              <w:right w:val="single" w:sz="4" w:space="0" w:color="auto"/>
            </w:tcBorders>
            <w:shd w:val="clear" w:color="000000" w:fill="DCE6F1"/>
            <w:vAlign w:val="center"/>
            <w:hideMark/>
          </w:tcPr>
          <w:p w14:paraId="3809AD6D" w14:textId="6C02CD6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3,125,000</w:t>
            </w:r>
          </w:p>
        </w:tc>
        <w:tc>
          <w:tcPr>
            <w:tcW w:w="197" w:type="pct"/>
            <w:tcBorders>
              <w:top w:val="nil"/>
              <w:left w:val="nil"/>
              <w:bottom w:val="single" w:sz="4" w:space="0" w:color="auto"/>
              <w:right w:val="single" w:sz="4" w:space="0" w:color="auto"/>
            </w:tcBorders>
            <w:shd w:val="clear" w:color="000000" w:fill="DCE6F1"/>
            <w:vAlign w:val="center"/>
            <w:hideMark/>
          </w:tcPr>
          <w:p w14:paraId="664EF10F" w14:textId="6937EE1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single" w:sz="8" w:space="0" w:color="auto"/>
            </w:tcBorders>
            <w:shd w:val="clear" w:color="000000" w:fill="DCE6F1"/>
            <w:vAlign w:val="center"/>
            <w:hideMark/>
          </w:tcPr>
          <w:p w14:paraId="7D82AAB5" w14:textId="5699D64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r>
      <w:tr w:rsidR="00387E5A" w:rsidRPr="00024D5A" w14:paraId="7519C407" w14:textId="77777777" w:rsidTr="00387E5A">
        <w:trPr>
          <w:trHeight w:val="20"/>
        </w:trPr>
        <w:tc>
          <w:tcPr>
            <w:tcW w:w="375" w:type="pct"/>
            <w:tcBorders>
              <w:top w:val="nil"/>
              <w:left w:val="single" w:sz="4" w:space="0" w:color="auto"/>
              <w:bottom w:val="single" w:sz="4" w:space="0" w:color="auto"/>
              <w:right w:val="nil"/>
            </w:tcBorders>
            <w:shd w:val="clear" w:color="000000" w:fill="F276AB"/>
            <w:vAlign w:val="center"/>
            <w:hideMark/>
          </w:tcPr>
          <w:p w14:paraId="439E2699" w14:textId="77777777"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V. MBROJTJA SOCIALE</w:t>
            </w:r>
          </w:p>
        </w:tc>
        <w:tc>
          <w:tcPr>
            <w:tcW w:w="244" w:type="pct"/>
            <w:tcBorders>
              <w:top w:val="nil"/>
              <w:left w:val="single" w:sz="8" w:space="0" w:color="auto"/>
              <w:bottom w:val="single" w:sz="4" w:space="0" w:color="auto"/>
              <w:right w:val="single" w:sz="4" w:space="0" w:color="auto"/>
            </w:tcBorders>
            <w:shd w:val="clear" w:color="000000" w:fill="F276AB"/>
            <w:vAlign w:val="center"/>
            <w:hideMark/>
          </w:tcPr>
          <w:p w14:paraId="253BA6E2"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2026</w:t>
            </w:r>
          </w:p>
        </w:tc>
        <w:tc>
          <w:tcPr>
            <w:tcW w:w="226" w:type="pct"/>
            <w:tcBorders>
              <w:top w:val="nil"/>
              <w:left w:val="nil"/>
              <w:bottom w:val="single" w:sz="4" w:space="0" w:color="auto"/>
              <w:right w:val="single" w:sz="4" w:space="0" w:color="auto"/>
            </w:tcBorders>
            <w:shd w:val="clear" w:color="000000" w:fill="F276AB"/>
            <w:vAlign w:val="center"/>
            <w:hideMark/>
          </w:tcPr>
          <w:p w14:paraId="7C7DE3C5"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2030</w:t>
            </w:r>
          </w:p>
        </w:tc>
        <w:tc>
          <w:tcPr>
            <w:tcW w:w="664" w:type="pct"/>
            <w:tcBorders>
              <w:top w:val="nil"/>
              <w:left w:val="nil"/>
              <w:bottom w:val="single" w:sz="4" w:space="0" w:color="auto"/>
              <w:right w:val="single" w:sz="4" w:space="0" w:color="auto"/>
            </w:tcBorders>
            <w:shd w:val="clear" w:color="000000" w:fill="F276AB"/>
            <w:vAlign w:val="center"/>
            <w:hideMark/>
          </w:tcPr>
          <w:p w14:paraId="0497FB33" w14:textId="66BF659F" w:rsidR="00DE4FCB" w:rsidRPr="00024D5A" w:rsidRDefault="00DE4FCB" w:rsidP="00387E5A">
            <w:pPr>
              <w:jc w:val="center"/>
              <w:rPr>
                <w:rFonts w:ascii="Garamond" w:eastAsia="Times New Roman" w:hAnsi="Garamond"/>
                <w:sz w:val="6"/>
                <w:szCs w:val="6"/>
                <w:lang w:eastAsia="en-US"/>
              </w:rPr>
            </w:pPr>
          </w:p>
        </w:tc>
        <w:tc>
          <w:tcPr>
            <w:tcW w:w="792" w:type="pct"/>
            <w:tcBorders>
              <w:top w:val="nil"/>
              <w:left w:val="nil"/>
              <w:bottom w:val="single" w:sz="4" w:space="0" w:color="auto"/>
              <w:right w:val="single" w:sz="8" w:space="0" w:color="auto"/>
            </w:tcBorders>
            <w:shd w:val="clear" w:color="000000" w:fill="F276AB"/>
            <w:vAlign w:val="center"/>
            <w:hideMark/>
          </w:tcPr>
          <w:p w14:paraId="558C861A" w14:textId="57AA6531" w:rsidR="00DE4FCB" w:rsidRPr="00024D5A" w:rsidRDefault="00DE4FCB" w:rsidP="00387E5A">
            <w:pPr>
              <w:jc w:val="center"/>
              <w:rPr>
                <w:rFonts w:ascii="Garamond" w:eastAsia="Times New Roman" w:hAnsi="Garamond"/>
                <w:sz w:val="6"/>
                <w:szCs w:val="6"/>
                <w:lang w:eastAsia="en-US"/>
              </w:rPr>
            </w:pPr>
          </w:p>
        </w:tc>
        <w:tc>
          <w:tcPr>
            <w:tcW w:w="188" w:type="pct"/>
            <w:tcBorders>
              <w:top w:val="nil"/>
              <w:left w:val="nil"/>
              <w:bottom w:val="single" w:sz="4" w:space="0" w:color="auto"/>
              <w:right w:val="single" w:sz="4" w:space="0" w:color="auto"/>
            </w:tcBorders>
            <w:shd w:val="clear" w:color="000000" w:fill="F276AB"/>
            <w:vAlign w:val="center"/>
            <w:hideMark/>
          </w:tcPr>
          <w:p w14:paraId="0B018497" w14:textId="718AEC2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19,630</w:t>
            </w:r>
          </w:p>
        </w:tc>
        <w:tc>
          <w:tcPr>
            <w:tcW w:w="190" w:type="pct"/>
            <w:tcBorders>
              <w:top w:val="nil"/>
              <w:left w:val="nil"/>
              <w:bottom w:val="single" w:sz="4" w:space="0" w:color="auto"/>
              <w:right w:val="single" w:sz="4" w:space="0" w:color="auto"/>
            </w:tcBorders>
            <w:shd w:val="clear" w:color="000000" w:fill="F276AB"/>
            <w:vAlign w:val="center"/>
            <w:hideMark/>
          </w:tcPr>
          <w:p w14:paraId="544852F8" w14:textId="160588E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169,287</w:t>
            </w:r>
          </w:p>
        </w:tc>
        <w:tc>
          <w:tcPr>
            <w:tcW w:w="190" w:type="pct"/>
            <w:tcBorders>
              <w:top w:val="nil"/>
              <w:left w:val="nil"/>
              <w:bottom w:val="single" w:sz="4" w:space="0" w:color="auto"/>
              <w:right w:val="single" w:sz="4" w:space="0" w:color="auto"/>
            </w:tcBorders>
            <w:shd w:val="clear" w:color="000000" w:fill="F276AB"/>
            <w:vAlign w:val="center"/>
            <w:hideMark/>
          </w:tcPr>
          <w:p w14:paraId="75A3E42F" w14:textId="557A52B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69,042</w:t>
            </w:r>
          </w:p>
        </w:tc>
        <w:tc>
          <w:tcPr>
            <w:tcW w:w="190" w:type="pct"/>
            <w:tcBorders>
              <w:top w:val="nil"/>
              <w:left w:val="nil"/>
              <w:bottom w:val="single" w:sz="4" w:space="0" w:color="auto"/>
              <w:right w:val="single" w:sz="4" w:space="0" w:color="auto"/>
            </w:tcBorders>
            <w:shd w:val="clear" w:color="000000" w:fill="F276AB"/>
            <w:vAlign w:val="center"/>
            <w:hideMark/>
          </w:tcPr>
          <w:p w14:paraId="2B75D516" w14:textId="3CCD416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61,668</w:t>
            </w:r>
          </w:p>
        </w:tc>
        <w:tc>
          <w:tcPr>
            <w:tcW w:w="187" w:type="pct"/>
            <w:tcBorders>
              <w:top w:val="nil"/>
              <w:left w:val="nil"/>
              <w:bottom w:val="single" w:sz="4" w:space="0" w:color="auto"/>
              <w:right w:val="single" w:sz="4" w:space="0" w:color="auto"/>
            </w:tcBorders>
            <w:shd w:val="clear" w:color="000000" w:fill="F276AB"/>
            <w:vAlign w:val="center"/>
            <w:hideMark/>
          </w:tcPr>
          <w:p w14:paraId="627C8A20" w14:textId="1365C1D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187,047</w:t>
            </w:r>
          </w:p>
        </w:tc>
        <w:tc>
          <w:tcPr>
            <w:tcW w:w="200" w:type="pct"/>
            <w:tcBorders>
              <w:top w:val="nil"/>
              <w:left w:val="nil"/>
              <w:bottom w:val="single" w:sz="4" w:space="0" w:color="auto"/>
              <w:right w:val="nil"/>
            </w:tcBorders>
            <w:shd w:val="clear" w:color="000000" w:fill="F276AB"/>
            <w:vAlign w:val="center"/>
            <w:hideMark/>
          </w:tcPr>
          <w:p w14:paraId="5ECBE55C" w14:textId="17DEEC1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506,675</w:t>
            </w:r>
          </w:p>
        </w:tc>
        <w:tc>
          <w:tcPr>
            <w:tcW w:w="209" w:type="pct"/>
            <w:tcBorders>
              <w:top w:val="nil"/>
              <w:left w:val="single" w:sz="8" w:space="0" w:color="auto"/>
              <w:bottom w:val="single" w:sz="4" w:space="0" w:color="auto"/>
              <w:right w:val="single" w:sz="4" w:space="0" w:color="auto"/>
            </w:tcBorders>
            <w:shd w:val="clear" w:color="000000" w:fill="F276AB"/>
            <w:vAlign w:val="center"/>
            <w:hideMark/>
          </w:tcPr>
          <w:p w14:paraId="4F2ADE4D" w14:textId="606094B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366,750</w:t>
            </w:r>
          </w:p>
        </w:tc>
        <w:tc>
          <w:tcPr>
            <w:tcW w:w="209" w:type="pct"/>
            <w:tcBorders>
              <w:top w:val="nil"/>
              <w:left w:val="nil"/>
              <w:bottom w:val="single" w:sz="4" w:space="0" w:color="auto"/>
              <w:right w:val="single" w:sz="4" w:space="0" w:color="auto"/>
            </w:tcBorders>
            <w:shd w:val="clear" w:color="000000" w:fill="F276AB"/>
            <w:vAlign w:val="center"/>
            <w:hideMark/>
          </w:tcPr>
          <w:p w14:paraId="3A9F0EAF" w14:textId="4CC2C15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5,725</w:t>
            </w:r>
          </w:p>
        </w:tc>
        <w:tc>
          <w:tcPr>
            <w:tcW w:w="195" w:type="pct"/>
            <w:tcBorders>
              <w:top w:val="nil"/>
              <w:left w:val="nil"/>
              <w:bottom w:val="single" w:sz="4" w:space="0" w:color="auto"/>
              <w:right w:val="single" w:sz="8" w:space="0" w:color="auto"/>
            </w:tcBorders>
            <w:shd w:val="clear" w:color="000000" w:fill="F276AB"/>
            <w:vAlign w:val="center"/>
            <w:hideMark/>
          </w:tcPr>
          <w:p w14:paraId="030319D5" w14:textId="08D7B02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134,200</w:t>
            </w:r>
          </w:p>
        </w:tc>
        <w:tc>
          <w:tcPr>
            <w:tcW w:w="202" w:type="pct"/>
            <w:tcBorders>
              <w:top w:val="nil"/>
              <w:left w:val="nil"/>
              <w:bottom w:val="single" w:sz="4" w:space="0" w:color="auto"/>
              <w:right w:val="single" w:sz="4" w:space="0" w:color="auto"/>
            </w:tcBorders>
            <w:shd w:val="clear" w:color="000000" w:fill="F276AB"/>
            <w:vAlign w:val="center"/>
            <w:hideMark/>
          </w:tcPr>
          <w:p w14:paraId="2902B415" w14:textId="07D9C6C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4,569,619</w:t>
            </w:r>
          </w:p>
        </w:tc>
        <w:tc>
          <w:tcPr>
            <w:tcW w:w="200" w:type="pct"/>
            <w:tcBorders>
              <w:top w:val="nil"/>
              <w:left w:val="nil"/>
              <w:bottom w:val="single" w:sz="4" w:space="0" w:color="auto"/>
              <w:right w:val="single" w:sz="4" w:space="0" w:color="auto"/>
            </w:tcBorders>
            <w:shd w:val="clear" w:color="000000" w:fill="F276AB"/>
            <w:vAlign w:val="center"/>
            <w:hideMark/>
          </w:tcPr>
          <w:p w14:paraId="67C349D8" w14:textId="58E5DC6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3,265,041</w:t>
            </w:r>
          </w:p>
        </w:tc>
        <w:tc>
          <w:tcPr>
            <w:tcW w:w="197" w:type="pct"/>
            <w:tcBorders>
              <w:top w:val="nil"/>
              <w:left w:val="nil"/>
              <w:bottom w:val="single" w:sz="4" w:space="0" w:color="auto"/>
              <w:right w:val="single" w:sz="4" w:space="0" w:color="auto"/>
            </w:tcBorders>
            <w:shd w:val="clear" w:color="000000" w:fill="F276AB"/>
            <w:vAlign w:val="center"/>
            <w:hideMark/>
          </w:tcPr>
          <w:p w14:paraId="49F4C77F" w14:textId="2A04B3A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59,635</w:t>
            </w:r>
          </w:p>
        </w:tc>
        <w:tc>
          <w:tcPr>
            <w:tcW w:w="342" w:type="pct"/>
            <w:tcBorders>
              <w:top w:val="nil"/>
              <w:left w:val="nil"/>
              <w:bottom w:val="single" w:sz="4" w:space="0" w:color="auto"/>
              <w:right w:val="single" w:sz="8" w:space="0" w:color="auto"/>
            </w:tcBorders>
            <w:shd w:val="clear" w:color="000000" w:fill="F276AB"/>
            <w:vAlign w:val="center"/>
            <w:hideMark/>
          </w:tcPr>
          <w:p w14:paraId="4E963FC8" w14:textId="0B55E08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1,244,943</w:t>
            </w:r>
          </w:p>
        </w:tc>
      </w:tr>
      <w:tr w:rsidR="00387E5A" w:rsidRPr="00024D5A" w14:paraId="572D3A1D" w14:textId="77777777" w:rsidTr="00387E5A">
        <w:trPr>
          <w:trHeight w:val="20"/>
        </w:trPr>
        <w:tc>
          <w:tcPr>
            <w:tcW w:w="375" w:type="pct"/>
            <w:tcBorders>
              <w:top w:val="nil"/>
              <w:left w:val="single" w:sz="4" w:space="0" w:color="auto"/>
              <w:bottom w:val="single" w:sz="4" w:space="0" w:color="auto"/>
              <w:right w:val="nil"/>
            </w:tcBorders>
            <w:shd w:val="clear" w:color="000000" w:fill="FDE9D9"/>
            <w:vAlign w:val="center"/>
            <w:hideMark/>
          </w:tcPr>
          <w:p w14:paraId="788241B7" w14:textId="1455AEDD"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Objektivi </w:t>
            </w:r>
            <w:r w:rsidR="007053C8" w:rsidRPr="00024D5A">
              <w:rPr>
                <w:rFonts w:ascii="Garamond" w:eastAsia="Times New Roman" w:hAnsi="Garamond" w:cs="Calibri"/>
                <w:b/>
                <w:bCs/>
                <w:sz w:val="6"/>
                <w:szCs w:val="6"/>
                <w:lang w:eastAsia="en-US"/>
              </w:rPr>
              <w:t xml:space="preserve">specifik </w:t>
            </w:r>
            <w:r w:rsidRPr="00024D5A">
              <w:rPr>
                <w:rFonts w:ascii="Garamond" w:eastAsia="Times New Roman" w:hAnsi="Garamond" w:cs="Calibri"/>
                <w:b/>
                <w:bCs/>
                <w:sz w:val="6"/>
                <w:szCs w:val="6"/>
                <w:lang w:eastAsia="en-US"/>
              </w:rPr>
              <w:t>1</w:t>
            </w:r>
            <w:r w:rsidR="00AC5DA9">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Përmirësimi i jetesës për Personat me Aftësi të Kufizuara nëpërmjet skemave financiare të përshtatshme, të mirëshënjestruara, transparente dhe të afta për të përballuar rreziqet e ndryshme</w:t>
            </w:r>
            <w:r w:rsidR="00E51640" w:rsidRPr="00024D5A">
              <w:rPr>
                <w:rFonts w:ascii="Garamond" w:eastAsia="Times New Roman" w:hAnsi="Garamond" w:cs="Calibri"/>
                <w:b/>
                <w:bCs/>
                <w:sz w:val="6"/>
                <w:szCs w:val="6"/>
                <w:lang w:eastAsia="en-US"/>
              </w:rPr>
              <w:t>.</w:t>
            </w:r>
          </w:p>
        </w:tc>
        <w:tc>
          <w:tcPr>
            <w:tcW w:w="244" w:type="pct"/>
            <w:tcBorders>
              <w:top w:val="nil"/>
              <w:left w:val="single" w:sz="8" w:space="0" w:color="auto"/>
              <w:bottom w:val="single" w:sz="4" w:space="0" w:color="auto"/>
              <w:right w:val="single" w:sz="4" w:space="0" w:color="auto"/>
            </w:tcBorders>
            <w:shd w:val="clear" w:color="000000" w:fill="FDE9D9"/>
            <w:vAlign w:val="center"/>
            <w:hideMark/>
          </w:tcPr>
          <w:p w14:paraId="38200F61"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0</w:t>
            </w:r>
          </w:p>
        </w:tc>
        <w:tc>
          <w:tcPr>
            <w:tcW w:w="226" w:type="pct"/>
            <w:tcBorders>
              <w:top w:val="nil"/>
              <w:left w:val="nil"/>
              <w:bottom w:val="single" w:sz="4" w:space="0" w:color="auto"/>
              <w:right w:val="single" w:sz="4" w:space="0" w:color="auto"/>
            </w:tcBorders>
            <w:shd w:val="clear" w:color="000000" w:fill="FDE9D9"/>
            <w:vAlign w:val="center"/>
            <w:hideMark/>
          </w:tcPr>
          <w:p w14:paraId="40FAC67E"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2030</w:t>
            </w:r>
          </w:p>
        </w:tc>
        <w:tc>
          <w:tcPr>
            <w:tcW w:w="664" w:type="pct"/>
            <w:tcBorders>
              <w:top w:val="nil"/>
              <w:left w:val="nil"/>
              <w:bottom w:val="single" w:sz="4" w:space="0" w:color="auto"/>
              <w:right w:val="single" w:sz="4" w:space="0" w:color="auto"/>
            </w:tcBorders>
            <w:shd w:val="clear" w:color="000000" w:fill="FDE9D9"/>
            <w:vAlign w:val="center"/>
            <w:hideMark/>
          </w:tcPr>
          <w:p w14:paraId="6F9DA9D6"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w:t>
            </w:r>
          </w:p>
        </w:tc>
        <w:tc>
          <w:tcPr>
            <w:tcW w:w="792" w:type="pct"/>
            <w:tcBorders>
              <w:top w:val="nil"/>
              <w:left w:val="nil"/>
              <w:bottom w:val="single" w:sz="4" w:space="0" w:color="auto"/>
              <w:right w:val="single" w:sz="8" w:space="0" w:color="auto"/>
            </w:tcBorders>
            <w:shd w:val="clear" w:color="000000" w:fill="FDE9D9"/>
            <w:vAlign w:val="center"/>
            <w:hideMark/>
          </w:tcPr>
          <w:p w14:paraId="0E895D53"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SHSSH/INSTAT</w:t>
            </w:r>
          </w:p>
        </w:tc>
        <w:tc>
          <w:tcPr>
            <w:tcW w:w="188" w:type="pct"/>
            <w:tcBorders>
              <w:top w:val="nil"/>
              <w:left w:val="nil"/>
              <w:bottom w:val="single" w:sz="4" w:space="0" w:color="auto"/>
              <w:right w:val="single" w:sz="4" w:space="0" w:color="auto"/>
            </w:tcBorders>
            <w:shd w:val="clear" w:color="000000" w:fill="FDE9D9"/>
            <w:vAlign w:val="center"/>
            <w:hideMark/>
          </w:tcPr>
          <w:p w14:paraId="46CDDFE4" w14:textId="5D98C8B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1,259</w:t>
            </w:r>
          </w:p>
        </w:tc>
        <w:tc>
          <w:tcPr>
            <w:tcW w:w="190" w:type="pct"/>
            <w:tcBorders>
              <w:top w:val="nil"/>
              <w:left w:val="nil"/>
              <w:bottom w:val="single" w:sz="4" w:space="0" w:color="auto"/>
              <w:right w:val="single" w:sz="4" w:space="0" w:color="auto"/>
            </w:tcBorders>
            <w:shd w:val="clear" w:color="000000" w:fill="FDE9D9"/>
            <w:vAlign w:val="center"/>
            <w:hideMark/>
          </w:tcPr>
          <w:p w14:paraId="63130425" w14:textId="0CA8F25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8,109</w:t>
            </w:r>
          </w:p>
        </w:tc>
        <w:tc>
          <w:tcPr>
            <w:tcW w:w="190" w:type="pct"/>
            <w:tcBorders>
              <w:top w:val="nil"/>
              <w:left w:val="nil"/>
              <w:bottom w:val="single" w:sz="4" w:space="0" w:color="auto"/>
              <w:right w:val="single" w:sz="4" w:space="0" w:color="auto"/>
            </w:tcBorders>
            <w:shd w:val="clear" w:color="000000" w:fill="FDE9D9"/>
            <w:vAlign w:val="center"/>
            <w:hideMark/>
          </w:tcPr>
          <w:p w14:paraId="6B92E2DE" w14:textId="1E77755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9,795</w:t>
            </w:r>
          </w:p>
        </w:tc>
        <w:tc>
          <w:tcPr>
            <w:tcW w:w="190" w:type="pct"/>
            <w:tcBorders>
              <w:top w:val="nil"/>
              <w:left w:val="nil"/>
              <w:bottom w:val="single" w:sz="4" w:space="0" w:color="auto"/>
              <w:right w:val="single" w:sz="4" w:space="0" w:color="auto"/>
            </w:tcBorders>
            <w:shd w:val="clear" w:color="000000" w:fill="FDE9D9"/>
            <w:vAlign w:val="center"/>
            <w:hideMark/>
          </w:tcPr>
          <w:p w14:paraId="7D166045" w14:textId="383D033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9,285</w:t>
            </w:r>
          </w:p>
        </w:tc>
        <w:tc>
          <w:tcPr>
            <w:tcW w:w="187" w:type="pct"/>
            <w:tcBorders>
              <w:top w:val="nil"/>
              <w:left w:val="nil"/>
              <w:bottom w:val="single" w:sz="4" w:space="0" w:color="auto"/>
              <w:right w:val="single" w:sz="4" w:space="0" w:color="auto"/>
            </w:tcBorders>
            <w:shd w:val="clear" w:color="000000" w:fill="FDE9D9"/>
            <w:vAlign w:val="center"/>
            <w:hideMark/>
          </w:tcPr>
          <w:p w14:paraId="5E78408F" w14:textId="06B6996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8,985</w:t>
            </w:r>
          </w:p>
        </w:tc>
        <w:tc>
          <w:tcPr>
            <w:tcW w:w="200" w:type="pct"/>
            <w:tcBorders>
              <w:top w:val="nil"/>
              <w:left w:val="nil"/>
              <w:bottom w:val="single" w:sz="4" w:space="0" w:color="auto"/>
              <w:right w:val="nil"/>
            </w:tcBorders>
            <w:shd w:val="clear" w:color="000000" w:fill="FDE9D9"/>
            <w:vAlign w:val="center"/>
            <w:hideMark/>
          </w:tcPr>
          <w:p w14:paraId="465193C7" w14:textId="7F22921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37,435</w:t>
            </w:r>
          </w:p>
        </w:tc>
        <w:tc>
          <w:tcPr>
            <w:tcW w:w="209" w:type="pct"/>
            <w:tcBorders>
              <w:top w:val="nil"/>
              <w:left w:val="single" w:sz="8" w:space="0" w:color="auto"/>
              <w:bottom w:val="single" w:sz="4" w:space="0" w:color="auto"/>
              <w:right w:val="single" w:sz="4" w:space="0" w:color="auto"/>
            </w:tcBorders>
            <w:shd w:val="clear" w:color="000000" w:fill="FDE9D9"/>
            <w:vAlign w:val="center"/>
            <w:hideMark/>
          </w:tcPr>
          <w:p w14:paraId="429F0D5D" w14:textId="568C679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7,555</w:t>
            </w:r>
          </w:p>
        </w:tc>
        <w:tc>
          <w:tcPr>
            <w:tcW w:w="209" w:type="pct"/>
            <w:tcBorders>
              <w:top w:val="nil"/>
              <w:left w:val="nil"/>
              <w:bottom w:val="single" w:sz="4" w:space="0" w:color="auto"/>
              <w:right w:val="single" w:sz="4" w:space="0" w:color="auto"/>
            </w:tcBorders>
            <w:shd w:val="clear" w:color="000000" w:fill="FDE9D9"/>
            <w:vAlign w:val="center"/>
            <w:hideMark/>
          </w:tcPr>
          <w:p w14:paraId="6AD07AFB" w14:textId="5274677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5" w:type="pct"/>
            <w:tcBorders>
              <w:top w:val="nil"/>
              <w:left w:val="nil"/>
              <w:bottom w:val="single" w:sz="4" w:space="0" w:color="auto"/>
              <w:right w:val="single" w:sz="8" w:space="0" w:color="auto"/>
            </w:tcBorders>
            <w:shd w:val="clear" w:color="000000" w:fill="FDE9D9"/>
            <w:vAlign w:val="center"/>
            <w:hideMark/>
          </w:tcPr>
          <w:p w14:paraId="5B0AD2FD" w14:textId="1DBE0E7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29,880</w:t>
            </w:r>
          </w:p>
        </w:tc>
        <w:tc>
          <w:tcPr>
            <w:tcW w:w="202" w:type="pct"/>
            <w:tcBorders>
              <w:top w:val="nil"/>
              <w:left w:val="nil"/>
              <w:bottom w:val="single" w:sz="4" w:space="0" w:color="auto"/>
              <w:right w:val="single" w:sz="4" w:space="0" w:color="auto"/>
            </w:tcBorders>
            <w:shd w:val="clear" w:color="000000" w:fill="FDE9D9"/>
            <w:vAlign w:val="center"/>
            <w:hideMark/>
          </w:tcPr>
          <w:p w14:paraId="494D0BA7" w14:textId="170D395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389,943</w:t>
            </w:r>
          </w:p>
        </w:tc>
        <w:tc>
          <w:tcPr>
            <w:tcW w:w="200" w:type="pct"/>
            <w:tcBorders>
              <w:top w:val="nil"/>
              <w:left w:val="nil"/>
              <w:bottom w:val="single" w:sz="4" w:space="0" w:color="auto"/>
              <w:right w:val="single" w:sz="4" w:space="0" w:color="auto"/>
            </w:tcBorders>
            <w:shd w:val="clear" w:color="000000" w:fill="FDE9D9"/>
            <w:vAlign w:val="center"/>
            <w:hideMark/>
          </w:tcPr>
          <w:p w14:paraId="2BC4D40B" w14:textId="0173A80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78,693</w:t>
            </w:r>
          </w:p>
        </w:tc>
        <w:tc>
          <w:tcPr>
            <w:tcW w:w="197" w:type="pct"/>
            <w:tcBorders>
              <w:top w:val="nil"/>
              <w:left w:val="nil"/>
              <w:bottom w:val="single" w:sz="4" w:space="0" w:color="auto"/>
              <w:right w:val="single" w:sz="4" w:space="0" w:color="auto"/>
            </w:tcBorders>
            <w:shd w:val="clear" w:color="000000" w:fill="FDE9D9"/>
            <w:vAlign w:val="center"/>
            <w:hideMark/>
          </w:tcPr>
          <w:p w14:paraId="390783B0" w14:textId="455814D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single" w:sz="8" w:space="0" w:color="auto"/>
            </w:tcBorders>
            <w:shd w:val="clear" w:color="000000" w:fill="FDE9D9"/>
            <w:vAlign w:val="center"/>
            <w:hideMark/>
          </w:tcPr>
          <w:p w14:paraId="7053BAAC" w14:textId="7BBD800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311,250</w:t>
            </w:r>
          </w:p>
        </w:tc>
      </w:tr>
      <w:tr w:rsidR="00387E5A" w:rsidRPr="00024D5A" w14:paraId="61A279EB"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7D1B5E72" w14:textId="6477A54A"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Masa </w:t>
            </w:r>
            <w:r w:rsidR="007053C8" w:rsidRPr="00024D5A">
              <w:rPr>
                <w:rFonts w:ascii="Garamond" w:eastAsia="Times New Roman" w:hAnsi="Garamond" w:cs="Calibri"/>
                <w:b/>
                <w:bCs/>
                <w:sz w:val="6"/>
                <w:szCs w:val="6"/>
                <w:lang w:eastAsia="en-US"/>
              </w:rPr>
              <w:t xml:space="preserve">prioritare </w:t>
            </w:r>
            <w:r w:rsidRPr="00024D5A">
              <w:rPr>
                <w:rFonts w:ascii="Garamond" w:eastAsia="Times New Roman" w:hAnsi="Garamond" w:cs="Calibri"/>
                <w:b/>
                <w:bCs/>
                <w:sz w:val="6"/>
                <w:szCs w:val="6"/>
                <w:lang w:eastAsia="en-US"/>
              </w:rPr>
              <w:t>1.1</w:t>
            </w:r>
            <w:r w:rsidR="00AC5DA9">
              <w:rPr>
                <w:rFonts w:ascii="Garamond" w:eastAsia="Times New Roman" w:hAnsi="Garamond" w:cs="Calibri"/>
                <w:b/>
                <w:bCs/>
                <w:sz w:val="6"/>
                <w:szCs w:val="6"/>
                <w:lang w:eastAsia="en-US"/>
              </w:rPr>
              <w:t xml:space="preserve">: </w:t>
            </w:r>
            <w:r w:rsidRPr="00024D5A">
              <w:rPr>
                <w:rFonts w:ascii="Garamond" w:eastAsia="Times New Roman" w:hAnsi="Garamond" w:cs="Calibri"/>
                <w:b/>
                <w:bCs/>
                <w:sz w:val="6"/>
                <w:szCs w:val="6"/>
                <w:lang w:eastAsia="en-US"/>
              </w:rPr>
              <w:t>Konsolidimi dhe përmirësimi i skemës së pagesave të aftësisë së kufizuar, për të garantuar rritjen e masës së përfitimit, për të mbuluar kostot që lidhen me aftësinë e kufizuar, por edhe skemave të</w:t>
            </w:r>
            <w:r w:rsidR="008F29FA" w:rsidRPr="00024D5A">
              <w:rPr>
                <w:rFonts w:ascii="Garamond" w:eastAsia="Times New Roman" w:hAnsi="Garamond" w:cs="Calibri"/>
                <w:b/>
                <w:bCs/>
                <w:sz w:val="6"/>
                <w:szCs w:val="6"/>
                <w:lang w:eastAsia="en-US"/>
              </w:rPr>
              <w:t xml:space="preserve"> </w:t>
            </w:r>
            <w:r w:rsidRPr="00024D5A">
              <w:rPr>
                <w:rFonts w:ascii="Garamond" w:eastAsia="Times New Roman" w:hAnsi="Garamond" w:cs="Calibri"/>
                <w:b/>
                <w:bCs/>
                <w:sz w:val="6"/>
                <w:szCs w:val="6"/>
                <w:lang w:eastAsia="en-US"/>
              </w:rPr>
              <w:t>tjera mbështetëse financiare (NE etj</w:t>
            </w:r>
            <w:r w:rsidR="007053C8" w:rsidRPr="00024D5A">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për të garantuar akses, mbështetje për personat me aftësi të kufizuara dhe familjarët e tyre me ndikim zbutjen e varfërisë dhe pabarazisë</w:t>
            </w:r>
            <w:r w:rsidR="00E51640" w:rsidRPr="00024D5A">
              <w:rPr>
                <w:rFonts w:ascii="Garamond" w:eastAsia="Times New Roman" w:hAnsi="Garamond" w:cs="Calibri"/>
                <w:b/>
                <w:bCs/>
                <w:sz w:val="6"/>
                <w:szCs w:val="6"/>
                <w:lang w:eastAsia="en-US"/>
              </w:rPr>
              <w:t>.</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1E033B8B"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2026</w:t>
            </w:r>
          </w:p>
        </w:tc>
        <w:tc>
          <w:tcPr>
            <w:tcW w:w="226" w:type="pct"/>
            <w:tcBorders>
              <w:top w:val="nil"/>
              <w:left w:val="nil"/>
              <w:bottom w:val="single" w:sz="4" w:space="0" w:color="auto"/>
              <w:right w:val="single" w:sz="4" w:space="0" w:color="auto"/>
            </w:tcBorders>
            <w:shd w:val="clear" w:color="000000" w:fill="DCE6F1"/>
            <w:vAlign w:val="center"/>
            <w:hideMark/>
          </w:tcPr>
          <w:p w14:paraId="7D100E59"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6C0357C7"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w:t>
            </w:r>
          </w:p>
        </w:tc>
        <w:tc>
          <w:tcPr>
            <w:tcW w:w="792" w:type="pct"/>
            <w:tcBorders>
              <w:top w:val="nil"/>
              <w:left w:val="nil"/>
              <w:bottom w:val="single" w:sz="4" w:space="0" w:color="auto"/>
              <w:right w:val="single" w:sz="8" w:space="0" w:color="auto"/>
            </w:tcBorders>
            <w:shd w:val="clear" w:color="000000" w:fill="DCE6F1"/>
            <w:vAlign w:val="center"/>
            <w:hideMark/>
          </w:tcPr>
          <w:p w14:paraId="574B596A"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SHSSH/INSTAT</w:t>
            </w:r>
          </w:p>
        </w:tc>
        <w:tc>
          <w:tcPr>
            <w:tcW w:w="188" w:type="pct"/>
            <w:tcBorders>
              <w:top w:val="nil"/>
              <w:left w:val="nil"/>
              <w:bottom w:val="single" w:sz="4" w:space="0" w:color="auto"/>
              <w:right w:val="single" w:sz="4" w:space="0" w:color="auto"/>
            </w:tcBorders>
            <w:shd w:val="clear" w:color="000000" w:fill="DCE6F1"/>
            <w:vAlign w:val="center"/>
            <w:hideMark/>
          </w:tcPr>
          <w:p w14:paraId="00B2158C" w14:textId="026C7B5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0" w:type="pct"/>
            <w:tcBorders>
              <w:top w:val="nil"/>
              <w:left w:val="nil"/>
              <w:bottom w:val="single" w:sz="4" w:space="0" w:color="auto"/>
              <w:right w:val="single" w:sz="4" w:space="0" w:color="auto"/>
            </w:tcBorders>
            <w:shd w:val="clear" w:color="000000" w:fill="DCE6F1"/>
            <w:vAlign w:val="center"/>
            <w:hideMark/>
          </w:tcPr>
          <w:p w14:paraId="4AF14DC3" w14:textId="04937FE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500</w:t>
            </w:r>
          </w:p>
        </w:tc>
        <w:tc>
          <w:tcPr>
            <w:tcW w:w="190" w:type="pct"/>
            <w:tcBorders>
              <w:top w:val="nil"/>
              <w:left w:val="nil"/>
              <w:bottom w:val="single" w:sz="4" w:space="0" w:color="auto"/>
              <w:right w:val="single" w:sz="4" w:space="0" w:color="auto"/>
            </w:tcBorders>
            <w:shd w:val="clear" w:color="000000" w:fill="DCE6F1"/>
            <w:vAlign w:val="center"/>
            <w:hideMark/>
          </w:tcPr>
          <w:p w14:paraId="26410AA2" w14:textId="5F5D225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300</w:t>
            </w:r>
          </w:p>
        </w:tc>
        <w:tc>
          <w:tcPr>
            <w:tcW w:w="190" w:type="pct"/>
            <w:tcBorders>
              <w:top w:val="nil"/>
              <w:left w:val="nil"/>
              <w:bottom w:val="single" w:sz="4" w:space="0" w:color="auto"/>
              <w:right w:val="single" w:sz="4" w:space="0" w:color="auto"/>
            </w:tcBorders>
            <w:shd w:val="clear" w:color="000000" w:fill="DCE6F1"/>
            <w:vAlign w:val="center"/>
            <w:hideMark/>
          </w:tcPr>
          <w:p w14:paraId="2841B129" w14:textId="5E8D73F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990</w:t>
            </w:r>
          </w:p>
        </w:tc>
        <w:tc>
          <w:tcPr>
            <w:tcW w:w="187" w:type="pct"/>
            <w:tcBorders>
              <w:top w:val="nil"/>
              <w:left w:val="nil"/>
              <w:bottom w:val="single" w:sz="4" w:space="0" w:color="auto"/>
              <w:right w:val="single" w:sz="4" w:space="0" w:color="auto"/>
            </w:tcBorders>
            <w:shd w:val="clear" w:color="000000" w:fill="DCE6F1"/>
            <w:vAlign w:val="center"/>
            <w:hideMark/>
          </w:tcPr>
          <w:p w14:paraId="7B36303B" w14:textId="6769B7E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690</w:t>
            </w:r>
          </w:p>
        </w:tc>
        <w:tc>
          <w:tcPr>
            <w:tcW w:w="200" w:type="pct"/>
            <w:tcBorders>
              <w:top w:val="nil"/>
              <w:left w:val="nil"/>
              <w:bottom w:val="single" w:sz="4" w:space="0" w:color="auto"/>
              <w:right w:val="nil"/>
            </w:tcBorders>
            <w:shd w:val="clear" w:color="000000" w:fill="DCE6F1"/>
            <w:vAlign w:val="center"/>
            <w:hideMark/>
          </w:tcPr>
          <w:p w14:paraId="68E54C6E" w14:textId="7E76220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2,480</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3FB201AF" w14:textId="7C52B15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1,800</w:t>
            </w:r>
          </w:p>
        </w:tc>
        <w:tc>
          <w:tcPr>
            <w:tcW w:w="209" w:type="pct"/>
            <w:tcBorders>
              <w:top w:val="nil"/>
              <w:left w:val="nil"/>
              <w:bottom w:val="single" w:sz="4" w:space="0" w:color="auto"/>
              <w:right w:val="single" w:sz="4" w:space="0" w:color="auto"/>
            </w:tcBorders>
            <w:shd w:val="clear" w:color="000000" w:fill="DCE6F1"/>
            <w:vAlign w:val="center"/>
            <w:hideMark/>
          </w:tcPr>
          <w:p w14:paraId="2AF77BBB" w14:textId="2111663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5" w:type="pct"/>
            <w:tcBorders>
              <w:top w:val="nil"/>
              <w:left w:val="nil"/>
              <w:bottom w:val="single" w:sz="4" w:space="0" w:color="auto"/>
              <w:right w:val="single" w:sz="8" w:space="0" w:color="auto"/>
            </w:tcBorders>
            <w:shd w:val="clear" w:color="000000" w:fill="DCE6F1"/>
            <w:vAlign w:val="center"/>
            <w:hideMark/>
          </w:tcPr>
          <w:p w14:paraId="735270A6" w14:textId="5A9B5E0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680</w:t>
            </w:r>
          </w:p>
        </w:tc>
        <w:tc>
          <w:tcPr>
            <w:tcW w:w="202" w:type="pct"/>
            <w:tcBorders>
              <w:top w:val="nil"/>
              <w:left w:val="nil"/>
              <w:bottom w:val="single" w:sz="4" w:space="0" w:color="auto"/>
              <w:right w:val="single" w:sz="4" w:space="0" w:color="auto"/>
            </w:tcBorders>
            <w:shd w:val="clear" w:color="000000" w:fill="DCE6F1"/>
            <w:vAlign w:val="center"/>
            <w:hideMark/>
          </w:tcPr>
          <w:p w14:paraId="3CB88797" w14:textId="025159D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25,833</w:t>
            </w:r>
          </w:p>
        </w:tc>
        <w:tc>
          <w:tcPr>
            <w:tcW w:w="200" w:type="pct"/>
            <w:tcBorders>
              <w:top w:val="nil"/>
              <w:left w:val="nil"/>
              <w:bottom w:val="single" w:sz="4" w:space="0" w:color="auto"/>
              <w:right w:val="single" w:sz="4" w:space="0" w:color="auto"/>
            </w:tcBorders>
            <w:shd w:val="clear" w:color="000000" w:fill="DCE6F1"/>
            <w:vAlign w:val="center"/>
            <w:hideMark/>
          </w:tcPr>
          <w:p w14:paraId="0E368C4B" w14:textId="581BF57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18,750</w:t>
            </w:r>
          </w:p>
        </w:tc>
        <w:tc>
          <w:tcPr>
            <w:tcW w:w="197" w:type="pct"/>
            <w:tcBorders>
              <w:top w:val="nil"/>
              <w:left w:val="nil"/>
              <w:bottom w:val="single" w:sz="4" w:space="0" w:color="auto"/>
              <w:right w:val="single" w:sz="4" w:space="0" w:color="auto"/>
            </w:tcBorders>
            <w:shd w:val="clear" w:color="000000" w:fill="DCE6F1"/>
            <w:vAlign w:val="center"/>
            <w:hideMark/>
          </w:tcPr>
          <w:p w14:paraId="5DB0C3F4" w14:textId="01337B1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single" w:sz="8" w:space="0" w:color="auto"/>
            </w:tcBorders>
            <w:shd w:val="clear" w:color="000000" w:fill="DCE6F1"/>
            <w:vAlign w:val="center"/>
            <w:hideMark/>
          </w:tcPr>
          <w:p w14:paraId="615A5602" w14:textId="75091DD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7,083</w:t>
            </w:r>
          </w:p>
        </w:tc>
      </w:tr>
      <w:tr w:rsidR="00387E5A" w:rsidRPr="00024D5A" w14:paraId="0E473C0F"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312C1B7E" w14:textId="55920178"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Masa prioritare 1.2</w:t>
            </w:r>
            <w:r w:rsidR="00AC5DA9">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Konsolidimi i vlerësimit biopsikosocial të aftësisë së kufizuar me qëllim adresimin efektiv dhe të përgjegjshëm gjinor të nevojave individuale të tyre.</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04277291"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2026</w:t>
            </w:r>
          </w:p>
        </w:tc>
        <w:tc>
          <w:tcPr>
            <w:tcW w:w="226" w:type="pct"/>
            <w:tcBorders>
              <w:top w:val="nil"/>
              <w:left w:val="nil"/>
              <w:bottom w:val="single" w:sz="4" w:space="0" w:color="auto"/>
              <w:right w:val="single" w:sz="4" w:space="0" w:color="auto"/>
            </w:tcBorders>
            <w:shd w:val="clear" w:color="000000" w:fill="DCE6F1"/>
            <w:vAlign w:val="center"/>
            <w:hideMark/>
          </w:tcPr>
          <w:p w14:paraId="7862C438"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000E843F"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w:t>
            </w:r>
          </w:p>
        </w:tc>
        <w:tc>
          <w:tcPr>
            <w:tcW w:w="792" w:type="pct"/>
            <w:tcBorders>
              <w:top w:val="nil"/>
              <w:left w:val="nil"/>
              <w:bottom w:val="single" w:sz="4" w:space="0" w:color="auto"/>
              <w:right w:val="single" w:sz="8" w:space="0" w:color="auto"/>
            </w:tcBorders>
            <w:shd w:val="clear" w:color="000000" w:fill="DCE6F1"/>
            <w:vAlign w:val="center"/>
            <w:hideMark/>
          </w:tcPr>
          <w:p w14:paraId="47F40794"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SHSSH</w:t>
            </w:r>
          </w:p>
        </w:tc>
        <w:tc>
          <w:tcPr>
            <w:tcW w:w="188" w:type="pct"/>
            <w:tcBorders>
              <w:top w:val="nil"/>
              <w:left w:val="nil"/>
              <w:bottom w:val="single" w:sz="4" w:space="0" w:color="auto"/>
              <w:right w:val="single" w:sz="4" w:space="0" w:color="auto"/>
            </w:tcBorders>
            <w:shd w:val="clear" w:color="000000" w:fill="DCE6F1"/>
            <w:vAlign w:val="center"/>
            <w:hideMark/>
          </w:tcPr>
          <w:p w14:paraId="77D3966D" w14:textId="5A6F298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1,259</w:t>
            </w:r>
          </w:p>
        </w:tc>
        <w:tc>
          <w:tcPr>
            <w:tcW w:w="190" w:type="pct"/>
            <w:tcBorders>
              <w:top w:val="nil"/>
              <w:left w:val="nil"/>
              <w:bottom w:val="single" w:sz="4" w:space="0" w:color="auto"/>
              <w:right w:val="single" w:sz="4" w:space="0" w:color="auto"/>
            </w:tcBorders>
            <w:shd w:val="clear" w:color="000000" w:fill="DCE6F1"/>
            <w:vAlign w:val="center"/>
            <w:hideMark/>
          </w:tcPr>
          <w:p w14:paraId="0B3EBD06" w14:textId="0BE7800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7,609</w:t>
            </w:r>
          </w:p>
        </w:tc>
        <w:tc>
          <w:tcPr>
            <w:tcW w:w="190" w:type="pct"/>
            <w:tcBorders>
              <w:top w:val="nil"/>
              <w:left w:val="nil"/>
              <w:bottom w:val="single" w:sz="4" w:space="0" w:color="auto"/>
              <w:right w:val="single" w:sz="4" w:space="0" w:color="auto"/>
            </w:tcBorders>
            <w:shd w:val="clear" w:color="000000" w:fill="DCE6F1"/>
            <w:vAlign w:val="center"/>
            <w:hideMark/>
          </w:tcPr>
          <w:p w14:paraId="00E6588A" w14:textId="5B57665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9,495</w:t>
            </w:r>
          </w:p>
        </w:tc>
        <w:tc>
          <w:tcPr>
            <w:tcW w:w="190" w:type="pct"/>
            <w:tcBorders>
              <w:top w:val="nil"/>
              <w:left w:val="nil"/>
              <w:bottom w:val="single" w:sz="4" w:space="0" w:color="auto"/>
              <w:right w:val="single" w:sz="4" w:space="0" w:color="auto"/>
            </w:tcBorders>
            <w:shd w:val="clear" w:color="000000" w:fill="DCE6F1"/>
            <w:vAlign w:val="center"/>
            <w:hideMark/>
          </w:tcPr>
          <w:p w14:paraId="1FDF52F1" w14:textId="25241D1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8,295</w:t>
            </w:r>
          </w:p>
        </w:tc>
        <w:tc>
          <w:tcPr>
            <w:tcW w:w="187" w:type="pct"/>
            <w:tcBorders>
              <w:top w:val="nil"/>
              <w:left w:val="nil"/>
              <w:bottom w:val="single" w:sz="4" w:space="0" w:color="auto"/>
              <w:right w:val="single" w:sz="4" w:space="0" w:color="auto"/>
            </w:tcBorders>
            <w:shd w:val="clear" w:color="000000" w:fill="DCE6F1"/>
            <w:vAlign w:val="center"/>
            <w:hideMark/>
          </w:tcPr>
          <w:p w14:paraId="557DB2DB" w14:textId="2DC9C6E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8,295</w:t>
            </w:r>
          </w:p>
        </w:tc>
        <w:tc>
          <w:tcPr>
            <w:tcW w:w="200" w:type="pct"/>
            <w:tcBorders>
              <w:top w:val="nil"/>
              <w:left w:val="nil"/>
              <w:bottom w:val="single" w:sz="4" w:space="0" w:color="auto"/>
              <w:right w:val="nil"/>
            </w:tcBorders>
            <w:shd w:val="clear" w:color="000000" w:fill="DCE6F1"/>
            <w:vAlign w:val="center"/>
            <w:hideMark/>
          </w:tcPr>
          <w:p w14:paraId="52434F97" w14:textId="446078A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34,955</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7B5135B5" w14:textId="68C6067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5,755</w:t>
            </w:r>
          </w:p>
        </w:tc>
        <w:tc>
          <w:tcPr>
            <w:tcW w:w="209" w:type="pct"/>
            <w:tcBorders>
              <w:top w:val="nil"/>
              <w:left w:val="nil"/>
              <w:bottom w:val="single" w:sz="4" w:space="0" w:color="auto"/>
              <w:right w:val="single" w:sz="4" w:space="0" w:color="auto"/>
            </w:tcBorders>
            <w:shd w:val="clear" w:color="000000" w:fill="DCE6F1"/>
            <w:vAlign w:val="center"/>
            <w:hideMark/>
          </w:tcPr>
          <w:p w14:paraId="7586697F" w14:textId="027F9BC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5" w:type="pct"/>
            <w:tcBorders>
              <w:top w:val="nil"/>
              <w:left w:val="nil"/>
              <w:bottom w:val="single" w:sz="4" w:space="0" w:color="auto"/>
              <w:right w:val="single" w:sz="8" w:space="0" w:color="auto"/>
            </w:tcBorders>
            <w:shd w:val="clear" w:color="000000" w:fill="DCE6F1"/>
            <w:vAlign w:val="center"/>
            <w:hideMark/>
          </w:tcPr>
          <w:p w14:paraId="408A1A02" w14:textId="1D75732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29,200</w:t>
            </w:r>
          </w:p>
        </w:tc>
        <w:tc>
          <w:tcPr>
            <w:tcW w:w="202" w:type="pct"/>
            <w:tcBorders>
              <w:top w:val="nil"/>
              <w:left w:val="nil"/>
              <w:bottom w:val="single" w:sz="4" w:space="0" w:color="auto"/>
              <w:right w:val="single" w:sz="4" w:space="0" w:color="auto"/>
            </w:tcBorders>
            <w:shd w:val="clear" w:color="000000" w:fill="DCE6F1"/>
            <w:vAlign w:val="center"/>
            <w:hideMark/>
          </w:tcPr>
          <w:p w14:paraId="0D1495B9" w14:textId="574BC27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364,110</w:t>
            </w:r>
          </w:p>
        </w:tc>
        <w:tc>
          <w:tcPr>
            <w:tcW w:w="200" w:type="pct"/>
            <w:tcBorders>
              <w:top w:val="nil"/>
              <w:left w:val="nil"/>
              <w:bottom w:val="single" w:sz="4" w:space="0" w:color="auto"/>
              <w:right w:val="single" w:sz="4" w:space="0" w:color="auto"/>
            </w:tcBorders>
            <w:shd w:val="clear" w:color="000000" w:fill="DCE6F1"/>
            <w:vAlign w:val="center"/>
            <w:hideMark/>
          </w:tcPr>
          <w:p w14:paraId="69C08943" w14:textId="45E81ED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59,943</w:t>
            </w:r>
          </w:p>
        </w:tc>
        <w:tc>
          <w:tcPr>
            <w:tcW w:w="197" w:type="pct"/>
            <w:tcBorders>
              <w:top w:val="nil"/>
              <w:left w:val="nil"/>
              <w:bottom w:val="single" w:sz="4" w:space="0" w:color="auto"/>
              <w:right w:val="single" w:sz="4" w:space="0" w:color="auto"/>
            </w:tcBorders>
            <w:shd w:val="clear" w:color="000000" w:fill="DCE6F1"/>
            <w:vAlign w:val="center"/>
            <w:hideMark/>
          </w:tcPr>
          <w:p w14:paraId="1A5EABE1" w14:textId="434151E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single" w:sz="8" w:space="0" w:color="auto"/>
            </w:tcBorders>
            <w:shd w:val="clear" w:color="000000" w:fill="DCE6F1"/>
            <w:vAlign w:val="center"/>
            <w:hideMark/>
          </w:tcPr>
          <w:p w14:paraId="3CF496BA" w14:textId="0B08984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304,167</w:t>
            </w:r>
          </w:p>
        </w:tc>
      </w:tr>
      <w:tr w:rsidR="00387E5A" w:rsidRPr="00024D5A" w14:paraId="1B917C7F" w14:textId="77777777" w:rsidTr="00387E5A">
        <w:trPr>
          <w:trHeight w:val="20"/>
        </w:trPr>
        <w:tc>
          <w:tcPr>
            <w:tcW w:w="375" w:type="pct"/>
            <w:tcBorders>
              <w:top w:val="nil"/>
              <w:left w:val="single" w:sz="4" w:space="0" w:color="auto"/>
              <w:bottom w:val="single" w:sz="4" w:space="0" w:color="auto"/>
              <w:right w:val="nil"/>
            </w:tcBorders>
            <w:shd w:val="clear" w:color="000000" w:fill="FDE9D9"/>
            <w:vAlign w:val="center"/>
            <w:hideMark/>
          </w:tcPr>
          <w:p w14:paraId="5DD7C0CC" w14:textId="42CA386F"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Objektivi </w:t>
            </w:r>
            <w:r w:rsidR="007053C8" w:rsidRPr="00024D5A">
              <w:rPr>
                <w:rFonts w:ascii="Garamond" w:eastAsia="Times New Roman" w:hAnsi="Garamond" w:cs="Calibri"/>
                <w:b/>
                <w:bCs/>
                <w:sz w:val="6"/>
                <w:szCs w:val="6"/>
                <w:lang w:eastAsia="en-US"/>
              </w:rPr>
              <w:t xml:space="preserve">specifik </w:t>
            </w:r>
            <w:r w:rsidRPr="00024D5A">
              <w:rPr>
                <w:rFonts w:ascii="Garamond" w:eastAsia="Times New Roman" w:hAnsi="Garamond" w:cs="Calibri"/>
                <w:b/>
                <w:bCs/>
                <w:sz w:val="6"/>
                <w:szCs w:val="6"/>
                <w:lang w:eastAsia="en-US"/>
              </w:rPr>
              <w:t>2</w:t>
            </w:r>
            <w:r w:rsidR="00AC5DA9">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Zgjerimi i shërbimeve sociale të integruara, të aksesueshme e cilësore si dhe avancimi i deinstitucionalizimit, në partneritet me pushtetin vendor dhe aktorët e tjerë.</w:t>
            </w:r>
          </w:p>
        </w:tc>
        <w:tc>
          <w:tcPr>
            <w:tcW w:w="244" w:type="pct"/>
            <w:tcBorders>
              <w:top w:val="nil"/>
              <w:left w:val="single" w:sz="8" w:space="0" w:color="auto"/>
              <w:bottom w:val="single" w:sz="4" w:space="0" w:color="auto"/>
              <w:right w:val="single" w:sz="4" w:space="0" w:color="auto"/>
            </w:tcBorders>
            <w:shd w:val="clear" w:color="000000" w:fill="FDE9D9"/>
            <w:vAlign w:val="center"/>
            <w:hideMark/>
          </w:tcPr>
          <w:p w14:paraId="390C3889"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2026</w:t>
            </w:r>
          </w:p>
        </w:tc>
        <w:tc>
          <w:tcPr>
            <w:tcW w:w="226" w:type="pct"/>
            <w:tcBorders>
              <w:top w:val="nil"/>
              <w:left w:val="nil"/>
              <w:bottom w:val="single" w:sz="4" w:space="0" w:color="auto"/>
              <w:right w:val="single" w:sz="4" w:space="0" w:color="auto"/>
            </w:tcBorders>
            <w:shd w:val="clear" w:color="000000" w:fill="FDE9D9"/>
            <w:vAlign w:val="center"/>
            <w:hideMark/>
          </w:tcPr>
          <w:p w14:paraId="24E1C539"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2030</w:t>
            </w:r>
          </w:p>
        </w:tc>
        <w:tc>
          <w:tcPr>
            <w:tcW w:w="664" w:type="pct"/>
            <w:tcBorders>
              <w:top w:val="nil"/>
              <w:left w:val="nil"/>
              <w:bottom w:val="single" w:sz="4" w:space="0" w:color="auto"/>
              <w:right w:val="single" w:sz="4" w:space="0" w:color="auto"/>
            </w:tcBorders>
            <w:shd w:val="clear" w:color="000000" w:fill="FDE9D9"/>
            <w:vAlign w:val="center"/>
            <w:hideMark/>
          </w:tcPr>
          <w:p w14:paraId="0457F34D"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MSHMS/ASCK</w:t>
            </w:r>
          </w:p>
        </w:tc>
        <w:tc>
          <w:tcPr>
            <w:tcW w:w="792" w:type="pct"/>
            <w:tcBorders>
              <w:top w:val="nil"/>
              <w:left w:val="nil"/>
              <w:bottom w:val="single" w:sz="4" w:space="0" w:color="auto"/>
              <w:right w:val="single" w:sz="8" w:space="0" w:color="auto"/>
            </w:tcBorders>
            <w:shd w:val="clear" w:color="000000" w:fill="FDE9D9"/>
            <w:vAlign w:val="center"/>
            <w:hideMark/>
          </w:tcPr>
          <w:p w14:paraId="3D1D9169"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SHSSH</w:t>
            </w:r>
          </w:p>
        </w:tc>
        <w:tc>
          <w:tcPr>
            <w:tcW w:w="188" w:type="pct"/>
            <w:tcBorders>
              <w:top w:val="nil"/>
              <w:left w:val="nil"/>
              <w:bottom w:val="single" w:sz="4" w:space="0" w:color="auto"/>
              <w:right w:val="single" w:sz="4" w:space="0" w:color="auto"/>
            </w:tcBorders>
            <w:shd w:val="clear" w:color="000000" w:fill="FDE9D9"/>
            <w:vAlign w:val="center"/>
            <w:hideMark/>
          </w:tcPr>
          <w:p w14:paraId="32604B14" w14:textId="3E07F32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9,760</w:t>
            </w:r>
          </w:p>
        </w:tc>
        <w:tc>
          <w:tcPr>
            <w:tcW w:w="190" w:type="pct"/>
            <w:tcBorders>
              <w:top w:val="nil"/>
              <w:left w:val="nil"/>
              <w:bottom w:val="single" w:sz="4" w:space="0" w:color="auto"/>
              <w:right w:val="single" w:sz="4" w:space="0" w:color="auto"/>
            </w:tcBorders>
            <w:shd w:val="clear" w:color="000000" w:fill="FDE9D9"/>
            <w:vAlign w:val="center"/>
            <w:hideMark/>
          </w:tcPr>
          <w:p w14:paraId="332D0141" w14:textId="211A9DF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13,005</w:t>
            </w:r>
          </w:p>
        </w:tc>
        <w:tc>
          <w:tcPr>
            <w:tcW w:w="190" w:type="pct"/>
            <w:tcBorders>
              <w:top w:val="nil"/>
              <w:left w:val="nil"/>
              <w:bottom w:val="single" w:sz="4" w:space="0" w:color="auto"/>
              <w:right w:val="single" w:sz="4" w:space="0" w:color="auto"/>
            </w:tcBorders>
            <w:shd w:val="clear" w:color="000000" w:fill="FDE9D9"/>
            <w:vAlign w:val="center"/>
            <w:hideMark/>
          </w:tcPr>
          <w:p w14:paraId="6095DCEC" w14:textId="323120C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16,110</w:t>
            </w:r>
          </w:p>
        </w:tc>
        <w:tc>
          <w:tcPr>
            <w:tcW w:w="190" w:type="pct"/>
            <w:tcBorders>
              <w:top w:val="nil"/>
              <w:left w:val="nil"/>
              <w:bottom w:val="single" w:sz="4" w:space="0" w:color="auto"/>
              <w:right w:val="single" w:sz="4" w:space="0" w:color="auto"/>
            </w:tcBorders>
            <w:shd w:val="clear" w:color="000000" w:fill="FDE9D9"/>
            <w:vAlign w:val="center"/>
            <w:hideMark/>
          </w:tcPr>
          <w:p w14:paraId="7049406B" w14:textId="35AC42E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14,160</w:t>
            </w:r>
          </w:p>
        </w:tc>
        <w:tc>
          <w:tcPr>
            <w:tcW w:w="187" w:type="pct"/>
            <w:tcBorders>
              <w:top w:val="nil"/>
              <w:left w:val="nil"/>
              <w:bottom w:val="single" w:sz="4" w:space="0" w:color="auto"/>
              <w:right w:val="single" w:sz="4" w:space="0" w:color="auto"/>
            </w:tcBorders>
            <w:shd w:val="clear" w:color="000000" w:fill="FDE9D9"/>
            <w:vAlign w:val="center"/>
            <w:hideMark/>
          </w:tcPr>
          <w:p w14:paraId="45393E49" w14:textId="19088EC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15,024</w:t>
            </w:r>
          </w:p>
        </w:tc>
        <w:tc>
          <w:tcPr>
            <w:tcW w:w="200" w:type="pct"/>
            <w:tcBorders>
              <w:top w:val="nil"/>
              <w:left w:val="nil"/>
              <w:bottom w:val="single" w:sz="4" w:space="0" w:color="auto"/>
              <w:right w:val="nil"/>
            </w:tcBorders>
            <w:shd w:val="clear" w:color="000000" w:fill="FDE9D9"/>
            <w:vAlign w:val="center"/>
            <w:hideMark/>
          </w:tcPr>
          <w:p w14:paraId="40174246" w14:textId="0E0B5A5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68,059</w:t>
            </w:r>
          </w:p>
        </w:tc>
        <w:tc>
          <w:tcPr>
            <w:tcW w:w="209" w:type="pct"/>
            <w:tcBorders>
              <w:top w:val="nil"/>
              <w:left w:val="single" w:sz="8" w:space="0" w:color="auto"/>
              <w:bottom w:val="single" w:sz="4" w:space="0" w:color="auto"/>
              <w:right w:val="single" w:sz="4" w:space="0" w:color="auto"/>
            </w:tcBorders>
            <w:shd w:val="clear" w:color="000000" w:fill="FDE9D9"/>
            <w:vAlign w:val="center"/>
            <w:hideMark/>
          </w:tcPr>
          <w:p w14:paraId="57564368" w14:textId="43D6027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53,359</w:t>
            </w:r>
          </w:p>
        </w:tc>
        <w:tc>
          <w:tcPr>
            <w:tcW w:w="209" w:type="pct"/>
            <w:tcBorders>
              <w:top w:val="nil"/>
              <w:left w:val="nil"/>
              <w:bottom w:val="single" w:sz="4" w:space="0" w:color="auto"/>
              <w:right w:val="single" w:sz="4" w:space="0" w:color="auto"/>
            </w:tcBorders>
            <w:shd w:val="clear" w:color="000000" w:fill="FDE9D9"/>
            <w:vAlign w:val="center"/>
            <w:hideMark/>
          </w:tcPr>
          <w:p w14:paraId="2364CDAA" w14:textId="3DB1AE4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5" w:type="pct"/>
            <w:tcBorders>
              <w:top w:val="nil"/>
              <w:left w:val="nil"/>
              <w:bottom w:val="single" w:sz="4" w:space="0" w:color="auto"/>
              <w:right w:val="single" w:sz="8" w:space="0" w:color="auto"/>
            </w:tcBorders>
            <w:shd w:val="clear" w:color="000000" w:fill="FDE9D9"/>
            <w:vAlign w:val="center"/>
            <w:hideMark/>
          </w:tcPr>
          <w:p w14:paraId="6D32C746" w14:textId="55B90CA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14,700</w:t>
            </w:r>
          </w:p>
        </w:tc>
        <w:tc>
          <w:tcPr>
            <w:tcW w:w="202" w:type="pct"/>
            <w:tcBorders>
              <w:top w:val="nil"/>
              <w:left w:val="nil"/>
              <w:bottom w:val="single" w:sz="4" w:space="0" w:color="auto"/>
              <w:right w:val="single" w:sz="4" w:space="0" w:color="auto"/>
            </w:tcBorders>
            <w:shd w:val="clear" w:color="000000" w:fill="FDE9D9"/>
            <w:vAlign w:val="center"/>
            <w:hideMark/>
          </w:tcPr>
          <w:p w14:paraId="5013C46F" w14:textId="17C7E2A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709</w:t>
            </w:r>
          </w:p>
        </w:tc>
        <w:tc>
          <w:tcPr>
            <w:tcW w:w="200" w:type="pct"/>
            <w:tcBorders>
              <w:top w:val="nil"/>
              <w:left w:val="nil"/>
              <w:bottom w:val="single" w:sz="4" w:space="0" w:color="auto"/>
              <w:right w:val="single" w:sz="4" w:space="0" w:color="auto"/>
            </w:tcBorders>
            <w:shd w:val="clear" w:color="000000" w:fill="FDE9D9"/>
            <w:vAlign w:val="center"/>
            <w:hideMark/>
          </w:tcPr>
          <w:p w14:paraId="2163C7D8" w14:textId="510FA4F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556</w:t>
            </w:r>
          </w:p>
        </w:tc>
        <w:tc>
          <w:tcPr>
            <w:tcW w:w="197" w:type="pct"/>
            <w:tcBorders>
              <w:top w:val="nil"/>
              <w:left w:val="nil"/>
              <w:bottom w:val="single" w:sz="4" w:space="0" w:color="auto"/>
              <w:right w:val="single" w:sz="4" w:space="0" w:color="auto"/>
            </w:tcBorders>
            <w:shd w:val="clear" w:color="000000" w:fill="FDE9D9"/>
            <w:vAlign w:val="center"/>
            <w:hideMark/>
          </w:tcPr>
          <w:p w14:paraId="0BF66411" w14:textId="5382CC9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single" w:sz="8" w:space="0" w:color="auto"/>
            </w:tcBorders>
            <w:shd w:val="clear" w:color="000000" w:fill="FDE9D9"/>
            <w:vAlign w:val="center"/>
            <w:hideMark/>
          </w:tcPr>
          <w:p w14:paraId="0669954E" w14:textId="1A09198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153</w:t>
            </w:r>
          </w:p>
        </w:tc>
      </w:tr>
      <w:tr w:rsidR="00387E5A" w:rsidRPr="00024D5A" w14:paraId="29D3FD3B"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3761DF97" w14:textId="5B6E687C"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Masa </w:t>
            </w:r>
            <w:r w:rsidR="007053C8" w:rsidRPr="00024D5A">
              <w:rPr>
                <w:rFonts w:ascii="Garamond" w:eastAsia="Times New Roman" w:hAnsi="Garamond" w:cs="Calibri"/>
                <w:b/>
                <w:bCs/>
                <w:sz w:val="6"/>
                <w:szCs w:val="6"/>
                <w:lang w:eastAsia="en-US"/>
              </w:rPr>
              <w:t xml:space="preserve">prioritare </w:t>
            </w:r>
            <w:r w:rsidRPr="00024D5A">
              <w:rPr>
                <w:rFonts w:ascii="Garamond" w:eastAsia="Times New Roman" w:hAnsi="Garamond" w:cs="Calibri"/>
                <w:b/>
                <w:bCs/>
                <w:sz w:val="6"/>
                <w:szCs w:val="6"/>
                <w:lang w:eastAsia="en-US"/>
              </w:rPr>
              <w:t>2.1</w:t>
            </w:r>
            <w:r w:rsidR="00AC5DA9">
              <w:rPr>
                <w:rFonts w:ascii="Garamond" w:eastAsia="Times New Roman" w:hAnsi="Garamond" w:cs="Calibri"/>
                <w:b/>
                <w:bCs/>
                <w:sz w:val="6"/>
                <w:szCs w:val="6"/>
                <w:lang w:eastAsia="en-US"/>
              </w:rPr>
              <w:t>:</w:t>
            </w:r>
            <w:r w:rsidR="007053C8" w:rsidRPr="00024D5A">
              <w:rPr>
                <w:rFonts w:ascii="Garamond" w:eastAsia="Times New Roman" w:hAnsi="Garamond" w:cs="Calibri"/>
                <w:b/>
                <w:bCs/>
                <w:sz w:val="6"/>
                <w:szCs w:val="6"/>
                <w:lang w:eastAsia="en-US"/>
              </w:rPr>
              <w:t xml:space="preserve"> </w:t>
            </w:r>
            <w:r w:rsidRPr="00024D5A">
              <w:rPr>
                <w:rFonts w:ascii="Garamond" w:eastAsia="Times New Roman" w:hAnsi="Garamond" w:cs="Calibri"/>
                <w:b/>
                <w:bCs/>
                <w:sz w:val="6"/>
                <w:szCs w:val="6"/>
                <w:lang w:eastAsia="en-US"/>
              </w:rPr>
              <w:t>Rishikimi dhe konsolidimi i kuadrit rregullator ligjor dhe institucional për mundësimin e shërbimeve të përkujdes</w:t>
            </w:r>
            <w:r w:rsidR="00A2057C" w:rsidRPr="00024D5A">
              <w:rPr>
                <w:rFonts w:ascii="Garamond" w:eastAsia="Times New Roman" w:hAnsi="Garamond" w:cs="Calibri"/>
                <w:b/>
                <w:bCs/>
                <w:sz w:val="6"/>
                <w:szCs w:val="6"/>
                <w:lang w:eastAsia="en-US"/>
              </w:rPr>
              <w:t xml:space="preserve">jes </w:t>
            </w:r>
            <w:r w:rsidRPr="00024D5A">
              <w:rPr>
                <w:rFonts w:ascii="Garamond" w:eastAsia="Times New Roman" w:hAnsi="Garamond" w:cs="Calibri"/>
                <w:b/>
                <w:bCs/>
                <w:sz w:val="6"/>
                <w:szCs w:val="6"/>
                <w:lang w:eastAsia="en-US"/>
              </w:rPr>
              <w:t>shoqëror</w:t>
            </w:r>
            <w:r w:rsidR="00A2057C" w:rsidRPr="00024D5A">
              <w:rPr>
                <w:rFonts w:ascii="Garamond" w:eastAsia="Times New Roman" w:hAnsi="Garamond" w:cs="Calibri"/>
                <w:b/>
                <w:bCs/>
                <w:sz w:val="6"/>
                <w:szCs w:val="6"/>
                <w:lang w:eastAsia="en-US"/>
              </w:rPr>
              <w:t>e</w:t>
            </w:r>
            <w:r w:rsidRPr="00024D5A">
              <w:rPr>
                <w:rFonts w:ascii="Garamond" w:eastAsia="Times New Roman" w:hAnsi="Garamond" w:cs="Calibri"/>
                <w:b/>
                <w:bCs/>
                <w:sz w:val="6"/>
                <w:szCs w:val="6"/>
                <w:lang w:eastAsia="en-US"/>
              </w:rPr>
              <w:t xml:space="preserve"> për personat me aftësi të kufizuara, udhëhequr nga parimet e qasjes duale dhe shërbimeve gjatë gjithë ciklit të jetës.</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40CB7A53"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2026</w:t>
            </w:r>
          </w:p>
        </w:tc>
        <w:tc>
          <w:tcPr>
            <w:tcW w:w="226" w:type="pct"/>
            <w:tcBorders>
              <w:top w:val="nil"/>
              <w:left w:val="nil"/>
              <w:bottom w:val="single" w:sz="4" w:space="0" w:color="auto"/>
              <w:right w:val="single" w:sz="4" w:space="0" w:color="auto"/>
            </w:tcBorders>
            <w:shd w:val="clear" w:color="000000" w:fill="DCE6F1"/>
            <w:vAlign w:val="center"/>
            <w:hideMark/>
          </w:tcPr>
          <w:p w14:paraId="59208D28"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50D40A8D"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w:t>
            </w:r>
          </w:p>
        </w:tc>
        <w:tc>
          <w:tcPr>
            <w:tcW w:w="792" w:type="pct"/>
            <w:tcBorders>
              <w:top w:val="nil"/>
              <w:left w:val="nil"/>
              <w:bottom w:val="single" w:sz="4" w:space="0" w:color="auto"/>
              <w:right w:val="single" w:sz="8" w:space="0" w:color="auto"/>
            </w:tcBorders>
            <w:shd w:val="clear" w:color="000000" w:fill="DCE6F1"/>
            <w:vAlign w:val="center"/>
            <w:hideMark/>
          </w:tcPr>
          <w:p w14:paraId="71A5A6F3"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SHSSH</w:t>
            </w:r>
          </w:p>
        </w:tc>
        <w:tc>
          <w:tcPr>
            <w:tcW w:w="188" w:type="pct"/>
            <w:tcBorders>
              <w:top w:val="nil"/>
              <w:left w:val="nil"/>
              <w:bottom w:val="single" w:sz="4" w:space="0" w:color="auto"/>
              <w:right w:val="single" w:sz="4" w:space="0" w:color="auto"/>
            </w:tcBorders>
            <w:shd w:val="clear" w:color="000000" w:fill="DCE6F1"/>
            <w:vAlign w:val="center"/>
            <w:hideMark/>
          </w:tcPr>
          <w:p w14:paraId="7B02AF69" w14:textId="340B97F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9,760</w:t>
            </w:r>
          </w:p>
        </w:tc>
        <w:tc>
          <w:tcPr>
            <w:tcW w:w="190" w:type="pct"/>
            <w:tcBorders>
              <w:top w:val="nil"/>
              <w:left w:val="nil"/>
              <w:bottom w:val="single" w:sz="4" w:space="0" w:color="auto"/>
              <w:right w:val="single" w:sz="4" w:space="0" w:color="auto"/>
            </w:tcBorders>
            <w:shd w:val="clear" w:color="000000" w:fill="DCE6F1"/>
            <w:vAlign w:val="center"/>
            <w:hideMark/>
          </w:tcPr>
          <w:p w14:paraId="31104828" w14:textId="1D00DC5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13,005</w:t>
            </w:r>
          </w:p>
        </w:tc>
        <w:tc>
          <w:tcPr>
            <w:tcW w:w="190" w:type="pct"/>
            <w:tcBorders>
              <w:top w:val="nil"/>
              <w:left w:val="nil"/>
              <w:bottom w:val="single" w:sz="4" w:space="0" w:color="auto"/>
              <w:right w:val="single" w:sz="4" w:space="0" w:color="auto"/>
            </w:tcBorders>
            <w:shd w:val="clear" w:color="000000" w:fill="DCE6F1"/>
            <w:vAlign w:val="center"/>
            <w:hideMark/>
          </w:tcPr>
          <w:p w14:paraId="58ACE77E" w14:textId="31E0894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16,110</w:t>
            </w:r>
          </w:p>
        </w:tc>
        <w:tc>
          <w:tcPr>
            <w:tcW w:w="190" w:type="pct"/>
            <w:tcBorders>
              <w:top w:val="nil"/>
              <w:left w:val="nil"/>
              <w:bottom w:val="single" w:sz="4" w:space="0" w:color="auto"/>
              <w:right w:val="single" w:sz="4" w:space="0" w:color="auto"/>
            </w:tcBorders>
            <w:shd w:val="clear" w:color="000000" w:fill="DCE6F1"/>
            <w:vAlign w:val="center"/>
            <w:hideMark/>
          </w:tcPr>
          <w:p w14:paraId="7C39B91E" w14:textId="78B0D4C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14,160</w:t>
            </w:r>
          </w:p>
        </w:tc>
        <w:tc>
          <w:tcPr>
            <w:tcW w:w="187" w:type="pct"/>
            <w:tcBorders>
              <w:top w:val="nil"/>
              <w:left w:val="nil"/>
              <w:bottom w:val="single" w:sz="4" w:space="0" w:color="auto"/>
              <w:right w:val="single" w:sz="4" w:space="0" w:color="auto"/>
            </w:tcBorders>
            <w:shd w:val="clear" w:color="000000" w:fill="DCE6F1"/>
            <w:vAlign w:val="center"/>
            <w:hideMark/>
          </w:tcPr>
          <w:p w14:paraId="4D7FA6C3" w14:textId="70E15F8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15,024</w:t>
            </w:r>
          </w:p>
        </w:tc>
        <w:tc>
          <w:tcPr>
            <w:tcW w:w="200" w:type="pct"/>
            <w:tcBorders>
              <w:top w:val="nil"/>
              <w:left w:val="nil"/>
              <w:bottom w:val="single" w:sz="4" w:space="0" w:color="auto"/>
              <w:right w:val="nil"/>
            </w:tcBorders>
            <w:shd w:val="clear" w:color="000000" w:fill="DCE6F1"/>
            <w:vAlign w:val="center"/>
            <w:hideMark/>
          </w:tcPr>
          <w:p w14:paraId="352D7237" w14:textId="5E8ABC0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68,059</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2B83669F" w14:textId="627A2DB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53,359</w:t>
            </w:r>
          </w:p>
        </w:tc>
        <w:tc>
          <w:tcPr>
            <w:tcW w:w="209" w:type="pct"/>
            <w:tcBorders>
              <w:top w:val="nil"/>
              <w:left w:val="nil"/>
              <w:bottom w:val="single" w:sz="4" w:space="0" w:color="auto"/>
              <w:right w:val="single" w:sz="4" w:space="0" w:color="auto"/>
            </w:tcBorders>
            <w:shd w:val="clear" w:color="000000" w:fill="DCE6F1"/>
            <w:vAlign w:val="center"/>
            <w:hideMark/>
          </w:tcPr>
          <w:p w14:paraId="6B04B5E7" w14:textId="67425D3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5" w:type="pct"/>
            <w:tcBorders>
              <w:top w:val="nil"/>
              <w:left w:val="nil"/>
              <w:bottom w:val="single" w:sz="4" w:space="0" w:color="auto"/>
              <w:right w:val="single" w:sz="8" w:space="0" w:color="auto"/>
            </w:tcBorders>
            <w:shd w:val="clear" w:color="000000" w:fill="DCE6F1"/>
            <w:vAlign w:val="center"/>
            <w:hideMark/>
          </w:tcPr>
          <w:p w14:paraId="2EC35E73" w14:textId="7F55ADE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14,700</w:t>
            </w:r>
          </w:p>
        </w:tc>
        <w:tc>
          <w:tcPr>
            <w:tcW w:w="202" w:type="pct"/>
            <w:tcBorders>
              <w:top w:val="nil"/>
              <w:left w:val="nil"/>
              <w:bottom w:val="single" w:sz="4" w:space="0" w:color="auto"/>
              <w:right w:val="single" w:sz="4" w:space="0" w:color="auto"/>
            </w:tcBorders>
            <w:shd w:val="clear" w:color="000000" w:fill="DCE6F1"/>
            <w:vAlign w:val="center"/>
            <w:hideMark/>
          </w:tcPr>
          <w:p w14:paraId="180B1B40" w14:textId="7D7662E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708,949</w:t>
            </w:r>
          </w:p>
        </w:tc>
        <w:tc>
          <w:tcPr>
            <w:tcW w:w="200" w:type="pct"/>
            <w:tcBorders>
              <w:top w:val="nil"/>
              <w:left w:val="nil"/>
              <w:bottom w:val="single" w:sz="4" w:space="0" w:color="auto"/>
              <w:right w:val="single" w:sz="4" w:space="0" w:color="auto"/>
            </w:tcBorders>
            <w:shd w:val="clear" w:color="000000" w:fill="DCE6F1"/>
            <w:vAlign w:val="center"/>
            <w:hideMark/>
          </w:tcPr>
          <w:p w14:paraId="7D2125F0" w14:textId="16F302D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555,824</w:t>
            </w:r>
          </w:p>
        </w:tc>
        <w:tc>
          <w:tcPr>
            <w:tcW w:w="197" w:type="pct"/>
            <w:tcBorders>
              <w:top w:val="nil"/>
              <w:left w:val="nil"/>
              <w:bottom w:val="single" w:sz="4" w:space="0" w:color="auto"/>
              <w:right w:val="single" w:sz="4" w:space="0" w:color="auto"/>
            </w:tcBorders>
            <w:shd w:val="clear" w:color="000000" w:fill="DCE6F1"/>
            <w:vAlign w:val="center"/>
            <w:hideMark/>
          </w:tcPr>
          <w:p w14:paraId="7BB95129" w14:textId="0CEB615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single" w:sz="8" w:space="0" w:color="auto"/>
            </w:tcBorders>
            <w:shd w:val="clear" w:color="000000" w:fill="DCE6F1"/>
            <w:vAlign w:val="center"/>
            <w:hideMark/>
          </w:tcPr>
          <w:p w14:paraId="0F6B7E2B" w14:textId="2308CCC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153,125</w:t>
            </w:r>
          </w:p>
        </w:tc>
      </w:tr>
      <w:tr w:rsidR="00387E5A" w:rsidRPr="00024D5A" w14:paraId="6BB1A888" w14:textId="77777777" w:rsidTr="00387E5A">
        <w:trPr>
          <w:trHeight w:val="20"/>
        </w:trPr>
        <w:tc>
          <w:tcPr>
            <w:tcW w:w="375" w:type="pct"/>
            <w:tcBorders>
              <w:top w:val="nil"/>
              <w:left w:val="single" w:sz="4" w:space="0" w:color="auto"/>
              <w:bottom w:val="single" w:sz="4" w:space="0" w:color="auto"/>
              <w:right w:val="nil"/>
            </w:tcBorders>
            <w:shd w:val="clear" w:color="000000" w:fill="FDE9D9"/>
            <w:vAlign w:val="center"/>
            <w:hideMark/>
          </w:tcPr>
          <w:p w14:paraId="44A69075" w14:textId="00F0BCA4"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Objektivi </w:t>
            </w:r>
            <w:r w:rsidR="007053C8" w:rsidRPr="00024D5A">
              <w:rPr>
                <w:rFonts w:ascii="Garamond" w:eastAsia="Times New Roman" w:hAnsi="Garamond" w:cs="Calibri"/>
                <w:b/>
                <w:bCs/>
                <w:sz w:val="6"/>
                <w:szCs w:val="6"/>
                <w:lang w:eastAsia="en-US"/>
              </w:rPr>
              <w:t xml:space="preserve">specifik </w:t>
            </w:r>
            <w:r w:rsidRPr="00024D5A">
              <w:rPr>
                <w:rFonts w:ascii="Garamond" w:eastAsia="Times New Roman" w:hAnsi="Garamond" w:cs="Calibri"/>
                <w:b/>
                <w:bCs/>
                <w:sz w:val="6"/>
                <w:szCs w:val="6"/>
                <w:lang w:eastAsia="en-US"/>
              </w:rPr>
              <w:t>3</w:t>
            </w:r>
            <w:r w:rsidR="003526AF">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Të mundësohet që të gjithë personat me aftësi të kufizuara në Shqipëri të kenë mundësi reale dhe të barabarta për të jetuar në komunitet, me zgjedhje dhe kontroll mbi jetën e tyre, përmes strehimit të aksesueshëm, mbështetjes individuale, shërbimeve të bazuara në komunitet dhe njohjes së plotë të kapacitetit ligjor, në përputhje me Konventën e OKB për të Drejtat e Personave me Aftësi të Kufizuara.</w:t>
            </w:r>
          </w:p>
        </w:tc>
        <w:tc>
          <w:tcPr>
            <w:tcW w:w="244" w:type="pct"/>
            <w:tcBorders>
              <w:top w:val="nil"/>
              <w:left w:val="single" w:sz="8" w:space="0" w:color="auto"/>
              <w:bottom w:val="single" w:sz="4" w:space="0" w:color="auto"/>
              <w:right w:val="single" w:sz="4" w:space="0" w:color="auto"/>
            </w:tcBorders>
            <w:shd w:val="clear" w:color="000000" w:fill="FDE9D9"/>
            <w:vAlign w:val="center"/>
            <w:hideMark/>
          </w:tcPr>
          <w:p w14:paraId="4500B20B"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2026</w:t>
            </w:r>
          </w:p>
        </w:tc>
        <w:tc>
          <w:tcPr>
            <w:tcW w:w="226" w:type="pct"/>
            <w:tcBorders>
              <w:top w:val="nil"/>
              <w:left w:val="nil"/>
              <w:bottom w:val="single" w:sz="4" w:space="0" w:color="auto"/>
              <w:right w:val="single" w:sz="4" w:space="0" w:color="auto"/>
            </w:tcBorders>
            <w:shd w:val="clear" w:color="000000" w:fill="FDE9D9"/>
            <w:vAlign w:val="center"/>
            <w:hideMark/>
          </w:tcPr>
          <w:p w14:paraId="46BB2C28"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2030</w:t>
            </w:r>
          </w:p>
        </w:tc>
        <w:tc>
          <w:tcPr>
            <w:tcW w:w="664" w:type="pct"/>
            <w:tcBorders>
              <w:top w:val="nil"/>
              <w:left w:val="nil"/>
              <w:bottom w:val="single" w:sz="4" w:space="0" w:color="auto"/>
              <w:right w:val="single" w:sz="4" w:space="0" w:color="auto"/>
            </w:tcBorders>
            <w:shd w:val="clear" w:color="000000" w:fill="FDE9D9"/>
            <w:vAlign w:val="center"/>
            <w:hideMark/>
          </w:tcPr>
          <w:p w14:paraId="1599E468"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MSHMS/MEI</w:t>
            </w:r>
          </w:p>
        </w:tc>
        <w:tc>
          <w:tcPr>
            <w:tcW w:w="792" w:type="pct"/>
            <w:tcBorders>
              <w:top w:val="nil"/>
              <w:left w:val="nil"/>
              <w:bottom w:val="single" w:sz="4" w:space="0" w:color="auto"/>
              <w:right w:val="single" w:sz="8" w:space="0" w:color="auto"/>
            </w:tcBorders>
            <w:shd w:val="clear" w:color="000000" w:fill="FDE9D9"/>
            <w:vAlign w:val="center"/>
            <w:hideMark/>
          </w:tcPr>
          <w:p w14:paraId="4BDC3682"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MEI/MSHMS</w:t>
            </w:r>
          </w:p>
        </w:tc>
        <w:tc>
          <w:tcPr>
            <w:tcW w:w="188" w:type="pct"/>
            <w:tcBorders>
              <w:top w:val="nil"/>
              <w:left w:val="nil"/>
              <w:bottom w:val="single" w:sz="4" w:space="0" w:color="auto"/>
              <w:right w:val="single" w:sz="4" w:space="0" w:color="auto"/>
            </w:tcBorders>
            <w:shd w:val="clear" w:color="000000" w:fill="FDE9D9"/>
            <w:vAlign w:val="center"/>
            <w:hideMark/>
          </w:tcPr>
          <w:p w14:paraId="5A23F310" w14:textId="2528AFB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5,289</w:t>
            </w:r>
          </w:p>
        </w:tc>
        <w:tc>
          <w:tcPr>
            <w:tcW w:w="190" w:type="pct"/>
            <w:tcBorders>
              <w:top w:val="nil"/>
              <w:left w:val="nil"/>
              <w:bottom w:val="single" w:sz="4" w:space="0" w:color="auto"/>
              <w:right w:val="single" w:sz="4" w:space="0" w:color="auto"/>
            </w:tcBorders>
            <w:shd w:val="clear" w:color="000000" w:fill="FDE9D9"/>
            <w:vAlign w:val="center"/>
            <w:hideMark/>
          </w:tcPr>
          <w:p w14:paraId="3030A4D9" w14:textId="4C3181E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16,580</w:t>
            </w:r>
          </w:p>
        </w:tc>
        <w:tc>
          <w:tcPr>
            <w:tcW w:w="190" w:type="pct"/>
            <w:tcBorders>
              <w:top w:val="nil"/>
              <w:left w:val="nil"/>
              <w:bottom w:val="single" w:sz="4" w:space="0" w:color="auto"/>
              <w:right w:val="single" w:sz="4" w:space="0" w:color="auto"/>
            </w:tcBorders>
            <w:shd w:val="clear" w:color="000000" w:fill="FDE9D9"/>
            <w:vAlign w:val="center"/>
            <w:hideMark/>
          </w:tcPr>
          <w:p w14:paraId="5530F238" w14:textId="4A2CDE0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25,577</w:t>
            </w:r>
          </w:p>
        </w:tc>
        <w:tc>
          <w:tcPr>
            <w:tcW w:w="190" w:type="pct"/>
            <w:tcBorders>
              <w:top w:val="nil"/>
              <w:left w:val="nil"/>
              <w:bottom w:val="single" w:sz="4" w:space="0" w:color="auto"/>
              <w:right w:val="single" w:sz="4" w:space="0" w:color="auto"/>
            </w:tcBorders>
            <w:shd w:val="clear" w:color="000000" w:fill="FDE9D9"/>
            <w:vAlign w:val="center"/>
            <w:hideMark/>
          </w:tcPr>
          <w:p w14:paraId="51C942EE" w14:textId="731DBF8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24,482</w:t>
            </w:r>
          </w:p>
        </w:tc>
        <w:tc>
          <w:tcPr>
            <w:tcW w:w="187" w:type="pct"/>
            <w:tcBorders>
              <w:top w:val="nil"/>
              <w:left w:val="nil"/>
              <w:bottom w:val="single" w:sz="4" w:space="0" w:color="auto"/>
              <w:right w:val="single" w:sz="4" w:space="0" w:color="auto"/>
            </w:tcBorders>
            <w:shd w:val="clear" w:color="000000" w:fill="FDE9D9"/>
            <w:vAlign w:val="center"/>
            <w:hideMark/>
          </w:tcPr>
          <w:p w14:paraId="31199694" w14:textId="16F90D7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26,827</w:t>
            </w:r>
          </w:p>
        </w:tc>
        <w:tc>
          <w:tcPr>
            <w:tcW w:w="200" w:type="pct"/>
            <w:tcBorders>
              <w:top w:val="nil"/>
              <w:left w:val="nil"/>
              <w:bottom w:val="single" w:sz="4" w:space="0" w:color="auto"/>
              <w:right w:val="nil"/>
            </w:tcBorders>
            <w:shd w:val="clear" w:color="000000" w:fill="FDE9D9"/>
            <w:vAlign w:val="center"/>
            <w:hideMark/>
          </w:tcPr>
          <w:p w14:paraId="3DB277BE" w14:textId="321388B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98,754</w:t>
            </w:r>
          </w:p>
        </w:tc>
        <w:tc>
          <w:tcPr>
            <w:tcW w:w="209" w:type="pct"/>
            <w:tcBorders>
              <w:top w:val="nil"/>
              <w:left w:val="single" w:sz="8" w:space="0" w:color="auto"/>
              <w:bottom w:val="single" w:sz="4" w:space="0" w:color="auto"/>
              <w:right w:val="single" w:sz="4" w:space="0" w:color="auto"/>
            </w:tcBorders>
            <w:shd w:val="clear" w:color="000000" w:fill="FDE9D9"/>
            <w:vAlign w:val="center"/>
            <w:hideMark/>
          </w:tcPr>
          <w:p w14:paraId="02A894E9" w14:textId="394F487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33,445</w:t>
            </w:r>
          </w:p>
        </w:tc>
        <w:tc>
          <w:tcPr>
            <w:tcW w:w="209" w:type="pct"/>
            <w:tcBorders>
              <w:top w:val="nil"/>
              <w:left w:val="nil"/>
              <w:bottom w:val="single" w:sz="4" w:space="0" w:color="auto"/>
              <w:right w:val="single" w:sz="4" w:space="0" w:color="auto"/>
            </w:tcBorders>
            <w:shd w:val="clear" w:color="000000" w:fill="FDE9D9"/>
            <w:vAlign w:val="center"/>
            <w:hideMark/>
          </w:tcPr>
          <w:p w14:paraId="18655CCE" w14:textId="65658E4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4,675</w:t>
            </w:r>
          </w:p>
        </w:tc>
        <w:tc>
          <w:tcPr>
            <w:tcW w:w="195" w:type="pct"/>
            <w:tcBorders>
              <w:top w:val="nil"/>
              <w:left w:val="nil"/>
              <w:bottom w:val="single" w:sz="4" w:space="0" w:color="auto"/>
              <w:right w:val="single" w:sz="8" w:space="0" w:color="auto"/>
            </w:tcBorders>
            <w:shd w:val="clear" w:color="000000" w:fill="FDE9D9"/>
            <w:vAlign w:val="center"/>
            <w:hideMark/>
          </w:tcPr>
          <w:p w14:paraId="03A5FA1F" w14:textId="1A2FB38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60,633</w:t>
            </w:r>
          </w:p>
        </w:tc>
        <w:tc>
          <w:tcPr>
            <w:tcW w:w="202" w:type="pct"/>
            <w:tcBorders>
              <w:top w:val="nil"/>
              <w:left w:val="nil"/>
              <w:bottom w:val="single" w:sz="4" w:space="0" w:color="auto"/>
              <w:right w:val="single" w:sz="4" w:space="0" w:color="auto"/>
            </w:tcBorders>
            <w:shd w:val="clear" w:color="000000" w:fill="FDE9D9"/>
            <w:vAlign w:val="center"/>
            <w:hideMark/>
          </w:tcPr>
          <w:p w14:paraId="117932FC" w14:textId="33217AA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1,028,683</w:t>
            </w:r>
          </w:p>
        </w:tc>
        <w:tc>
          <w:tcPr>
            <w:tcW w:w="200" w:type="pct"/>
            <w:tcBorders>
              <w:top w:val="nil"/>
              <w:left w:val="nil"/>
              <w:bottom w:val="single" w:sz="4" w:space="0" w:color="auto"/>
              <w:right w:val="single" w:sz="4" w:space="0" w:color="auto"/>
            </w:tcBorders>
            <w:shd w:val="clear" w:color="000000" w:fill="FDE9D9"/>
            <w:vAlign w:val="center"/>
            <w:hideMark/>
          </w:tcPr>
          <w:p w14:paraId="71A5981A" w14:textId="5FE95D8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348,387</w:t>
            </w:r>
          </w:p>
        </w:tc>
        <w:tc>
          <w:tcPr>
            <w:tcW w:w="197" w:type="pct"/>
            <w:tcBorders>
              <w:top w:val="nil"/>
              <w:left w:val="nil"/>
              <w:bottom w:val="single" w:sz="4" w:space="0" w:color="auto"/>
              <w:right w:val="single" w:sz="4" w:space="0" w:color="auto"/>
            </w:tcBorders>
            <w:shd w:val="clear" w:color="000000" w:fill="FDE9D9"/>
            <w:vAlign w:val="center"/>
            <w:hideMark/>
          </w:tcPr>
          <w:p w14:paraId="78C9243D" w14:textId="35CF1A3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48,698</w:t>
            </w:r>
          </w:p>
        </w:tc>
        <w:tc>
          <w:tcPr>
            <w:tcW w:w="342" w:type="pct"/>
            <w:tcBorders>
              <w:top w:val="nil"/>
              <w:left w:val="nil"/>
              <w:bottom w:val="single" w:sz="4" w:space="0" w:color="auto"/>
              <w:right w:val="single" w:sz="8" w:space="0" w:color="auto"/>
            </w:tcBorders>
            <w:shd w:val="clear" w:color="000000" w:fill="FDE9D9"/>
            <w:vAlign w:val="center"/>
            <w:hideMark/>
          </w:tcPr>
          <w:p w14:paraId="57802FAB" w14:textId="4015D27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631,598</w:t>
            </w:r>
          </w:p>
        </w:tc>
      </w:tr>
      <w:tr w:rsidR="00387E5A" w:rsidRPr="00024D5A" w14:paraId="49C18732"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199B5B73" w14:textId="3DB3BD96"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Masa </w:t>
            </w:r>
            <w:r w:rsidR="00E51640" w:rsidRPr="00024D5A">
              <w:rPr>
                <w:rFonts w:ascii="Garamond" w:eastAsia="Times New Roman" w:hAnsi="Garamond" w:cs="Calibri"/>
                <w:b/>
                <w:bCs/>
                <w:sz w:val="6"/>
                <w:szCs w:val="6"/>
                <w:lang w:eastAsia="en-US"/>
              </w:rPr>
              <w:t xml:space="preserve">prioritare </w:t>
            </w:r>
            <w:r w:rsidRPr="00024D5A">
              <w:rPr>
                <w:rFonts w:ascii="Garamond" w:eastAsia="Times New Roman" w:hAnsi="Garamond" w:cs="Calibri"/>
                <w:b/>
                <w:bCs/>
                <w:sz w:val="6"/>
                <w:szCs w:val="6"/>
                <w:lang w:eastAsia="en-US"/>
              </w:rPr>
              <w:t>3.1</w:t>
            </w:r>
            <w:r w:rsidR="003526AF">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Të garantohet e drejta e personave me aftësi të kufizuara për të jetuar në komunitet, me zgjedhje reale mbi ku, si dhe me kë jetojnë, përmes sigurimit të strehimit të aksesueshëm, shërbimeve mbështetëse në banesë dhe alternativave komunitare ndaj institucionalizimit.</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78100FEF"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2026</w:t>
            </w:r>
          </w:p>
        </w:tc>
        <w:tc>
          <w:tcPr>
            <w:tcW w:w="226" w:type="pct"/>
            <w:tcBorders>
              <w:top w:val="nil"/>
              <w:left w:val="nil"/>
              <w:bottom w:val="single" w:sz="4" w:space="0" w:color="auto"/>
              <w:right w:val="single" w:sz="4" w:space="0" w:color="auto"/>
            </w:tcBorders>
            <w:shd w:val="clear" w:color="000000" w:fill="DCE6F1"/>
            <w:vAlign w:val="center"/>
            <w:hideMark/>
          </w:tcPr>
          <w:p w14:paraId="1B4036C4"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0981C942"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w:t>
            </w:r>
          </w:p>
        </w:tc>
        <w:tc>
          <w:tcPr>
            <w:tcW w:w="792" w:type="pct"/>
            <w:tcBorders>
              <w:top w:val="nil"/>
              <w:left w:val="nil"/>
              <w:bottom w:val="single" w:sz="4" w:space="0" w:color="auto"/>
              <w:right w:val="single" w:sz="8" w:space="0" w:color="auto"/>
            </w:tcBorders>
            <w:shd w:val="clear" w:color="000000" w:fill="DCE6F1"/>
            <w:vAlign w:val="center"/>
            <w:hideMark/>
          </w:tcPr>
          <w:p w14:paraId="5312AA77"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MEI</w:t>
            </w:r>
          </w:p>
        </w:tc>
        <w:tc>
          <w:tcPr>
            <w:tcW w:w="188" w:type="pct"/>
            <w:tcBorders>
              <w:top w:val="nil"/>
              <w:left w:val="nil"/>
              <w:bottom w:val="single" w:sz="4" w:space="0" w:color="auto"/>
              <w:right w:val="single" w:sz="4" w:space="0" w:color="auto"/>
            </w:tcBorders>
            <w:shd w:val="clear" w:color="000000" w:fill="DCE6F1"/>
            <w:vAlign w:val="center"/>
            <w:hideMark/>
          </w:tcPr>
          <w:p w14:paraId="0E2267A2" w14:textId="3AD4B13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0" w:type="pct"/>
            <w:tcBorders>
              <w:top w:val="nil"/>
              <w:left w:val="nil"/>
              <w:bottom w:val="single" w:sz="4" w:space="0" w:color="auto"/>
              <w:right w:val="single" w:sz="4" w:space="0" w:color="auto"/>
            </w:tcBorders>
            <w:shd w:val="clear" w:color="000000" w:fill="DCE6F1"/>
            <w:vAlign w:val="center"/>
            <w:hideMark/>
          </w:tcPr>
          <w:p w14:paraId="58EE6181" w14:textId="7FABAB2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2,345</w:t>
            </w:r>
          </w:p>
        </w:tc>
        <w:tc>
          <w:tcPr>
            <w:tcW w:w="190" w:type="pct"/>
            <w:tcBorders>
              <w:top w:val="nil"/>
              <w:left w:val="nil"/>
              <w:bottom w:val="single" w:sz="4" w:space="0" w:color="auto"/>
              <w:right w:val="single" w:sz="4" w:space="0" w:color="auto"/>
            </w:tcBorders>
            <w:shd w:val="clear" w:color="000000" w:fill="DCE6F1"/>
            <w:vAlign w:val="center"/>
            <w:hideMark/>
          </w:tcPr>
          <w:p w14:paraId="4C1F7FC8" w14:textId="5D598D7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18,482</w:t>
            </w:r>
          </w:p>
        </w:tc>
        <w:tc>
          <w:tcPr>
            <w:tcW w:w="190" w:type="pct"/>
            <w:tcBorders>
              <w:top w:val="nil"/>
              <w:left w:val="nil"/>
              <w:bottom w:val="single" w:sz="4" w:space="0" w:color="auto"/>
              <w:right w:val="single" w:sz="4" w:space="0" w:color="auto"/>
            </w:tcBorders>
            <w:shd w:val="clear" w:color="000000" w:fill="DCE6F1"/>
            <w:vAlign w:val="center"/>
            <w:hideMark/>
          </w:tcPr>
          <w:p w14:paraId="6F760767" w14:textId="30F678A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18,482</w:t>
            </w:r>
          </w:p>
        </w:tc>
        <w:tc>
          <w:tcPr>
            <w:tcW w:w="187" w:type="pct"/>
            <w:tcBorders>
              <w:top w:val="nil"/>
              <w:left w:val="nil"/>
              <w:bottom w:val="single" w:sz="4" w:space="0" w:color="auto"/>
              <w:right w:val="single" w:sz="4" w:space="0" w:color="auto"/>
            </w:tcBorders>
            <w:shd w:val="clear" w:color="000000" w:fill="DCE6F1"/>
            <w:vAlign w:val="center"/>
            <w:hideMark/>
          </w:tcPr>
          <w:p w14:paraId="1E06DBE7" w14:textId="6BEA5FA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20,827</w:t>
            </w:r>
          </w:p>
        </w:tc>
        <w:tc>
          <w:tcPr>
            <w:tcW w:w="200" w:type="pct"/>
            <w:tcBorders>
              <w:top w:val="nil"/>
              <w:left w:val="nil"/>
              <w:bottom w:val="single" w:sz="4" w:space="0" w:color="auto"/>
              <w:right w:val="nil"/>
            </w:tcBorders>
            <w:shd w:val="clear" w:color="000000" w:fill="DCE6F1"/>
            <w:vAlign w:val="center"/>
            <w:hideMark/>
          </w:tcPr>
          <w:p w14:paraId="082EEC89" w14:textId="606398A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60,135</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0B34FF6A" w14:textId="5E3844F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18,972</w:t>
            </w:r>
          </w:p>
        </w:tc>
        <w:tc>
          <w:tcPr>
            <w:tcW w:w="209" w:type="pct"/>
            <w:tcBorders>
              <w:top w:val="nil"/>
              <w:left w:val="nil"/>
              <w:bottom w:val="single" w:sz="4" w:space="0" w:color="auto"/>
              <w:right w:val="single" w:sz="4" w:space="0" w:color="auto"/>
            </w:tcBorders>
            <w:shd w:val="clear" w:color="000000" w:fill="DCE6F1"/>
            <w:vAlign w:val="center"/>
            <w:hideMark/>
          </w:tcPr>
          <w:p w14:paraId="0B374F77" w14:textId="2B2BE69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5" w:type="pct"/>
            <w:tcBorders>
              <w:top w:val="nil"/>
              <w:left w:val="nil"/>
              <w:bottom w:val="single" w:sz="4" w:space="0" w:color="auto"/>
              <w:right w:val="single" w:sz="8" w:space="0" w:color="auto"/>
            </w:tcBorders>
            <w:shd w:val="clear" w:color="000000" w:fill="DCE6F1"/>
            <w:vAlign w:val="center"/>
            <w:hideMark/>
          </w:tcPr>
          <w:p w14:paraId="63F0466B" w14:textId="3A45FF2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41,163</w:t>
            </w:r>
          </w:p>
        </w:tc>
        <w:tc>
          <w:tcPr>
            <w:tcW w:w="202" w:type="pct"/>
            <w:tcBorders>
              <w:top w:val="nil"/>
              <w:left w:val="nil"/>
              <w:bottom w:val="single" w:sz="4" w:space="0" w:color="auto"/>
              <w:right w:val="single" w:sz="4" w:space="0" w:color="auto"/>
            </w:tcBorders>
            <w:shd w:val="clear" w:color="000000" w:fill="DCE6F1"/>
            <w:vAlign w:val="center"/>
            <w:hideMark/>
          </w:tcPr>
          <w:p w14:paraId="13CA6DEF" w14:textId="6E7203B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626,411</w:t>
            </w:r>
          </w:p>
        </w:tc>
        <w:tc>
          <w:tcPr>
            <w:tcW w:w="200" w:type="pct"/>
            <w:tcBorders>
              <w:top w:val="nil"/>
              <w:left w:val="nil"/>
              <w:bottom w:val="single" w:sz="4" w:space="0" w:color="auto"/>
              <w:right w:val="single" w:sz="4" w:space="0" w:color="auto"/>
            </w:tcBorders>
            <w:shd w:val="clear" w:color="000000" w:fill="DCE6F1"/>
            <w:vAlign w:val="center"/>
            <w:hideMark/>
          </w:tcPr>
          <w:p w14:paraId="57E8355A" w14:textId="075A948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197,629</w:t>
            </w:r>
          </w:p>
        </w:tc>
        <w:tc>
          <w:tcPr>
            <w:tcW w:w="197" w:type="pct"/>
            <w:tcBorders>
              <w:top w:val="nil"/>
              <w:left w:val="nil"/>
              <w:bottom w:val="single" w:sz="4" w:space="0" w:color="auto"/>
              <w:right w:val="single" w:sz="4" w:space="0" w:color="auto"/>
            </w:tcBorders>
            <w:shd w:val="clear" w:color="000000" w:fill="DCE6F1"/>
            <w:vAlign w:val="center"/>
            <w:hideMark/>
          </w:tcPr>
          <w:p w14:paraId="02539B23" w14:textId="128A404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single" w:sz="8" w:space="0" w:color="auto"/>
            </w:tcBorders>
            <w:shd w:val="clear" w:color="000000" w:fill="DCE6F1"/>
            <w:vAlign w:val="center"/>
            <w:hideMark/>
          </w:tcPr>
          <w:p w14:paraId="5C732E3B" w14:textId="76405DC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428,781</w:t>
            </w:r>
          </w:p>
        </w:tc>
      </w:tr>
      <w:tr w:rsidR="00387E5A" w:rsidRPr="00024D5A" w14:paraId="30F5F5E9"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206C5A04" w14:textId="5A5C26B1"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Masa prioritare 3.2</w:t>
            </w:r>
            <w:r w:rsidR="003526AF">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Të krijohet dhe zbatohet një program kombëtar i shërbimit të ndihmësit personal, në mbështetje të jetesës së pavarur, i standardizuar, i financuar dhe i monitoruar, që u mundëson personave me aftësi të kufizuara të kontrollojnë jetën e tyre, të marrin pjesë në komunitet.</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77C5FE8D"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2026</w:t>
            </w:r>
          </w:p>
        </w:tc>
        <w:tc>
          <w:tcPr>
            <w:tcW w:w="226" w:type="pct"/>
            <w:tcBorders>
              <w:top w:val="nil"/>
              <w:left w:val="nil"/>
              <w:bottom w:val="single" w:sz="4" w:space="0" w:color="auto"/>
              <w:right w:val="single" w:sz="4" w:space="0" w:color="auto"/>
            </w:tcBorders>
            <w:shd w:val="clear" w:color="000000" w:fill="DCE6F1"/>
            <w:vAlign w:val="center"/>
            <w:hideMark/>
          </w:tcPr>
          <w:p w14:paraId="01C362C9"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3FB15A5D"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w:t>
            </w:r>
          </w:p>
        </w:tc>
        <w:tc>
          <w:tcPr>
            <w:tcW w:w="792" w:type="pct"/>
            <w:tcBorders>
              <w:top w:val="nil"/>
              <w:left w:val="nil"/>
              <w:bottom w:val="single" w:sz="4" w:space="0" w:color="auto"/>
              <w:right w:val="single" w:sz="8" w:space="0" w:color="auto"/>
            </w:tcBorders>
            <w:shd w:val="clear" w:color="000000" w:fill="DCE6F1"/>
            <w:vAlign w:val="center"/>
            <w:hideMark/>
          </w:tcPr>
          <w:p w14:paraId="11E4751C"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SHSSH</w:t>
            </w:r>
          </w:p>
        </w:tc>
        <w:tc>
          <w:tcPr>
            <w:tcW w:w="188" w:type="pct"/>
            <w:tcBorders>
              <w:top w:val="nil"/>
              <w:left w:val="nil"/>
              <w:bottom w:val="single" w:sz="4" w:space="0" w:color="auto"/>
              <w:right w:val="single" w:sz="4" w:space="0" w:color="auto"/>
            </w:tcBorders>
            <w:shd w:val="clear" w:color="000000" w:fill="DCE6F1"/>
            <w:vAlign w:val="center"/>
            <w:hideMark/>
          </w:tcPr>
          <w:p w14:paraId="046D7D0E" w14:textId="1F2FD42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4,789</w:t>
            </w:r>
          </w:p>
        </w:tc>
        <w:tc>
          <w:tcPr>
            <w:tcW w:w="190" w:type="pct"/>
            <w:tcBorders>
              <w:top w:val="nil"/>
              <w:left w:val="nil"/>
              <w:bottom w:val="single" w:sz="4" w:space="0" w:color="auto"/>
              <w:right w:val="single" w:sz="4" w:space="0" w:color="auto"/>
            </w:tcBorders>
            <w:shd w:val="clear" w:color="000000" w:fill="DCE6F1"/>
            <w:vAlign w:val="center"/>
            <w:hideMark/>
          </w:tcPr>
          <w:p w14:paraId="7763394E" w14:textId="53D637F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12,734</w:t>
            </w:r>
          </w:p>
        </w:tc>
        <w:tc>
          <w:tcPr>
            <w:tcW w:w="190" w:type="pct"/>
            <w:tcBorders>
              <w:top w:val="nil"/>
              <w:left w:val="nil"/>
              <w:bottom w:val="single" w:sz="4" w:space="0" w:color="auto"/>
              <w:right w:val="single" w:sz="4" w:space="0" w:color="auto"/>
            </w:tcBorders>
            <w:shd w:val="clear" w:color="000000" w:fill="DCE6F1"/>
            <w:vAlign w:val="center"/>
            <w:hideMark/>
          </w:tcPr>
          <w:p w14:paraId="349A6085" w14:textId="5EB8DCD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6,595</w:t>
            </w:r>
          </w:p>
        </w:tc>
        <w:tc>
          <w:tcPr>
            <w:tcW w:w="190" w:type="pct"/>
            <w:tcBorders>
              <w:top w:val="nil"/>
              <w:left w:val="nil"/>
              <w:bottom w:val="single" w:sz="4" w:space="0" w:color="auto"/>
              <w:right w:val="single" w:sz="4" w:space="0" w:color="auto"/>
            </w:tcBorders>
            <w:shd w:val="clear" w:color="000000" w:fill="DCE6F1"/>
            <w:vAlign w:val="center"/>
            <w:hideMark/>
          </w:tcPr>
          <w:p w14:paraId="21759979" w14:textId="1E4F95B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6,000</w:t>
            </w:r>
          </w:p>
        </w:tc>
        <w:tc>
          <w:tcPr>
            <w:tcW w:w="187" w:type="pct"/>
            <w:tcBorders>
              <w:top w:val="nil"/>
              <w:left w:val="nil"/>
              <w:bottom w:val="single" w:sz="4" w:space="0" w:color="auto"/>
              <w:right w:val="single" w:sz="4" w:space="0" w:color="auto"/>
            </w:tcBorders>
            <w:shd w:val="clear" w:color="000000" w:fill="DCE6F1"/>
            <w:vAlign w:val="center"/>
            <w:hideMark/>
          </w:tcPr>
          <w:p w14:paraId="378D718D" w14:textId="0E6F967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6,000</w:t>
            </w:r>
          </w:p>
        </w:tc>
        <w:tc>
          <w:tcPr>
            <w:tcW w:w="200" w:type="pct"/>
            <w:tcBorders>
              <w:top w:val="nil"/>
              <w:left w:val="nil"/>
              <w:bottom w:val="single" w:sz="4" w:space="0" w:color="auto"/>
              <w:right w:val="nil"/>
            </w:tcBorders>
            <w:shd w:val="clear" w:color="000000" w:fill="DCE6F1"/>
            <w:vAlign w:val="center"/>
            <w:hideMark/>
          </w:tcPr>
          <w:p w14:paraId="484A09B6" w14:textId="0DF2616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36,118</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5B635CA3" w14:textId="7D0FD4F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14,473</w:t>
            </w:r>
          </w:p>
        </w:tc>
        <w:tc>
          <w:tcPr>
            <w:tcW w:w="209" w:type="pct"/>
            <w:tcBorders>
              <w:top w:val="nil"/>
              <w:left w:val="nil"/>
              <w:bottom w:val="single" w:sz="4" w:space="0" w:color="auto"/>
              <w:right w:val="single" w:sz="4" w:space="0" w:color="auto"/>
            </w:tcBorders>
            <w:shd w:val="clear" w:color="000000" w:fill="DCE6F1"/>
            <w:vAlign w:val="center"/>
            <w:hideMark/>
          </w:tcPr>
          <w:p w14:paraId="0DE5CB09" w14:textId="0EA10EF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4,175</w:t>
            </w:r>
          </w:p>
        </w:tc>
        <w:tc>
          <w:tcPr>
            <w:tcW w:w="195" w:type="pct"/>
            <w:tcBorders>
              <w:top w:val="nil"/>
              <w:left w:val="nil"/>
              <w:bottom w:val="single" w:sz="4" w:space="0" w:color="auto"/>
              <w:right w:val="single" w:sz="8" w:space="0" w:color="auto"/>
            </w:tcBorders>
            <w:shd w:val="clear" w:color="000000" w:fill="DCE6F1"/>
            <w:vAlign w:val="center"/>
            <w:hideMark/>
          </w:tcPr>
          <w:p w14:paraId="43AAC860" w14:textId="564BC67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17,470</w:t>
            </w:r>
          </w:p>
        </w:tc>
        <w:tc>
          <w:tcPr>
            <w:tcW w:w="202" w:type="pct"/>
            <w:tcBorders>
              <w:top w:val="nil"/>
              <w:left w:val="nil"/>
              <w:bottom w:val="single" w:sz="4" w:space="0" w:color="auto"/>
              <w:right w:val="single" w:sz="4" w:space="0" w:color="auto"/>
            </w:tcBorders>
            <w:shd w:val="clear" w:color="000000" w:fill="DCE6F1"/>
            <w:vAlign w:val="center"/>
            <w:hideMark/>
          </w:tcPr>
          <w:p w14:paraId="09D5D5E2" w14:textId="139ED15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376,231</w:t>
            </w:r>
          </w:p>
        </w:tc>
        <w:tc>
          <w:tcPr>
            <w:tcW w:w="200" w:type="pct"/>
            <w:tcBorders>
              <w:top w:val="nil"/>
              <w:left w:val="nil"/>
              <w:bottom w:val="single" w:sz="4" w:space="0" w:color="auto"/>
              <w:right w:val="single" w:sz="4" w:space="0" w:color="auto"/>
            </w:tcBorders>
            <w:shd w:val="clear" w:color="000000" w:fill="DCE6F1"/>
            <w:vAlign w:val="center"/>
            <w:hideMark/>
          </w:tcPr>
          <w:p w14:paraId="6B7AEBC2" w14:textId="335B32C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150,758</w:t>
            </w:r>
          </w:p>
        </w:tc>
        <w:tc>
          <w:tcPr>
            <w:tcW w:w="197" w:type="pct"/>
            <w:tcBorders>
              <w:top w:val="nil"/>
              <w:left w:val="nil"/>
              <w:bottom w:val="single" w:sz="4" w:space="0" w:color="auto"/>
              <w:right w:val="single" w:sz="4" w:space="0" w:color="auto"/>
            </w:tcBorders>
            <w:shd w:val="clear" w:color="000000" w:fill="DCE6F1"/>
            <w:vAlign w:val="center"/>
            <w:hideMark/>
          </w:tcPr>
          <w:p w14:paraId="65B35534" w14:textId="2E1DFFA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43,490</w:t>
            </w:r>
          </w:p>
        </w:tc>
        <w:tc>
          <w:tcPr>
            <w:tcW w:w="342" w:type="pct"/>
            <w:tcBorders>
              <w:top w:val="nil"/>
              <w:left w:val="nil"/>
              <w:bottom w:val="single" w:sz="4" w:space="0" w:color="auto"/>
              <w:right w:val="single" w:sz="8" w:space="0" w:color="auto"/>
            </w:tcBorders>
            <w:shd w:val="clear" w:color="000000" w:fill="DCE6F1"/>
            <w:vAlign w:val="center"/>
            <w:hideMark/>
          </w:tcPr>
          <w:p w14:paraId="2BD8A31A" w14:textId="5F3905F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181,984</w:t>
            </w:r>
          </w:p>
        </w:tc>
      </w:tr>
      <w:tr w:rsidR="00387E5A" w:rsidRPr="00024D5A" w14:paraId="1713B84B"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66E7C0D6" w14:textId="6F43C59C"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Masa </w:t>
            </w:r>
            <w:r w:rsidR="00E51640" w:rsidRPr="00024D5A">
              <w:rPr>
                <w:rFonts w:ascii="Garamond" w:eastAsia="Times New Roman" w:hAnsi="Garamond" w:cs="Calibri"/>
                <w:b/>
                <w:bCs/>
                <w:sz w:val="6"/>
                <w:szCs w:val="6"/>
                <w:lang w:eastAsia="en-US"/>
              </w:rPr>
              <w:t xml:space="preserve">prioritare </w:t>
            </w:r>
            <w:r w:rsidRPr="00024D5A">
              <w:rPr>
                <w:rFonts w:ascii="Garamond" w:eastAsia="Times New Roman" w:hAnsi="Garamond" w:cs="Calibri"/>
                <w:b/>
                <w:bCs/>
                <w:sz w:val="6"/>
                <w:szCs w:val="6"/>
                <w:lang w:eastAsia="en-US"/>
              </w:rPr>
              <w:t>3.3</w:t>
            </w:r>
            <w:r w:rsidR="003526AF">
              <w:rPr>
                <w:rFonts w:ascii="Garamond" w:eastAsia="Times New Roman" w:hAnsi="Garamond" w:cs="Calibri"/>
                <w:b/>
                <w:bCs/>
                <w:sz w:val="6"/>
                <w:szCs w:val="6"/>
                <w:lang w:eastAsia="en-US"/>
              </w:rPr>
              <w:t>:</w:t>
            </w:r>
            <w:r w:rsidR="000856CC">
              <w:rPr>
                <w:rFonts w:ascii="Garamond" w:eastAsia="Times New Roman" w:hAnsi="Garamond" w:cs="Calibri"/>
                <w:b/>
                <w:bCs/>
                <w:sz w:val="6"/>
                <w:szCs w:val="6"/>
                <w:lang w:eastAsia="en-US"/>
              </w:rPr>
              <w:t xml:space="preserve"> </w:t>
            </w:r>
            <w:r w:rsidRPr="00024D5A">
              <w:rPr>
                <w:rFonts w:ascii="Garamond" w:eastAsia="Times New Roman" w:hAnsi="Garamond" w:cs="Calibri"/>
                <w:b/>
                <w:bCs/>
                <w:sz w:val="6"/>
                <w:szCs w:val="6"/>
                <w:lang w:eastAsia="en-US"/>
              </w:rPr>
              <w:t>Të garantohet për të gjithë personat me aftësi të kufizuara njohja e plotë para ligjit dhe e drejta për të marrë vendime për jetën e tyre, përmes zëvendësimit të kujdestarisë me një sistem të vendimmarrjes së mbështetur që respekton vullnetin, preferencat dhe autonominë e individit (</w:t>
            </w:r>
            <w:r w:rsidR="003A7AC6" w:rsidRPr="00024D5A">
              <w:rPr>
                <w:rFonts w:ascii="Garamond" w:eastAsia="Times New Roman" w:hAnsi="Garamond" w:cs="Calibri"/>
                <w:b/>
                <w:bCs/>
                <w:sz w:val="6"/>
                <w:szCs w:val="6"/>
                <w:lang w:eastAsia="en-US"/>
              </w:rPr>
              <w:t xml:space="preserve">referohu </w:t>
            </w:r>
            <w:r w:rsidRPr="00024D5A">
              <w:rPr>
                <w:rFonts w:ascii="Garamond" w:eastAsia="Times New Roman" w:hAnsi="Garamond" w:cs="Calibri"/>
                <w:b/>
                <w:bCs/>
                <w:sz w:val="6"/>
                <w:szCs w:val="6"/>
                <w:lang w:eastAsia="en-US"/>
              </w:rPr>
              <w:t>te Drejtësia)</w:t>
            </w:r>
            <w:r w:rsidR="003A7AC6" w:rsidRPr="00024D5A">
              <w:rPr>
                <w:rFonts w:ascii="Garamond" w:eastAsia="Times New Roman" w:hAnsi="Garamond" w:cs="Calibri"/>
                <w:b/>
                <w:bCs/>
                <w:sz w:val="6"/>
                <w:szCs w:val="6"/>
                <w:lang w:eastAsia="en-US"/>
              </w:rPr>
              <w:t>.</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63DDBFBC"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2026</w:t>
            </w:r>
          </w:p>
        </w:tc>
        <w:tc>
          <w:tcPr>
            <w:tcW w:w="226" w:type="pct"/>
            <w:tcBorders>
              <w:top w:val="nil"/>
              <w:left w:val="nil"/>
              <w:bottom w:val="single" w:sz="4" w:space="0" w:color="auto"/>
              <w:right w:val="single" w:sz="4" w:space="0" w:color="auto"/>
            </w:tcBorders>
            <w:shd w:val="clear" w:color="000000" w:fill="DCE6F1"/>
            <w:vAlign w:val="center"/>
            <w:hideMark/>
          </w:tcPr>
          <w:p w14:paraId="4D118203"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33B58A74"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w:t>
            </w:r>
          </w:p>
        </w:tc>
        <w:tc>
          <w:tcPr>
            <w:tcW w:w="792" w:type="pct"/>
            <w:tcBorders>
              <w:top w:val="nil"/>
              <w:left w:val="nil"/>
              <w:bottom w:val="single" w:sz="4" w:space="0" w:color="auto"/>
              <w:right w:val="single" w:sz="8" w:space="0" w:color="auto"/>
            </w:tcBorders>
            <w:shd w:val="clear" w:color="000000" w:fill="DCE6F1"/>
            <w:vAlign w:val="center"/>
            <w:hideMark/>
          </w:tcPr>
          <w:p w14:paraId="568D440E"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MD</w:t>
            </w:r>
          </w:p>
        </w:tc>
        <w:tc>
          <w:tcPr>
            <w:tcW w:w="188" w:type="pct"/>
            <w:tcBorders>
              <w:top w:val="nil"/>
              <w:left w:val="nil"/>
              <w:bottom w:val="single" w:sz="4" w:space="0" w:color="auto"/>
              <w:right w:val="single" w:sz="4" w:space="0" w:color="auto"/>
            </w:tcBorders>
            <w:shd w:val="clear" w:color="000000" w:fill="DCE6F1"/>
            <w:vAlign w:val="center"/>
            <w:hideMark/>
          </w:tcPr>
          <w:p w14:paraId="0478A49B" w14:textId="7CF3ACA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500</w:t>
            </w:r>
          </w:p>
        </w:tc>
        <w:tc>
          <w:tcPr>
            <w:tcW w:w="190" w:type="pct"/>
            <w:tcBorders>
              <w:top w:val="nil"/>
              <w:left w:val="nil"/>
              <w:bottom w:val="single" w:sz="4" w:space="0" w:color="auto"/>
              <w:right w:val="single" w:sz="4" w:space="0" w:color="auto"/>
            </w:tcBorders>
            <w:shd w:val="clear" w:color="000000" w:fill="DCE6F1"/>
            <w:vAlign w:val="center"/>
            <w:hideMark/>
          </w:tcPr>
          <w:p w14:paraId="234F87C8" w14:textId="64D6B09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1,500</w:t>
            </w:r>
          </w:p>
        </w:tc>
        <w:tc>
          <w:tcPr>
            <w:tcW w:w="190" w:type="pct"/>
            <w:tcBorders>
              <w:top w:val="nil"/>
              <w:left w:val="nil"/>
              <w:bottom w:val="single" w:sz="4" w:space="0" w:color="auto"/>
              <w:right w:val="single" w:sz="4" w:space="0" w:color="auto"/>
            </w:tcBorders>
            <w:shd w:val="clear" w:color="000000" w:fill="DCE6F1"/>
            <w:vAlign w:val="center"/>
            <w:hideMark/>
          </w:tcPr>
          <w:p w14:paraId="3D18C359" w14:textId="495654A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500</w:t>
            </w:r>
          </w:p>
        </w:tc>
        <w:tc>
          <w:tcPr>
            <w:tcW w:w="190" w:type="pct"/>
            <w:tcBorders>
              <w:top w:val="nil"/>
              <w:left w:val="nil"/>
              <w:bottom w:val="single" w:sz="4" w:space="0" w:color="auto"/>
              <w:right w:val="single" w:sz="4" w:space="0" w:color="auto"/>
            </w:tcBorders>
            <w:shd w:val="clear" w:color="000000" w:fill="DCE6F1"/>
            <w:vAlign w:val="center"/>
            <w:hideMark/>
          </w:tcPr>
          <w:p w14:paraId="7A0AEFF1" w14:textId="0D06D07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87" w:type="pct"/>
            <w:tcBorders>
              <w:top w:val="nil"/>
              <w:left w:val="nil"/>
              <w:bottom w:val="single" w:sz="4" w:space="0" w:color="auto"/>
              <w:right w:val="single" w:sz="4" w:space="0" w:color="auto"/>
            </w:tcBorders>
            <w:shd w:val="clear" w:color="000000" w:fill="DCE6F1"/>
            <w:vAlign w:val="center"/>
            <w:hideMark/>
          </w:tcPr>
          <w:p w14:paraId="10A3DCC0" w14:textId="4768157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200" w:type="pct"/>
            <w:tcBorders>
              <w:top w:val="nil"/>
              <w:left w:val="nil"/>
              <w:bottom w:val="single" w:sz="4" w:space="0" w:color="auto"/>
              <w:right w:val="nil"/>
            </w:tcBorders>
            <w:shd w:val="clear" w:color="000000" w:fill="DCE6F1"/>
            <w:vAlign w:val="center"/>
            <w:hideMark/>
          </w:tcPr>
          <w:p w14:paraId="79587050" w14:textId="6EABBDE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2,500</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50D9A09A" w14:textId="2ED8FE4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209" w:type="pct"/>
            <w:tcBorders>
              <w:top w:val="nil"/>
              <w:left w:val="nil"/>
              <w:bottom w:val="single" w:sz="4" w:space="0" w:color="auto"/>
              <w:right w:val="single" w:sz="4" w:space="0" w:color="auto"/>
            </w:tcBorders>
            <w:shd w:val="clear" w:color="000000" w:fill="DCE6F1"/>
            <w:vAlign w:val="center"/>
            <w:hideMark/>
          </w:tcPr>
          <w:p w14:paraId="47F31161" w14:textId="18AF19D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500</w:t>
            </w:r>
          </w:p>
        </w:tc>
        <w:tc>
          <w:tcPr>
            <w:tcW w:w="195" w:type="pct"/>
            <w:tcBorders>
              <w:top w:val="nil"/>
              <w:left w:val="nil"/>
              <w:bottom w:val="single" w:sz="4" w:space="0" w:color="auto"/>
              <w:right w:val="single" w:sz="8" w:space="0" w:color="auto"/>
            </w:tcBorders>
            <w:shd w:val="clear" w:color="000000" w:fill="DCE6F1"/>
            <w:vAlign w:val="center"/>
            <w:hideMark/>
          </w:tcPr>
          <w:p w14:paraId="52EEA37C" w14:textId="22FBE04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2,000</w:t>
            </w:r>
          </w:p>
        </w:tc>
        <w:tc>
          <w:tcPr>
            <w:tcW w:w="202" w:type="pct"/>
            <w:tcBorders>
              <w:top w:val="nil"/>
              <w:left w:val="nil"/>
              <w:bottom w:val="single" w:sz="4" w:space="0" w:color="auto"/>
              <w:right w:val="single" w:sz="4" w:space="0" w:color="auto"/>
            </w:tcBorders>
            <w:shd w:val="clear" w:color="000000" w:fill="DCE6F1"/>
            <w:vAlign w:val="center"/>
            <w:hideMark/>
          </w:tcPr>
          <w:p w14:paraId="28029F72" w14:textId="158AD41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26,042</w:t>
            </w:r>
          </w:p>
        </w:tc>
        <w:tc>
          <w:tcPr>
            <w:tcW w:w="200" w:type="pct"/>
            <w:tcBorders>
              <w:top w:val="nil"/>
              <w:left w:val="nil"/>
              <w:bottom w:val="single" w:sz="4" w:space="0" w:color="auto"/>
              <w:right w:val="single" w:sz="4" w:space="0" w:color="auto"/>
            </w:tcBorders>
            <w:shd w:val="clear" w:color="000000" w:fill="DCE6F1"/>
            <w:vAlign w:val="center"/>
            <w:hideMark/>
          </w:tcPr>
          <w:p w14:paraId="07AB9243" w14:textId="4AEF686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7" w:type="pct"/>
            <w:tcBorders>
              <w:top w:val="nil"/>
              <w:left w:val="nil"/>
              <w:bottom w:val="single" w:sz="4" w:space="0" w:color="auto"/>
              <w:right w:val="single" w:sz="4" w:space="0" w:color="auto"/>
            </w:tcBorders>
            <w:shd w:val="clear" w:color="000000" w:fill="DCE6F1"/>
            <w:vAlign w:val="center"/>
            <w:hideMark/>
          </w:tcPr>
          <w:p w14:paraId="5C16D082" w14:textId="643652E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5,208</w:t>
            </w:r>
          </w:p>
        </w:tc>
        <w:tc>
          <w:tcPr>
            <w:tcW w:w="342" w:type="pct"/>
            <w:tcBorders>
              <w:top w:val="nil"/>
              <w:left w:val="nil"/>
              <w:bottom w:val="single" w:sz="4" w:space="0" w:color="auto"/>
              <w:right w:val="single" w:sz="8" w:space="0" w:color="auto"/>
            </w:tcBorders>
            <w:shd w:val="clear" w:color="000000" w:fill="DCE6F1"/>
            <w:vAlign w:val="center"/>
            <w:hideMark/>
          </w:tcPr>
          <w:p w14:paraId="7249DF98" w14:textId="72C5E57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20,833</w:t>
            </w:r>
          </w:p>
        </w:tc>
      </w:tr>
      <w:tr w:rsidR="00387E5A" w:rsidRPr="00024D5A" w14:paraId="38BEB93D" w14:textId="77777777" w:rsidTr="00387E5A">
        <w:trPr>
          <w:trHeight w:val="20"/>
        </w:trPr>
        <w:tc>
          <w:tcPr>
            <w:tcW w:w="375" w:type="pct"/>
            <w:tcBorders>
              <w:top w:val="nil"/>
              <w:left w:val="single" w:sz="4" w:space="0" w:color="auto"/>
              <w:bottom w:val="single" w:sz="4" w:space="0" w:color="auto"/>
              <w:right w:val="nil"/>
            </w:tcBorders>
            <w:shd w:val="clear" w:color="000000" w:fill="FDE9D9"/>
            <w:vAlign w:val="center"/>
            <w:hideMark/>
          </w:tcPr>
          <w:p w14:paraId="6A91C247" w14:textId="16217962"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Objektivi specifik 4</w:t>
            </w:r>
            <w:r w:rsidR="003526AF">
              <w:rPr>
                <w:rFonts w:ascii="Garamond" w:eastAsia="Times New Roman" w:hAnsi="Garamond" w:cs="Calibri"/>
                <w:b/>
                <w:bCs/>
                <w:sz w:val="6"/>
                <w:szCs w:val="6"/>
                <w:lang w:eastAsia="en-US"/>
              </w:rPr>
              <w:t>:</w:t>
            </w:r>
            <w:r w:rsidR="003A7AC6" w:rsidRPr="00024D5A">
              <w:rPr>
                <w:rFonts w:ascii="Garamond" w:eastAsia="Times New Roman" w:hAnsi="Garamond" w:cs="Calibri"/>
                <w:b/>
                <w:bCs/>
                <w:sz w:val="6"/>
                <w:szCs w:val="6"/>
                <w:lang w:eastAsia="en-US"/>
              </w:rPr>
              <w:t xml:space="preserve"> </w:t>
            </w:r>
            <w:r w:rsidRPr="00024D5A">
              <w:rPr>
                <w:rFonts w:ascii="Garamond" w:eastAsia="Times New Roman" w:hAnsi="Garamond" w:cs="Calibri"/>
                <w:b/>
                <w:bCs/>
                <w:sz w:val="6"/>
                <w:szCs w:val="6"/>
                <w:lang w:eastAsia="en-US"/>
              </w:rPr>
              <w:t>Të garantohet mbrojtja efektive e të drejtave, dinjitetit dhe barazisë së grave dhe vajzave me aftësi të kufizuara nga të gjitha format e dhunës, duke adresuar diskriminimin e shumëfishtë dhe duke siguruar akses të plotë dhe të përshtatur në shërbime, mekanizma mbrojtës dhe drejtësi.</w:t>
            </w:r>
          </w:p>
        </w:tc>
        <w:tc>
          <w:tcPr>
            <w:tcW w:w="244" w:type="pct"/>
            <w:tcBorders>
              <w:top w:val="nil"/>
              <w:left w:val="single" w:sz="8" w:space="0" w:color="auto"/>
              <w:bottom w:val="single" w:sz="4" w:space="0" w:color="auto"/>
              <w:right w:val="single" w:sz="4" w:space="0" w:color="auto"/>
            </w:tcBorders>
            <w:shd w:val="clear" w:color="000000" w:fill="FDE9D9"/>
            <w:vAlign w:val="center"/>
            <w:hideMark/>
          </w:tcPr>
          <w:p w14:paraId="74D6FDFF"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2026</w:t>
            </w:r>
          </w:p>
        </w:tc>
        <w:tc>
          <w:tcPr>
            <w:tcW w:w="226" w:type="pct"/>
            <w:tcBorders>
              <w:top w:val="nil"/>
              <w:left w:val="nil"/>
              <w:bottom w:val="single" w:sz="4" w:space="0" w:color="auto"/>
              <w:right w:val="single" w:sz="4" w:space="0" w:color="auto"/>
            </w:tcBorders>
            <w:shd w:val="clear" w:color="000000" w:fill="FDE9D9"/>
            <w:vAlign w:val="center"/>
            <w:hideMark/>
          </w:tcPr>
          <w:p w14:paraId="76DB2887"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2030</w:t>
            </w:r>
          </w:p>
        </w:tc>
        <w:tc>
          <w:tcPr>
            <w:tcW w:w="664" w:type="pct"/>
            <w:tcBorders>
              <w:top w:val="nil"/>
              <w:left w:val="nil"/>
              <w:bottom w:val="single" w:sz="4" w:space="0" w:color="auto"/>
              <w:right w:val="single" w:sz="4" w:space="0" w:color="auto"/>
            </w:tcBorders>
            <w:shd w:val="clear" w:color="000000" w:fill="FDE9D9"/>
            <w:vAlign w:val="center"/>
            <w:hideMark/>
          </w:tcPr>
          <w:p w14:paraId="50AEBDDA"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w:t>
            </w:r>
          </w:p>
        </w:tc>
        <w:tc>
          <w:tcPr>
            <w:tcW w:w="792" w:type="pct"/>
            <w:tcBorders>
              <w:top w:val="nil"/>
              <w:left w:val="nil"/>
              <w:bottom w:val="single" w:sz="4" w:space="0" w:color="auto"/>
              <w:right w:val="single" w:sz="8" w:space="0" w:color="auto"/>
            </w:tcBorders>
            <w:shd w:val="clear" w:color="000000" w:fill="FDE9D9"/>
            <w:vAlign w:val="center"/>
            <w:hideMark/>
          </w:tcPr>
          <w:p w14:paraId="5AB622F2" w14:textId="2D00420C" w:rsidR="00DE4FCB" w:rsidRPr="00024D5A" w:rsidRDefault="00DE4FCB" w:rsidP="00387E5A">
            <w:pPr>
              <w:jc w:val="center"/>
              <w:rPr>
                <w:rFonts w:ascii="Garamond" w:eastAsia="Times New Roman" w:hAnsi="Garamond" w:cs="Calibri"/>
                <w:sz w:val="6"/>
                <w:szCs w:val="6"/>
                <w:lang w:eastAsia="en-US"/>
              </w:rPr>
            </w:pPr>
          </w:p>
        </w:tc>
        <w:tc>
          <w:tcPr>
            <w:tcW w:w="188" w:type="pct"/>
            <w:tcBorders>
              <w:top w:val="nil"/>
              <w:left w:val="nil"/>
              <w:bottom w:val="single" w:sz="4" w:space="0" w:color="auto"/>
              <w:right w:val="single" w:sz="4" w:space="0" w:color="auto"/>
            </w:tcBorders>
            <w:shd w:val="clear" w:color="000000" w:fill="FDE9D9"/>
            <w:vAlign w:val="center"/>
            <w:hideMark/>
          </w:tcPr>
          <w:p w14:paraId="18677416" w14:textId="5E4F295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3,173</w:t>
            </w:r>
          </w:p>
        </w:tc>
        <w:tc>
          <w:tcPr>
            <w:tcW w:w="190" w:type="pct"/>
            <w:tcBorders>
              <w:top w:val="nil"/>
              <w:left w:val="nil"/>
              <w:bottom w:val="single" w:sz="4" w:space="0" w:color="auto"/>
              <w:right w:val="single" w:sz="4" w:space="0" w:color="auto"/>
            </w:tcBorders>
            <w:shd w:val="clear" w:color="000000" w:fill="FDE9D9"/>
            <w:vAlign w:val="center"/>
            <w:hideMark/>
          </w:tcPr>
          <w:p w14:paraId="53DD1F1F" w14:textId="5F02965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128,443</w:t>
            </w:r>
          </w:p>
        </w:tc>
        <w:tc>
          <w:tcPr>
            <w:tcW w:w="190" w:type="pct"/>
            <w:tcBorders>
              <w:top w:val="nil"/>
              <w:left w:val="nil"/>
              <w:bottom w:val="single" w:sz="4" w:space="0" w:color="auto"/>
              <w:right w:val="single" w:sz="4" w:space="0" w:color="auto"/>
            </w:tcBorders>
            <w:shd w:val="clear" w:color="000000" w:fill="FDE9D9"/>
            <w:vAlign w:val="center"/>
            <w:hideMark/>
          </w:tcPr>
          <w:p w14:paraId="64FFCBC4" w14:textId="25C3AA7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7,718</w:t>
            </w:r>
          </w:p>
        </w:tc>
        <w:tc>
          <w:tcPr>
            <w:tcW w:w="190" w:type="pct"/>
            <w:tcBorders>
              <w:top w:val="nil"/>
              <w:left w:val="nil"/>
              <w:bottom w:val="single" w:sz="4" w:space="0" w:color="auto"/>
              <w:right w:val="single" w:sz="4" w:space="0" w:color="auto"/>
            </w:tcBorders>
            <w:shd w:val="clear" w:color="000000" w:fill="FDE9D9"/>
            <w:vAlign w:val="center"/>
            <w:hideMark/>
          </w:tcPr>
          <w:p w14:paraId="4439006F" w14:textId="7E83A74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6,545</w:t>
            </w:r>
          </w:p>
        </w:tc>
        <w:tc>
          <w:tcPr>
            <w:tcW w:w="187" w:type="pct"/>
            <w:tcBorders>
              <w:top w:val="nil"/>
              <w:left w:val="nil"/>
              <w:bottom w:val="single" w:sz="4" w:space="0" w:color="auto"/>
              <w:right w:val="single" w:sz="4" w:space="0" w:color="auto"/>
            </w:tcBorders>
            <w:shd w:val="clear" w:color="000000" w:fill="FDE9D9"/>
            <w:vAlign w:val="center"/>
            <w:hideMark/>
          </w:tcPr>
          <w:p w14:paraId="59D2812F" w14:textId="1A6A075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131,061</w:t>
            </w:r>
          </w:p>
        </w:tc>
        <w:tc>
          <w:tcPr>
            <w:tcW w:w="200" w:type="pct"/>
            <w:tcBorders>
              <w:top w:val="nil"/>
              <w:left w:val="nil"/>
              <w:bottom w:val="single" w:sz="4" w:space="0" w:color="auto"/>
              <w:right w:val="nil"/>
            </w:tcBorders>
            <w:shd w:val="clear" w:color="000000" w:fill="FDE9D9"/>
            <w:vAlign w:val="center"/>
            <w:hideMark/>
          </w:tcPr>
          <w:p w14:paraId="7BB2C043" w14:textId="104D24C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276,941</w:t>
            </w:r>
          </w:p>
        </w:tc>
        <w:tc>
          <w:tcPr>
            <w:tcW w:w="209" w:type="pct"/>
            <w:tcBorders>
              <w:top w:val="nil"/>
              <w:left w:val="single" w:sz="8" w:space="0" w:color="auto"/>
              <w:bottom w:val="single" w:sz="4" w:space="0" w:color="auto"/>
              <w:right w:val="single" w:sz="4" w:space="0" w:color="auto"/>
            </w:tcBorders>
            <w:shd w:val="clear" w:color="000000" w:fill="FDE9D9"/>
            <w:vAlign w:val="center"/>
            <w:hideMark/>
          </w:tcPr>
          <w:p w14:paraId="1386C287" w14:textId="4C534E3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255,905</w:t>
            </w:r>
          </w:p>
        </w:tc>
        <w:tc>
          <w:tcPr>
            <w:tcW w:w="209" w:type="pct"/>
            <w:tcBorders>
              <w:top w:val="nil"/>
              <w:left w:val="nil"/>
              <w:bottom w:val="single" w:sz="4" w:space="0" w:color="auto"/>
              <w:right w:val="single" w:sz="4" w:space="0" w:color="auto"/>
            </w:tcBorders>
            <w:shd w:val="clear" w:color="000000" w:fill="FDE9D9"/>
            <w:vAlign w:val="center"/>
            <w:hideMark/>
          </w:tcPr>
          <w:p w14:paraId="33E17602" w14:textId="0A02BDD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1,050</w:t>
            </w:r>
          </w:p>
        </w:tc>
        <w:tc>
          <w:tcPr>
            <w:tcW w:w="195" w:type="pct"/>
            <w:tcBorders>
              <w:top w:val="nil"/>
              <w:left w:val="nil"/>
              <w:bottom w:val="single" w:sz="4" w:space="0" w:color="auto"/>
              <w:right w:val="single" w:sz="8" w:space="0" w:color="auto"/>
            </w:tcBorders>
            <w:shd w:val="clear" w:color="000000" w:fill="FDE9D9"/>
            <w:vAlign w:val="center"/>
            <w:hideMark/>
          </w:tcPr>
          <w:p w14:paraId="6B78F0B5" w14:textId="180F082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19,986</w:t>
            </w:r>
          </w:p>
        </w:tc>
        <w:tc>
          <w:tcPr>
            <w:tcW w:w="202" w:type="pct"/>
            <w:tcBorders>
              <w:top w:val="nil"/>
              <w:left w:val="nil"/>
              <w:bottom w:val="single" w:sz="4" w:space="0" w:color="auto"/>
              <w:right w:val="single" w:sz="4" w:space="0" w:color="auto"/>
            </w:tcBorders>
            <w:shd w:val="clear" w:color="000000" w:fill="FDE9D9"/>
            <w:vAlign w:val="center"/>
            <w:hideMark/>
          </w:tcPr>
          <w:p w14:paraId="19B7429F" w14:textId="1ED027F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2,884,801</w:t>
            </w:r>
          </w:p>
        </w:tc>
        <w:tc>
          <w:tcPr>
            <w:tcW w:w="200" w:type="pct"/>
            <w:tcBorders>
              <w:top w:val="nil"/>
              <w:left w:val="nil"/>
              <w:bottom w:val="single" w:sz="4" w:space="0" w:color="auto"/>
              <w:right w:val="single" w:sz="4" w:space="0" w:color="auto"/>
            </w:tcBorders>
            <w:shd w:val="clear" w:color="000000" w:fill="FDE9D9"/>
            <w:vAlign w:val="center"/>
            <w:hideMark/>
          </w:tcPr>
          <w:p w14:paraId="268392C6" w14:textId="5F609FF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2,665,672</w:t>
            </w:r>
          </w:p>
        </w:tc>
        <w:tc>
          <w:tcPr>
            <w:tcW w:w="197" w:type="pct"/>
            <w:tcBorders>
              <w:top w:val="nil"/>
              <w:left w:val="nil"/>
              <w:bottom w:val="single" w:sz="4" w:space="0" w:color="auto"/>
              <w:right w:val="single" w:sz="4" w:space="0" w:color="auto"/>
            </w:tcBorders>
            <w:shd w:val="clear" w:color="000000" w:fill="FDE9D9"/>
            <w:vAlign w:val="center"/>
            <w:hideMark/>
          </w:tcPr>
          <w:p w14:paraId="20A27492" w14:textId="6B8DB28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10,938</w:t>
            </w:r>
          </w:p>
        </w:tc>
        <w:tc>
          <w:tcPr>
            <w:tcW w:w="342" w:type="pct"/>
            <w:tcBorders>
              <w:top w:val="nil"/>
              <w:left w:val="nil"/>
              <w:bottom w:val="single" w:sz="4" w:space="0" w:color="auto"/>
              <w:right w:val="single" w:sz="8" w:space="0" w:color="auto"/>
            </w:tcBorders>
            <w:shd w:val="clear" w:color="000000" w:fill="FDE9D9"/>
            <w:vAlign w:val="center"/>
            <w:hideMark/>
          </w:tcPr>
          <w:p w14:paraId="135ED930" w14:textId="1ED7C3C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208,191</w:t>
            </w:r>
          </w:p>
        </w:tc>
      </w:tr>
      <w:tr w:rsidR="00387E5A" w:rsidRPr="00024D5A" w14:paraId="699FD049"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07D538D9" w14:textId="2534C2F8"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Masa prioritare 4.1</w:t>
            </w:r>
            <w:r w:rsidR="003526AF">
              <w:rPr>
                <w:rFonts w:ascii="Garamond" w:eastAsia="Times New Roman" w:hAnsi="Garamond" w:cs="Calibri"/>
                <w:b/>
                <w:bCs/>
                <w:sz w:val="6"/>
                <w:szCs w:val="6"/>
                <w:lang w:eastAsia="en-US"/>
              </w:rPr>
              <w:t xml:space="preserve">: </w:t>
            </w:r>
            <w:r w:rsidRPr="00024D5A">
              <w:rPr>
                <w:rFonts w:ascii="Garamond" w:eastAsia="Times New Roman" w:hAnsi="Garamond" w:cs="Calibri"/>
                <w:b/>
                <w:bCs/>
                <w:sz w:val="6"/>
                <w:szCs w:val="6"/>
                <w:lang w:eastAsia="en-US"/>
              </w:rPr>
              <w:t>Garantimi i aksesueshmërisë dhe përshtatjes së shërbimeve, mekanizmave të referimit dhe procedurave për gratë dhe vajzat me aftësi të kufizuara, viktima të dhunës.</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19F28E96"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2026</w:t>
            </w:r>
          </w:p>
        </w:tc>
        <w:tc>
          <w:tcPr>
            <w:tcW w:w="226" w:type="pct"/>
            <w:tcBorders>
              <w:top w:val="nil"/>
              <w:left w:val="nil"/>
              <w:bottom w:val="single" w:sz="4" w:space="0" w:color="auto"/>
              <w:right w:val="single" w:sz="4" w:space="0" w:color="auto"/>
            </w:tcBorders>
            <w:shd w:val="clear" w:color="000000" w:fill="DCE6F1"/>
            <w:vAlign w:val="center"/>
            <w:hideMark/>
          </w:tcPr>
          <w:p w14:paraId="0954DB59"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176FAA6B"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w:t>
            </w:r>
          </w:p>
        </w:tc>
        <w:tc>
          <w:tcPr>
            <w:tcW w:w="792" w:type="pct"/>
            <w:tcBorders>
              <w:top w:val="nil"/>
              <w:left w:val="nil"/>
              <w:bottom w:val="single" w:sz="4" w:space="0" w:color="auto"/>
              <w:right w:val="single" w:sz="8" w:space="0" w:color="auto"/>
            </w:tcBorders>
            <w:shd w:val="clear" w:color="000000" w:fill="DCE6F1"/>
            <w:vAlign w:val="center"/>
            <w:hideMark/>
          </w:tcPr>
          <w:p w14:paraId="31E9907B" w14:textId="567E247F" w:rsidR="00DE4FCB" w:rsidRPr="00024D5A" w:rsidRDefault="00DE4FCB" w:rsidP="00387E5A">
            <w:pPr>
              <w:jc w:val="center"/>
              <w:rPr>
                <w:rFonts w:ascii="Garamond" w:eastAsia="Times New Roman" w:hAnsi="Garamond" w:cs="Calibri"/>
                <w:sz w:val="6"/>
                <w:szCs w:val="6"/>
                <w:lang w:eastAsia="en-US"/>
              </w:rPr>
            </w:pPr>
          </w:p>
        </w:tc>
        <w:tc>
          <w:tcPr>
            <w:tcW w:w="188" w:type="pct"/>
            <w:tcBorders>
              <w:top w:val="nil"/>
              <w:left w:val="nil"/>
              <w:bottom w:val="single" w:sz="4" w:space="0" w:color="auto"/>
              <w:right w:val="single" w:sz="4" w:space="0" w:color="auto"/>
            </w:tcBorders>
            <w:shd w:val="clear" w:color="000000" w:fill="DCE6F1"/>
            <w:vAlign w:val="center"/>
            <w:hideMark/>
          </w:tcPr>
          <w:p w14:paraId="68588EB4" w14:textId="18F330A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1,173</w:t>
            </w:r>
          </w:p>
        </w:tc>
        <w:tc>
          <w:tcPr>
            <w:tcW w:w="190" w:type="pct"/>
            <w:tcBorders>
              <w:top w:val="nil"/>
              <w:left w:val="nil"/>
              <w:bottom w:val="single" w:sz="4" w:space="0" w:color="auto"/>
              <w:right w:val="single" w:sz="4" w:space="0" w:color="auto"/>
            </w:tcBorders>
            <w:shd w:val="clear" w:color="000000" w:fill="DCE6F1"/>
            <w:vAlign w:val="center"/>
            <w:hideMark/>
          </w:tcPr>
          <w:p w14:paraId="28678F4C" w14:textId="1619806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3,343</w:t>
            </w:r>
          </w:p>
        </w:tc>
        <w:tc>
          <w:tcPr>
            <w:tcW w:w="190" w:type="pct"/>
            <w:tcBorders>
              <w:top w:val="nil"/>
              <w:left w:val="nil"/>
              <w:bottom w:val="single" w:sz="4" w:space="0" w:color="auto"/>
              <w:right w:val="single" w:sz="4" w:space="0" w:color="auto"/>
            </w:tcBorders>
            <w:shd w:val="clear" w:color="000000" w:fill="DCE6F1"/>
            <w:vAlign w:val="center"/>
            <w:hideMark/>
          </w:tcPr>
          <w:p w14:paraId="27F10C69" w14:textId="6603737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1,173</w:t>
            </w:r>
          </w:p>
        </w:tc>
        <w:tc>
          <w:tcPr>
            <w:tcW w:w="190" w:type="pct"/>
            <w:tcBorders>
              <w:top w:val="nil"/>
              <w:left w:val="nil"/>
              <w:bottom w:val="single" w:sz="4" w:space="0" w:color="auto"/>
              <w:right w:val="single" w:sz="4" w:space="0" w:color="auto"/>
            </w:tcBorders>
            <w:shd w:val="clear" w:color="000000" w:fill="DCE6F1"/>
            <w:vAlign w:val="center"/>
            <w:hideMark/>
          </w:tcPr>
          <w:p w14:paraId="6575DBA7" w14:textId="14C5F1E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87" w:type="pct"/>
            <w:tcBorders>
              <w:top w:val="nil"/>
              <w:left w:val="nil"/>
              <w:bottom w:val="single" w:sz="4" w:space="0" w:color="auto"/>
              <w:right w:val="single" w:sz="4" w:space="0" w:color="auto"/>
            </w:tcBorders>
            <w:shd w:val="clear" w:color="000000" w:fill="DCE6F1"/>
            <w:vAlign w:val="center"/>
            <w:hideMark/>
          </w:tcPr>
          <w:p w14:paraId="757888C1" w14:textId="3774DB6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4,516</w:t>
            </w:r>
          </w:p>
        </w:tc>
        <w:tc>
          <w:tcPr>
            <w:tcW w:w="200" w:type="pct"/>
            <w:tcBorders>
              <w:top w:val="nil"/>
              <w:left w:val="nil"/>
              <w:bottom w:val="single" w:sz="4" w:space="0" w:color="auto"/>
              <w:right w:val="nil"/>
            </w:tcBorders>
            <w:shd w:val="clear" w:color="000000" w:fill="DCE6F1"/>
            <w:vAlign w:val="center"/>
            <w:hideMark/>
          </w:tcPr>
          <w:p w14:paraId="2C235451" w14:textId="05FFD13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10,205</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6266792C" w14:textId="11122FE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1,105</w:t>
            </w:r>
          </w:p>
        </w:tc>
        <w:tc>
          <w:tcPr>
            <w:tcW w:w="209" w:type="pct"/>
            <w:tcBorders>
              <w:top w:val="nil"/>
              <w:left w:val="nil"/>
              <w:bottom w:val="single" w:sz="4" w:space="0" w:color="auto"/>
              <w:right w:val="single" w:sz="4" w:space="0" w:color="auto"/>
            </w:tcBorders>
            <w:shd w:val="clear" w:color="000000" w:fill="DCE6F1"/>
            <w:vAlign w:val="center"/>
            <w:hideMark/>
          </w:tcPr>
          <w:p w14:paraId="10436D58" w14:textId="4C28756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1,050</w:t>
            </w:r>
          </w:p>
        </w:tc>
        <w:tc>
          <w:tcPr>
            <w:tcW w:w="195" w:type="pct"/>
            <w:tcBorders>
              <w:top w:val="nil"/>
              <w:left w:val="nil"/>
              <w:bottom w:val="single" w:sz="4" w:space="0" w:color="auto"/>
              <w:right w:val="single" w:sz="8" w:space="0" w:color="auto"/>
            </w:tcBorders>
            <w:shd w:val="clear" w:color="000000" w:fill="DCE6F1"/>
            <w:vAlign w:val="center"/>
            <w:hideMark/>
          </w:tcPr>
          <w:p w14:paraId="05C69314" w14:textId="4AB7D88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8,050</w:t>
            </w:r>
          </w:p>
        </w:tc>
        <w:tc>
          <w:tcPr>
            <w:tcW w:w="202" w:type="pct"/>
            <w:tcBorders>
              <w:top w:val="nil"/>
              <w:left w:val="nil"/>
              <w:bottom w:val="single" w:sz="4" w:space="0" w:color="auto"/>
              <w:right w:val="single" w:sz="4" w:space="0" w:color="auto"/>
            </w:tcBorders>
            <w:shd w:val="clear" w:color="000000" w:fill="DCE6F1"/>
            <w:vAlign w:val="center"/>
            <w:hideMark/>
          </w:tcPr>
          <w:p w14:paraId="2E050C08" w14:textId="780DA0B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106,297</w:t>
            </w:r>
          </w:p>
        </w:tc>
        <w:tc>
          <w:tcPr>
            <w:tcW w:w="200" w:type="pct"/>
            <w:tcBorders>
              <w:top w:val="nil"/>
              <w:left w:val="nil"/>
              <w:bottom w:val="single" w:sz="4" w:space="0" w:color="auto"/>
              <w:right w:val="single" w:sz="4" w:space="0" w:color="auto"/>
            </w:tcBorders>
            <w:shd w:val="clear" w:color="000000" w:fill="DCE6F1"/>
            <w:vAlign w:val="center"/>
            <w:hideMark/>
          </w:tcPr>
          <w:p w14:paraId="12AB575D" w14:textId="55DD55F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11,506</w:t>
            </w:r>
          </w:p>
        </w:tc>
        <w:tc>
          <w:tcPr>
            <w:tcW w:w="197" w:type="pct"/>
            <w:tcBorders>
              <w:top w:val="nil"/>
              <w:left w:val="nil"/>
              <w:bottom w:val="single" w:sz="4" w:space="0" w:color="auto"/>
              <w:right w:val="single" w:sz="4" w:space="0" w:color="auto"/>
            </w:tcBorders>
            <w:shd w:val="clear" w:color="000000" w:fill="DCE6F1"/>
            <w:vAlign w:val="center"/>
            <w:hideMark/>
          </w:tcPr>
          <w:p w14:paraId="52435710" w14:textId="42CD4EA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10,938</w:t>
            </w:r>
          </w:p>
        </w:tc>
        <w:tc>
          <w:tcPr>
            <w:tcW w:w="342" w:type="pct"/>
            <w:tcBorders>
              <w:top w:val="nil"/>
              <w:left w:val="nil"/>
              <w:bottom w:val="single" w:sz="4" w:space="0" w:color="auto"/>
              <w:right w:val="single" w:sz="8" w:space="0" w:color="auto"/>
            </w:tcBorders>
            <w:shd w:val="clear" w:color="000000" w:fill="DCE6F1"/>
            <w:vAlign w:val="center"/>
            <w:hideMark/>
          </w:tcPr>
          <w:p w14:paraId="7C6FD734" w14:textId="52CA9E4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83,854</w:t>
            </w:r>
          </w:p>
        </w:tc>
      </w:tr>
      <w:tr w:rsidR="00387E5A" w:rsidRPr="00024D5A" w14:paraId="4F51ED27"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33067E07" w14:textId="045EF735"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Masa prioritare 4.2</w:t>
            </w:r>
            <w:r w:rsidR="003526AF">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Parandalimi i dhunës ndaj grave dhe vajzave me aftësi të kufizuara në familje dhe komunitet, përmes rritjes së ndërgjegjësimit të familjarëve, kujdestarëve dhe komunitetit, si dhe forcimit të mekanizmave të raportimit të bazuara në evidencë, mbrojtjes dhe ndërhyrjes së hershme.</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1B1D8F8A"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2026</w:t>
            </w:r>
          </w:p>
        </w:tc>
        <w:tc>
          <w:tcPr>
            <w:tcW w:w="226" w:type="pct"/>
            <w:tcBorders>
              <w:top w:val="nil"/>
              <w:left w:val="nil"/>
              <w:bottom w:val="single" w:sz="4" w:space="0" w:color="auto"/>
              <w:right w:val="single" w:sz="4" w:space="0" w:color="auto"/>
            </w:tcBorders>
            <w:shd w:val="clear" w:color="000000" w:fill="DCE6F1"/>
            <w:vAlign w:val="center"/>
            <w:hideMark/>
          </w:tcPr>
          <w:p w14:paraId="58184F10"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379DFFEA"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w:t>
            </w:r>
          </w:p>
        </w:tc>
        <w:tc>
          <w:tcPr>
            <w:tcW w:w="792" w:type="pct"/>
            <w:tcBorders>
              <w:top w:val="nil"/>
              <w:left w:val="nil"/>
              <w:bottom w:val="single" w:sz="4" w:space="0" w:color="auto"/>
              <w:right w:val="single" w:sz="8" w:space="0" w:color="auto"/>
            </w:tcBorders>
            <w:shd w:val="clear" w:color="000000" w:fill="DCE6F1"/>
            <w:vAlign w:val="center"/>
            <w:hideMark/>
          </w:tcPr>
          <w:p w14:paraId="436F8B73" w14:textId="42270739" w:rsidR="00DE4FCB" w:rsidRPr="00024D5A" w:rsidRDefault="00DE4FCB" w:rsidP="00387E5A">
            <w:pPr>
              <w:jc w:val="center"/>
              <w:rPr>
                <w:rFonts w:ascii="Garamond" w:eastAsia="Times New Roman" w:hAnsi="Garamond" w:cs="Calibri"/>
                <w:sz w:val="6"/>
                <w:szCs w:val="6"/>
                <w:lang w:eastAsia="en-US"/>
              </w:rPr>
            </w:pPr>
          </w:p>
        </w:tc>
        <w:tc>
          <w:tcPr>
            <w:tcW w:w="188" w:type="pct"/>
            <w:tcBorders>
              <w:top w:val="nil"/>
              <w:left w:val="nil"/>
              <w:bottom w:val="single" w:sz="4" w:space="0" w:color="auto"/>
              <w:right w:val="single" w:sz="4" w:space="0" w:color="auto"/>
            </w:tcBorders>
            <w:shd w:val="clear" w:color="000000" w:fill="DCE6F1"/>
            <w:vAlign w:val="center"/>
            <w:hideMark/>
          </w:tcPr>
          <w:p w14:paraId="294593A5" w14:textId="18F05B2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2,000</w:t>
            </w:r>
          </w:p>
        </w:tc>
        <w:tc>
          <w:tcPr>
            <w:tcW w:w="190" w:type="pct"/>
            <w:tcBorders>
              <w:top w:val="nil"/>
              <w:left w:val="nil"/>
              <w:bottom w:val="single" w:sz="4" w:space="0" w:color="auto"/>
              <w:right w:val="single" w:sz="4" w:space="0" w:color="auto"/>
            </w:tcBorders>
            <w:shd w:val="clear" w:color="000000" w:fill="DCE6F1"/>
            <w:vAlign w:val="center"/>
            <w:hideMark/>
          </w:tcPr>
          <w:p w14:paraId="6D3DE4C0" w14:textId="0959F03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4,100</w:t>
            </w:r>
          </w:p>
        </w:tc>
        <w:tc>
          <w:tcPr>
            <w:tcW w:w="190" w:type="pct"/>
            <w:tcBorders>
              <w:top w:val="nil"/>
              <w:left w:val="nil"/>
              <w:bottom w:val="single" w:sz="4" w:space="0" w:color="auto"/>
              <w:right w:val="single" w:sz="4" w:space="0" w:color="auto"/>
            </w:tcBorders>
            <w:shd w:val="clear" w:color="000000" w:fill="DCE6F1"/>
            <w:vAlign w:val="center"/>
            <w:hideMark/>
          </w:tcPr>
          <w:p w14:paraId="7A7D8259" w14:textId="753D6C6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3,900</w:t>
            </w:r>
          </w:p>
        </w:tc>
        <w:tc>
          <w:tcPr>
            <w:tcW w:w="190" w:type="pct"/>
            <w:tcBorders>
              <w:top w:val="nil"/>
              <w:left w:val="nil"/>
              <w:bottom w:val="single" w:sz="4" w:space="0" w:color="auto"/>
              <w:right w:val="single" w:sz="4" w:space="0" w:color="auto"/>
            </w:tcBorders>
            <w:shd w:val="clear" w:color="000000" w:fill="DCE6F1"/>
            <w:vAlign w:val="center"/>
            <w:hideMark/>
          </w:tcPr>
          <w:p w14:paraId="3BFE800D" w14:textId="4E40FF5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3,900</w:t>
            </w:r>
          </w:p>
        </w:tc>
        <w:tc>
          <w:tcPr>
            <w:tcW w:w="187" w:type="pct"/>
            <w:tcBorders>
              <w:top w:val="nil"/>
              <w:left w:val="nil"/>
              <w:bottom w:val="single" w:sz="4" w:space="0" w:color="auto"/>
              <w:right w:val="single" w:sz="4" w:space="0" w:color="auto"/>
            </w:tcBorders>
            <w:shd w:val="clear" w:color="000000" w:fill="DCE6F1"/>
            <w:vAlign w:val="center"/>
            <w:hideMark/>
          </w:tcPr>
          <w:p w14:paraId="2D8345F8" w14:textId="0965FE1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3,900</w:t>
            </w:r>
          </w:p>
        </w:tc>
        <w:tc>
          <w:tcPr>
            <w:tcW w:w="200" w:type="pct"/>
            <w:tcBorders>
              <w:top w:val="nil"/>
              <w:left w:val="nil"/>
              <w:bottom w:val="single" w:sz="4" w:space="0" w:color="auto"/>
              <w:right w:val="nil"/>
            </w:tcBorders>
            <w:shd w:val="clear" w:color="000000" w:fill="DCE6F1"/>
            <w:vAlign w:val="center"/>
            <w:hideMark/>
          </w:tcPr>
          <w:p w14:paraId="20200D5E" w14:textId="0ACE3AB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17,800</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08AD9390" w14:textId="1C9BF52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14,800</w:t>
            </w:r>
          </w:p>
        </w:tc>
        <w:tc>
          <w:tcPr>
            <w:tcW w:w="209" w:type="pct"/>
            <w:tcBorders>
              <w:top w:val="nil"/>
              <w:left w:val="nil"/>
              <w:bottom w:val="single" w:sz="4" w:space="0" w:color="auto"/>
              <w:right w:val="single" w:sz="4" w:space="0" w:color="auto"/>
            </w:tcBorders>
            <w:shd w:val="clear" w:color="000000" w:fill="DCE6F1"/>
            <w:vAlign w:val="center"/>
            <w:hideMark/>
          </w:tcPr>
          <w:p w14:paraId="0602A893" w14:textId="23ED30F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5" w:type="pct"/>
            <w:tcBorders>
              <w:top w:val="nil"/>
              <w:left w:val="nil"/>
              <w:bottom w:val="single" w:sz="4" w:space="0" w:color="auto"/>
              <w:right w:val="single" w:sz="8" w:space="0" w:color="auto"/>
            </w:tcBorders>
            <w:shd w:val="clear" w:color="000000" w:fill="DCE6F1"/>
            <w:vAlign w:val="center"/>
            <w:hideMark/>
          </w:tcPr>
          <w:p w14:paraId="2F09B7CA" w14:textId="6CD0DF0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3,000</w:t>
            </w:r>
          </w:p>
        </w:tc>
        <w:tc>
          <w:tcPr>
            <w:tcW w:w="202" w:type="pct"/>
            <w:tcBorders>
              <w:top w:val="nil"/>
              <w:left w:val="nil"/>
              <w:bottom w:val="single" w:sz="4" w:space="0" w:color="auto"/>
              <w:right w:val="single" w:sz="4" w:space="0" w:color="auto"/>
            </w:tcBorders>
            <w:shd w:val="clear" w:color="000000" w:fill="DCE6F1"/>
            <w:vAlign w:val="center"/>
            <w:hideMark/>
          </w:tcPr>
          <w:p w14:paraId="22DC968D" w14:textId="1FE3CFC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185,417</w:t>
            </w:r>
          </w:p>
        </w:tc>
        <w:tc>
          <w:tcPr>
            <w:tcW w:w="200" w:type="pct"/>
            <w:tcBorders>
              <w:top w:val="nil"/>
              <w:left w:val="nil"/>
              <w:bottom w:val="single" w:sz="4" w:space="0" w:color="auto"/>
              <w:right w:val="single" w:sz="4" w:space="0" w:color="auto"/>
            </w:tcBorders>
            <w:shd w:val="clear" w:color="000000" w:fill="DCE6F1"/>
            <w:vAlign w:val="center"/>
            <w:hideMark/>
          </w:tcPr>
          <w:p w14:paraId="038874B8" w14:textId="6330915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154,167</w:t>
            </w:r>
          </w:p>
        </w:tc>
        <w:tc>
          <w:tcPr>
            <w:tcW w:w="197" w:type="pct"/>
            <w:tcBorders>
              <w:top w:val="nil"/>
              <w:left w:val="nil"/>
              <w:bottom w:val="single" w:sz="4" w:space="0" w:color="auto"/>
              <w:right w:val="single" w:sz="4" w:space="0" w:color="auto"/>
            </w:tcBorders>
            <w:shd w:val="clear" w:color="000000" w:fill="DCE6F1"/>
            <w:vAlign w:val="center"/>
            <w:hideMark/>
          </w:tcPr>
          <w:p w14:paraId="24F273FD" w14:textId="4EB58A8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single" w:sz="8" w:space="0" w:color="auto"/>
            </w:tcBorders>
            <w:shd w:val="clear" w:color="000000" w:fill="DCE6F1"/>
            <w:vAlign w:val="center"/>
            <w:hideMark/>
          </w:tcPr>
          <w:p w14:paraId="04586CC8" w14:textId="57CAAE1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31,250</w:t>
            </w:r>
          </w:p>
        </w:tc>
      </w:tr>
      <w:tr w:rsidR="00387E5A" w:rsidRPr="00024D5A" w14:paraId="48363B7D"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1503C95D" w14:textId="55223150"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Masa prioritare 4.3</w:t>
            </w:r>
            <w:r w:rsidR="003526AF">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Mundësimi i një qasjeje të plotë, të informuar dhe padiskriminim në shërbime të shëndetit seksual dhe riprodhues, duke respektuar autonominë dhe të drejtat riprodhuese të grave me aftësi të kufizuara.</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4D50A03E"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2026</w:t>
            </w:r>
          </w:p>
        </w:tc>
        <w:tc>
          <w:tcPr>
            <w:tcW w:w="226" w:type="pct"/>
            <w:tcBorders>
              <w:top w:val="nil"/>
              <w:left w:val="nil"/>
              <w:bottom w:val="single" w:sz="4" w:space="0" w:color="auto"/>
              <w:right w:val="single" w:sz="4" w:space="0" w:color="auto"/>
            </w:tcBorders>
            <w:shd w:val="clear" w:color="000000" w:fill="DCE6F1"/>
            <w:vAlign w:val="center"/>
            <w:hideMark/>
          </w:tcPr>
          <w:p w14:paraId="292051DA"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57F0DE2D"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w:t>
            </w:r>
          </w:p>
        </w:tc>
        <w:tc>
          <w:tcPr>
            <w:tcW w:w="792" w:type="pct"/>
            <w:tcBorders>
              <w:top w:val="nil"/>
              <w:left w:val="nil"/>
              <w:bottom w:val="single" w:sz="4" w:space="0" w:color="auto"/>
              <w:right w:val="single" w:sz="8" w:space="0" w:color="auto"/>
            </w:tcBorders>
            <w:shd w:val="clear" w:color="000000" w:fill="DCE6F1"/>
            <w:vAlign w:val="center"/>
            <w:hideMark/>
          </w:tcPr>
          <w:p w14:paraId="4E885736"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MSHMS/ISHP/OSHKSH</w:t>
            </w:r>
          </w:p>
        </w:tc>
        <w:tc>
          <w:tcPr>
            <w:tcW w:w="188" w:type="pct"/>
            <w:tcBorders>
              <w:top w:val="nil"/>
              <w:left w:val="nil"/>
              <w:bottom w:val="single" w:sz="4" w:space="0" w:color="auto"/>
              <w:right w:val="single" w:sz="4" w:space="0" w:color="auto"/>
            </w:tcBorders>
            <w:shd w:val="clear" w:color="000000" w:fill="DCE6F1"/>
            <w:vAlign w:val="center"/>
            <w:hideMark/>
          </w:tcPr>
          <w:p w14:paraId="5F869DEA" w14:textId="27B6CE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0" w:type="pct"/>
            <w:tcBorders>
              <w:top w:val="nil"/>
              <w:left w:val="nil"/>
              <w:bottom w:val="single" w:sz="4" w:space="0" w:color="auto"/>
              <w:right w:val="single" w:sz="4" w:space="0" w:color="auto"/>
            </w:tcBorders>
            <w:shd w:val="clear" w:color="000000" w:fill="DCE6F1"/>
            <w:vAlign w:val="center"/>
            <w:hideMark/>
          </w:tcPr>
          <w:p w14:paraId="4A64F80B" w14:textId="57AD8DA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121,000</w:t>
            </w:r>
          </w:p>
        </w:tc>
        <w:tc>
          <w:tcPr>
            <w:tcW w:w="190" w:type="pct"/>
            <w:tcBorders>
              <w:top w:val="nil"/>
              <w:left w:val="nil"/>
              <w:bottom w:val="single" w:sz="4" w:space="0" w:color="auto"/>
              <w:right w:val="single" w:sz="4" w:space="0" w:color="auto"/>
            </w:tcBorders>
            <w:shd w:val="clear" w:color="000000" w:fill="DCE6F1"/>
            <w:vAlign w:val="center"/>
            <w:hideMark/>
          </w:tcPr>
          <w:p w14:paraId="1E8C9644" w14:textId="442BAEA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2,645</w:t>
            </w:r>
          </w:p>
        </w:tc>
        <w:tc>
          <w:tcPr>
            <w:tcW w:w="190" w:type="pct"/>
            <w:tcBorders>
              <w:top w:val="nil"/>
              <w:left w:val="nil"/>
              <w:bottom w:val="single" w:sz="4" w:space="0" w:color="auto"/>
              <w:right w:val="single" w:sz="4" w:space="0" w:color="auto"/>
            </w:tcBorders>
            <w:shd w:val="clear" w:color="000000" w:fill="DCE6F1"/>
            <w:vAlign w:val="center"/>
            <w:hideMark/>
          </w:tcPr>
          <w:p w14:paraId="126D6122" w14:textId="0C4BF95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2,645</w:t>
            </w:r>
          </w:p>
        </w:tc>
        <w:tc>
          <w:tcPr>
            <w:tcW w:w="187" w:type="pct"/>
            <w:tcBorders>
              <w:top w:val="nil"/>
              <w:left w:val="nil"/>
              <w:bottom w:val="single" w:sz="4" w:space="0" w:color="auto"/>
              <w:right w:val="single" w:sz="4" w:space="0" w:color="auto"/>
            </w:tcBorders>
            <w:shd w:val="clear" w:color="000000" w:fill="DCE6F1"/>
            <w:vAlign w:val="center"/>
            <w:hideMark/>
          </w:tcPr>
          <w:p w14:paraId="09341232" w14:textId="61AFFB6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122,645</w:t>
            </w:r>
          </w:p>
        </w:tc>
        <w:tc>
          <w:tcPr>
            <w:tcW w:w="200" w:type="pct"/>
            <w:tcBorders>
              <w:top w:val="nil"/>
              <w:left w:val="nil"/>
              <w:bottom w:val="single" w:sz="4" w:space="0" w:color="auto"/>
              <w:right w:val="nil"/>
            </w:tcBorders>
            <w:shd w:val="clear" w:color="000000" w:fill="DCE6F1"/>
            <w:vAlign w:val="center"/>
            <w:hideMark/>
          </w:tcPr>
          <w:p w14:paraId="2DAACE86" w14:textId="1F91089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248,936</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0CC1B3AA" w14:textId="2FF3FBF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240,000</w:t>
            </w:r>
          </w:p>
        </w:tc>
        <w:tc>
          <w:tcPr>
            <w:tcW w:w="209" w:type="pct"/>
            <w:tcBorders>
              <w:top w:val="nil"/>
              <w:left w:val="nil"/>
              <w:bottom w:val="single" w:sz="4" w:space="0" w:color="auto"/>
              <w:right w:val="single" w:sz="4" w:space="0" w:color="auto"/>
            </w:tcBorders>
            <w:shd w:val="clear" w:color="000000" w:fill="DCE6F1"/>
            <w:vAlign w:val="center"/>
            <w:hideMark/>
          </w:tcPr>
          <w:p w14:paraId="7E163115" w14:textId="11C49D6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5" w:type="pct"/>
            <w:tcBorders>
              <w:top w:val="nil"/>
              <w:left w:val="nil"/>
              <w:bottom w:val="single" w:sz="4" w:space="0" w:color="auto"/>
              <w:right w:val="single" w:sz="8" w:space="0" w:color="auto"/>
            </w:tcBorders>
            <w:shd w:val="clear" w:color="000000" w:fill="DCE6F1"/>
            <w:vAlign w:val="center"/>
            <w:hideMark/>
          </w:tcPr>
          <w:p w14:paraId="3465F8E7" w14:textId="74C3AFA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8,936</w:t>
            </w:r>
          </w:p>
        </w:tc>
        <w:tc>
          <w:tcPr>
            <w:tcW w:w="202" w:type="pct"/>
            <w:tcBorders>
              <w:top w:val="nil"/>
              <w:left w:val="nil"/>
              <w:bottom w:val="single" w:sz="4" w:space="0" w:color="auto"/>
              <w:right w:val="single" w:sz="4" w:space="0" w:color="auto"/>
            </w:tcBorders>
            <w:shd w:val="clear" w:color="000000" w:fill="DCE6F1"/>
            <w:vAlign w:val="center"/>
            <w:hideMark/>
          </w:tcPr>
          <w:p w14:paraId="470A7C93" w14:textId="35C1CB0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2,593,087</w:t>
            </w:r>
          </w:p>
        </w:tc>
        <w:tc>
          <w:tcPr>
            <w:tcW w:w="200" w:type="pct"/>
            <w:tcBorders>
              <w:top w:val="nil"/>
              <w:left w:val="nil"/>
              <w:bottom w:val="single" w:sz="4" w:space="0" w:color="auto"/>
              <w:right w:val="single" w:sz="4" w:space="0" w:color="auto"/>
            </w:tcBorders>
            <w:shd w:val="clear" w:color="000000" w:fill="DCE6F1"/>
            <w:vAlign w:val="center"/>
            <w:hideMark/>
          </w:tcPr>
          <w:p w14:paraId="7859F841" w14:textId="1A2E1B8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2,500,000</w:t>
            </w:r>
          </w:p>
        </w:tc>
        <w:tc>
          <w:tcPr>
            <w:tcW w:w="197" w:type="pct"/>
            <w:tcBorders>
              <w:top w:val="nil"/>
              <w:left w:val="nil"/>
              <w:bottom w:val="single" w:sz="4" w:space="0" w:color="auto"/>
              <w:right w:val="single" w:sz="4" w:space="0" w:color="auto"/>
            </w:tcBorders>
            <w:shd w:val="clear" w:color="000000" w:fill="DCE6F1"/>
            <w:vAlign w:val="center"/>
            <w:hideMark/>
          </w:tcPr>
          <w:p w14:paraId="2E95C230" w14:textId="42944DE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single" w:sz="8" w:space="0" w:color="auto"/>
            </w:tcBorders>
            <w:shd w:val="clear" w:color="000000" w:fill="DCE6F1"/>
            <w:vAlign w:val="center"/>
            <w:hideMark/>
          </w:tcPr>
          <w:p w14:paraId="4247668E" w14:textId="3C25221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93,087</w:t>
            </w:r>
          </w:p>
        </w:tc>
      </w:tr>
      <w:tr w:rsidR="00387E5A" w:rsidRPr="00024D5A" w14:paraId="69D2A587" w14:textId="77777777" w:rsidTr="00387E5A">
        <w:trPr>
          <w:trHeight w:val="20"/>
        </w:trPr>
        <w:tc>
          <w:tcPr>
            <w:tcW w:w="375" w:type="pct"/>
            <w:tcBorders>
              <w:top w:val="nil"/>
              <w:left w:val="single" w:sz="4" w:space="0" w:color="auto"/>
              <w:bottom w:val="single" w:sz="4" w:space="0" w:color="auto"/>
              <w:right w:val="nil"/>
            </w:tcBorders>
            <w:shd w:val="clear" w:color="000000" w:fill="FDE9D9"/>
            <w:vAlign w:val="center"/>
            <w:hideMark/>
          </w:tcPr>
          <w:p w14:paraId="63950572" w14:textId="4A126EAA"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Objektivi 5</w:t>
            </w:r>
            <w:r w:rsidR="003526AF">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Fëmijët me aftësi të kufizuara gëzojnë plotësisht të drejtat dhe liritë e tyre themelore në baza të barabarta me fëmijët e tjerë, duke pasur gjithmonë parasysh interesin më të lartë të tyre, me fokus mbështetjen e </w:t>
            </w:r>
            <w:r w:rsidR="003A7AC6" w:rsidRPr="00024D5A">
              <w:rPr>
                <w:rFonts w:ascii="Garamond" w:eastAsia="Times New Roman" w:hAnsi="Garamond" w:cs="Calibri"/>
                <w:b/>
                <w:bCs/>
                <w:sz w:val="6"/>
                <w:szCs w:val="6"/>
                <w:lang w:eastAsia="en-US"/>
              </w:rPr>
              <w:t>përshtatshme</w:t>
            </w:r>
            <w:r w:rsidRPr="00024D5A">
              <w:rPr>
                <w:rFonts w:ascii="Garamond" w:eastAsia="Times New Roman" w:hAnsi="Garamond" w:cs="Calibri"/>
                <w:b/>
                <w:bCs/>
                <w:sz w:val="6"/>
                <w:szCs w:val="6"/>
                <w:lang w:eastAsia="en-US"/>
              </w:rPr>
              <w:t xml:space="preserve"> sipas moshës dhe nevojave individuale.</w:t>
            </w:r>
          </w:p>
        </w:tc>
        <w:tc>
          <w:tcPr>
            <w:tcW w:w="244" w:type="pct"/>
            <w:tcBorders>
              <w:top w:val="nil"/>
              <w:left w:val="single" w:sz="8" w:space="0" w:color="auto"/>
              <w:bottom w:val="single" w:sz="4" w:space="0" w:color="auto"/>
              <w:right w:val="single" w:sz="4" w:space="0" w:color="auto"/>
            </w:tcBorders>
            <w:shd w:val="clear" w:color="000000" w:fill="FDE9D9"/>
            <w:vAlign w:val="center"/>
            <w:hideMark/>
          </w:tcPr>
          <w:p w14:paraId="66FEDADA"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0</w:t>
            </w:r>
          </w:p>
        </w:tc>
        <w:tc>
          <w:tcPr>
            <w:tcW w:w="226" w:type="pct"/>
            <w:tcBorders>
              <w:top w:val="nil"/>
              <w:left w:val="nil"/>
              <w:bottom w:val="single" w:sz="4" w:space="0" w:color="auto"/>
              <w:right w:val="single" w:sz="4" w:space="0" w:color="auto"/>
            </w:tcBorders>
            <w:shd w:val="clear" w:color="000000" w:fill="FDE9D9"/>
            <w:vAlign w:val="center"/>
            <w:hideMark/>
          </w:tcPr>
          <w:p w14:paraId="5A1EC160"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2030</w:t>
            </w:r>
          </w:p>
        </w:tc>
        <w:tc>
          <w:tcPr>
            <w:tcW w:w="664" w:type="pct"/>
            <w:tcBorders>
              <w:top w:val="nil"/>
              <w:left w:val="nil"/>
              <w:bottom w:val="single" w:sz="4" w:space="0" w:color="auto"/>
              <w:right w:val="single" w:sz="4" w:space="0" w:color="auto"/>
            </w:tcBorders>
            <w:shd w:val="clear" w:color="000000" w:fill="FDE9D9"/>
            <w:vAlign w:val="center"/>
            <w:hideMark/>
          </w:tcPr>
          <w:p w14:paraId="68ED5418"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AKMDF</w:t>
            </w:r>
          </w:p>
        </w:tc>
        <w:tc>
          <w:tcPr>
            <w:tcW w:w="792" w:type="pct"/>
            <w:tcBorders>
              <w:top w:val="nil"/>
              <w:left w:val="nil"/>
              <w:bottom w:val="single" w:sz="4" w:space="0" w:color="auto"/>
              <w:right w:val="single" w:sz="8" w:space="0" w:color="auto"/>
            </w:tcBorders>
            <w:shd w:val="clear" w:color="000000" w:fill="FDE9D9"/>
            <w:vAlign w:val="center"/>
            <w:hideMark/>
          </w:tcPr>
          <w:p w14:paraId="73BFFCD9"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w:t>
            </w:r>
          </w:p>
        </w:tc>
        <w:tc>
          <w:tcPr>
            <w:tcW w:w="188" w:type="pct"/>
            <w:tcBorders>
              <w:top w:val="nil"/>
              <w:left w:val="nil"/>
              <w:bottom w:val="single" w:sz="4" w:space="0" w:color="auto"/>
              <w:right w:val="single" w:sz="4" w:space="0" w:color="auto"/>
            </w:tcBorders>
            <w:shd w:val="clear" w:color="000000" w:fill="FDE9D9"/>
            <w:vAlign w:val="center"/>
            <w:hideMark/>
          </w:tcPr>
          <w:p w14:paraId="275412C2" w14:textId="026C297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150</w:t>
            </w:r>
          </w:p>
        </w:tc>
        <w:tc>
          <w:tcPr>
            <w:tcW w:w="190" w:type="pct"/>
            <w:tcBorders>
              <w:top w:val="nil"/>
              <w:left w:val="nil"/>
              <w:bottom w:val="single" w:sz="4" w:space="0" w:color="auto"/>
              <w:right w:val="single" w:sz="4" w:space="0" w:color="auto"/>
            </w:tcBorders>
            <w:shd w:val="clear" w:color="000000" w:fill="FDE9D9"/>
            <w:vAlign w:val="center"/>
            <w:hideMark/>
          </w:tcPr>
          <w:p w14:paraId="5F60751D" w14:textId="010396B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3,150</w:t>
            </w:r>
          </w:p>
        </w:tc>
        <w:tc>
          <w:tcPr>
            <w:tcW w:w="190" w:type="pct"/>
            <w:tcBorders>
              <w:top w:val="nil"/>
              <w:left w:val="nil"/>
              <w:bottom w:val="single" w:sz="4" w:space="0" w:color="auto"/>
              <w:right w:val="single" w:sz="4" w:space="0" w:color="auto"/>
            </w:tcBorders>
            <w:shd w:val="clear" w:color="000000" w:fill="FDE9D9"/>
            <w:vAlign w:val="center"/>
            <w:hideMark/>
          </w:tcPr>
          <w:p w14:paraId="1279D52C" w14:textId="4BDB73F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4,150</w:t>
            </w:r>
          </w:p>
        </w:tc>
        <w:tc>
          <w:tcPr>
            <w:tcW w:w="190" w:type="pct"/>
            <w:tcBorders>
              <w:top w:val="nil"/>
              <w:left w:val="nil"/>
              <w:bottom w:val="single" w:sz="4" w:space="0" w:color="auto"/>
              <w:right w:val="single" w:sz="4" w:space="0" w:color="auto"/>
            </w:tcBorders>
            <w:shd w:val="clear" w:color="000000" w:fill="FDE9D9"/>
            <w:vAlign w:val="center"/>
            <w:hideMark/>
          </w:tcPr>
          <w:p w14:paraId="66F3A138" w14:textId="1D41197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3,150</w:t>
            </w:r>
          </w:p>
        </w:tc>
        <w:tc>
          <w:tcPr>
            <w:tcW w:w="187" w:type="pct"/>
            <w:tcBorders>
              <w:top w:val="nil"/>
              <w:left w:val="nil"/>
              <w:bottom w:val="single" w:sz="4" w:space="0" w:color="auto"/>
              <w:right w:val="single" w:sz="4" w:space="0" w:color="auto"/>
            </w:tcBorders>
            <w:shd w:val="clear" w:color="000000" w:fill="FDE9D9"/>
            <w:vAlign w:val="center"/>
            <w:hideMark/>
          </w:tcPr>
          <w:p w14:paraId="2B7CCFF1" w14:textId="088872F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4,150</w:t>
            </w:r>
          </w:p>
        </w:tc>
        <w:tc>
          <w:tcPr>
            <w:tcW w:w="200" w:type="pct"/>
            <w:tcBorders>
              <w:top w:val="nil"/>
              <w:left w:val="nil"/>
              <w:bottom w:val="single" w:sz="4" w:space="0" w:color="auto"/>
              <w:right w:val="nil"/>
            </w:tcBorders>
            <w:shd w:val="clear" w:color="000000" w:fill="FDE9D9"/>
            <w:vAlign w:val="center"/>
            <w:hideMark/>
          </w:tcPr>
          <w:p w14:paraId="6E4207EC" w14:textId="6245079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14,750</w:t>
            </w:r>
          </w:p>
        </w:tc>
        <w:tc>
          <w:tcPr>
            <w:tcW w:w="209" w:type="pct"/>
            <w:tcBorders>
              <w:top w:val="nil"/>
              <w:left w:val="single" w:sz="8" w:space="0" w:color="auto"/>
              <w:bottom w:val="single" w:sz="4" w:space="0" w:color="auto"/>
              <w:right w:val="single" w:sz="4" w:space="0" w:color="auto"/>
            </w:tcBorders>
            <w:shd w:val="clear" w:color="000000" w:fill="FDE9D9"/>
            <w:vAlign w:val="center"/>
            <w:hideMark/>
          </w:tcPr>
          <w:p w14:paraId="7636CB7D" w14:textId="1BD623F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12,750</w:t>
            </w:r>
          </w:p>
        </w:tc>
        <w:tc>
          <w:tcPr>
            <w:tcW w:w="209" w:type="pct"/>
            <w:tcBorders>
              <w:top w:val="nil"/>
              <w:left w:val="nil"/>
              <w:bottom w:val="single" w:sz="4" w:space="0" w:color="auto"/>
              <w:right w:val="single" w:sz="4" w:space="0" w:color="auto"/>
            </w:tcBorders>
            <w:shd w:val="clear" w:color="000000" w:fill="FDE9D9"/>
            <w:vAlign w:val="center"/>
            <w:hideMark/>
          </w:tcPr>
          <w:p w14:paraId="2F2963D6" w14:textId="2007706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5" w:type="pct"/>
            <w:tcBorders>
              <w:top w:val="nil"/>
              <w:left w:val="nil"/>
              <w:bottom w:val="single" w:sz="4" w:space="0" w:color="auto"/>
              <w:right w:val="single" w:sz="8" w:space="0" w:color="auto"/>
            </w:tcBorders>
            <w:shd w:val="clear" w:color="000000" w:fill="FDE9D9"/>
            <w:vAlign w:val="center"/>
            <w:hideMark/>
          </w:tcPr>
          <w:p w14:paraId="61E7D218" w14:textId="2F45EAA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2,000</w:t>
            </w:r>
          </w:p>
        </w:tc>
        <w:tc>
          <w:tcPr>
            <w:tcW w:w="202" w:type="pct"/>
            <w:tcBorders>
              <w:top w:val="nil"/>
              <w:left w:val="nil"/>
              <w:bottom w:val="single" w:sz="4" w:space="0" w:color="auto"/>
              <w:right w:val="single" w:sz="4" w:space="0" w:color="auto"/>
            </w:tcBorders>
            <w:shd w:val="clear" w:color="000000" w:fill="FDE9D9"/>
            <w:vAlign w:val="center"/>
            <w:hideMark/>
          </w:tcPr>
          <w:p w14:paraId="1573DC41" w14:textId="58114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153,646</w:t>
            </w:r>
          </w:p>
        </w:tc>
        <w:tc>
          <w:tcPr>
            <w:tcW w:w="200" w:type="pct"/>
            <w:tcBorders>
              <w:top w:val="nil"/>
              <w:left w:val="nil"/>
              <w:bottom w:val="single" w:sz="4" w:space="0" w:color="auto"/>
              <w:right w:val="single" w:sz="4" w:space="0" w:color="auto"/>
            </w:tcBorders>
            <w:shd w:val="clear" w:color="000000" w:fill="FDE9D9"/>
            <w:vAlign w:val="center"/>
            <w:hideMark/>
          </w:tcPr>
          <w:p w14:paraId="18D574EB" w14:textId="62D1BA3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132,813</w:t>
            </w:r>
          </w:p>
        </w:tc>
        <w:tc>
          <w:tcPr>
            <w:tcW w:w="197" w:type="pct"/>
            <w:tcBorders>
              <w:top w:val="nil"/>
              <w:left w:val="nil"/>
              <w:bottom w:val="single" w:sz="4" w:space="0" w:color="auto"/>
              <w:right w:val="single" w:sz="4" w:space="0" w:color="auto"/>
            </w:tcBorders>
            <w:shd w:val="clear" w:color="000000" w:fill="FDE9D9"/>
            <w:vAlign w:val="center"/>
            <w:hideMark/>
          </w:tcPr>
          <w:p w14:paraId="4FF323E7" w14:textId="4DD0F7A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single" w:sz="8" w:space="0" w:color="auto"/>
            </w:tcBorders>
            <w:shd w:val="clear" w:color="000000" w:fill="FDE9D9"/>
            <w:vAlign w:val="center"/>
            <w:hideMark/>
          </w:tcPr>
          <w:p w14:paraId="3DB5282A" w14:textId="538F159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20,833</w:t>
            </w:r>
          </w:p>
        </w:tc>
      </w:tr>
      <w:tr w:rsidR="00387E5A" w:rsidRPr="00024D5A" w14:paraId="3246F02B"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512516D1" w14:textId="7EB9DC9F"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Masa prioritare 5.1</w:t>
            </w:r>
            <w:r w:rsidR="003526AF">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Përforcimi i mbrojtjes nga dhuna dhe diskriminimi, përmes fuqizimit të kapaciteteve, shërbimeve të integruara, forcimit të sistemeve të të dhënave, monitorimit dhe raportimit.</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16E9238C"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2026</w:t>
            </w:r>
          </w:p>
        </w:tc>
        <w:tc>
          <w:tcPr>
            <w:tcW w:w="226" w:type="pct"/>
            <w:tcBorders>
              <w:top w:val="nil"/>
              <w:left w:val="nil"/>
              <w:bottom w:val="single" w:sz="4" w:space="0" w:color="auto"/>
              <w:right w:val="single" w:sz="4" w:space="0" w:color="auto"/>
            </w:tcBorders>
            <w:shd w:val="clear" w:color="000000" w:fill="DCE6F1"/>
            <w:vAlign w:val="center"/>
            <w:hideMark/>
          </w:tcPr>
          <w:p w14:paraId="0905809D"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3323B6D7"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AKMDF</w:t>
            </w:r>
          </w:p>
        </w:tc>
        <w:tc>
          <w:tcPr>
            <w:tcW w:w="792" w:type="pct"/>
            <w:tcBorders>
              <w:top w:val="nil"/>
              <w:left w:val="nil"/>
              <w:bottom w:val="single" w:sz="4" w:space="0" w:color="auto"/>
              <w:right w:val="single" w:sz="8" w:space="0" w:color="auto"/>
            </w:tcBorders>
            <w:shd w:val="clear" w:color="000000" w:fill="DCE6F1"/>
            <w:vAlign w:val="center"/>
            <w:hideMark/>
          </w:tcPr>
          <w:p w14:paraId="7C2A2B98"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w:t>
            </w:r>
          </w:p>
        </w:tc>
        <w:tc>
          <w:tcPr>
            <w:tcW w:w="188" w:type="pct"/>
            <w:tcBorders>
              <w:top w:val="nil"/>
              <w:left w:val="nil"/>
              <w:bottom w:val="single" w:sz="4" w:space="0" w:color="auto"/>
              <w:right w:val="single" w:sz="4" w:space="0" w:color="auto"/>
            </w:tcBorders>
            <w:shd w:val="clear" w:color="000000" w:fill="DCE6F1"/>
            <w:vAlign w:val="center"/>
            <w:hideMark/>
          </w:tcPr>
          <w:p w14:paraId="78D77015" w14:textId="055ACE4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150</w:t>
            </w:r>
          </w:p>
        </w:tc>
        <w:tc>
          <w:tcPr>
            <w:tcW w:w="190" w:type="pct"/>
            <w:tcBorders>
              <w:top w:val="nil"/>
              <w:left w:val="nil"/>
              <w:bottom w:val="single" w:sz="4" w:space="0" w:color="auto"/>
              <w:right w:val="single" w:sz="4" w:space="0" w:color="auto"/>
            </w:tcBorders>
            <w:shd w:val="clear" w:color="000000" w:fill="DCE6F1"/>
            <w:vAlign w:val="center"/>
            <w:hideMark/>
          </w:tcPr>
          <w:p w14:paraId="7BF3DE38" w14:textId="4F2FDCB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3,150</w:t>
            </w:r>
          </w:p>
        </w:tc>
        <w:tc>
          <w:tcPr>
            <w:tcW w:w="190" w:type="pct"/>
            <w:tcBorders>
              <w:top w:val="nil"/>
              <w:left w:val="nil"/>
              <w:bottom w:val="single" w:sz="4" w:space="0" w:color="auto"/>
              <w:right w:val="single" w:sz="4" w:space="0" w:color="auto"/>
            </w:tcBorders>
            <w:shd w:val="clear" w:color="000000" w:fill="DCE6F1"/>
            <w:vAlign w:val="center"/>
            <w:hideMark/>
          </w:tcPr>
          <w:p w14:paraId="55A10FA4" w14:textId="2B35151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4,150</w:t>
            </w:r>
          </w:p>
        </w:tc>
        <w:tc>
          <w:tcPr>
            <w:tcW w:w="190" w:type="pct"/>
            <w:tcBorders>
              <w:top w:val="nil"/>
              <w:left w:val="nil"/>
              <w:bottom w:val="single" w:sz="4" w:space="0" w:color="auto"/>
              <w:right w:val="single" w:sz="4" w:space="0" w:color="auto"/>
            </w:tcBorders>
            <w:shd w:val="clear" w:color="000000" w:fill="DCE6F1"/>
            <w:vAlign w:val="center"/>
            <w:hideMark/>
          </w:tcPr>
          <w:p w14:paraId="1EE1E5D0" w14:textId="4B52DDB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3,150</w:t>
            </w:r>
          </w:p>
        </w:tc>
        <w:tc>
          <w:tcPr>
            <w:tcW w:w="187" w:type="pct"/>
            <w:tcBorders>
              <w:top w:val="nil"/>
              <w:left w:val="nil"/>
              <w:bottom w:val="single" w:sz="4" w:space="0" w:color="auto"/>
              <w:right w:val="single" w:sz="4" w:space="0" w:color="auto"/>
            </w:tcBorders>
            <w:shd w:val="clear" w:color="000000" w:fill="DCE6F1"/>
            <w:vAlign w:val="center"/>
            <w:hideMark/>
          </w:tcPr>
          <w:p w14:paraId="5B3A313B" w14:textId="3C451D6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4,150</w:t>
            </w:r>
          </w:p>
        </w:tc>
        <w:tc>
          <w:tcPr>
            <w:tcW w:w="200" w:type="pct"/>
            <w:tcBorders>
              <w:top w:val="nil"/>
              <w:left w:val="nil"/>
              <w:bottom w:val="single" w:sz="4" w:space="0" w:color="auto"/>
              <w:right w:val="nil"/>
            </w:tcBorders>
            <w:shd w:val="clear" w:color="000000" w:fill="DCE6F1"/>
            <w:vAlign w:val="center"/>
            <w:hideMark/>
          </w:tcPr>
          <w:p w14:paraId="627F8803" w14:textId="1BB6122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14,750</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5191C44A" w14:textId="5B44058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12,750</w:t>
            </w:r>
          </w:p>
        </w:tc>
        <w:tc>
          <w:tcPr>
            <w:tcW w:w="209" w:type="pct"/>
            <w:tcBorders>
              <w:top w:val="nil"/>
              <w:left w:val="nil"/>
              <w:bottom w:val="single" w:sz="4" w:space="0" w:color="auto"/>
              <w:right w:val="single" w:sz="4" w:space="0" w:color="auto"/>
            </w:tcBorders>
            <w:shd w:val="clear" w:color="000000" w:fill="DCE6F1"/>
            <w:vAlign w:val="center"/>
            <w:hideMark/>
          </w:tcPr>
          <w:p w14:paraId="6024259F" w14:textId="75A955C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5" w:type="pct"/>
            <w:tcBorders>
              <w:top w:val="nil"/>
              <w:left w:val="nil"/>
              <w:bottom w:val="single" w:sz="4" w:space="0" w:color="auto"/>
              <w:right w:val="single" w:sz="8" w:space="0" w:color="auto"/>
            </w:tcBorders>
            <w:shd w:val="clear" w:color="000000" w:fill="DCE6F1"/>
            <w:vAlign w:val="center"/>
            <w:hideMark/>
          </w:tcPr>
          <w:p w14:paraId="65C41D53" w14:textId="3CBBD5F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2,000</w:t>
            </w:r>
          </w:p>
        </w:tc>
        <w:tc>
          <w:tcPr>
            <w:tcW w:w="202" w:type="pct"/>
            <w:tcBorders>
              <w:top w:val="nil"/>
              <w:left w:val="nil"/>
              <w:bottom w:val="single" w:sz="4" w:space="0" w:color="auto"/>
              <w:right w:val="single" w:sz="4" w:space="0" w:color="auto"/>
            </w:tcBorders>
            <w:shd w:val="clear" w:color="000000" w:fill="DCE6F1"/>
            <w:vAlign w:val="center"/>
            <w:hideMark/>
          </w:tcPr>
          <w:p w14:paraId="2FA5EDD1" w14:textId="1B24E15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153,646</w:t>
            </w:r>
          </w:p>
        </w:tc>
        <w:tc>
          <w:tcPr>
            <w:tcW w:w="200" w:type="pct"/>
            <w:tcBorders>
              <w:top w:val="nil"/>
              <w:left w:val="nil"/>
              <w:bottom w:val="single" w:sz="4" w:space="0" w:color="auto"/>
              <w:right w:val="single" w:sz="4" w:space="0" w:color="auto"/>
            </w:tcBorders>
            <w:shd w:val="clear" w:color="000000" w:fill="DCE6F1"/>
            <w:vAlign w:val="center"/>
            <w:hideMark/>
          </w:tcPr>
          <w:p w14:paraId="0BA13DA6" w14:textId="45E9FC0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132,813</w:t>
            </w:r>
          </w:p>
        </w:tc>
        <w:tc>
          <w:tcPr>
            <w:tcW w:w="197" w:type="pct"/>
            <w:tcBorders>
              <w:top w:val="nil"/>
              <w:left w:val="nil"/>
              <w:bottom w:val="single" w:sz="4" w:space="0" w:color="auto"/>
              <w:right w:val="single" w:sz="4" w:space="0" w:color="auto"/>
            </w:tcBorders>
            <w:shd w:val="clear" w:color="000000" w:fill="DCE6F1"/>
            <w:vAlign w:val="center"/>
            <w:hideMark/>
          </w:tcPr>
          <w:p w14:paraId="43C6D129" w14:textId="3FFC4C2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single" w:sz="8" w:space="0" w:color="auto"/>
            </w:tcBorders>
            <w:shd w:val="clear" w:color="000000" w:fill="DCE6F1"/>
            <w:vAlign w:val="center"/>
            <w:hideMark/>
          </w:tcPr>
          <w:p w14:paraId="3D52F327" w14:textId="066789A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20,833</w:t>
            </w:r>
          </w:p>
        </w:tc>
      </w:tr>
      <w:tr w:rsidR="00387E5A" w:rsidRPr="00024D5A" w14:paraId="2C0175E2" w14:textId="77777777" w:rsidTr="00387E5A">
        <w:trPr>
          <w:trHeight w:val="20"/>
        </w:trPr>
        <w:tc>
          <w:tcPr>
            <w:tcW w:w="375" w:type="pct"/>
            <w:tcBorders>
              <w:top w:val="nil"/>
              <w:left w:val="single" w:sz="4" w:space="0" w:color="auto"/>
              <w:bottom w:val="single" w:sz="4" w:space="0" w:color="auto"/>
              <w:right w:val="nil"/>
            </w:tcBorders>
            <w:shd w:val="clear" w:color="000000" w:fill="FDE9D9"/>
            <w:vAlign w:val="center"/>
            <w:hideMark/>
          </w:tcPr>
          <w:p w14:paraId="667862A8" w14:textId="483BAF8D"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Objektivi </w:t>
            </w:r>
            <w:r w:rsidR="003A7AC6" w:rsidRPr="00024D5A">
              <w:rPr>
                <w:rFonts w:ascii="Garamond" w:eastAsia="Times New Roman" w:hAnsi="Garamond" w:cs="Calibri"/>
                <w:b/>
                <w:bCs/>
                <w:sz w:val="6"/>
                <w:szCs w:val="6"/>
                <w:lang w:eastAsia="en-US"/>
              </w:rPr>
              <w:t>specifik</w:t>
            </w:r>
            <w:r w:rsidRPr="00024D5A">
              <w:rPr>
                <w:rFonts w:ascii="Garamond" w:eastAsia="Times New Roman" w:hAnsi="Garamond" w:cs="Calibri"/>
                <w:b/>
                <w:bCs/>
                <w:sz w:val="6"/>
                <w:szCs w:val="6"/>
                <w:lang w:eastAsia="en-US"/>
              </w:rPr>
              <w:t xml:space="preserve"> 6</w:t>
            </w:r>
            <w:r w:rsidR="003526AF">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Forcimi i një sistemi gjithëpërfshirës për menaxhimin dhe reagimin ndaj ndryshimeve klimatike, fatkeqësive dhe krizave në Shqipëri, në nivel qendror dhe lokal, me fokus të veçantë te personat me aftësi të kufizuara, për të garantuar sigurinë e jetës dhe mbrojtjen e tyre.</w:t>
            </w:r>
          </w:p>
        </w:tc>
        <w:tc>
          <w:tcPr>
            <w:tcW w:w="244" w:type="pct"/>
            <w:tcBorders>
              <w:top w:val="nil"/>
              <w:left w:val="single" w:sz="8" w:space="0" w:color="auto"/>
              <w:bottom w:val="single" w:sz="4" w:space="0" w:color="auto"/>
              <w:right w:val="single" w:sz="4" w:space="0" w:color="auto"/>
            </w:tcBorders>
            <w:shd w:val="clear" w:color="000000" w:fill="FDE9D9"/>
            <w:vAlign w:val="center"/>
            <w:hideMark/>
          </w:tcPr>
          <w:p w14:paraId="336DBA59"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0</w:t>
            </w:r>
          </w:p>
        </w:tc>
        <w:tc>
          <w:tcPr>
            <w:tcW w:w="226" w:type="pct"/>
            <w:tcBorders>
              <w:top w:val="nil"/>
              <w:left w:val="nil"/>
              <w:bottom w:val="single" w:sz="4" w:space="0" w:color="auto"/>
              <w:right w:val="single" w:sz="4" w:space="0" w:color="auto"/>
            </w:tcBorders>
            <w:shd w:val="clear" w:color="000000" w:fill="FDE9D9"/>
            <w:vAlign w:val="center"/>
            <w:hideMark/>
          </w:tcPr>
          <w:p w14:paraId="1392B0B7"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2030</w:t>
            </w:r>
          </w:p>
        </w:tc>
        <w:tc>
          <w:tcPr>
            <w:tcW w:w="664" w:type="pct"/>
            <w:tcBorders>
              <w:top w:val="nil"/>
              <w:left w:val="nil"/>
              <w:bottom w:val="single" w:sz="4" w:space="0" w:color="auto"/>
              <w:right w:val="single" w:sz="4" w:space="0" w:color="auto"/>
            </w:tcBorders>
            <w:shd w:val="clear" w:color="000000" w:fill="FDE9D9"/>
            <w:vAlign w:val="center"/>
            <w:hideMark/>
          </w:tcPr>
          <w:p w14:paraId="7D9221C9"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AKMC</w:t>
            </w:r>
          </w:p>
        </w:tc>
        <w:tc>
          <w:tcPr>
            <w:tcW w:w="792" w:type="pct"/>
            <w:tcBorders>
              <w:top w:val="nil"/>
              <w:left w:val="nil"/>
              <w:bottom w:val="single" w:sz="4" w:space="0" w:color="auto"/>
              <w:right w:val="single" w:sz="8" w:space="0" w:color="auto"/>
            </w:tcBorders>
            <w:shd w:val="clear" w:color="000000" w:fill="FDE9D9"/>
            <w:vAlign w:val="center"/>
            <w:hideMark/>
          </w:tcPr>
          <w:p w14:paraId="6A271CE5"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w:t>
            </w:r>
          </w:p>
        </w:tc>
        <w:tc>
          <w:tcPr>
            <w:tcW w:w="188" w:type="pct"/>
            <w:tcBorders>
              <w:top w:val="nil"/>
              <w:left w:val="nil"/>
              <w:bottom w:val="single" w:sz="4" w:space="0" w:color="auto"/>
              <w:right w:val="single" w:sz="4" w:space="0" w:color="auto"/>
            </w:tcBorders>
            <w:shd w:val="clear" w:color="000000" w:fill="FDE9D9"/>
            <w:vAlign w:val="center"/>
            <w:hideMark/>
          </w:tcPr>
          <w:p w14:paraId="798C6736" w14:textId="2D302AB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0" w:type="pct"/>
            <w:tcBorders>
              <w:top w:val="nil"/>
              <w:left w:val="nil"/>
              <w:bottom w:val="single" w:sz="4" w:space="0" w:color="auto"/>
              <w:right w:val="single" w:sz="4" w:space="0" w:color="auto"/>
            </w:tcBorders>
            <w:shd w:val="clear" w:color="000000" w:fill="FDE9D9"/>
            <w:vAlign w:val="center"/>
            <w:hideMark/>
          </w:tcPr>
          <w:p w14:paraId="1A6083A5" w14:textId="4CB62B3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0" w:type="pct"/>
            <w:tcBorders>
              <w:top w:val="nil"/>
              <w:left w:val="nil"/>
              <w:bottom w:val="single" w:sz="4" w:space="0" w:color="auto"/>
              <w:right w:val="single" w:sz="4" w:space="0" w:color="auto"/>
            </w:tcBorders>
            <w:shd w:val="clear" w:color="000000" w:fill="FDE9D9"/>
            <w:vAlign w:val="center"/>
            <w:hideMark/>
          </w:tcPr>
          <w:p w14:paraId="03A722B1" w14:textId="014314A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5,691</w:t>
            </w:r>
          </w:p>
        </w:tc>
        <w:tc>
          <w:tcPr>
            <w:tcW w:w="190" w:type="pct"/>
            <w:tcBorders>
              <w:top w:val="nil"/>
              <w:left w:val="nil"/>
              <w:bottom w:val="single" w:sz="4" w:space="0" w:color="auto"/>
              <w:right w:val="single" w:sz="4" w:space="0" w:color="auto"/>
            </w:tcBorders>
            <w:shd w:val="clear" w:color="000000" w:fill="FDE9D9"/>
            <w:vAlign w:val="center"/>
            <w:hideMark/>
          </w:tcPr>
          <w:p w14:paraId="3DEA9A4C" w14:textId="1B2653D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4,045</w:t>
            </w:r>
          </w:p>
        </w:tc>
        <w:tc>
          <w:tcPr>
            <w:tcW w:w="187" w:type="pct"/>
            <w:tcBorders>
              <w:top w:val="nil"/>
              <w:left w:val="nil"/>
              <w:bottom w:val="single" w:sz="4" w:space="0" w:color="auto"/>
              <w:right w:val="single" w:sz="4" w:space="0" w:color="auto"/>
            </w:tcBorders>
            <w:shd w:val="clear" w:color="000000" w:fill="FDE9D9"/>
            <w:vAlign w:val="center"/>
            <w:hideMark/>
          </w:tcPr>
          <w:p w14:paraId="6C2E1FB6" w14:textId="3C68D3F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1,000</w:t>
            </w:r>
          </w:p>
        </w:tc>
        <w:tc>
          <w:tcPr>
            <w:tcW w:w="200" w:type="pct"/>
            <w:tcBorders>
              <w:top w:val="nil"/>
              <w:left w:val="nil"/>
              <w:bottom w:val="single" w:sz="4" w:space="0" w:color="auto"/>
              <w:right w:val="nil"/>
            </w:tcBorders>
            <w:shd w:val="clear" w:color="000000" w:fill="FDE9D9"/>
            <w:vAlign w:val="center"/>
            <w:hideMark/>
          </w:tcPr>
          <w:p w14:paraId="40837B9C" w14:textId="100A671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10,736</w:t>
            </w:r>
          </w:p>
        </w:tc>
        <w:tc>
          <w:tcPr>
            <w:tcW w:w="209" w:type="pct"/>
            <w:tcBorders>
              <w:top w:val="nil"/>
              <w:left w:val="single" w:sz="8" w:space="0" w:color="auto"/>
              <w:bottom w:val="single" w:sz="4" w:space="0" w:color="auto"/>
              <w:right w:val="single" w:sz="4" w:space="0" w:color="auto"/>
            </w:tcBorders>
            <w:shd w:val="clear" w:color="000000" w:fill="FDE9D9"/>
            <w:vAlign w:val="center"/>
            <w:hideMark/>
          </w:tcPr>
          <w:p w14:paraId="0F29D821" w14:textId="6F09CEB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3,736</w:t>
            </w:r>
          </w:p>
        </w:tc>
        <w:tc>
          <w:tcPr>
            <w:tcW w:w="209" w:type="pct"/>
            <w:tcBorders>
              <w:top w:val="nil"/>
              <w:left w:val="nil"/>
              <w:bottom w:val="single" w:sz="4" w:space="0" w:color="auto"/>
              <w:right w:val="single" w:sz="4" w:space="0" w:color="auto"/>
            </w:tcBorders>
            <w:shd w:val="clear" w:color="000000" w:fill="FDE9D9"/>
            <w:vAlign w:val="center"/>
            <w:hideMark/>
          </w:tcPr>
          <w:p w14:paraId="53553644" w14:textId="4221109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5" w:type="pct"/>
            <w:tcBorders>
              <w:top w:val="nil"/>
              <w:left w:val="nil"/>
              <w:bottom w:val="single" w:sz="4" w:space="0" w:color="auto"/>
              <w:right w:val="single" w:sz="8" w:space="0" w:color="auto"/>
            </w:tcBorders>
            <w:shd w:val="clear" w:color="000000" w:fill="FDE9D9"/>
            <w:vAlign w:val="center"/>
            <w:hideMark/>
          </w:tcPr>
          <w:p w14:paraId="070FA519" w14:textId="6483BC0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7,000</w:t>
            </w:r>
          </w:p>
        </w:tc>
        <w:tc>
          <w:tcPr>
            <w:tcW w:w="202" w:type="pct"/>
            <w:tcBorders>
              <w:top w:val="nil"/>
              <w:left w:val="nil"/>
              <w:bottom w:val="single" w:sz="4" w:space="0" w:color="auto"/>
              <w:right w:val="single" w:sz="4" w:space="0" w:color="auto"/>
            </w:tcBorders>
            <w:shd w:val="clear" w:color="000000" w:fill="FDE9D9"/>
            <w:vAlign w:val="center"/>
            <w:hideMark/>
          </w:tcPr>
          <w:p w14:paraId="7E3D741D" w14:textId="6635021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111,837</w:t>
            </w:r>
          </w:p>
        </w:tc>
        <w:tc>
          <w:tcPr>
            <w:tcW w:w="200" w:type="pct"/>
            <w:tcBorders>
              <w:top w:val="nil"/>
              <w:left w:val="nil"/>
              <w:bottom w:val="single" w:sz="4" w:space="0" w:color="auto"/>
              <w:right w:val="single" w:sz="4" w:space="0" w:color="auto"/>
            </w:tcBorders>
            <w:shd w:val="clear" w:color="000000" w:fill="FDE9D9"/>
            <w:vAlign w:val="center"/>
            <w:hideMark/>
          </w:tcPr>
          <w:p w14:paraId="169C7A0B" w14:textId="6D71DD2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38,920</w:t>
            </w:r>
          </w:p>
        </w:tc>
        <w:tc>
          <w:tcPr>
            <w:tcW w:w="197" w:type="pct"/>
            <w:tcBorders>
              <w:top w:val="nil"/>
              <w:left w:val="nil"/>
              <w:bottom w:val="single" w:sz="4" w:space="0" w:color="auto"/>
              <w:right w:val="single" w:sz="4" w:space="0" w:color="auto"/>
            </w:tcBorders>
            <w:shd w:val="clear" w:color="000000" w:fill="FDE9D9"/>
            <w:vAlign w:val="center"/>
            <w:hideMark/>
          </w:tcPr>
          <w:p w14:paraId="0C02B511" w14:textId="358962B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single" w:sz="8" w:space="0" w:color="auto"/>
            </w:tcBorders>
            <w:shd w:val="clear" w:color="000000" w:fill="FDE9D9"/>
            <w:vAlign w:val="center"/>
            <w:hideMark/>
          </w:tcPr>
          <w:p w14:paraId="5EE90213" w14:textId="035FC91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72,917</w:t>
            </w:r>
          </w:p>
        </w:tc>
      </w:tr>
      <w:tr w:rsidR="00387E5A" w:rsidRPr="00024D5A" w14:paraId="4A14AB71"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4F1436EB" w14:textId="5AF7DF21"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Masa prioritare 6.1</w:t>
            </w:r>
            <w:r w:rsidR="003526AF">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Integrimi i aftësisë së kufizuar në politikat dhe kuadrin ligjor për menaxhimin e riskut nga fatkeqësitë</w:t>
            </w:r>
            <w:r w:rsidR="003A7AC6" w:rsidRPr="00024D5A">
              <w:rPr>
                <w:rFonts w:ascii="Garamond" w:eastAsia="Times New Roman" w:hAnsi="Garamond" w:cs="Calibri"/>
                <w:b/>
                <w:bCs/>
                <w:sz w:val="6"/>
                <w:szCs w:val="6"/>
                <w:lang w:eastAsia="en-US"/>
              </w:rPr>
              <w:t>.</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558BAAB7"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2026</w:t>
            </w:r>
          </w:p>
        </w:tc>
        <w:tc>
          <w:tcPr>
            <w:tcW w:w="226" w:type="pct"/>
            <w:tcBorders>
              <w:top w:val="nil"/>
              <w:left w:val="nil"/>
              <w:bottom w:val="single" w:sz="4" w:space="0" w:color="auto"/>
              <w:right w:val="single" w:sz="4" w:space="0" w:color="auto"/>
            </w:tcBorders>
            <w:shd w:val="clear" w:color="000000" w:fill="DCE6F1"/>
            <w:vAlign w:val="center"/>
            <w:hideMark/>
          </w:tcPr>
          <w:p w14:paraId="6A21040C"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0FA52AD6"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AKMC</w:t>
            </w:r>
          </w:p>
        </w:tc>
        <w:tc>
          <w:tcPr>
            <w:tcW w:w="792" w:type="pct"/>
            <w:tcBorders>
              <w:top w:val="nil"/>
              <w:left w:val="nil"/>
              <w:bottom w:val="single" w:sz="4" w:space="0" w:color="auto"/>
              <w:right w:val="single" w:sz="8" w:space="0" w:color="auto"/>
            </w:tcBorders>
            <w:shd w:val="clear" w:color="000000" w:fill="DCE6F1"/>
            <w:vAlign w:val="center"/>
            <w:hideMark/>
          </w:tcPr>
          <w:p w14:paraId="4E690B7D"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w:t>
            </w:r>
          </w:p>
        </w:tc>
        <w:tc>
          <w:tcPr>
            <w:tcW w:w="188" w:type="pct"/>
            <w:tcBorders>
              <w:top w:val="nil"/>
              <w:left w:val="nil"/>
              <w:bottom w:val="single" w:sz="4" w:space="0" w:color="auto"/>
              <w:right w:val="single" w:sz="4" w:space="0" w:color="auto"/>
            </w:tcBorders>
            <w:shd w:val="clear" w:color="000000" w:fill="DCE6F1"/>
            <w:vAlign w:val="center"/>
            <w:hideMark/>
          </w:tcPr>
          <w:p w14:paraId="2EEA99A5" w14:textId="51DBF57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0" w:type="pct"/>
            <w:tcBorders>
              <w:top w:val="nil"/>
              <w:left w:val="nil"/>
              <w:bottom w:val="single" w:sz="4" w:space="0" w:color="auto"/>
              <w:right w:val="single" w:sz="4" w:space="0" w:color="auto"/>
            </w:tcBorders>
            <w:shd w:val="clear" w:color="000000" w:fill="DCE6F1"/>
            <w:vAlign w:val="center"/>
            <w:hideMark/>
          </w:tcPr>
          <w:p w14:paraId="7915239B" w14:textId="2559E72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0" w:type="pct"/>
            <w:tcBorders>
              <w:top w:val="nil"/>
              <w:left w:val="nil"/>
              <w:bottom w:val="single" w:sz="4" w:space="0" w:color="auto"/>
              <w:right w:val="single" w:sz="4" w:space="0" w:color="auto"/>
            </w:tcBorders>
            <w:shd w:val="clear" w:color="000000" w:fill="DCE6F1"/>
            <w:vAlign w:val="center"/>
            <w:hideMark/>
          </w:tcPr>
          <w:p w14:paraId="3B03FB41" w14:textId="3CD672E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5,691</w:t>
            </w:r>
          </w:p>
        </w:tc>
        <w:tc>
          <w:tcPr>
            <w:tcW w:w="190" w:type="pct"/>
            <w:tcBorders>
              <w:top w:val="nil"/>
              <w:left w:val="nil"/>
              <w:bottom w:val="single" w:sz="4" w:space="0" w:color="auto"/>
              <w:right w:val="single" w:sz="4" w:space="0" w:color="auto"/>
            </w:tcBorders>
            <w:shd w:val="clear" w:color="000000" w:fill="DCE6F1"/>
            <w:vAlign w:val="center"/>
            <w:hideMark/>
          </w:tcPr>
          <w:p w14:paraId="22CAAF87" w14:textId="4C81E63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4,045</w:t>
            </w:r>
          </w:p>
        </w:tc>
        <w:tc>
          <w:tcPr>
            <w:tcW w:w="187" w:type="pct"/>
            <w:tcBorders>
              <w:top w:val="nil"/>
              <w:left w:val="nil"/>
              <w:bottom w:val="single" w:sz="4" w:space="0" w:color="auto"/>
              <w:right w:val="single" w:sz="4" w:space="0" w:color="auto"/>
            </w:tcBorders>
            <w:shd w:val="clear" w:color="000000" w:fill="DCE6F1"/>
            <w:vAlign w:val="center"/>
            <w:hideMark/>
          </w:tcPr>
          <w:p w14:paraId="54BC8963" w14:textId="32EF267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1,000</w:t>
            </w:r>
          </w:p>
        </w:tc>
        <w:tc>
          <w:tcPr>
            <w:tcW w:w="200" w:type="pct"/>
            <w:tcBorders>
              <w:top w:val="nil"/>
              <w:left w:val="nil"/>
              <w:bottom w:val="single" w:sz="4" w:space="0" w:color="auto"/>
              <w:right w:val="nil"/>
            </w:tcBorders>
            <w:shd w:val="clear" w:color="000000" w:fill="DCE6F1"/>
            <w:vAlign w:val="center"/>
            <w:hideMark/>
          </w:tcPr>
          <w:p w14:paraId="5FEF6F68" w14:textId="1617317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10,736</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7F91DDD1" w14:textId="1C40B90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3,736</w:t>
            </w:r>
          </w:p>
        </w:tc>
        <w:tc>
          <w:tcPr>
            <w:tcW w:w="209" w:type="pct"/>
            <w:tcBorders>
              <w:top w:val="nil"/>
              <w:left w:val="nil"/>
              <w:bottom w:val="single" w:sz="4" w:space="0" w:color="auto"/>
              <w:right w:val="single" w:sz="4" w:space="0" w:color="auto"/>
            </w:tcBorders>
            <w:shd w:val="clear" w:color="000000" w:fill="DCE6F1"/>
            <w:vAlign w:val="center"/>
            <w:hideMark/>
          </w:tcPr>
          <w:p w14:paraId="19F7907E" w14:textId="6812095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5" w:type="pct"/>
            <w:tcBorders>
              <w:top w:val="nil"/>
              <w:left w:val="nil"/>
              <w:bottom w:val="single" w:sz="4" w:space="0" w:color="auto"/>
              <w:right w:val="single" w:sz="8" w:space="0" w:color="auto"/>
            </w:tcBorders>
            <w:shd w:val="clear" w:color="000000" w:fill="DCE6F1"/>
            <w:vAlign w:val="center"/>
            <w:hideMark/>
          </w:tcPr>
          <w:p w14:paraId="496EE519" w14:textId="1F57EDF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7,000</w:t>
            </w:r>
          </w:p>
        </w:tc>
        <w:tc>
          <w:tcPr>
            <w:tcW w:w="202" w:type="pct"/>
            <w:tcBorders>
              <w:top w:val="nil"/>
              <w:left w:val="nil"/>
              <w:bottom w:val="single" w:sz="4" w:space="0" w:color="auto"/>
              <w:right w:val="single" w:sz="4" w:space="0" w:color="auto"/>
            </w:tcBorders>
            <w:shd w:val="clear" w:color="000000" w:fill="DCE6F1"/>
            <w:vAlign w:val="center"/>
            <w:hideMark/>
          </w:tcPr>
          <w:p w14:paraId="3E57DA2E" w14:textId="5B4CE8E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111,837</w:t>
            </w:r>
          </w:p>
        </w:tc>
        <w:tc>
          <w:tcPr>
            <w:tcW w:w="200" w:type="pct"/>
            <w:tcBorders>
              <w:top w:val="nil"/>
              <w:left w:val="nil"/>
              <w:bottom w:val="single" w:sz="4" w:space="0" w:color="auto"/>
              <w:right w:val="single" w:sz="4" w:space="0" w:color="auto"/>
            </w:tcBorders>
            <w:shd w:val="clear" w:color="000000" w:fill="DCE6F1"/>
            <w:vAlign w:val="center"/>
            <w:hideMark/>
          </w:tcPr>
          <w:p w14:paraId="4B59F858" w14:textId="3909B08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38,920</w:t>
            </w:r>
          </w:p>
        </w:tc>
        <w:tc>
          <w:tcPr>
            <w:tcW w:w="197" w:type="pct"/>
            <w:tcBorders>
              <w:top w:val="nil"/>
              <w:left w:val="nil"/>
              <w:bottom w:val="single" w:sz="4" w:space="0" w:color="auto"/>
              <w:right w:val="single" w:sz="4" w:space="0" w:color="auto"/>
            </w:tcBorders>
            <w:shd w:val="clear" w:color="000000" w:fill="DCE6F1"/>
            <w:vAlign w:val="center"/>
            <w:hideMark/>
          </w:tcPr>
          <w:p w14:paraId="55991572" w14:textId="3CEA87E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single" w:sz="8" w:space="0" w:color="auto"/>
            </w:tcBorders>
            <w:shd w:val="clear" w:color="000000" w:fill="DCE6F1"/>
            <w:vAlign w:val="center"/>
            <w:hideMark/>
          </w:tcPr>
          <w:p w14:paraId="6CD88935" w14:textId="2304A57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72,917</w:t>
            </w:r>
          </w:p>
        </w:tc>
      </w:tr>
      <w:tr w:rsidR="00387E5A" w:rsidRPr="00024D5A" w14:paraId="489746C8" w14:textId="77777777" w:rsidTr="00387E5A">
        <w:trPr>
          <w:trHeight w:val="20"/>
        </w:trPr>
        <w:tc>
          <w:tcPr>
            <w:tcW w:w="375" w:type="pct"/>
            <w:tcBorders>
              <w:top w:val="nil"/>
              <w:left w:val="single" w:sz="4" w:space="0" w:color="auto"/>
              <w:bottom w:val="single" w:sz="4" w:space="0" w:color="auto"/>
              <w:right w:val="nil"/>
            </w:tcBorders>
            <w:shd w:val="clear" w:color="000000" w:fill="F276AB"/>
            <w:vAlign w:val="center"/>
            <w:hideMark/>
          </w:tcPr>
          <w:p w14:paraId="1601EB31" w14:textId="77777777"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VI. SHËNDETËSIA</w:t>
            </w:r>
          </w:p>
        </w:tc>
        <w:tc>
          <w:tcPr>
            <w:tcW w:w="244" w:type="pct"/>
            <w:tcBorders>
              <w:top w:val="nil"/>
              <w:left w:val="single" w:sz="8" w:space="0" w:color="auto"/>
              <w:bottom w:val="single" w:sz="4" w:space="0" w:color="auto"/>
              <w:right w:val="single" w:sz="4" w:space="0" w:color="auto"/>
            </w:tcBorders>
            <w:shd w:val="clear" w:color="000000" w:fill="F276AB"/>
            <w:vAlign w:val="center"/>
            <w:hideMark/>
          </w:tcPr>
          <w:p w14:paraId="62A861CF"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2026</w:t>
            </w:r>
          </w:p>
        </w:tc>
        <w:tc>
          <w:tcPr>
            <w:tcW w:w="226" w:type="pct"/>
            <w:tcBorders>
              <w:top w:val="nil"/>
              <w:left w:val="nil"/>
              <w:bottom w:val="single" w:sz="4" w:space="0" w:color="auto"/>
              <w:right w:val="single" w:sz="4" w:space="0" w:color="auto"/>
            </w:tcBorders>
            <w:shd w:val="clear" w:color="000000" w:fill="F276AB"/>
            <w:vAlign w:val="center"/>
            <w:hideMark/>
          </w:tcPr>
          <w:p w14:paraId="70BD2613"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2030</w:t>
            </w:r>
          </w:p>
        </w:tc>
        <w:tc>
          <w:tcPr>
            <w:tcW w:w="664" w:type="pct"/>
            <w:tcBorders>
              <w:top w:val="nil"/>
              <w:left w:val="nil"/>
              <w:bottom w:val="single" w:sz="4" w:space="0" w:color="auto"/>
              <w:right w:val="single" w:sz="4" w:space="0" w:color="auto"/>
            </w:tcBorders>
            <w:shd w:val="clear" w:color="000000" w:fill="F276AB"/>
            <w:vAlign w:val="center"/>
            <w:hideMark/>
          </w:tcPr>
          <w:p w14:paraId="236AABFA" w14:textId="044C47CF" w:rsidR="00DE4FCB" w:rsidRPr="00024D5A" w:rsidRDefault="00DE4FCB" w:rsidP="00387E5A">
            <w:pPr>
              <w:jc w:val="center"/>
              <w:rPr>
                <w:rFonts w:ascii="Garamond" w:eastAsia="Times New Roman" w:hAnsi="Garamond"/>
                <w:sz w:val="6"/>
                <w:szCs w:val="6"/>
                <w:lang w:eastAsia="en-US"/>
              </w:rPr>
            </w:pPr>
          </w:p>
        </w:tc>
        <w:tc>
          <w:tcPr>
            <w:tcW w:w="792" w:type="pct"/>
            <w:tcBorders>
              <w:top w:val="nil"/>
              <w:left w:val="nil"/>
              <w:bottom w:val="single" w:sz="4" w:space="0" w:color="auto"/>
              <w:right w:val="single" w:sz="8" w:space="0" w:color="auto"/>
            </w:tcBorders>
            <w:shd w:val="clear" w:color="000000" w:fill="F276AB"/>
            <w:vAlign w:val="center"/>
            <w:hideMark/>
          </w:tcPr>
          <w:p w14:paraId="4E546013" w14:textId="7D6B7C8E" w:rsidR="00DE4FCB" w:rsidRPr="00024D5A" w:rsidRDefault="00DE4FCB" w:rsidP="00387E5A">
            <w:pPr>
              <w:jc w:val="center"/>
              <w:rPr>
                <w:rFonts w:ascii="Garamond" w:eastAsia="Times New Roman" w:hAnsi="Garamond"/>
                <w:sz w:val="6"/>
                <w:szCs w:val="6"/>
                <w:lang w:eastAsia="en-US"/>
              </w:rPr>
            </w:pPr>
          </w:p>
        </w:tc>
        <w:tc>
          <w:tcPr>
            <w:tcW w:w="188" w:type="pct"/>
            <w:tcBorders>
              <w:top w:val="nil"/>
              <w:left w:val="nil"/>
              <w:bottom w:val="single" w:sz="4" w:space="0" w:color="auto"/>
              <w:right w:val="single" w:sz="4" w:space="0" w:color="auto"/>
            </w:tcBorders>
            <w:shd w:val="clear" w:color="000000" w:fill="F276AB"/>
            <w:vAlign w:val="center"/>
            <w:hideMark/>
          </w:tcPr>
          <w:p w14:paraId="15F692F8" w14:textId="62675D2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186,396</w:t>
            </w:r>
          </w:p>
        </w:tc>
        <w:tc>
          <w:tcPr>
            <w:tcW w:w="190" w:type="pct"/>
            <w:tcBorders>
              <w:top w:val="nil"/>
              <w:left w:val="nil"/>
              <w:bottom w:val="single" w:sz="4" w:space="0" w:color="auto"/>
              <w:right w:val="single" w:sz="4" w:space="0" w:color="auto"/>
            </w:tcBorders>
            <w:shd w:val="clear" w:color="000000" w:fill="F276AB"/>
            <w:vAlign w:val="center"/>
            <w:hideMark/>
          </w:tcPr>
          <w:p w14:paraId="2F70F44F" w14:textId="43CBE7C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202,251</w:t>
            </w:r>
          </w:p>
        </w:tc>
        <w:tc>
          <w:tcPr>
            <w:tcW w:w="190" w:type="pct"/>
            <w:tcBorders>
              <w:top w:val="nil"/>
              <w:left w:val="nil"/>
              <w:bottom w:val="single" w:sz="4" w:space="0" w:color="auto"/>
              <w:right w:val="single" w:sz="4" w:space="0" w:color="auto"/>
            </w:tcBorders>
            <w:shd w:val="clear" w:color="000000" w:fill="F276AB"/>
            <w:vAlign w:val="center"/>
            <w:hideMark/>
          </w:tcPr>
          <w:p w14:paraId="1B5947BA" w14:textId="651DFCD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185,999</w:t>
            </w:r>
          </w:p>
        </w:tc>
        <w:tc>
          <w:tcPr>
            <w:tcW w:w="190" w:type="pct"/>
            <w:tcBorders>
              <w:top w:val="nil"/>
              <w:left w:val="nil"/>
              <w:bottom w:val="single" w:sz="4" w:space="0" w:color="auto"/>
              <w:right w:val="single" w:sz="4" w:space="0" w:color="auto"/>
            </w:tcBorders>
            <w:shd w:val="clear" w:color="000000" w:fill="F276AB"/>
            <w:vAlign w:val="center"/>
            <w:hideMark/>
          </w:tcPr>
          <w:p w14:paraId="4B2179EB" w14:textId="3083110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200,275</w:t>
            </w:r>
          </w:p>
        </w:tc>
        <w:tc>
          <w:tcPr>
            <w:tcW w:w="187" w:type="pct"/>
            <w:tcBorders>
              <w:top w:val="nil"/>
              <w:left w:val="nil"/>
              <w:bottom w:val="single" w:sz="4" w:space="0" w:color="auto"/>
              <w:right w:val="single" w:sz="4" w:space="0" w:color="auto"/>
            </w:tcBorders>
            <w:shd w:val="clear" w:color="000000" w:fill="F276AB"/>
            <w:vAlign w:val="center"/>
            <w:hideMark/>
          </w:tcPr>
          <w:p w14:paraId="5E4F13EC" w14:textId="29D5AB4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189,241</w:t>
            </w:r>
          </w:p>
        </w:tc>
        <w:tc>
          <w:tcPr>
            <w:tcW w:w="200" w:type="pct"/>
            <w:tcBorders>
              <w:top w:val="nil"/>
              <w:left w:val="nil"/>
              <w:bottom w:val="single" w:sz="4" w:space="0" w:color="auto"/>
              <w:right w:val="nil"/>
            </w:tcBorders>
            <w:shd w:val="clear" w:color="000000" w:fill="F276AB"/>
            <w:vAlign w:val="center"/>
            <w:hideMark/>
          </w:tcPr>
          <w:p w14:paraId="1ABC1FA0" w14:textId="1F4021D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964,162</w:t>
            </w:r>
          </w:p>
        </w:tc>
        <w:tc>
          <w:tcPr>
            <w:tcW w:w="209" w:type="pct"/>
            <w:tcBorders>
              <w:top w:val="nil"/>
              <w:left w:val="single" w:sz="8" w:space="0" w:color="auto"/>
              <w:bottom w:val="single" w:sz="4" w:space="0" w:color="auto"/>
              <w:right w:val="single" w:sz="4" w:space="0" w:color="auto"/>
            </w:tcBorders>
            <w:shd w:val="clear" w:color="000000" w:fill="F276AB"/>
            <w:vAlign w:val="center"/>
            <w:hideMark/>
          </w:tcPr>
          <w:p w14:paraId="3E15FD44" w14:textId="4F70D11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701,726</w:t>
            </w:r>
          </w:p>
        </w:tc>
        <w:tc>
          <w:tcPr>
            <w:tcW w:w="209" w:type="pct"/>
            <w:tcBorders>
              <w:top w:val="nil"/>
              <w:left w:val="nil"/>
              <w:bottom w:val="single" w:sz="4" w:space="0" w:color="auto"/>
              <w:right w:val="single" w:sz="4" w:space="0" w:color="auto"/>
            </w:tcBorders>
            <w:shd w:val="clear" w:color="000000" w:fill="F276AB"/>
            <w:vAlign w:val="center"/>
            <w:hideMark/>
          </w:tcPr>
          <w:p w14:paraId="6CA1DFC2" w14:textId="0B55F9E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63,846</w:t>
            </w:r>
          </w:p>
        </w:tc>
        <w:tc>
          <w:tcPr>
            <w:tcW w:w="195" w:type="pct"/>
            <w:tcBorders>
              <w:top w:val="nil"/>
              <w:left w:val="nil"/>
              <w:bottom w:val="single" w:sz="4" w:space="0" w:color="auto"/>
              <w:right w:val="single" w:sz="8" w:space="0" w:color="auto"/>
            </w:tcBorders>
            <w:shd w:val="clear" w:color="000000" w:fill="F276AB"/>
            <w:vAlign w:val="center"/>
            <w:hideMark/>
          </w:tcPr>
          <w:p w14:paraId="19120F50" w14:textId="34B40C1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198,591</w:t>
            </w:r>
          </w:p>
        </w:tc>
        <w:tc>
          <w:tcPr>
            <w:tcW w:w="202" w:type="pct"/>
            <w:tcBorders>
              <w:top w:val="nil"/>
              <w:left w:val="nil"/>
              <w:bottom w:val="single" w:sz="4" w:space="0" w:color="auto"/>
              <w:right w:val="single" w:sz="4" w:space="0" w:color="auto"/>
            </w:tcBorders>
            <w:shd w:val="clear" w:color="000000" w:fill="F276AB"/>
            <w:vAlign w:val="center"/>
            <w:hideMark/>
          </w:tcPr>
          <w:p w14:paraId="64E23106" w14:textId="18B30F3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10,043,359</w:t>
            </w:r>
          </w:p>
        </w:tc>
        <w:tc>
          <w:tcPr>
            <w:tcW w:w="200" w:type="pct"/>
            <w:tcBorders>
              <w:top w:val="nil"/>
              <w:left w:val="nil"/>
              <w:bottom w:val="single" w:sz="4" w:space="0" w:color="auto"/>
              <w:right w:val="single" w:sz="4" w:space="0" w:color="auto"/>
            </w:tcBorders>
            <w:shd w:val="clear" w:color="000000" w:fill="F276AB"/>
            <w:vAlign w:val="center"/>
            <w:hideMark/>
          </w:tcPr>
          <w:p w14:paraId="547F9F86" w14:textId="327D3D8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7,309,641</w:t>
            </w:r>
          </w:p>
        </w:tc>
        <w:tc>
          <w:tcPr>
            <w:tcW w:w="197" w:type="pct"/>
            <w:tcBorders>
              <w:top w:val="nil"/>
              <w:left w:val="nil"/>
              <w:bottom w:val="single" w:sz="4" w:space="0" w:color="auto"/>
              <w:right w:val="single" w:sz="4" w:space="0" w:color="auto"/>
            </w:tcBorders>
            <w:shd w:val="clear" w:color="000000" w:fill="F276AB"/>
            <w:vAlign w:val="center"/>
            <w:hideMark/>
          </w:tcPr>
          <w:p w14:paraId="3F17CA8C" w14:textId="065927B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665,062</w:t>
            </w:r>
          </w:p>
        </w:tc>
        <w:tc>
          <w:tcPr>
            <w:tcW w:w="342" w:type="pct"/>
            <w:tcBorders>
              <w:top w:val="nil"/>
              <w:left w:val="nil"/>
              <w:bottom w:val="single" w:sz="4" w:space="0" w:color="auto"/>
              <w:right w:val="single" w:sz="8" w:space="0" w:color="auto"/>
            </w:tcBorders>
            <w:shd w:val="clear" w:color="000000" w:fill="F276AB"/>
            <w:vAlign w:val="center"/>
            <w:hideMark/>
          </w:tcPr>
          <w:p w14:paraId="0EC221CC" w14:textId="02BCD23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2,068,657</w:t>
            </w:r>
          </w:p>
        </w:tc>
      </w:tr>
      <w:tr w:rsidR="00387E5A" w:rsidRPr="00024D5A" w14:paraId="218FD54D" w14:textId="77777777" w:rsidTr="00387E5A">
        <w:trPr>
          <w:trHeight w:val="20"/>
        </w:trPr>
        <w:tc>
          <w:tcPr>
            <w:tcW w:w="375" w:type="pct"/>
            <w:tcBorders>
              <w:top w:val="nil"/>
              <w:left w:val="single" w:sz="4" w:space="0" w:color="auto"/>
              <w:bottom w:val="single" w:sz="4" w:space="0" w:color="auto"/>
              <w:right w:val="nil"/>
            </w:tcBorders>
            <w:shd w:val="clear" w:color="000000" w:fill="FDE9D9"/>
            <w:vAlign w:val="center"/>
            <w:hideMark/>
          </w:tcPr>
          <w:p w14:paraId="6E833EEB" w14:textId="6265486B"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Objektivi </w:t>
            </w:r>
            <w:r w:rsidR="00BB0B47" w:rsidRPr="00024D5A">
              <w:rPr>
                <w:rFonts w:ascii="Garamond" w:eastAsia="Times New Roman" w:hAnsi="Garamond" w:cs="Calibri"/>
                <w:b/>
                <w:bCs/>
                <w:sz w:val="6"/>
                <w:szCs w:val="6"/>
                <w:lang w:eastAsia="en-US"/>
              </w:rPr>
              <w:t xml:space="preserve">specifik </w:t>
            </w:r>
            <w:r w:rsidRPr="00024D5A">
              <w:rPr>
                <w:rFonts w:ascii="Garamond" w:eastAsia="Times New Roman" w:hAnsi="Garamond" w:cs="Calibri"/>
                <w:b/>
                <w:bCs/>
                <w:sz w:val="6"/>
                <w:szCs w:val="6"/>
                <w:lang w:eastAsia="en-US"/>
              </w:rPr>
              <w:t>1</w:t>
            </w:r>
            <w:r w:rsidR="003526AF">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Ulja e numrit të rasteve të reja dhe e ashpërsisë së aftësisë së kufizuar të evitueshme, si</w:t>
            </w:r>
            <w:r w:rsidR="008F29FA" w:rsidRPr="00024D5A">
              <w:rPr>
                <w:rFonts w:ascii="Garamond" w:eastAsia="Times New Roman" w:hAnsi="Garamond" w:cs="Calibri"/>
                <w:b/>
                <w:bCs/>
                <w:sz w:val="6"/>
                <w:szCs w:val="6"/>
                <w:lang w:eastAsia="en-US"/>
              </w:rPr>
              <w:t xml:space="preserve"> </w:t>
            </w:r>
            <w:r w:rsidRPr="00024D5A">
              <w:rPr>
                <w:rFonts w:ascii="Garamond" w:eastAsia="Times New Roman" w:hAnsi="Garamond" w:cs="Calibri"/>
                <w:b/>
                <w:bCs/>
                <w:sz w:val="6"/>
                <w:szCs w:val="6"/>
                <w:lang w:eastAsia="en-US"/>
              </w:rPr>
              <w:t>dhe garantimi i kujdesit shëndetësor gjithëpërfshirës për personat me aftësi të kufizuara gjatë gjithë ciklit të jetës</w:t>
            </w:r>
            <w:r w:rsidR="003A7AC6" w:rsidRPr="00024D5A">
              <w:rPr>
                <w:rFonts w:ascii="Garamond" w:eastAsia="Times New Roman" w:hAnsi="Garamond" w:cs="Calibri"/>
                <w:b/>
                <w:bCs/>
                <w:sz w:val="6"/>
                <w:szCs w:val="6"/>
                <w:lang w:eastAsia="en-US"/>
              </w:rPr>
              <w:t>.</w:t>
            </w:r>
          </w:p>
        </w:tc>
        <w:tc>
          <w:tcPr>
            <w:tcW w:w="244" w:type="pct"/>
            <w:tcBorders>
              <w:top w:val="nil"/>
              <w:left w:val="single" w:sz="8" w:space="0" w:color="auto"/>
              <w:bottom w:val="single" w:sz="4" w:space="0" w:color="auto"/>
              <w:right w:val="single" w:sz="4" w:space="0" w:color="auto"/>
            </w:tcBorders>
            <w:shd w:val="clear" w:color="000000" w:fill="FDE9D9"/>
            <w:vAlign w:val="center"/>
            <w:hideMark/>
          </w:tcPr>
          <w:p w14:paraId="3C11BC86"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0</w:t>
            </w:r>
          </w:p>
        </w:tc>
        <w:tc>
          <w:tcPr>
            <w:tcW w:w="226" w:type="pct"/>
            <w:tcBorders>
              <w:top w:val="nil"/>
              <w:left w:val="nil"/>
              <w:bottom w:val="single" w:sz="4" w:space="0" w:color="auto"/>
              <w:right w:val="single" w:sz="4" w:space="0" w:color="auto"/>
            </w:tcBorders>
            <w:shd w:val="clear" w:color="000000" w:fill="FDE9D9"/>
            <w:vAlign w:val="center"/>
            <w:hideMark/>
          </w:tcPr>
          <w:p w14:paraId="0F7A43F7"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2030</w:t>
            </w:r>
          </w:p>
        </w:tc>
        <w:tc>
          <w:tcPr>
            <w:tcW w:w="664" w:type="pct"/>
            <w:tcBorders>
              <w:top w:val="nil"/>
              <w:left w:val="nil"/>
              <w:bottom w:val="single" w:sz="4" w:space="0" w:color="auto"/>
              <w:right w:val="single" w:sz="4" w:space="0" w:color="auto"/>
            </w:tcBorders>
            <w:shd w:val="clear" w:color="000000" w:fill="FDE9D9"/>
            <w:vAlign w:val="center"/>
            <w:hideMark/>
          </w:tcPr>
          <w:p w14:paraId="608E01B1"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MSHMS/ISHP/OSHKSH</w:t>
            </w:r>
          </w:p>
        </w:tc>
        <w:tc>
          <w:tcPr>
            <w:tcW w:w="792" w:type="pct"/>
            <w:tcBorders>
              <w:top w:val="nil"/>
              <w:left w:val="nil"/>
              <w:bottom w:val="single" w:sz="4" w:space="0" w:color="auto"/>
              <w:right w:val="single" w:sz="8" w:space="0" w:color="auto"/>
            </w:tcBorders>
            <w:shd w:val="clear" w:color="000000" w:fill="FDE9D9"/>
            <w:vAlign w:val="center"/>
            <w:hideMark/>
          </w:tcPr>
          <w:p w14:paraId="42E3CE86" w14:textId="26ABBC61"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OSHKSH</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NJVKSH</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MA/BASHKI</w:t>
            </w:r>
          </w:p>
        </w:tc>
        <w:tc>
          <w:tcPr>
            <w:tcW w:w="188" w:type="pct"/>
            <w:tcBorders>
              <w:top w:val="nil"/>
              <w:left w:val="nil"/>
              <w:bottom w:val="single" w:sz="4" w:space="0" w:color="auto"/>
              <w:right w:val="single" w:sz="4" w:space="0" w:color="auto"/>
            </w:tcBorders>
            <w:shd w:val="clear" w:color="000000" w:fill="FDE9D9"/>
            <w:vAlign w:val="center"/>
            <w:hideMark/>
          </w:tcPr>
          <w:p w14:paraId="3876C1BF" w14:textId="67D9A37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42,164</w:t>
            </w:r>
          </w:p>
        </w:tc>
        <w:tc>
          <w:tcPr>
            <w:tcW w:w="190" w:type="pct"/>
            <w:tcBorders>
              <w:top w:val="nil"/>
              <w:left w:val="nil"/>
              <w:bottom w:val="single" w:sz="4" w:space="0" w:color="auto"/>
              <w:right w:val="single" w:sz="4" w:space="0" w:color="auto"/>
            </w:tcBorders>
            <w:shd w:val="clear" w:color="000000" w:fill="FDE9D9"/>
            <w:vAlign w:val="center"/>
            <w:hideMark/>
          </w:tcPr>
          <w:p w14:paraId="3EF398C6" w14:textId="544AD60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44,137</w:t>
            </w:r>
          </w:p>
        </w:tc>
        <w:tc>
          <w:tcPr>
            <w:tcW w:w="190" w:type="pct"/>
            <w:tcBorders>
              <w:top w:val="nil"/>
              <w:left w:val="nil"/>
              <w:bottom w:val="single" w:sz="4" w:space="0" w:color="auto"/>
              <w:right w:val="single" w:sz="4" w:space="0" w:color="auto"/>
            </w:tcBorders>
            <w:shd w:val="clear" w:color="000000" w:fill="FDE9D9"/>
            <w:vAlign w:val="center"/>
            <w:hideMark/>
          </w:tcPr>
          <w:p w14:paraId="2238BC59" w14:textId="221301C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31,603</w:t>
            </w:r>
          </w:p>
        </w:tc>
        <w:tc>
          <w:tcPr>
            <w:tcW w:w="190" w:type="pct"/>
            <w:tcBorders>
              <w:top w:val="nil"/>
              <w:left w:val="nil"/>
              <w:bottom w:val="single" w:sz="4" w:space="0" w:color="auto"/>
              <w:right w:val="single" w:sz="4" w:space="0" w:color="auto"/>
            </w:tcBorders>
            <w:shd w:val="clear" w:color="000000" w:fill="FDE9D9"/>
            <w:vAlign w:val="center"/>
            <w:hideMark/>
          </w:tcPr>
          <w:p w14:paraId="759E62B1" w14:textId="629BC69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30,892</w:t>
            </w:r>
          </w:p>
        </w:tc>
        <w:tc>
          <w:tcPr>
            <w:tcW w:w="187" w:type="pct"/>
            <w:tcBorders>
              <w:top w:val="nil"/>
              <w:left w:val="nil"/>
              <w:bottom w:val="single" w:sz="4" w:space="0" w:color="auto"/>
              <w:right w:val="single" w:sz="4" w:space="0" w:color="auto"/>
            </w:tcBorders>
            <w:shd w:val="clear" w:color="000000" w:fill="FDE9D9"/>
            <w:vAlign w:val="center"/>
            <w:hideMark/>
          </w:tcPr>
          <w:p w14:paraId="583D21A0" w14:textId="5AEC7F2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24,081</w:t>
            </w:r>
          </w:p>
        </w:tc>
        <w:tc>
          <w:tcPr>
            <w:tcW w:w="200" w:type="pct"/>
            <w:tcBorders>
              <w:top w:val="nil"/>
              <w:left w:val="nil"/>
              <w:bottom w:val="single" w:sz="4" w:space="0" w:color="auto"/>
              <w:right w:val="nil"/>
            </w:tcBorders>
            <w:shd w:val="clear" w:color="000000" w:fill="FDE9D9"/>
            <w:vAlign w:val="center"/>
            <w:hideMark/>
          </w:tcPr>
          <w:p w14:paraId="3C3FE4BF" w14:textId="227B1BC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172,876</w:t>
            </w:r>
          </w:p>
        </w:tc>
        <w:tc>
          <w:tcPr>
            <w:tcW w:w="209" w:type="pct"/>
            <w:tcBorders>
              <w:top w:val="nil"/>
              <w:left w:val="single" w:sz="8" w:space="0" w:color="auto"/>
              <w:bottom w:val="single" w:sz="4" w:space="0" w:color="auto"/>
              <w:right w:val="single" w:sz="4" w:space="0" w:color="auto"/>
            </w:tcBorders>
            <w:shd w:val="clear" w:color="000000" w:fill="FDE9D9"/>
            <w:vAlign w:val="center"/>
            <w:hideMark/>
          </w:tcPr>
          <w:p w14:paraId="7A374342" w14:textId="67F40D1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117,076</w:t>
            </w:r>
          </w:p>
        </w:tc>
        <w:tc>
          <w:tcPr>
            <w:tcW w:w="209" w:type="pct"/>
            <w:tcBorders>
              <w:top w:val="nil"/>
              <w:left w:val="nil"/>
              <w:bottom w:val="single" w:sz="4" w:space="0" w:color="auto"/>
              <w:right w:val="single" w:sz="4" w:space="0" w:color="auto"/>
            </w:tcBorders>
            <w:shd w:val="clear" w:color="000000" w:fill="FDE9D9"/>
            <w:vAlign w:val="center"/>
            <w:hideMark/>
          </w:tcPr>
          <w:p w14:paraId="351C2CF2" w14:textId="3BACA3D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40,080</w:t>
            </w:r>
          </w:p>
        </w:tc>
        <w:tc>
          <w:tcPr>
            <w:tcW w:w="195" w:type="pct"/>
            <w:tcBorders>
              <w:top w:val="nil"/>
              <w:left w:val="nil"/>
              <w:bottom w:val="single" w:sz="4" w:space="0" w:color="auto"/>
              <w:right w:val="single" w:sz="8" w:space="0" w:color="auto"/>
            </w:tcBorders>
            <w:shd w:val="clear" w:color="000000" w:fill="FDE9D9"/>
            <w:vAlign w:val="center"/>
            <w:hideMark/>
          </w:tcPr>
          <w:p w14:paraId="14F4FE08" w14:textId="106D68F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15,720</w:t>
            </w:r>
          </w:p>
        </w:tc>
        <w:tc>
          <w:tcPr>
            <w:tcW w:w="202" w:type="pct"/>
            <w:tcBorders>
              <w:top w:val="nil"/>
              <w:left w:val="nil"/>
              <w:bottom w:val="single" w:sz="4" w:space="0" w:color="auto"/>
              <w:right w:val="single" w:sz="4" w:space="0" w:color="auto"/>
            </w:tcBorders>
            <w:shd w:val="clear" w:color="000000" w:fill="FDE9D9"/>
            <w:vAlign w:val="center"/>
            <w:hideMark/>
          </w:tcPr>
          <w:p w14:paraId="15C242A3" w14:textId="4145121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1,800,795</w:t>
            </w:r>
          </w:p>
        </w:tc>
        <w:tc>
          <w:tcPr>
            <w:tcW w:w="200" w:type="pct"/>
            <w:tcBorders>
              <w:top w:val="nil"/>
              <w:left w:val="nil"/>
              <w:bottom w:val="single" w:sz="4" w:space="0" w:color="auto"/>
              <w:right w:val="single" w:sz="4" w:space="0" w:color="auto"/>
            </w:tcBorders>
            <w:shd w:val="clear" w:color="000000" w:fill="FDE9D9"/>
            <w:vAlign w:val="center"/>
            <w:hideMark/>
          </w:tcPr>
          <w:p w14:paraId="588336DD" w14:textId="2A28D69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1,219,545</w:t>
            </w:r>
          </w:p>
        </w:tc>
        <w:tc>
          <w:tcPr>
            <w:tcW w:w="197" w:type="pct"/>
            <w:tcBorders>
              <w:top w:val="nil"/>
              <w:left w:val="nil"/>
              <w:bottom w:val="single" w:sz="4" w:space="0" w:color="auto"/>
              <w:right w:val="single" w:sz="4" w:space="0" w:color="auto"/>
            </w:tcBorders>
            <w:shd w:val="clear" w:color="000000" w:fill="FDE9D9"/>
            <w:vAlign w:val="center"/>
            <w:hideMark/>
          </w:tcPr>
          <w:p w14:paraId="3CDC9959" w14:textId="2394091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417,500</w:t>
            </w:r>
          </w:p>
        </w:tc>
        <w:tc>
          <w:tcPr>
            <w:tcW w:w="342" w:type="pct"/>
            <w:tcBorders>
              <w:top w:val="nil"/>
              <w:left w:val="nil"/>
              <w:bottom w:val="single" w:sz="4" w:space="0" w:color="auto"/>
              <w:right w:val="single" w:sz="8" w:space="0" w:color="auto"/>
            </w:tcBorders>
            <w:shd w:val="clear" w:color="000000" w:fill="FDE9D9"/>
            <w:vAlign w:val="center"/>
            <w:hideMark/>
          </w:tcPr>
          <w:p w14:paraId="75F3B5BC" w14:textId="49A9D98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163,750</w:t>
            </w:r>
          </w:p>
        </w:tc>
      </w:tr>
      <w:tr w:rsidR="00387E5A" w:rsidRPr="00024D5A" w14:paraId="6A72DC56"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25F6A2F2" w14:textId="006F1C4F"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Masa </w:t>
            </w:r>
            <w:r w:rsidR="003A7AC6" w:rsidRPr="00024D5A">
              <w:rPr>
                <w:rFonts w:ascii="Garamond" w:eastAsia="Times New Roman" w:hAnsi="Garamond" w:cs="Calibri"/>
                <w:b/>
                <w:bCs/>
                <w:sz w:val="6"/>
                <w:szCs w:val="6"/>
                <w:lang w:eastAsia="en-US"/>
              </w:rPr>
              <w:t xml:space="preserve">prioritare </w:t>
            </w:r>
            <w:r w:rsidRPr="00024D5A">
              <w:rPr>
                <w:rFonts w:ascii="Garamond" w:eastAsia="Times New Roman" w:hAnsi="Garamond" w:cs="Calibri"/>
                <w:b/>
                <w:bCs/>
                <w:sz w:val="6"/>
                <w:szCs w:val="6"/>
                <w:lang w:eastAsia="en-US"/>
              </w:rPr>
              <w:t>1.1</w:t>
            </w:r>
            <w:r w:rsidR="003526AF">
              <w:rPr>
                <w:rFonts w:ascii="Garamond" w:eastAsia="Times New Roman" w:hAnsi="Garamond" w:cs="Calibri"/>
                <w:b/>
                <w:bCs/>
                <w:sz w:val="6"/>
                <w:szCs w:val="6"/>
                <w:lang w:eastAsia="en-US"/>
              </w:rPr>
              <w:t>:</w:t>
            </w:r>
            <w:r w:rsidR="003A7AC6" w:rsidRPr="00024D5A">
              <w:rPr>
                <w:rFonts w:ascii="Garamond" w:eastAsia="Times New Roman" w:hAnsi="Garamond" w:cs="Calibri"/>
                <w:b/>
                <w:bCs/>
                <w:sz w:val="6"/>
                <w:szCs w:val="6"/>
                <w:lang w:eastAsia="en-US"/>
              </w:rPr>
              <w:t xml:space="preserve"> </w:t>
            </w:r>
            <w:r w:rsidRPr="00024D5A">
              <w:rPr>
                <w:rFonts w:ascii="Garamond" w:eastAsia="Times New Roman" w:hAnsi="Garamond" w:cs="Calibri"/>
                <w:b/>
                <w:bCs/>
                <w:sz w:val="6"/>
                <w:szCs w:val="6"/>
                <w:lang w:eastAsia="en-US"/>
              </w:rPr>
              <w:t>Forcimi i parandalimit dhe diagnostikimit të hershëm</w:t>
            </w:r>
            <w:r w:rsidR="003A7AC6" w:rsidRPr="00024D5A">
              <w:rPr>
                <w:rFonts w:ascii="Garamond" w:eastAsia="Times New Roman" w:hAnsi="Garamond" w:cs="Calibri"/>
                <w:b/>
                <w:bCs/>
                <w:sz w:val="6"/>
                <w:szCs w:val="6"/>
                <w:lang w:eastAsia="en-US"/>
              </w:rPr>
              <w:t>.</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01D5EBB2"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2026</w:t>
            </w:r>
          </w:p>
        </w:tc>
        <w:tc>
          <w:tcPr>
            <w:tcW w:w="226" w:type="pct"/>
            <w:tcBorders>
              <w:top w:val="nil"/>
              <w:left w:val="nil"/>
              <w:bottom w:val="single" w:sz="4" w:space="0" w:color="auto"/>
              <w:right w:val="single" w:sz="4" w:space="0" w:color="auto"/>
            </w:tcBorders>
            <w:shd w:val="clear" w:color="000000" w:fill="DCE6F1"/>
            <w:vAlign w:val="center"/>
            <w:hideMark/>
          </w:tcPr>
          <w:p w14:paraId="06BFAD9C"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0273F805"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MSHMS/ISHP</w:t>
            </w:r>
          </w:p>
        </w:tc>
        <w:tc>
          <w:tcPr>
            <w:tcW w:w="792" w:type="pct"/>
            <w:tcBorders>
              <w:top w:val="nil"/>
              <w:left w:val="nil"/>
              <w:bottom w:val="single" w:sz="4" w:space="0" w:color="auto"/>
              <w:right w:val="single" w:sz="8" w:space="0" w:color="auto"/>
            </w:tcBorders>
            <w:shd w:val="clear" w:color="000000" w:fill="DCE6F1"/>
            <w:vAlign w:val="center"/>
            <w:hideMark/>
          </w:tcPr>
          <w:p w14:paraId="35FE80B8" w14:textId="5378B4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OSHKSH</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NJVKSH</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MA/BASHKI</w:t>
            </w:r>
          </w:p>
        </w:tc>
        <w:tc>
          <w:tcPr>
            <w:tcW w:w="188" w:type="pct"/>
            <w:tcBorders>
              <w:top w:val="nil"/>
              <w:left w:val="nil"/>
              <w:bottom w:val="single" w:sz="4" w:space="0" w:color="auto"/>
              <w:right w:val="single" w:sz="4" w:space="0" w:color="auto"/>
            </w:tcBorders>
            <w:shd w:val="clear" w:color="000000" w:fill="DCE6F1"/>
            <w:vAlign w:val="center"/>
            <w:hideMark/>
          </w:tcPr>
          <w:p w14:paraId="7F9CE42B" w14:textId="1D6FFED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22,120</w:t>
            </w:r>
          </w:p>
        </w:tc>
        <w:tc>
          <w:tcPr>
            <w:tcW w:w="190" w:type="pct"/>
            <w:tcBorders>
              <w:top w:val="nil"/>
              <w:left w:val="nil"/>
              <w:bottom w:val="single" w:sz="4" w:space="0" w:color="auto"/>
              <w:right w:val="single" w:sz="4" w:space="0" w:color="auto"/>
            </w:tcBorders>
            <w:shd w:val="clear" w:color="000000" w:fill="DCE6F1"/>
            <w:vAlign w:val="center"/>
            <w:hideMark/>
          </w:tcPr>
          <w:p w14:paraId="40EA40F4" w14:textId="52D622D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24,093</w:t>
            </w:r>
          </w:p>
        </w:tc>
        <w:tc>
          <w:tcPr>
            <w:tcW w:w="190" w:type="pct"/>
            <w:tcBorders>
              <w:top w:val="nil"/>
              <w:left w:val="nil"/>
              <w:bottom w:val="single" w:sz="4" w:space="0" w:color="auto"/>
              <w:right w:val="single" w:sz="4" w:space="0" w:color="auto"/>
            </w:tcBorders>
            <w:shd w:val="clear" w:color="000000" w:fill="DCE6F1"/>
            <w:vAlign w:val="center"/>
            <w:hideMark/>
          </w:tcPr>
          <w:p w14:paraId="75CAA9E1" w14:textId="4B25FA7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4,909</w:t>
            </w:r>
          </w:p>
        </w:tc>
        <w:tc>
          <w:tcPr>
            <w:tcW w:w="190" w:type="pct"/>
            <w:tcBorders>
              <w:top w:val="nil"/>
              <w:left w:val="nil"/>
              <w:bottom w:val="single" w:sz="4" w:space="0" w:color="auto"/>
              <w:right w:val="single" w:sz="4" w:space="0" w:color="auto"/>
            </w:tcBorders>
            <w:shd w:val="clear" w:color="000000" w:fill="DCE6F1"/>
            <w:vAlign w:val="center"/>
            <w:hideMark/>
          </w:tcPr>
          <w:p w14:paraId="7AE40363" w14:textId="6AB337F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7,409</w:t>
            </w:r>
          </w:p>
        </w:tc>
        <w:tc>
          <w:tcPr>
            <w:tcW w:w="187" w:type="pct"/>
            <w:tcBorders>
              <w:top w:val="nil"/>
              <w:left w:val="nil"/>
              <w:bottom w:val="single" w:sz="4" w:space="0" w:color="auto"/>
              <w:right w:val="single" w:sz="4" w:space="0" w:color="auto"/>
            </w:tcBorders>
            <w:shd w:val="clear" w:color="000000" w:fill="DCE6F1"/>
            <w:vAlign w:val="center"/>
            <w:hideMark/>
          </w:tcPr>
          <w:p w14:paraId="1862E77A" w14:textId="76E56EE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5,000</w:t>
            </w:r>
          </w:p>
        </w:tc>
        <w:tc>
          <w:tcPr>
            <w:tcW w:w="200" w:type="pct"/>
            <w:tcBorders>
              <w:top w:val="nil"/>
              <w:left w:val="nil"/>
              <w:bottom w:val="single" w:sz="4" w:space="0" w:color="auto"/>
              <w:right w:val="nil"/>
            </w:tcBorders>
            <w:shd w:val="clear" w:color="000000" w:fill="DCE6F1"/>
            <w:vAlign w:val="center"/>
            <w:hideMark/>
          </w:tcPr>
          <w:p w14:paraId="2556E633" w14:textId="375F574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63,531</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11C9F2D2" w14:textId="55B0FBA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18,651</w:t>
            </w:r>
          </w:p>
        </w:tc>
        <w:tc>
          <w:tcPr>
            <w:tcW w:w="209" w:type="pct"/>
            <w:tcBorders>
              <w:top w:val="nil"/>
              <w:left w:val="nil"/>
              <w:bottom w:val="single" w:sz="4" w:space="0" w:color="auto"/>
              <w:right w:val="single" w:sz="4" w:space="0" w:color="auto"/>
            </w:tcBorders>
            <w:shd w:val="clear" w:color="000000" w:fill="DCE6F1"/>
            <w:vAlign w:val="center"/>
            <w:hideMark/>
          </w:tcPr>
          <w:p w14:paraId="0B750FED" w14:textId="71917F5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40,080</w:t>
            </w:r>
          </w:p>
        </w:tc>
        <w:tc>
          <w:tcPr>
            <w:tcW w:w="195" w:type="pct"/>
            <w:tcBorders>
              <w:top w:val="nil"/>
              <w:left w:val="nil"/>
              <w:bottom w:val="single" w:sz="4" w:space="0" w:color="auto"/>
              <w:right w:val="single" w:sz="8" w:space="0" w:color="auto"/>
            </w:tcBorders>
            <w:shd w:val="clear" w:color="000000" w:fill="DCE6F1"/>
            <w:vAlign w:val="center"/>
            <w:hideMark/>
          </w:tcPr>
          <w:p w14:paraId="24F09BF7" w14:textId="221D4D5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4,800</w:t>
            </w:r>
          </w:p>
        </w:tc>
        <w:tc>
          <w:tcPr>
            <w:tcW w:w="202" w:type="pct"/>
            <w:tcBorders>
              <w:top w:val="nil"/>
              <w:left w:val="nil"/>
              <w:bottom w:val="single" w:sz="4" w:space="0" w:color="auto"/>
              <w:right w:val="single" w:sz="4" w:space="0" w:color="auto"/>
            </w:tcBorders>
            <w:shd w:val="clear" w:color="000000" w:fill="DCE6F1"/>
            <w:vAlign w:val="center"/>
            <w:hideMark/>
          </w:tcPr>
          <w:p w14:paraId="3D9C144B" w14:textId="1742E03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661,780</w:t>
            </w:r>
          </w:p>
        </w:tc>
        <w:tc>
          <w:tcPr>
            <w:tcW w:w="200" w:type="pct"/>
            <w:tcBorders>
              <w:top w:val="nil"/>
              <w:left w:val="nil"/>
              <w:bottom w:val="single" w:sz="4" w:space="0" w:color="auto"/>
              <w:right w:val="single" w:sz="4" w:space="0" w:color="auto"/>
            </w:tcBorders>
            <w:shd w:val="clear" w:color="000000" w:fill="DCE6F1"/>
            <w:vAlign w:val="center"/>
            <w:hideMark/>
          </w:tcPr>
          <w:p w14:paraId="27C3589D" w14:textId="3B73B83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194,280</w:t>
            </w:r>
          </w:p>
        </w:tc>
        <w:tc>
          <w:tcPr>
            <w:tcW w:w="197" w:type="pct"/>
            <w:tcBorders>
              <w:top w:val="nil"/>
              <w:left w:val="nil"/>
              <w:bottom w:val="single" w:sz="4" w:space="0" w:color="auto"/>
              <w:right w:val="single" w:sz="4" w:space="0" w:color="auto"/>
            </w:tcBorders>
            <w:shd w:val="clear" w:color="000000" w:fill="DCE6F1"/>
            <w:vAlign w:val="center"/>
            <w:hideMark/>
          </w:tcPr>
          <w:p w14:paraId="0C2B50EF" w14:textId="1BBF00A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417,500</w:t>
            </w:r>
          </w:p>
        </w:tc>
        <w:tc>
          <w:tcPr>
            <w:tcW w:w="342" w:type="pct"/>
            <w:tcBorders>
              <w:top w:val="nil"/>
              <w:left w:val="nil"/>
              <w:bottom w:val="single" w:sz="4" w:space="0" w:color="auto"/>
              <w:right w:val="single" w:sz="8" w:space="0" w:color="auto"/>
            </w:tcBorders>
            <w:shd w:val="clear" w:color="000000" w:fill="DCE6F1"/>
            <w:vAlign w:val="center"/>
            <w:hideMark/>
          </w:tcPr>
          <w:p w14:paraId="74CCA8C1" w14:textId="7D20C11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50,000</w:t>
            </w:r>
          </w:p>
        </w:tc>
      </w:tr>
      <w:tr w:rsidR="00387E5A" w:rsidRPr="00024D5A" w14:paraId="169877ED"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537BC28E" w14:textId="577D0F63"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Masa </w:t>
            </w:r>
            <w:r w:rsidR="00BB0B47" w:rsidRPr="00024D5A">
              <w:rPr>
                <w:rFonts w:ascii="Garamond" w:eastAsia="Times New Roman" w:hAnsi="Garamond" w:cs="Calibri"/>
                <w:b/>
                <w:bCs/>
                <w:sz w:val="6"/>
                <w:szCs w:val="6"/>
                <w:lang w:eastAsia="en-US"/>
              </w:rPr>
              <w:t xml:space="preserve">prioritare </w:t>
            </w:r>
            <w:r w:rsidRPr="00024D5A">
              <w:rPr>
                <w:rFonts w:ascii="Garamond" w:eastAsia="Times New Roman" w:hAnsi="Garamond" w:cs="Calibri"/>
                <w:b/>
                <w:bCs/>
                <w:sz w:val="6"/>
                <w:szCs w:val="6"/>
                <w:lang w:eastAsia="en-US"/>
              </w:rPr>
              <w:t>1.2</w:t>
            </w:r>
            <w:r w:rsidR="003526AF">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Zhvillimi i kujdesit shëndetësor gjithëpërfshirës dhe të orientuar drejt personave me aftësi të kufizuara</w:t>
            </w:r>
            <w:r w:rsidR="00E51640" w:rsidRPr="00024D5A">
              <w:rPr>
                <w:rFonts w:ascii="Garamond" w:eastAsia="Times New Roman" w:hAnsi="Garamond" w:cs="Calibri"/>
                <w:b/>
                <w:bCs/>
                <w:sz w:val="6"/>
                <w:szCs w:val="6"/>
                <w:lang w:eastAsia="en-US"/>
              </w:rPr>
              <w:t>.</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4DE3B054"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2026</w:t>
            </w:r>
          </w:p>
        </w:tc>
        <w:tc>
          <w:tcPr>
            <w:tcW w:w="226" w:type="pct"/>
            <w:tcBorders>
              <w:top w:val="nil"/>
              <w:left w:val="nil"/>
              <w:bottom w:val="single" w:sz="4" w:space="0" w:color="auto"/>
              <w:right w:val="single" w:sz="4" w:space="0" w:color="auto"/>
            </w:tcBorders>
            <w:shd w:val="clear" w:color="000000" w:fill="DCE6F1"/>
            <w:vAlign w:val="center"/>
            <w:hideMark/>
          </w:tcPr>
          <w:p w14:paraId="32F07230"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4D5975F3"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OSHKSH</w:t>
            </w:r>
          </w:p>
        </w:tc>
        <w:tc>
          <w:tcPr>
            <w:tcW w:w="792" w:type="pct"/>
            <w:tcBorders>
              <w:top w:val="nil"/>
              <w:left w:val="nil"/>
              <w:bottom w:val="single" w:sz="4" w:space="0" w:color="auto"/>
              <w:right w:val="single" w:sz="8" w:space="0" w:color="auto"/>
            </w:tcBorders>
            <w:shd w:val="clear" w:color="000000" w:fill="DCE6F1"/>
            <w:vAlign w:val="center"/>
            <w:hideMark/>
          </w:tcPr>
          <w:p w14:paraId="7C0ED54C"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w:t>
            </w:r>
          </w:p>
        </w:tc>
        <w:tc>
          <w:tcPr>
            <w:tcW w:w="188" w:type="pct"/>
            <w:tcBorders>
              <w:top w:val="nil"/>
              <w:left w:val="nil"/>
              <w:bottom w:val="single" w:sz="4" w:space="0" w:color="auto"/>
              <w:right w:val="single" w:sz="4" w:space="0" w:color="auto"/>
            </w:tcBorders>
            <w:shd w:val="clear" w:color="000000" w:fill="DCE6F1"/>
            <w:vAlign w:val="center"/>
            <w:hideMark/>
          </w:tcPr>
          <w:p w14:paraId="6019C5A2" w14:textId="7563643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20,044</w:t>
            </w:r>
          </w:p>
        </w:tc>
        <w:tc>
          <w:tcPr>
            <w:tcW w:w="190" w:type="pct"/>
            <w:tcBorders>
              <w:top w:val="nil"/>
              <w:left w:val="nil"/>
              <w:bottom w:val="single" w:sz="4" w:space="0" w:color="auto"/>
              <w:right w:val="single" w:sz="4" w:space="0" w:color="auto"/>
            </w:tcBorders>
            <w:shd w:val="clear" w:color="000000" w:fill="DCE6F1"/>
            <w:vAlign w:val="center"/>
            <w:hideMark/>
          </w:tcPr>
          <w:p w14:paraId="57BFCFF6" w14:textId="4C8A605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20,044</w:t>
            </w:r>
          </w:p>
        </w:tc>
        <w:tc>
          <w:tcPr>
            <w:tcW w:w="190" w:type="pct"/>
            <w:tcBorders>
              <w:top w:val="nil"/>
              <w:left w:val="nil"/>
              <w:bottom w:val="single" w:sz="4" w:space="0" w:color="auto"/>
              <w:right w:val="single" w:sz="4" w:space="0" w:color="auto"/>
            </w:tcBorders>
            <w:shd w:val="clear" w:color="000000" w:fill="DCE6F1"/>
            <w:vAlign w:val="center"/>
            <w:hideMark/>
          </w:tcPr>
          <w:p w14:paraId="7499F0B9" w14:textId="129616C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26,694</w:t>
            </w:r>
          </w:p>
        </w:tc>
        <w:tc>
          <w:tcPr>
            <w:tcW w:w="190" w:type="pct"/>
            <w:tcBorders>
              <w:top w:val="nil"/>
              <w:left w:val="nil"/>
              <w:bottom w:val="single" w:sz="4" w:space="0" w:color="auto"/>
              <w:right w:val="single" w:sz="4" w:space="0" w:color="auto"/>
            </w:tcBorders>
            <w:shd w:val="clear" w:color="000000" w:fill="DCE6F1"/>
            <w:vAlign w:val="center"/>
            <w:hideMark/>
          </w:tcPr>
          <w:p w14:paraId="50B4D9AC" w14:textId="76C37D9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23,483</w:t>
            </w:r>
          </w:p>
        </w:tc>
        <w:tc>
          <w:tcPr>
            <w:tcW w:w="187" w:type="pct"/>
            <w:tcBorders>
              <w:top w:val="nil"/>
              <w:left w:val="nil"/>
              <w:bottom w:val="single" w:sz="4" w:space="0" w:color="auto"/>
              <w:right w:val="single" w:sz="4" w:space="0" w:color="auto"/>
            </w:tcBorders>
            <w:shd w:val="clear" w:color="000000" w:fill="DCE6F1"/>
            <w:vAlign w:val="center"/>
            <w:hideMark/>
          </w:tcPr>
          <w:p w14:paraId="450F8E0D" w14:textId="1ABD446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19,081</w:t>
            </w:r>
          </w:p>
        </w:tc>
        <w:tc>
          <w:tcPr>
            <w:tcW w:w="200" w:type="pct"/>
            <w:tcBorders>
              <w:top w:val="nil"/>
              <w:left w:val="nil"/>
              <w:bottom w:val="single" w:sz="4" w:space="0" w:color="auto"/>
              <w:right w:val="nil"/>
            </w:tcBorders>
            <w:shd w:val="clear" w:color="000000" w:fill="DCE6F1"/>
            <w:vAlign w:val="center"/>
            <w:hideMark/>
          </w:tcPr>
          <w:p w14:paraId="00C95827" w14:textId="7C23F92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109,345</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474771F6" w14:textId="35B3BC8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98,425</w:t>
            </w:r>
          </w:p>
        </w:tc>
        <w:tc>
          <w:tcPr>
            <w:tcW w:w="209" w:type="pct"/>
            <w:tcBorders>
              <w:top w:val="nil"/>
              <w:left w:val="nil"/>
              <w:bottom w:val="single" w:sz="4" w:space="0" w:color="auto"/>
              <w:right w:val="single" w:sz="4" w:space="0" w:color="auto"/>
            </w:tcBorders>
            <w:shd w:val="clear" w:color="000000" w:fill="DCE6F1"/>
            <w:vAlign w:val="center"/>
            <w:hideMark/>
          </w:tcPr>
          <w:p w14:paraId="1AEBC123" w14:textId="1445BBB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5" w:type="pct"/>
            <w:tcBorders>
              <w:top w:val="nil"/>
              <w:left w:val="nil"/>
              <w:bottom w:val="single" w:sz="4" w:space="0" w:color="auto"/>
              <w:right w:val="single" w:sz="8" w:space="0" w:color="auto"/>
            </w:tcBorders>
            <w:shd w:val="clear" w:color="000000" w:fill="DCE6F1"/>
            <w:vAlign w:val="center"/>
            <w:hideMark/>
          </w:tcPr>
          <w:p w14:paraId="615D27B1" w14:textId="7C4CDEA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10,920</w:t>
            </w:r>
          </w:p>
        </w:tc>
        <w:tc>
          <w:tcPr>
            <w:tcW w:w="202" w:type="pct"/>
            <w:tcBorders>
              <w:top w:val="nil"/>
              <w:left w:val="nil"/>
              <w:bottom w:val="single" w:sz="4" w:space="0" w:color="auto"/>
              <w:right w:val="single" w:sz="4" w:space="0" w:color="auto"/>
            </w:tcBorders>
            <w:shd w:val="clear" w:color="000000" w:fill="DCE6F1"/>
            <w:vAlign w:val="center"/>
            <w:hideMark/>
          </w:tcPr>
          <w:p w14:paraId="4DC8922F" w14:textId="7702CAD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1,139,014</w:t>
            </w:r>
          </w:p>
        </w:tc>
        <w:tc>
          <w:tcPr>
            <w:tcW w:w="200" w:type="pct"/>
            <w:tcBorders>
              <w:top w:val="nil"/>
              <w:left w:val="nil"/>
              <w:bottom w:val="single" w:sz="4" w:space="0" w:color="auto"/>
              <w:right w:val="single" w:sz="4" w:space="0" w:color="auto"/>
            </w:tcBorders>
            <w:shd w:val="clear" w:color="000000" w:fill="DCE6F1"/>
            <w:vAlign w:val="center"/>
            <w:hideMark/>
          </w:tcPr>
          <w:p w14:paraId="229CE998" w14:textId="59DA53C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1,025,264</w:t>
            </w:r>
          </w:p>
        </w:tc>
        <w:tc>
          <w:tcPr>
            <w:tcW w:w="197" w:type="pct"/>
            <w:tcBorders>
              <w:top w:val="nil"/>
              <w:left w:val="nil"/>
              <w:bottom w:val="single" w:sz="4" w:space="0" w:color="auto"/>
              <w:right w:val="single" w:sz="4" w:space="0" w:color="auto"/>
            </w:tcBorders>
            <w:shd w:val="clear" w:color="000000" w:fill="DCE6F1"/>
            <w:vAlign w:val="center"/>
            <w:hideMark/>
          </w:tcPr>
          <w:p w14:paraId="78BA41DC" w14:textId="70048AA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single" w:sz="8" w:space="0" w:color="auto"/>
            </w:tcBorders>
            <w:shd w:val="clear" w:color="000000" w:fill="DCE6F1"/>
            <w:vAlign w:val="center"/>
            <w:hideMark/>
          </w:tcPr>
          <w:p w14:paraId="1C7D865E" w14:textId="5190CEB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113,750</w:t>
            </w:r>
          </w:p>
        </w:tc>
      </w:tr>
      <w:tr w:rsidR="00387E5A" w:rsidRPr="00024D5A" w14:paraId="06DFBF69" w14:textId="77777777" w:rsidTr="00387E5A">
        <w:trPr>
          <w:trHeight w:val="20"/>
        </w:trPr>
        <w:tc>
          <w:tcPr>
            <w:tcW w:w="375" w:type="pct"/>
            <w:tcBorders>
              <w:top w:val="nil"/>
              <w:left w:val="single" w:sz="4" w:space="0" w:color="auto"/>
              <w:bottom w:val="single" w:sz="4" w:space="0" w:color="auto"/>
              <w:right w:val="nil"/>
            </w:tcBorders>
            <w:shd w:val="clear" w:color="000000" w:fill="FDE9D9"/>
            <w:vAlign w:val="center"/>
            <w:hideMark/>
          </w:tcPr>
          <w:p w14:paraId="723D8647" w14:textId="467AEA61"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Objektivi </w:t>
            </w:r>
            <w:r w:rsidR="00BB0B47" w:rsidRPr="00024D5A">
              <w:rPr>
                <w:rFonts w:ascii="Garamond" w:eastAsia="Times New Roman" w:hAnsi="Garamond" w:cs="Calibri"/>
                <w:b/>
                <w:bCs/>
                <w:sz w:val="6"/>
                <w:szCs w:val="6"/>
                <w:lang w:eastAsia="en-US"/>
              </w:rPr>
              <w:t xml:space="preserve">specifik </w:t>
            </w:r>
            <w:r w:rsidRPr="00024D5A">
              <w:rPr>
                <w:rFonts w:ascii="Garamond" w:eastAsia="Times New Roman" w:hAnsi="Garamond" w:cs="Calibri"/>
                <w:b/>
                <w:bCs/>
                <w:sz w:val="6"/>
                <w:szCs w:val="6"/>
                <w:lang w:eastAsia="en-US"/>
              </w:rPr>
              <w:t>2</w:t>
            </w:r>
            <w:r w:rsidR="003526AF">
              <w:rPr>
                <w:rFonts w:ascii="Garamond" w:eastAsia="Times New Roman" w:hAnsi="Garamond" w:cs="Calibri"/>
                <w:b/>
                <w:bCs/>
                <w:sz w:val="6"/>
                <w:szCs w:val="6"/>
                <w:lang w:eastAsia="en-US"/>
              </w:rPr>
              <w:t>:</w:t>
            </w:r>
            <w:r w:rsidR="003A7AC6" w:rsidRPr="00024D5A">
              <w:rPr>
                <w:rFonts w:ascii="Garamond" w:eastAsia="Times New Roman" w:hAnsi="Garamond" w:cs="Calibri"/>
                <w:b/>
                <w:bCs/>
                <w:sz w:val="6"/>
                <w:szCs w:val="6"/>
                <w:lang w:eastAsia="en-US"/>
              </w:rPr>
              <w:t xml:space="preserve"> </w:t>
            </w:r>
            <w:r w:rsidRPr="00024D5A">
              <w:rPr>
                <w:rFonts w:ascii="Garamond" w:eastAsia="Times New Roman" w:hAnsi="Garamond" w:cs="Calibri"/>
                <w:b/>
                <w:bCs/>
                <w:sz w:val="6"/>
                <w:szCs w:val="6"/>
                <w:lang w:eastAsia="en-US"/>
              </w:rPr>
              <w:t>Mundësimi i rehabilitimit cilësor, shërbimeve të shëndetit mendor dhe aksesit në teknologji ndihmëse, të bazuara në komunitet dhe në nevojat individuale</w:t>
            </w:r>
            <w:r w:rsidR="003A7AC6" w:rsidRPr="00024D5A">
              <w:rPr>
                <w:rFonts w:ascii="Garamond" w:eastAsia="Times New Roman" w:hAnsi="Garamond" w:cs="Calibri"/>
                <w:b/>
                <w:bCs/>
                <w:sz w:val="6"/>
                <w:szCs w:val="6"/>
                <w:lang w:eastAsia="en-US"/>
              </w:rPr>
              <w:t>.</w:t>
            </w:r>
          </w:p>
        </w:tc>
        <w:tc>
          <w:tcPr>
            <w:tcW w:w="244" w:type="pct"/>
            <w:tcBorders>
              <w:top w:val="nil"/>
              <w:left w:val="single" w:sz="8" w:space="0" w:color="auto"/>
              <w:bottom w:val="single" w:sz="4" w:space="0" w:color="auto"/>
              <w:right w:val="single" w:sz="4" w:space="0" w:color="auto"/>
            </w:tcBorders>
            <w:shd w:val="clear" w:color="000000" w:fill="FDE9D9"/>
            <w:vAlign w:val="center"/>
            <w:hideMark/>
          </w:tcPr>
          <w:p w14:paraId="3D554110"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0</w:t>
            </w:r>
          </w:p>
        </w:tc>
        <w:tc>
          <w:tcPr>
            <w:tcW w:w="226" w:type="pct"/>
            <w:tcBorders>
              <w:top w:val="nil"/>
              <w:left w:val="nil"/>
              <w:bottom w:val="single" w:sz="4" w:space="0" w:color="auto"/>
              <w:right w:val="single" w:sz="4" w:space="0" w:color="auto"/>
            </w:tcBorders>
            <w:shd w:val="clear" w:color="000000" w:fill="FDE9D9"/>
            <w:vAlign w:val="center"/>
            <w:hideMark/>
          </w:tcPr>
          <w:p w14:paraId="0AADD29D"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2030</w:t>
            </w:r>
          </w:p>
        </w:tc>
        <w:tc>
          <w:tcPr>
            <w:tcW w:w="664" w:type="pct"/>
            <w:tcBorders>
              <w:top w:val="nil"/>
              <w:left w:val="nil"/>
              <w:bottom w:val="single" w:sz="4" w:space="0" w:color="auto"/>
              <w:right w:val="single" w:sz="4" w:space="0" w:color="auto"/>
            </w:tcBorders>
            <w:shd w:val="clear" w:color="000000" w:fill="FDE9D9"/>
            <w:vAlign w:val="center"/>
            <w:hideMark/>
          </w:tcPr>
          <w:p w14:paraId="497595AB"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w:t>
            </w:r>
          </w:p>
        </w:tc>
        <w:tc>
          <w:tcPr>
            <w:tcW w:w="792" w:type="pct"/>
            <w:tcBorders>
              <w:top w:val="nil"/>
              <w:left w:val="nil"/>
              <w:bottom w:val="single" w:sz="4" w:space="0" w:color="auto"/>
              <w:right w:val="single" w:sz="8" w:space="0" w:color="auto"/>
            </w:tcBorders>
            <w:shd w:val="clear" w:color="000000" w:fill="FDE9D9"/>
            <w:vAlign w:val="center"/>
            <w:hideMark/>
          </w:tcPr>
          <w:p w14:paraId="3EFBA9A5" w14:textId="786AC489"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OSHKSH/ISHP/</w:t>
            </w:r>
            <w:r w:rsidR="003A7AC6" w:rsidRPr="00024D5A">
              <w:rPr>
                <w:rFonts w:ascii="Garamond" w:eastAsia="Times New Roman" w:hAnsi="Garamond"/>
                <w:sz w:val="6"/>
                <w:szCs w:val="6"/>
                <w:lang w:eastAsia="en-US"/>
              </w:rPr>
              <w:t>Bashkitë</w:t>
            </w:r>
            <w:r w:rsidRPr="00024D5A">
              <w:rPr>
                <w:rFonts w:ascii="Garamond" w:eastAsia="Times New Roman" w:hAnsi="Garamond"/>
                <w:sz w:val="6"/>
                <w:szCs w:val="6"/>
                <w:lang w:eastAsia="en-US"/>
              </w:rPr>
              <w:t>/QSUT/FSDKSH/Urdhrat/</w:t>
            </w:r>
            <w:r w:rsidR="003A7AC6" w:rsidRPr="00024D5A">
              <w:rPr>
                <w:rFonts w:ascii="Garamond" w:eastAsia="Times New Roman" w:hAnsi="Garamond"/>
                <w:sz w:val="6"/>
                <w:szCs w:val="6"/>
                <w:lang w:eastAsia="en-US"/>
              </w:rPr>
              <w:t xml:space="preserve"> Universitetet</w:t>
            </w:r>
          </w:p>
        </w:tc>
        <w:tc>
          <w:tcPr>
            <w:tcW w:w="188" w:type="pct"/>
            <w:tcBorders>
              <w:top w:val="nil"/>
              <w:left w:val="nil"/>
              <w:bottom w:val="single" w:sz="4" w:space="0" w:color="auto"/>
              <w:right w:val="single" w:sz="4" w:space="0" w:color="auto"/>
            </w:tcBorders>
            <w:shd w:val="clear" w:color="000000" w:fill="FDE9D9"/>
            <w:vAlign w:val="center"/>
            <w:hideMark/>
          </w:tcPr>
          <w:p w14:paraId="57A807B1" w14:textId="4754253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144,232</w:t>
            </w:r>
          </w:p>
        </w:tc>
        <w:tc>
          <w:tcPr>
            <w:tcW w:w="190" w:type="pct"/>
            <w:tcBorders>
              <w:top w:val="nil"/>
              <w:left w:val="nil"/>
              <w:bottom w:val="single" w:sz="4" w:space="0" w:color="auto"/>
              <w:right w:val="single" w:sz="4" w:space="0" w:color="auto"/>
            </w:tcBorders>
            <w:shd w:val="clear" w:color="000000" w:fill="FDE9D9"/>
            <w:vAlign w:val="center"/>
            <w:hideMark/>
          </w:tcPr>
          <w:p w14:paraId="643BE897" w14:textId="27C231B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153,614</w:t>
            </w:r>
          </w:p>
        </w:tc>
        <w:tc>
          <w:tcPr>
            <w:tcW w:w="190" w:type="pct"/>
            <w:tcBorders>
              <w:top w:val="nil"/>
              <w:left w:val="nil"/>
              <w:bottom w:val="single" w:sz="4" w:space="0" w:color="auto"/>
              <w:right w:val="single" w:sz="4" w:space="0" w:color="auto"/>
            </w:tcBorders>
            <w:shd w:val="clear" w:color="000000" w:fill="FDE9D9"/>
            <w:vAlign w:val="center"/>
            <w:hideMark/>
          </w:tcPr>
          <w:p w14:paraId="6956DA25" w14:textId="6ED970B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148,355</w:t>
            </w:r>
          </w:p>
        </w:tc>
        <w:tc>
          <w:tcPr>
            <w:tcW w:w="190" w:type="pct"/>
            <w:tcBorders>
              <w:top w:val="nil"/>
              <w:left w:val="nil"/>
              <w:bottom w:val="single" w:sz="4" w:space="0" w:color="auto"/>
              <w:right w:val="single" w:sz="4" w:space="0" w:color="auto"/>
            </w:tcBorders>
            <w:shd w:val="clear" w:color="000000" w:fill="FDE9D9"/>
            <w:vAlign w:val="center"/>
            <w:hideMark/>
          </w:tcPr>
          <w:p w14:paraId="43FBAFDB" w14:textId="25E905C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158,893</w:t>
            </w:r>
          </w:p>
        </w:tc>
        <w:tc>
          <w:tcPr>
            <w:tcW w:w="187" w:type="pct"/>
            <w:tcBorders>
              <w:top w:val="nil"/>
              <w:left w:val="nil"/>
              <w:bottom w:val="single" w:sz="4" w:space="0" w:color="auto"/>
              <w:right w:val="single" w:sz="4" w:space="0" w:color="auto"/>
            </w:tcBorders>
            <w:shd w:val="clear" w:color="000000" w:fill="FDE9D9"/>
            <w:vAlign w:val="center"/>
            <w:hideMark/>
          </w:tcPr>
          <w:p w14:paraId="29964C69" w14:textId="350DF72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154,669</w:t>
            </w:r>
          </w:p>
        </w:tc>
        <w:tc>
          <w:tcPr>
            <w:tcW w:w="200" w:type="pct"/>
            <w:tcBorders>
              <w:top w:val="nil"/>
              <w:left w:val="nil"/>
              <w:bottom w:val="single" w:sz="4" w:space="0" w:color="auto"/>
              <w:right w:val="nil"/>
            </w:tcBorders>
            <w:shd w:val="clear" w:color="000000" w:fill="FDE9D9"/>
            <w:vAlign w:val="center"/>
            <w:hideMark/>
          </w:tcPr>
          <w:p w14:paraId="05FE288C" w14:textId="572DECA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759,763</w:t>
            </w:r>
          </w:p>
        </w:tc>
        <w:tc>
          <w:tcPr>
            <w:tcW w:w="209" w:type="pct"/>
            <w:tcBorders>
              <w:top w:val="nil"/>
              <w:left w:val="single" w:sz="8" w:space="0" w:color="auto"/>
              <w:bottom w:val="single" w:sz="4" w:space="0" w:color="auto"/>
              <w:right w:val="single" w:sz="4" w:space="0" w:color="auto"/>
            </w:tcBorders>
            <w:shd w:val="clear" w:color="000000" w:fill="FDE9D9"/>
            <w:vAlign w:val="center"/>
            <w:hideMark/>
          </w:tcPr>
          <w:p w14:paraId="02663285" w14:textId="68B9C37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569,567</w:t>
            </w:r>
          </w:p>
        </w:tc>
        <w:tc>
          <w:tcPr>
            <w:tcW w:w="209" w:type="pct"/>
            <w:tcBorders>
              <w:top w:val="nil"/>
              <w:left w:val="nil"/>
              <w:bottom w:val="single" w:sz="4" w:space="0" w:color="auto"/>
              <w:right w:val="single" w:sz="4" w:space="0" w:color="auto"/>
            </w:tcBorders>
            <w:shd w:val="clear" w:color="000000" w:fill="FDE9D9"/>
            <w:vAlign w:val="center"/>
            <w:hideMark/>
          </w:tcPr>
          <w:p w14:paraId="25ACB983" w14:textId="50F713D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9,575</w:t>
            </w:r>
          </w:p>
        </w:tc>
        <w:tc>
          <w:tcPr>
            <w:tcW w:w="195" w:type="pct"/>
            <w:tcBorders>
              <w:top w:val="nil"/>
              <w:left w:val="nil"/>
              <w:bottom w:val="single" w:sz="4" w:space="0" w:color="auto"/>
              <w:right w:val="single" w:sz="8" w:space="0" w:color="auto"/>
            </w:tcBorders>
            <w:shd w:val="clear" w:color="000000" w:fill="FDE9D9"/>
            <w:vAlign w:val="center"/>
            <w:hideMark/>
          </w:tcPr>
          <w:p w14:paraId="6E559BF9" w14:textId="7CE04C7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180,621</w:t>
            </w:r>
          </w:p>
        </w:tc>
        <w:tc>
          <w:tcPr>
            <w:tcW w:w="202" w:type="pct"/>
            <w:tcBorders>
              <w:top w:val="nil"/>
              <w:left w:val="nil"/>
              <w:bottom w:val="single" w:sz="4" w:space="0" w:color="auto"/>
              <w:right w:val="single" w:sz="4" w:space="0" w:color="auto"/>
            </w:tcBorders>
            <w:shd w:val="clear" w:color="000000" w:fill="FDE9D9"/>
            <w:vAlign w:val="center"/>
            <w:hideMark/>
          </w:tcPr>
          <w:p w14:paraId="654D97F1" w14:textId="05D29AB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7,914,203</w:t>
            </w:r>
          </w:p>
        </w:tc>
        <w:tc>
          <w:tcPr>
            <w:tcW w:w="200" w:type="pct"/>
            <w:tcBorders>
              <w:top w:val="nil"/>
              <w:left w:val="nil"/>
              <w:bottom w:val="single" w:sz="4" w:space="0" w:color="auto"/>
              <w:right w:val="single" w:sz="4" w:space="0" w:color="auto"/>
            </w:tcBorders>
            <w:shd w:val="clear" w:color="000000" w:fill="FDE9D9"/>
            <w:vAlign w:val="center"/>
            <w:hideMark/>
          </w:tcPr>
          <w:p w14:paraId="6CCAD562" w14:textId="4692CAE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5,932,994</w:t>
            </w:r>
          </w:p>
        </w:tc>
        <w:tc>
          <w:tcPr>
            <w:tcW w:w="197" w:type="pct"/>
            <w:tcBorders>
              <w:top w:val="nil"/>
              <w:left w:val="nil"/>
              <w:bottom w:val="single" w:sz="4" w:space="0" w:color="auto"/>
              <w:right w:val="single" w:sz="4" w:space="0" w:color="auto"/>
            </w:tcBorders>
            <w:shd w:val="clear" w:color="000000" w:fill="FDE9D9"/>
            <w:vAlign w:val="center"/>
            <w:hideMark/>
          </w:tcPr>
          <w:p w14:paraId="3C6912D4" w14:textId="7903C87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99,740</w:t>
            </w:r>
          </w:p>
        </w:tc>
        <w:tc>
          <w:tcPr>
            <w:tcW w:w="342" w:type="pct"/>
            <w:tcBorders>
              <w:top w:val="nil"/>
              <w:left w:val="nil"/>
              <w:bottom w:val="single" w:sz="4" w:space="0" w:color="auto"/>
              <w:right w:val="single" w:sz="8" w:space="0" w:color="auto"/>
            </w:tcBorders>
            <w:shd w:val="clear" w:color="000000" w:fill="FDE9D9"/>
            <w:vAlign w:val="center"/>
            <w:hideMark/>
          </w:tcPr>
          <w:p w14:paraId="26041D2B" w14:textId="6761EBC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1,881,469</w:t>
            </w:r>
          </w:p>
        </w:tc>
      </w:tr>
      <w:tr w:rsidR="00387E5A" w:rsidRPr="00024D5A" w14:paraId="4DF73377"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50BEC8E1" w14:textId="2F4C09B3"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Masa </w:t>
            </w:r>
            <w:r w:rsidR="00BB0B47" w:rsidRPr="00024D5A">
              <w:rPr>
                <w:rFonts w:ascii="Garamond" w:eastAsia="Times New Roman" w:hAnsi="Garamond" w:cs="Calibri"/>
                <w:b/>
                <w:bCs/>
                <w:sz w:val="6"/>
                <w:szCs w:val="6"/>
                <w:lang w:eastAsia="en-US"/>
              </w:rPr>
              <w:t xml:space="preserve">prioritare </w:t>
            </w:r>
            <w:r w:rsidRPr="00024D5A">
              <w:rPr>
                <w:rFonts w:ascii="Garamond" w:eastAsia="Times New Roman" w:hAnsi="Garamond" w:cs="Calibri"/>
                <w:b/>
                <w:bCs/>
                <w:sz w:val="6"/>
                <w:szCs w:val="6"/>
                <w:lang w:eastAsia="en-US"/>
              </w:rPr>
              <w:t>2.1</w:t>
            </w:r>
            <w:r w:rsidR="003526AF">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Forcimi i shërbimeve të rehabilitimit</w:t>
            </w:r>
            <w:r w:rsidR="008F29FA" w:rsidRPr="00024D5A">
              <w:rPr>
                <w:rFonts w:ascii="Garamond" w:eastAsia="Times New Roman" w:hAnsi="Garamond" w:cs="Calibri"/>
                <w:b/>
                <w:bCs/>
                <w:sz w:val="6"/>
                <w:szCs w:val="6"/>
                <w:lang w:eastAsia="en-US"/>
              </w:rPr>
              <w:t xml:space="preserve"> </w:t>
            </w:r>
            <w:r w:rsidRPr="00024D5A">
              <w:rPr>
                <w:rFonts w:ascii="Garamond" w:eastAsia="Times New Roman" w:hAnsi="Garamond" w:cs="Calibri"/>
                <w:b/>
                <w:bCs/>
                <w:sz w:val="6"/>
                <w:szCs w:val="6"/>
                <w:lang w:eastAsia="en-US"/>
              </w:rPr>
              <w:t>të bazuara në komunitet</w:t>
            </w:r>
            <w:r w:rsidR="003A7AC6" w:rsidRPr="00024D5A">
              <w:rPr>
                <w:rFonts w:ascii="Garamond" w:eastAsia="Times New Roman" w:hAnsi="Garamond" w:cs="Calibri"/>
                <w:b/>
                <w:bCs/>
                <w:sz w:val="6"/>
                <w:szCs w:val="6"/>
                <w:lang w:eastAsia="en-US"/>
              </w:rPr>
              <w:t>.</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422D403F"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2026</w:t>
            </w:r>
          </w:p>
        </w:tc>
        <w:tc>
          <w:tcPr>
            <w:tcW w:w="226" w:type="pct"/>
            <w:tcBorders>
              <w:top w:val="nil"/>
              <w:left w:val="nil"/>
              <w:bottom w:val="single" w:sz="4" w:space="0" w:color="auto"/>
              <w:right w:val="single" w:sz="4" w:space="0" w:color="auto"/>
            </w:tcBorders>
            <w:shd w:val="clear" w:color="000000" w:fill="DCE6F1"/>
            <w:vAlign w:val="center"/>
            <w:hideMark/>
          </w:tcPr>
          <w:p w14:paraId="5D0688ED"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5EBFD658"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w:t>
            </w:r>
          </w:p>
        </w:tc>
        <w:tc>
          <w:tcPr>
            <w:tcW w:w="792" w:type="pct"/>
            <w:tcBorders>
              <w:top w:val="nil"/>
              <w:left w:val="nil"/>
              <w:bottom w:val="single" w:sz="4" w:space="0" w:color="auto"/>
              <w:right w:val="single" w:sz="8" w:space="0" w:color="auto"/>
            </w:tcBorders>
            <w:shd w:val="clear" w:color="000000" w:fill="DCE6F1"/>
            <w:vAlign w:val="center"/>
            <w:hideMark/>
          </w:tcPr>
          <w:p w14:paraId="008EDD8B" w14:textId="751F14BF"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OSHKSH/ISHP/</w:t>
            </w:r>
            <w:r w:rsidR="003A7AC6" w:rsidRPr="00024D5A">
              <w:rPr>
                <w:rFonts w:ascii="Garamond" w:eastAsia="Times New Roman" w:hAnsi="Garamond"/>
                <w:sz w:val="6"/>
                <w:szCs w:val="6"/>
                <w:lang w:eastAsia="en-US"/>
              </w:rPr>
              <w:t>Bashkitë</w:t>
            </w:r>
            <w:r w:rsidRPr="00024D5A">
              <w:rPr>
                <w:rFonts w:ascii="Garamond" w:eastAsia="Times New Roman" w:hAnsi="Garamond"/>
                <w:sz w:val="6"/>
                <w:szCs w:val="6"/>
                <w:lang w:eastAsia="en-US"/>
              </w:rPr>
              <w:t>//QSUT/FSDKSH/Urdhrat/Universitetet</w:t>
            </w:r>
          </w:p>
        </w:tc>
        <w:tc>
          <w:tcPr>
            <w:tcW w:w="188" w:type="pct"/>
            <w:tcBorders>
              <w:top w:val="nil"/>
              <w:left w:val="nil"/>
              <w:bottom w:val="single" w:sz="4" w:space="0" w:color="auto"/>
              <w:right w:val="single" w:sz="4" w:space="0" w:color="auto"/>
            </w:tcBorders>
            <w:shd w:val="clear" w:color="000000" w:fill="DCE6F1"/>
            <w:vAlign w:val="center"/>
            <w:hideMark/>
          </w:tcPr>
          <w:p w14:paraId="03D5BC5F" w14:textId="3A3EDB2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131,934</w:t>
            </w:r>
          </w:p>
        </w:tc>
        <w:tc>
          <w:tcPr>
            <w:tcW w:w="190" w:type="pct"/>
            <w:tcBorders>
              <w:top w:val="nil"/>
              <w:left w:val="nil"/>
              <w:bottom w:val="single" w:sz="4" w:space="0" w:color="auto"/>
              <w:right w:val="single" w:sz="4" w:space="0" w:color="auto"/>
            </w:tcBorders>
            <w:shd w:val="clear" w:color="000000" w:fill="DCE6F1"/>
            <w:vAlign w:val="center"/>
            <w:hideMark/>
          </w:tcPr>
          <w:p w14:paraId="39A835B2" w14:textId="4B5350E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139,796</w:t>
            </w:r>
          </w:p>
        </w:tc>
        <w:tc>
          <w:tcPr>
            <w:tcW w:w="190" w:type="pct"/>
            <w:tcBorders>
              <w:top w:val="nil"/>
              <w:left w:val="nil"/>
              <w:bottom w:val="single" w:sz="4" w:space="0" w:color="auto"/>
              <w:right w:val="single" w:sz="4" w:space="0" w:color="auto"/>
            </w:tcBorders>
            <w:shd w:val="clear" w:color="000000" w:fill="DCE6F1"/>
            <w:vAlign w:val="center"/>
            <w:hideMark/>
          </w:tcPr>
          <w:p w14:paraId="0520C0F2" w14:textId="4BF399C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139,796</w:t>
            </w:r>
          </w:p>
        </w:tc>
        <w:tc>
          <w:tcPr>
            <w:tcW w:w="190" w:type="pct"/>
            <w:tcBorders>
              <w:top w:val="nil"/>
              <w:left w:val="nil"/>
              <w:bottom w:val="single" w:sz="4" w:space="0" w:color="auto"/>
              <w:right w:val="single" w:sz="4" w:space="0" w:color="auto"/>
            </w:tcBorders>
            <w:shd w:val="clear" w:color="000000" w:fill="DCE6F1"/>
            <w:vAlign w:val="center"/>
            <w:hideMark/>
          </w:tcPr>
          <w:p w14:paraId="5496BEE2" w14:textId="14A584A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139,973</w:t>
            </w:r>
          </w:p>
        </w:tc>
        <w:tc>
          <w:tcPr>
            <w:tcW w:w="187" w:type="pct"/>
            <w:tcBorders>
              <w:top w:val="nil"/>
              <w:left w:val="nil"/>
              <w:bottom w:val="single" w:sz="4" w:space="0" w:color="auto"/>
              <w:right w:val="single" w:sz="4" w:space="0" w:color="auto"/>
            </w:tcBorders>
            <w:shd w:val="clear" w:color="000000" w:fill="DCE6F1"/>
            <w:vAlign w:val="center"/>
            <w:hideMark/>
          </w:tcPr>
          <w:p w14:paraId="3625BC11" w14:textId="7E4B913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142,477</w:t>
            </w:r>
          </w:p>
        </w:tc>
        <w:tc>
          <w:tcPr>
            <w:tcW w:w="200" w:type="pct"/>
            <w:tcBorders>
              <w:top w:val="nil"/>
              <w:left w:val="nil"/>
              <w:bottom w:val="single" w:sz="4" w:space="0" w:color="auto"/>
              <w:right w:val="nil"/>
            </w:tcBorders>
            <w:shd w:val="clear" w:color="000000" w:fill="DCE6F1"/>
            <w:vAlign w:val="center"/>
            <w:hideMark/>
          </w:tcPr>
          <w:p w14:paraId="60ACBB74" w14:textId="33BBB3F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693,976</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5DA044D4" w14:textId="247D053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538,205</w:t>
            </w:r>
          </w:p>
        </w:tc>
        <w:tc>
          <w:tcPr>
            <w:tcW w:w="209" w:type="pct"/>
            <w:tcBorders>
              <w:top w:val="nil"/>
              <w:left w:val="nil"/>
              <w:bottom w:val="single" w:sz="4" w:space="0" w:color="auto"/>
              <w:right w:val="single" w:sz="4" w:space="0" w:color="auto"/>
            </w:tcBorders>
            <w:shd w:val="clear" w:color="000000" w:fill="DCE6F1"/>
            <w:vAlign w:val="center"/>
            <w:hideMark/>
          </w:tcPr>
          <w:p w14:paraId="687D643C" w14:textId="420DE6F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4,150</w:t>
            </w:r>
          </w:p>
        </w:tc>
        <w:tc>
          <w:tcPr>
            <w:tcW w:w="195" w:type="pct"/>
            <w:tcBorders>
              <w:top w:val="nil"/>
              <w:left w:val="nil"/>
              <w:bottom w:val="single" w:sz="4" w:space="0" w:color="auto"/>
              <w:right w:val="single" w:sz="8" w:space="0" w:color="auto"/>
            </w:tcBorders>
            <w:shd w:val="clear" w:color="000000" w:fill="DCE6F1"/>
            <w:vAlign w:val="center"/>
            <w:hideMark/>
          </w:tcPr>
          <w:p w14:paraId="2D7B4F3A" w14:textId="21B658C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151,621</w:t>
            </w:r>
          </w:p>
        </w:tc>
        <w:tc>
          <w:tcPr>
            <w:tcW w:w="202" w:type="pct"/>
            <w:tcBorders>
              <w:top w:val="nil"/>
              <w:left w:val="nil"/>
              <w:bottom w:val="single" w:sz="4" w:space="0" w:color="auto"/>
              <w:right w:val="single" w:sz="4" w:space="0" w:color="auto"/>
            </w:tcBorders>
            <w:shd w:val="clear" w:color="000000" w:fill="DCE6F1"/>
            <w:vAlign w:val="center"/>
            <w:hideMark/>
          </w:tcPr>
          <w:p w14:paraId="6E9B4074" w14:textId="3AA33EA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7,228,918</w:t>
            </w:r>
          </w:p>
        </w:tc>
        <w:tc>
          <w:tcPr>
            <w:tcW w:w="200" w:type="pct"/>
            <w:tcBorders>
              <w:top w:val="nil"/>
              <w:left w:val="nil"/>
              <w:bottom w:val="single" w:sz="4" w:space="0" w:color="auto"/>
              <w:right w:val="single" w:sz="4" w:space="0" w:color="auto"/>
            </w:tcBorders>
            <w:shd w:val="clear" w:color="000000" w:fill="DCE6F1"/>
            <w:vAlign w:val="center"/>
            <w:hideMark/>
          </w:tcPr>
          <w:p w14:paraId="5504A0EB" w14:textId="0077C20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5,606,303</w:t>
            </w:r>
          </w:p>
        </w:tc>
        <w:tc>
          <w:tcPr>
            <w:tcW w:w="197" w:type="pct"/>
            <w:tcBorders>
              <w:top w:val="nil"/>
              <w:left w:val="nil"/>
              <w:bottom w:val="single" w:sz="4" w:space="0" w:color="auto"/>
              <w:right w:val="single" w:sz="4" w:space="0" w:color="auto"/>
            </w:tcBorders>
            <w:shd w:val="clear" w:color="000000" w:fill="DCE6F1"/>
            <w:vAlign w:val="center"/>
            <w:hideMark/>
          </w:tcPr>
          <w:p w14:paraId="2D9E3E19" w14:textId="6126448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43,229</w:t>
            </w:r>
          </w:p>
        </w:tc>
        <w:tc>
          <w:tcPr>
            <w:tcW w:w="342" w:type="pct"/>
            <w:tcBorders>
              <w:top w:val="nil"/>
              <w:left w:val="nil"/>
              <w:bottom w:val="single" w:sz="4" w:space="0" w:color="auto"/>
              <w:right w:val="single" w:sz="8" w:space="0" w:color="auto"/>
            </w:tcBorders>
            <w:shd w:val="clear" w:color="000000" w:fill="DCE6F1"/>
            <w:vAlign w:val="center"/>
            <w:hideMark/>
          </w:tcPr>
          <w:p w14:paraId="2AC1200C" w14:textId="4252385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1,579,386</w:t>
            </w:r>
          </w:p>
        </w:tc>
      </w:tr>
      <w:tr w:rsidR="00387E5A" w:rsidRPr="00024D5A" w14:paraId="4584BFA9"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1F7E4488" w14:textId="553BC891"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Masa </w:t>
            </w:r>
            <w:r w:rsidR="00BB0B47" w:rsidRPr="00024D5A">
              <w:rPr>
                <w:rFonts w:ascii="Garamond" w:eastAsia="Times New Roman" w:hAnsi="Garamond" w:cs="Calibri"/>
                <w:b/>
                <w:bCs/>
                <w:sz w:val="6"/>
                <w:szCs w:val="6"/>
                <w:lang w:eastAsia="en-US"/>
              </w:rPr>
              <w:t xml:space="preserve">prioritare </w:t>
            </w:r>
            <w:r w:rsidRPr="00024D5A">
              <w:rPr>
                <w:rFonts w:ascii="Garamond" w:eastAsia="Times New Roman" w:hAnsi="Garamond" w:cs="Calibri"/>
                <w:b/>
                <w:bCs/>
                <w:sz w:val="6"/>
                <w:szCs w:val="6"/>
                <w:lang w:eastAsia="en-US"/>
              </w:rPr>
              <w:t>2.2</w:t>
            </w:r>
            <w:r w:rsidR="003526AF">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Forcimi i të drejtave të personave me aftësi të kufizuara psikosociale përmes harmonizimit të kuadrit ligjor me standardet bashkëkohore të aftësisë së kufizuar dhe zhvillimit të shërbimeve të shëndetit mendor me bazë komunitare, gjithëpërfshirëse dhe të orientuara nga të drejtat e njeriu</w:t>
            </w:r>
            <w:r w:rsidR="00BB0B47" w:rsidRPr="00024D5A">
              <w:rPr>
                <w:rFonts w:ascii="Garamond" w:eastAsia="Times New Roman" w:hAnsi="Garamond" w:cs="Calibri"/>
                <w:b/>
                <w:bCs/>
                <w:sz w:val="6"/>
                <w:szCs w:val="6"/>
                <w:lang w:eastAsia="en-US"/>
              </w:rPr>
              <w:t>.</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4A17E940"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2026</w:t>
            </w:r>
          </w:p>
        </w:tc>
        <w:tc>
          <w:tcPr>
            <w:tcW w:w="226" w:type="pct"/>
            <w:tcBorders>
              <w:top w:val="nil"/>
              <w:left w:val="nil"/>
              <w:bottom w:val="single" w:sz="4" w:space="0" w:color="auto"/>
              <w:right w:val="single" w:sz="4" w:space="0" w:color="auto"/>
            </w:tcBorders>
            <w:shd w:val="clear" w:color="000000" w:fill="DCE6F1"/>
            <w:vAlign w:val="center"/>
            <w:hideMark/>
          </w:tcPr>
          <w:p w14:paraId="125C1FE8"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7340D115"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w:t>
            </w:r>
          </w:p>
        </w:tc>
        <w:tc>
          <w:tcPr>
            <w:tcW w:w="792" w:type="pct"/>
            <w:tcBorders>
              <w:top w:val="nil"/>
              <w:left w:val="nil"/>
              <w:bottom w:val="single" w:sz="4" w:space="0" w:color="auto"/>
              <w:right w:val="single" w:sz="8" w:space="0" w:color="auto"/>
            </w:tcBorders>
            <w:shd w:val="clear" w:color="000000" w:fill="DCE6F1"/>
            <w:vAlign w:val="center"/>
            <w:hideMark/>
          </w:tcPr>
          <w:p w14:paraId="18A20F9D"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w:t>
            </w:r>
          </w:p>
        </w:tc>
        <w:tc>
          <w:tcPr>
            <w:tcW w:w="188" w:type="pct"/>
            <w:tcBorders>
              <w:top w:val="nil"/>
              <w:left w:val="nil"/>
              <w:bottom w:val="single" w:sz="4" w:space="0" w:color="auto"/>
              <w:right w:val="single" w:sz="4" w:space="0" w:color="auto"/>
            </w:tcBorders>
            <w:shd w:val="clear" w:color="000000" w:fill="DCE6F1"/>
            <w:vAlign w:val="center"/>
            <w:hideMark/>
          </w:tcPr>
          <w:p w14:paraId="1C3DAC9D" w14:textId="4CB2251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7,009</w:t>
            </w:r>
          </w:p>
        </w:tc>
        <w:tc>
          <w:tcPr>
            <w:tcW w:w="190" w:type="pct"/>
            <w:tcBorders>
              <w:top w:val="nil"/>
              <w:left w:val="nil"/>
              <w:bottom w:val="single" w:sz="4" w:space="0" w:color="auto"/>
              <w:right w:val="single" w:sz="4" w:space="0" w:color="auto"/>
            </w:tcBorders>
            <w:shd w:val="clear" w:color="000000" w:fill="DCE6F1"/>
            <w:vAlign w:val="center"/>
            <w:hideMark/>
          </w:tcPr>
          <w:p w14:paraId="0513CDD1" w14:textId="604AF49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8,016</w:t>
            </w:r>
          </w:p>
        </w:tc>
        <w:tc>
          <w:tcPr>
            <w:tcW w:w="190" w:type="pct"/>
            <w:tcBorders>
              <w:top w:val="nil"/>
              <w:left w:val="nil"/>
              <w:bottom w:val="single" w:sz="4" w:space="0" w:color="auto"/>
              <w:right w:val="single" w:sz="4" w:space="0" w:color="auto"/>
            </w:tcBorders>
            <w:shd w:val="clear" w:color="000000" w:fill="DCE6F1"/>
            <w:vAlign w:val="center"/>
            <w:hideMark/>
          </w:tcPr>
          <w:p w14:paraId="63CB890A" w14:textId="1691A70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2,757</w:t>
            </w:r>
          </w:p>
        </w:tc>
        <w:tc>
          <w:tcPr>
            <w:tcW w:w="190" w:type="pct"/>
            <w:tcBorders>
              <w:top w:val="nil"/>
              <w:left w:val="nil"/>
              <w:bottom w:val="single" w:sz="4" w:space="0" w:color="auto"/>
              <w:right w:val="single" w:sz="4" w:space="0" w:color="auto"/>
            </w:tcBorders>
            <w:shd w:val="clear" w:color="000000" w:fill="DCE6F1"/>
            <w:vAlign w:val="center"/>
            <w:hideMark/>
          </w:tcPr>
          <w:p w14:paraId="125534BB" w14:textId="4E7C26C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11,345</w:t>
            </w:r>
          </w:p>
        </w:tc>
        <w:tc>
          <w:tcPr>
            <w:tcW w:w="187" w:type="pct"/>
            <w:tcBorders>
              <w:top w:val="nil"/>
              <w:left w:val="nil"/>
              <w:bottom w:val="single" w:sz="4" w:space="0" w:color="auto"/>
              <w:right w:val="single" w:sz="4" w:space="0" w:color="auto"/>
            </w:tcBorders>
            <w:shd w:val="clear" w:color="000000" w:fill="DCE6F1"/>
            <w:vAlign w:val="center"/>
            <w:hideMark/>
          </w:tcPr>
          <w:p w14:paraId="69D49338" w14:textId="1981654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4,618</w:t>
            </w:r>
          </w:p>
        </w:tc>
        <w:tc>
          <w:tcPr>
            <w:tcW w:w="200" w:type="pct"/>
            <w:tcBorders>
              <w:top w:val="nil"/>
              <w:left w:val="nil"/>
              <w:bottom w:val="single" w:sz="4" w:space="0" w:color="auto"/>
              <w:right w:val="nil"/>
            </w:tcBorders>
            <w:shd w:val="clear" w:color="000000" w:fill="DCE6F1"/>
            <w:vAlign w:val="center"/>
            <w:hideMark/>
          </w:tcPr>
          <w:p w14:paraId="1B20A868" w14:textId="583C905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33,745</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4EE9682F" w14:textId="306951E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18,195</w:t>
            </w:r>
          </w:p>
        </w:tc>
        <w:tc>
          <w:tcPr>
            <w:tcW w:w="209" w:type="pct"/>
            <w:tcBorders>
              <w:top w:val="nil"/>
              <w:left w:val="nil"/>
              <w:bottom w:val="single" w:sz="4" w:space="0" w:color="auto"/>
              <w:right w:val="single" w:sz="4" w:space="0" w:color="auto"/>
            </w:tcBorders>
            <w:shd w:val="clear" w:color="000000" w:fill="DCE6F1"/>
            <w:vAlign w:val="center"/>
            <w:hideMark/>
          </w:tcPr>
          <w:p w14:paraId="6B4EBB13" w14:textId="5B95704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2,100</w:t>
            </w:r>
          </w:p>
        </w:tc>
        <w:tc>
          <w:tcPr>
            <w:tcW w:w="195" w:type="pct"/>
            <w:tcBorders>
              <w:top w:val="nil"/>
              <w:left w:val="nil"/>
              <w:bottom w:val="single" w:sz="4" w:space="0" w:color="auto"/>
              <w:right w:val="single" w:sz="8" w:space="0" w:color="auto"/>
            </w:tcBorders>
            <w:shd w:val="clear" w:color="000000" w:fill="DCE6F1"/>
            <w:vAlign w:val="center"/>
            <w:hideMark/>
          </w:tcPr>
          <w:p w14:paraId="466BA63D" w14:textId="4F5F89C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13,450</w:t>
            </w:r>
          </w:p>
        </w:tc>
        <w:tc>
          <w:tcPr>
            <w:tcW w:w="202" w:type="pct"/>
            <w:tcBorders>
              <w:top w:val="nil"/>
              <w:left w:val="nil"/>
              <w:bottom w:val="single" w:sz="4" w:space="0" w:color="auto"/>
              <w:right w:val="single" w:sz="4" w:space="0" w:color="auto"/>
            </w:tcBorders>
            <w:shd w:val="clear" w:color="000000" w:fill="DCE6F1"/>
            <w:vAlign w:val="center"/>
            <w:hideMark/>
          </w:tcPr>
          <w:p w14:paraId="2AD54003" w14:textId="57911B1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351,509</w:t>
            </w:r>
          </w:p>
        </w:tc>
        <w:tc>
          <w:tcPr>
            <w:tcW w:w="200" w:type="pct"/>
            <w:tcBorders>
              <w:top w:val="nil"/>
              <w:left w:val="nil"/>
              <w:bottom w:val="single" w:sz="4" w:space="0" w:color="auto"/>
              <w:right w:val="single" w:sz="4" w:space="0" w:color="auto"/>
            </w:tcBorders>
            <w:shd w:val="clear" w:color="000000" w:fill="DCE6F1"/>
            <w:vAlign w:val="center"/>
            <w:hideMark/>
          </w:tcPr>
          <w:p w14:paraId="5205825D" w14:textId="10E6845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189,529</w:t>
            </w:r>
          </w:p>
        </w:tc>
        <w:tc>
          <w:tcPr>
            <w:tcW w:w="197" w:type="pct"/>
            <w:tcBorders>
              <w:top w:val="nil"/>
              <w:left w:val="nil"/>
              <w:bottom w:val="single" w:sz="4" w:space="0" w:color="auto"/>
              <w:right w:val="single" w:sz="4" w:space="0" w:color="auto"/>
            </w:tcBorders>
            <w:shd w:val="clear" w:color="000000" w:fill="DCE6F1"/>
            <w:vAlign w:val="center"/>
            <w:hideMark/>
          </w:tcPr>
          <w:p w14:paraId="38670A5E" w14:textId="22DE1FA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21,875</w:t>
            </w:r>
          </w:p>
        </w:tc>
        <w:tc>
          <w:tcPr>
            <w:tcW w:w="342" w:type="pct"/>
            <w:tcBorders>
              <w:top w:val="nil"/>
              <w:left w:val="nil"/>
              <w:bottom w:val="single" w:sz="4" w:space="0" w:color="auto"/>
              <w:right w:val="single" w:sz="8" w:space="0" w:color="auto"/>
            </w:tcBorders>
            <w:shd w:val="clear" w:color="000000" w:fill="DCE6F1"/>
            <w:vAlign w:val="center"/>
            <w:hideMark/>
          </w:tcPr>
          <w:p w14:paraId="64059728" w14:textId="7F7580D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140,104</w:t>
            </w:r>
          </w:p>
        </w:tc>
      </w:tr>
      <w:tr w:rsidR="00387E5A" w:rsidRPr="00024D5A" w14:paraId="7DD08E84"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10B97FFA" w14:textId="5ED32A8A"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Masa </w:t>
            </w:r>
            <w:r w:rsidR="00BB0B47" w:rsidRPr="00024D5A">
              <w:rPr>
                <w:rFonts w:ascii="Garamond" w:eastAsia="Times New Roman" w:hAnsi="Garamond" w:cs="Calibri"/>
                <w:b/>
                <w:bCs/>
                <w:sz w:val="6"/>
                <w:szCs w:val="6"/>
                <w:lang w:eastAsia="en-US"/>
              </w:rPr>
              <w:t xml:space="preserve">prioritare </w:t>
            </w:r>
            <w:r w:rsidRPr="00024D5A">
              <w:rPr>
                <w:rFonts w:ascii="Garamond" w:eastAsia="Times New Roman" w:hAnsi="Garamond" w:cs="Calibri"/>
                <w:b/>
                <w:bCs/>
                <w:sz w:val="6"/>
                <w:szCs w:val="6"/>
                <w:lang w:eastAsia="en-US"/>
              </w:rPr>
              <w:t>2.3</w:t>
            </w:r>
            <w:r w:rsidR="003526AF">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Aksesi në teknologji dhe mjete ndihmëse</w:t>
            </w:r>
            <w:r w:rsidR="00BB0B47" w:rsidRPr="00024D5A">
              <w:rPr>
                <w:rFonts w:ascii="Garamond" w:eastAsia="Times New Roman" w:hAnsi="Garamond" w:cs="Calibri"/>
                <w:b/>
                <w:bCs/>
                <w:sz w:val="6"/>
                <w:szCs w:val="6"/>
                <w:lang w:eastAsia="en-US"/>
              </w:rPr>
              <w:t>.</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376F5B89"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2026</w:t>
            </w:r>
          </w:p>
        </w:tc>
        <w:tc>
          <w:tcPr>
            <w:tcW w:w="226" w:type="pct"/>
            <w:tcBorders>
              <w:top w:val="nil"/>
              <w:left w:val="nil"/>
              <w:bottom w:val="single" w:sz="4" w:space="0" w:color="auto"/>
              <w:right w:val="single" w:sz="4" w:space="0" w:color="auto"/>
            </w:tcBorders>
            <w:shd w:val="clear" w:color="000000" w:fill="DCE6F1"/>
            <w:vAlign w:val="center"/>
            <w:hideMark/>
          </w:tcPr>
          <w:p w14:paraId="461755B6"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083FF0C7"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w:t>
            </w:r>
          </w:p>
        </w:tc>
        <w:tc>
          <w:tcPr>
            <w:tcW w:w="792" w:type="pct"/>
            <w:tcBorders>
              <w:top w:val="nil"/>
              <w:left w:val="nil"/>
              <w:bottom w:val="single" w:sz="4" w:space="0" w:color="auto"/>
              <w:right w:val="single" w:sz="8" w:space="0" w:color="auto"/>
            </w:tcBorders>
            <w:shd w:val="clear" w:color="000000" w:fill="DCE6F1"/>
            <w:vAlign w:val="center"/>
            <w:hideMark/>
          </w:tcPr>
          <w:p w14:paraId="1804A49D" w14:textId="1251FB3D"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MSHMS/FDSKSH/</w:t>
            </w:r>
            <w:r w:rsidR="002C53D9" w:rsidRPr="00024D5A">
              <w:rPr>
                <w:rFonts w:ascii="Garamond" w:eastAsia="Times New Roman" w:hAnsi="Garamond"/>
                <w:sz w:val="6"/>
                <w:szCs w:val="6"/>
                <w:lang w:eastAsia="en-US"/>
              </w:rPr>
              <w:t>UNIVERSITETET</w:t>
            </w:r>
          </w:p>
        </w:tc>
        <w:tc>
          <w:tcPr>
            <w:tcW w:w="188" w:type="pct"/>
            <w:tcBorders>
              <w:top w:val="nil"/>
              <w:left w:val="nil"/>
              <w:bottom w:val="single" w:sz="4" w:space="0" w:color="auto"/>
              <w:right w:val="single" w:sz="4" w:space="0" w:color="auto"/>
            </w:tcBorders>
            <w:shd w:val="clear" w:color="000000" w:fill="DCE6F1"/>
            <w:vAlign w:val="center"/>
            <w:hideMark/>
          </w:tcPr>
          <w:p w14:paraId="052BD5DC" w14:textId="1B31B09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5,289</w:t>
            </w:r>
          </w:p>
        </w:tc>
        <w:tc>
          <w:tcPr>
            <w:tcW w:w="190" w:type="pct"/>
            <w:tcBorders>
              <w:top w:val="nil"/>
              <w:left w:val="nil"/>
              <w:bottom w:val="single" w:sz="4" w:space="0" w:color="auto"/>
              <w:right w:val="single" w:sz="4" w:space="0" w:color="auto"/>
            </w:tcBorders>
            <w:shd w:val="clear" w:color="000000" w:fill="DCE6F1"/>
            <w:vAlign w:val="center"/>
            <w:hideMark/>
          </w:tcPr>
          <w:p w14:paraId="7DB7FC96" w14:textId="2778814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5,802</w:t>
            </w:r>
          </w:p>
        </w:tc>
        <w:tc>
          <w:tcPr>
            <w:tcW w:w="190" w:type="pct"/>
            <w:tcBorders>
              <w:top w:val="nil"/>
              <w:left w:val="nil"/>
              <w:bottom w:val="single" w:sz="4" w:space="0" w:color="auto"/>
              <w:right w:val="single" w:sz="4" w:space="0" w:color="auto"/>
            </w:tcBorders>
            <w:shd w:val="clear" w:color="000000" w:fill="DCE6F1"/>
            <w:vAlign w:val="center"/>
            <w:hideMark/>
          </w:tcPr>
          <w:p w14:paraId="1661F204" w14:textId="7908CED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5,802</w:t>
            </w:r>
          </w:p>
        </w:tc>
        <w:tc>
          <w:tcPr>
            <w:tcW w:w="190" w:type="pct"/>
            <w:tcBorders>
              <w:top w:val="nil"/>
              <w:left w:val="nil"/>
              <w:bottom w:val="single" w:sz="4" w:space="0" w:color="auto"/>
              <w:right w:val="single" w:sz="4" w:space="0" w:color="auto"/>
            </w:tcBorders>
            <w:shd w:val="clear" w:color="000000" w:fill="DCE6F1"/>
            <w:vAlign w:val="center"/>
            <w:hideMark/>
          </w:tcPr>
          <w:p w14:paraId="468E501B" w14:textId="7236496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7,575</w:t>
            </w:r>
          </w:p>
        </w:tc>
        <w:tc>
          <w:tcPr>
            <w:tcW w:w="187" w:type="pct"/>
            <w:tcBorders>
              <w:top w:val="nil"/>
              <w:left w:val="nil"/>
              <w:bottom w:val="single" w:sz="4" w:space="0" w:color="auto"/>
              <w:right w:val="single" w:sz="4" w:space="0" w:color="auto"/>
            </w:tcBorders>
            <w:shd w:val="clear" w:color="000000" w:fill="DCE6F1"/>
            <w:vAlign w:val="center"/>
            <w:hideMark/>
          </w:tcPr>
          <w:p w14:paraId="5CA3EEAE" w14:textId="6116108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7,575</w:t>
            </w:r>
          </w:p>
        </w:tc>
        <w:tc>
          <w:tcPr>
            <w:tcW w:w="200" w:type="pct"/>
            <w:tcBorders>
              <w:top w:val="nil"/>
              <w:left w:val="nil"/>
              <w:bottom w:val="single" w:sz="4" w:space="0" w:color="auto"/>
              <w:right w:val="nil"/>
            </w:tcBorders>
            <w:shd w:val="clear" w:color="000000" w:fill="DCE6F1"/>
            <w:vAlign w:val="center"/>
            <w:hideMark/>
          </w:tcPr>
          <w:p w14:paraId="18085F02" w14:textId="3A7FC17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32,043</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14318262" w14:textId="325C341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13,168</w:t>
            </w:r>
          </w:p>
        </w:tc>
        <w:tc>
          <w:tcPr>
            <w:tcW w:w="209" w:type="pct"/>
            <w:tcBorders>
              <w:top w:val="nil"/>
              <w:left w:val="nil"/>
              <w:bottom w:val="single" w:sz="4" w:space="0" w:color="auto"/>
              <w:right w:val="single" w:sz="4" w:space="0" w:color="auto"/>
            </w:tcBorders>
            <w:shd w:val="clear" w:color="000000" w:fill="DCE6F1"/>
            <w:vAlign w:val="center"/>
            <w:hideMark/>
          </w:tcPr>
          <w:p w14:paraId="4A6394FC" w14:textId="57AE7DE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3,325</w:t>
            </w:r>
          </w:p>
        </w:tc>
        <w:tc>
          <w:tcPr>
            <w:tcW w:w="195" w:type="pct"/>
            <w:tcBorders>
              <w:top w:val="nil"/>
              <w:left w:val="nil"/>
              <w:bottom w:val="single" w:sz="4" w:space="0" w:color="auto"/>
              <w:right w:val="single" w:sz="8" w:space="0" w:color="auto"/>
            </w:tcBorders>
            <w:shd w:val="clear" w:color="000000" w:fill="DCE6F1"/>
            <w:vAlign w:val="center"/>
            <w:hideMark/>
          </w:tcPr>
          <w:p w14:paraId="695767E7" w14:textId="76358EC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15,550</w:t>
            </w:r>
          </w:p>
        </w:tc>
        <w:tc>
          <w:tcPr>
            <w:tcW w:w="202" w:type="pct"/>
            <w:tcBorders>
              <w:top w:val="nil"/>
              <w:left w:val="nil"/>
              <w:bottom w:val="single" w:sz="4" w:space="0" w:color="auto"/>
              <w:right w:val="single" w:sz="4" w:space="0" w:color="auto"/>
            </w:tcBorders>
            <w:shd w:val="clear" w:color="000000" w:fill="DCE6F1"/>
            <w:vAlign w:val="center"/>
            <w:hideMark/>
          </w:tcPr>
          <w:p w14:paraId="5939F962" w14:textId="4A7EE0F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333,777</w:t>
            </w:r>
          </w:p>
        </w:tc>
        <w:tc>
          <w:tcPr>
            <w:tcW w:w="200" w:type="pct"/>
            <w:tcBorders>
              <w:top w:val="nil"/>
              <w:left w:val="nil"/>
              <w:bottom w:val="single" w:sz="4" w:space="0" w:color="auto"/>
              <w:right w:val="single" w:sz="4" w:space="0" w:color="auto"/>
            </w:tcBorders>
            <w:shd w:val="clear" w:color="000000" w:fill="DCE6F1"/>
            <w:vAlign w:val="center"/>
            <w:hideMark/>
          </w:tcPr>
          <w:p w14:paraId="20211718" w14:textId="592F53D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137,162</w:t>
            </w:r>
          </w:p>
        </w:tc>
        <w:tc>
          <w:tcPr>
            <w:tcW w:w="197" w:type="pct"/>
            <w:tcBorders>
              <w:top w:val="nil"/>
              <w:left w:val="nil"/>
              <w:bottom w:val="single" w:sz="4" w:space="0" w:color="auto"/>
              <w:right w:val="single" w:sz="4" w:space="0" w:color="auto"/>
            </w:tcBorders>
            <w:shd w:val="clear" w:color="000000" w:fill="DCE6F1"/>
            <w:vAlign w:val="center"/>
            <w:hideMark/>
          </w:tcPr>
          <w:p w14:paraId="307FBC2D" w14:textId="72A6FA0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34,635</w:t>
            </w:r>
          </w:p>
        </w:tc>
        <w:tc>
          <w:tcPr>
            <w:tcW w:w="342" w:type="pct"/>
            <w:tcBorders>
              <w:top w:val="nil"/>
              <w:left w:val="nil"/>
              <w:bottom w:val="single" w:sz="4" w:space="0" w:color="auto"/>
              <w:right w:val="single" w:sz="8" w:space="0" w:color="auto"/>
            </w:tcBorders>
            <w:shd w:val="clear" w:color="000000" w:fill="DCE6F1"/>
            <w:vAlign w:val="center"/>
            <w:hideMark/>
          </w:tcPr>
          <w:p w14:paraId="2F62D6A0" w14:textId="5EC51A5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161,979</w:t>
            </w:r>
          </w:p>
        </w:tc>
      </w:tr>
      <w:tr w:rsidR="00387E5A" w:rsidRPr="00024D5A" w14:paraId="778E63A4" w14:textId="77777777" w:rsidTr="00387E5A">
        <w:trPr>
          <w:trHeight w:val="20"/>
        </w:trPr>
        <w:tc>
          <w:tcPr>
            <w:tcW w:w="375" w:type="pct"/>
            <w:tcBorders>
              <w:top w:val="nil"/>
              <w:left w:val="single" w:sz="4" w:space="0" w:color="auto"/>
              <w:bottom w:val="single" w:sz="4" w:space="0" w:color="auto"/>
              <w:right w:val="nil"/>
            </w:tcBorders>
            <w:shd w:val="clear" w:color="000000" w:fill="FDE9D9"/>
            <w:vAlign w:val="center"/>
            <w:hideMark/>
          </w:tcPr>
          <w:p w14:paraId="44F8485A" w14:textId="7AE9A1A1"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Objektivi </w:t>
            </w:r>
            <w:r w:rsidR="00BB0B47" w:rsidRPr="00024D5A">
              <w:rPr>
                <w:rFonts w:ascii="Garamond" w:eastAsia="Times New Roman" w:hAnsi="Garamond" w:cs="Calibri"/>
                <w:b/>
                <w:bCs/>
                <w:sz w:val="6"/>
                <w:szCs w:val="6"/>
                <w:lang w:eastAsia="en-US"/>
              </w:rPr>
              <w:t xml:space="preserve">specifik </w:t>
            </w:r>
            <w:r w:rsidRPr="00024D5A">
              <w:rPr>
                <w:rFonts w:ascii="Garamond" w:eastAsia="Times New Roman" w:hAnsi="Garamond" w:cs="Calibri"/>
                <w:b/>
                <w:bCs/>
                <w:sz w:val="6"/>
                <w:szCs w:val="6"/>
                <w:lang w:eastAsia="en-US"/>
              </w:rPr>
              <w:t>3</w:t>
            </w:r>
            <w:r w:rsidR="00BB0B47" w:rsidRPr="00024D5A">
              <w:rPr>
                <w:rFonts w:ascii="Garamond" w:eastAsia="Times New Roman" w:hAnsi="Garamond" w:cs="Calibri"/>
                <w:b/>
                <w:bCs/>
                <w:sz w:val="6"/>
                <w:szCs w:val="6"/>
                <w:lang w:eastAsia="en-US"/>
              </w:rPr>
              <w:t xml:space="preserve">. </w:t>
            </w:r>
            <w:r w:rsidRPr="00024D5A">
              <w:rPr>
                <w:rFonts w:ascii="Garamond" w:eastAsia="Times New Roman" w:hAnsi="Garamond" w:cs="Calibri"/>
                <w:b/>
                <w:bCs/>
                <w:sz w:val="6"/>
                <w:szCs w:val="6"/>
                <w:lang w:eastAsia="en-US"/>
              </w:rPr>
              <w:t>Përmirësimi i cilësisë së shërbimeve përmes forcimit të burimeve njerëzore, aksesueshmërisë dhe mekanizmave të monitorimit dhe llogaridhënies</w:t>
            </w:r>
            <w:r w:rsidR="00BB0B47" w:rsidRPr="00024D5A">
              <w:rPr>
                <w:rFonts w:ascii="Garamond" w:eastAsia="Times New Roman" w:hAnsi="Garamond" w:cs="Calibri"/>
                <w:b/>
                <w:bCs/>
                <w:sz w:val="6"/>
                <w:szCs w:val="6"/>
                <w:lang w:eastAsia="en-US"/>
              </w:rPr>
              <w:t>.</w:t>
            </w:r>
          </w:p>
        </w:tc>
        <w:tc>
          <w:tcPr>
            <w:tcW w:w="244" w:type="pct"/>
            <w:tcBorders>
              <w:top w:val="nil"/>
              <w:left w:val="single" w:sz="8" w:space="0" w:color="auto"/>
              <w:bottom w:val="single" w:sz="4" w:space="0" w:color="auto"/>
              <w:right w:val="single" w:sz="4" w:space="0" w:color="auto"/>
            </w:tcBorders>
            <w:shd w:val="clear" w:color="000000" w:fill="FDE9D9"/>
            <w:vAlign w:val="center"/>
            <w:hideMark/>
          </w:tcPr>
          <w:p w14:paraId="03FC7BD7"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0</w:t>
            </w:r>
          </w:p>
        </w:tc>
        <w:tc>
          <w:tcPr>
            <w:tcW w:w="226" w:type="pct"/>
            <w:tcBorders>
              <w:top w:val="nil"/>
              <w:left w:val="nil"/>
              <w:bottom w:val="single" w:sz="4" w:space="0" w:color="auto"/>
              <w:right w:val="single" w:sz="4" w:space="0" w:color="auto"/>
            </w:tcBorders>
            <w:shd w:val="clear" w:color="000000" w:fill="FDE9D9"/>
            <w:vAlign w:val="center"/>
            <w:hideMark/>
          </w:tcPr>
          <w:p w14:paraId="0827A41A"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2030</w:t>
            </w:r>
          </w:p>
        </w:tc>
        <w:tc>
          <w:tcPr>
            <w:tcW w:w="664" w:type="pct"/>
            <w:tcBorders>
              <w:top w:val="nil"/>
              <w:left w:val="nil"/>
              <w:bottom w:val="single" w:sz="4" w:space="0" w:color="auto"/>
              <w:right w:val="single" w:sz="4" w:space="0" w:color="auto"/>
            </w:tcBorders>
            <w:shd w:val="clear" w:color="000000" w:fill="FDE9D9"/>
            <w:vAlign w:val="center"/>
            <w:hideMark/>
          </w:tcPr>
          <w:p w14:paraId="73CF2760"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MSHMS/OSHKSH</w:t>
            </w:r>
          </w:p>
        </w:tc>
        <w:tc>
          <w:tcPr>
            <w:tcW w:w="792" w:type="pct"/>
            <w:tcBorders>
              <w:top w:val="nil"/>
              <w:left w:val="nil"/>
              <w:bottom w:val="single" w:sz="4" w:space="0" w:color="auto"/>
              <w:right w:val="single" w:sz="8" w:space="0" w:color="auto"/>
            </w:tcBorders>
            <w:shd w:val="clear" w:color="000000" w:fill="FDE9D9"/>
            <w:vAlign w:val="center"/>
            <w:hideMark/>
          </w:tcPr>
          <w:p w14:paraId="6D2674F9" w14:textId="79D4DD4C"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Instituti i Shëndetit Publik (ISHP)/ASCK Bashkëpunues: Urdhri i Mjekut, Urdhri i Infermierit, Universiteti i Mjekësisë</w:t>
            </w:r>
          </w:p>
        </w:tc>
        <w:tc>
          <w:tcPr>
            <w:tcW w:w="188" w:type="pct"/>
            <w:tcBorders>
              <w:top w:val="nil"/>
              <w:left w:val="nil"/>
              <w:bottom w:val="single" w:sz="4" w:space="0" w:color="auto"/>
              <w:right w:val="single" w:sz="4" w:space="0" w:color="auto"/>
            </w:tcBorders>
            <w:shd w:val="clear" w:color="000000" w:fill="FDE9D9"/>
            <w:vAlign w:val="center"/>
            <w:hideMark/>
          </w:tcPr>
          <w:p w14:paraId="77627242" w14:textId="127A6EB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0" w:type="pct"/>
            <w:tcBorders>
              <w:top w:val="nil"/>
              <w:left w:val="nil"/>
              <w:bottom w:val="single" w:sz="4" w:space="0" w:color="auto"/>
              <w:right w:val="single" w:sz="4" w:space="0" w:color="auto"/>
            </w:tcBorders>
            <w:shd w:val="clear" w:color="000000" w:fill="FDE9D9"/>
            <w:vAlign w:val="center"/>
            <w:hideMark/>
          </w:tcPr>
          <w:p w14:paraId="16C64D48" w14:textId="6963D3B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4,500</w:t>
            </w:r>
          </w:p>
        </w:tc>
        <w:tc>
          <w:tcPr>
            <w:tcW w:w="190" w:type="pct"/>
            <w:tcBorders>
              <w:top w:val="nil"/>
              <w:left w:val="nil"/>
              <w:bottom w:val="single" w:sz="4" w:space="0" w:color="auto"/>
              <w:right w:val="single" w:sz="4" w:space="0" w:color="auto"/>
            </w:tcBorders>
            <w:shd w:val="clear" w:color="000000" w:fill="FDE9D9"/>
            <w:vAlign w:val="center"/>
            <w:hideMark/>
          </w:tcPr>
          <w:p w14:paraId="508F8E02" w14:textId="016395D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6,041</w:t>
            </w:r>
          </w:p>
        </w:tc>
        <w:tc>
          <w:tcPr>
            <w:tcW w:w="190" w:type="pct"/>
            <w:tcBorders>
              <w:top w:val="nil"/>
              <w:left w:val="nil"/>
              <w:bottom w:val="single" w:sz="4" w:space="0" w:color="auto"/>
              <w:right w:val="single" w:sz="4" w:space="0" w:color="auto"/>
            </w:tcBorders>
            <w:shd w:val="clear" w:color="000000" w:fill="FDE9D9"/>
            <w:vAlign w:val="center"/>
            <w:hideMark/>
          </w:tcPr>
          <w:p w14:paraId="2E47CE2D" w14:textId="45B3810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10,491</w:t>
            </w:r>
          </w:p>
        </w:tc>
        <w:tc>
          <w:tcPr>
            <w:tcW w:w="187" w:type="pct"/>
            <w:tcBorders>
              <w:top w:val="nil"/>
              <w:left w:val="nil"/>
              <w:bottom w:val="single" w:sz="4" w:space="0" w:color="auto"/>
              <w:right w:val="single" w:sz="4" w:space="0" w:color="auto"/>
            </w:tcBorders>
            <w:shd w:val="clear" w:color="000000" w:fill="FDE9D9"/>
            <w:vAlign w:val="center"/>
            <w:hideMark/>
          </w:tcPr>
          <w:p w14:paraId="13BD59F6" w14:textId="660D518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10,491</w:t>
            </w:r>
          </w:p>
        </w:tc>
        <w:tc>
          <w:tcPr>
            <w:tcW w:w="200" w:type="pct"/>
            <w:tcBorders>
              <w:top w:val="nil"/>
              <w:left w:val="nil"/>
              <w:bottom w:val="single" w:sz="4" w:space="0" w:color="auto"/>
              <w:right w:val="nil"/>
            </w:tcBorders>
            <w:shd w:val="clear" w:color="000000" w:fill="FDE9D9"/>
            <w:vAlign w:val="center"/>
            <w:hideMark/>
          </w:tcPr>
          <w:p w14:paraId="6230DC07" w14:textId="6F4B337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31,523</w:t>
            </w:r>
          </w:p>
        </w:tc>
        <w:tc>
          <w:tcPr>
            <w:tcW w:w="209" w:type="pct"/>
            <w:tcBorders>
              <w:top w:val="nil"/>
              <w:left w:val="single" w:sz="8" w:space="0" w:color="auto"/>
              <w:bottom w:val="single" w:sz="4" w:space="0" w:color="auto"/>
              <w:right w:val="single" w:sz="4" w:space="0" w:color="auto"/>
            </w:tcBorders>
            <w:shd w:val="clear" w:color="000000" w:fill="FDE9D9"/>
            <w:vAlign w:val="center"/>
            <w:hideMark/>
          </w:tcPr>
          <w:p w14:paraId="0775D216" w14:textId="268B5D3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15,082</w:t>
            </w:r>
          </w:p>
        </w:tc>
        <w:tc>
          <w:tcPr>
            <w:tcW w:w="209" w:type="pct"/>
            <w:tcBorders>
              <w:top w:val="nil"/>
              <w:left w:val="nil"/>
              <w:bottom w:val="single" w:sz="4" w:space="0" w:color="auto"/>
              <w:right w:val="single" w:sz="4" w:space="0" w:color="auto"/>
            </w:tcBorders>
            <w:shd w:val="clear" w:color="000000" w:fill="FDE9D9"/>
            <w:vAlign w:val="center"/>
            <w:hideMark/>
          </w:tcPr>
          <w:p w14:paraId="4E094BCA" w14:textId="28BA46B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14,191</w:t>
            </w:r>
          </w:p>
        </w:tc>
        <w:tc>
          <w:tcPr>
            <w:tcW w:w="195" w:type="pct"/>
            <w:tcBorders>
              <w:top w:val="nil"/>
              <w:left w:val="nil"/>
              <w:bottom w:val="single" w:sz="4" w:space="0" w:color="auto"/>
              <w:right w:val="single" w:sz="8" w:space="0" w:color="auto"/>
            </w:tcBorders>
            <w:shd w:val="clear" w:color="000000" w:fill="FDE9D9"/>
            <w:vAlign w:val="center"/>
            <w:hideMark/>
          </w:tcPr>
          <w:p w14:paraId="55AD6E41" w14:textId="100CAD8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2,250</w:t>
            </w:r>
          </w:p>
        </w:tc>
        <w:tc>
          <w:tcPr>
            <w:tcW w:w="202" w:type="pct"/>
            <w:tcBorders>
              <w:top w:val="nil"/>
              <w:left w:val="nil"/>
              <w:bottom w:val="single" w:sz="4" w:space="0" w:color="auto"/>
              <w:right w:val="single" w:sz="4" w:space="0" w:color="auto"/>
            </w:tcBorders>
            <w:shd w:val="clear" w:color="000000" w:fill="FDE9D9"/>
            <w:vAlign w:val="center"/>
            <w:hideMark/>
          </w:tcPr>
          <w:p w14:paraId="796BA6B3" w14:textId="4DBC957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328,362</w:t>
            </w:r>
          </w:p>
        </w:tc>
        <w:tc>
          <w:tcPr>
            <w:tcW w:w="200" w:type="pct"/>
            <w:tcBorders>
              <w:top w:val="nil"/>
              <w:left w:val="nil"/>
              <w:bottom w:val="single" w:sz="4" w:space="0" w:color="auto"/>
              <w:right w:val="single" w:sz="4" w:space="0" w:color="auto"/>
            </w:tcBorders>
            <w:shd w:val="clear" w:color="000000" w:fill="FDE9D9"/>
            <w:vAlign w:val="center"/>
            <w:hideMark/>
          </w:tcPr>
          <w:p w14:paraId="31E7213B" w14:textId="6449099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157,102</w:t>
            </w:r>
          </w:p>
        </w:tc>
        <w:tc>
          <w:tcPr>
            <w:tcW w:w="197" w:type="pct"/>
            <w:tcBorders>
              <w:top w:val="nil"/>
              <w:left w:val="nil"/>
              <w:bottom w:val="single" w:sz="4" w:space="0" w:color="auto"/>
              <w:right w:val="single" w:sz="4" w:space="0" w:color="auto"/>
            </w:tcBorders>
            <w:shd w:val="clear" w:color="000000" w:fill="FDE9D9"/>
            <w:vAlign w:val="center"/>
            <w:hideMark/>
          </w:tcPr>
          <w:p w14:paraId="0AF2A62F" w14:textId="0FFD81C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147,822</w:t>
            </w:r>
          </w:p>
        </w:tc>
        <w:tc>
          <w:tcPr>
            <w:tcW w:w="342" w:type="pct"/>
            <w:tcBorders>
              <w:top w:val="nil"/>
              <w:left w:val="nil"/>
              <w:bottom w:val="single" w:sz="4" w:space="0" w:color="auto"/>
              <w:right w:val="single" w:sz="8" w:space="0" w:color="auto"/>
            </w:tcBorders>
            <w:shd w:val="clear" w:color="000000" w:fill="FDE9D9"/>
            <w:vAlign w:val="center"/>
            <w:hideMark/>
          </w:tcPr>
          <w:p w14:paraId="19DE1312" w14:textId="25ABF0B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23,438</w:t>
            </w:r>
          </w:p>
        </w:tc>
      </w:tr>
      <w:tr w:rsidR="00387E5A" w:rsidRPr="00024D5A" w14:paraId="04709BC6"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2C917D12" w14:textId="209FA27A"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Masa prioritare 3.1</w:t>
            </w:r>
            <w:r w:rsidR="003526AF">
              <w:rPr>
                <w:rFonts w:ascii="Garamond" w:eastAsia="Times New Roman" w:hAnsi="Garamond" w:cs="Calibri"/>
                <w:b/>
                <w:bCs/>
                <w:sz w:val="6"/>
                <w:szCs w:val="6"/>
                <w:lang w:eastAsia="en-US"/>
              </w:rPr>
              <w:t>:</w:t>
            </w:r>
            <w:r w:rsidR="00BB0B47" w:rsidRPr="00024D5A">
              <w:rPr>
                <w:rFonts w:ascii="Garamond" w:eastAsia="Times New Roman" w:hAnsi="Garamond" w:cs="Calibri"/>
                <w:b/>
                <w:bCs/>
                <w:sz w:val="6"/>
                <w:szCs w:val="6"/>
                <w:lang w:eastAsia="en-US"/>
              </w:rPr>
              <w:t xml:space="preserve"> </w:t>
            </w:r>
            <w:r w:rsidRPr="00024D5A">
              <w:rPr>
                <w:rFonts w:ascii="Garamond" w:eastAsia="Times New Roman" w:hAnsi="Garamond" w:cs="Calibri"/>
                <w:b/>
                <w:bCs/>
                <w:sz w:val="6"/>
                <w:szCs w:val="6"/>
                <w:lang w:eastAsia="en-US"/>
              </w:rPr>
              <w:t>Edukimi dhe forcimi i kapaciteteve të personelit shëndetësor</w:t>
            </w:r>
            <w:r w:rsidR="00BB0B47" w:rsidRPr="00024D5A">
              <w:rPr>
                <w:rFonts w:ascii="Garamond" w:eastAsia="Times New Roman" w:hAnsi="Garamond" w:cs="Calibri"/>
                <w:b/>
                <w:bCs/>
                <w:sz w:val="6"/>
                <w:szCs w:val="6"/>
                <w:lang w:eastAsia="en-US"/>
              </w:rPr>
              <w:t>.</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6477E3FE"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2026</w:t>
            </w:r>
          </w:p>
        </w:tc>
        <w:tc>
          <w:tcPr>
            <w:tcW w:w="226" w:type="pct"/>
            <w:tcBorders>
              <w:top w:val="nil"/>
              <w:left w:val="nil"/>
              <w:bottom w:val="single" w:sz="4" w:space="0" w:color="auto"/>
              <w:right w:val="single" w:sz="4" w:space="0" w:color="auto"/>
            </w:tcBorders>
            <w:shd w:val="clear" w:color="000000" w:fill="DCE6F1"/>
            <w:vAlign w:val="center"/>
            <w:hideMark/>
          </w:tcPr>
          <w:p w14:paraId="667279E9"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50BBDC66"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MSHMS/OSHKSH</w:t>
            </w:r>
          </w:p>
        </w:tc>
        <w:tc>
          <w:tcPr>
            <w:tcW w:w="792" w:type="pct"/>
            <w:tcBorders>
              <w:top w:val="nil"/>
              <w:left w:val="nil"/>
              <w:bottom w:val="single" w:sz="4" w:space="0" w:color="auto"/>
              <w:right w:val="single" w:sz="8" w:space="0" w:color="auto"/>
            </w:tcBorders>
            <w:shd w:val="clear" w:color="000000" w:fill="DCE6F1"/>
            <w:vAlign w:val="center"/>
            <w:hideMark/>
          </w:tcPr>
          <w:p w14:paraId="52031F74" w14:textId="0FC8356A"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 xml:space="preserve">Instituti i Shëndetit Publik (ISHP)/ASCK </w:t>
            </w:r>
            <w:r w:rsidR="00E51640" w:rsidRPr="00024D5A">
              <w:rPr>
                <w:rFonts w:ascii="Garamond" w:eastAsia="Times New Roman" w:hAnsi="Garamond"/>
                <w:sz w:val="6"/>
                <w:szCs w:val="6"/>
                <w:lang w:eastAsia="en-US"/>
              </w:rPr>
              <w:t>bashkëpunues</w:t>
            </w:r>
            <w:r w:rsidRPr="00024D5A">
              <w:rPr>
                <w:rFonts w:ascii="Garamond" w:eastAsia="Times New Roman" w:hAnsi="Garamond"/>
                <w:sz w:val="6"/>
                <w:szCs w:val="6"/>
                <w:lang w:eastAsia="en-US"/>
              </w:rPr>
              <w:t>: Urdhri i Mjekut, Urdhri i Infermierit, Universiteti i Mjekësisë</w:t>
            </w:r>
          </w:p>
        </w:tc>
        <w:tc>
          <w:tcPr>
            <w:tcW w:w="188" w:type="pct"/>
            <w:tcBorders>
              <w:top w:val="nil"/>
              <w:left w:val="nil"/>
              <w:bottom w:val="single" w:sz="4" w:space="0" w:color="auto"/>
              <w:right w:val="single" w:sz="4" w:space="0" w:color="auto"/>
            </w:tcBorders>
            <w:shd w:val="clear" w:color="000000" w:fill="DCE6F1"/>
            <w:vAlign w:val="center"/>
            <w:hideMark/>
          </w:tcPr>
          <w:p w14:paraId="5CDA7C48" w14:textId="1D139EB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0" w:type="pct"/>
            <w:tcBorders>
              <w:top w:val="nil"/>
              <w:left w:val="nil"/>
              <w:bottom w:val="single" w:sz="4" w:space="0" w:color="auto"/>
              <w:right w:val="single" w:sz="4" w:space="0" w:color="auto"/>
            </w:tcBorders>
            <w:shd w:val="clear" w:color="000000" w:fill="DCE6F1"/>
            <w:vAlign w:val="center"/>
            <w:hideMark/>
          </w:tcPr>
          <w:p w14:paraId="44DEB983" w14:textId="0C6F145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0" w:type="pct"/>
            <w:tcBorders>
              <w:top w:val="nil"/>
              <w:left w:val="nil"/>
              <w:bottom w:val="single" w:sz="4" w:space="0" w:color="auto"/>
              <w:right w:val="single" w:sz="4" w:space="0" w:color="auto"/>
            </w:tcBorders>
            <w:shd w:val="clear" w:color="000000" w:fill="DCE6F1"/>
            <w:vAlign w:val="center"/>
            <w:hideMark/>
          </w:tcPr>
          <w:p w14:paraId="2F7FAAE3" w14:textId="225C7A8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1,541</w:t>
            </w:r>
          </w:p>
        </w:tc>
        <w:tc>
          <w:tcPr>
            <w:tcW w:w="190" w:type="pct"/>
            <w:tcBorders>
              <w:top w:val="nil"/>
              <w:left w:val="nil"/>
              <w:bottom w:val="single" w:sz="4" w:space="0" w:color="auto"/>
              <w:right w:val="single" w:sz="4" w:space="0" w:color="auto"/>
            </w:tcBorders>
            <w:shd w:val="clear" w:color="000000" w:fill="DCE6F1"/>
            <w:vAlign w:val="center"/>
            <w:hideMark/>
          </w:tcPr>
          <w:p w14:paraId="4FCB8734" w14:textId="084DF20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1,541</w:t>
            </w:r>
          </w:p>
        </w:tc>
        <w:tc>
          <w:tcPr>
            <w:tcW w:w="187" w:type="pct"/>
            <w:tcBorders>
              <w:top w:val="nil"/>
              <w:left w:val="nil"/>
              <w:bottom w:val="single" w:sz="4" w:space="0" w:color="auto"/>
              <w:right w:val="single" w:sz="4" w:space="0" w:color="auto"/>
            </w:tcBorders>
            <w:shd w:val="clear" w:color="000000" w:fill="DCE6F1"/>
            <w:vAlign w:val="center"/>
            <w:hideMark/>
          </w:tcPr>
          <w:p w14:paraId="4E0EAD55" w14:textId="21B2888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1,541</w:t>
            </w:r>
          </w:p>
        </w:tc>
        <w:tc>
          <w:tcPr>
            <w:tcW w:w="200" w:type="pct"/>
            <w:tcBorders>
              <w:top w:val="nil"/>
              <w:left w:val="nil"/>
              <w:bottom w:val="single" w:sz="4" w:space="0" w:color="auto"/>
              <w:right w:val="nil"/>
            </w:tcBorders>
            <w:shd w:val="clear" w:color="000000" w:fill="DCE6F1"/>
            <w:vAlign w:val="center"/>
            <w:hideMark/>
          </w:tcPr>
          <w:p w14:paraId="241C6EBF" w14:textId="271C8D6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4,623</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71D15932" w14:textId="0B172B4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82</w:t>
            </w:r>
          </w:p>
        </w:tc>
        <w:tc>
          <w:tcPr>
            <w:tcW w:w="209" w:type="pct"/>
            <w:tcBorders>
              <w:top w:val="nil"/>
              <w:left w:val="nil"/>
              <w:bottom w:val="single" w:sz="4" w:space="0" w:color="auto"/>
              <w:right w:val="single" w:sz="4" w:space="0" w:color="auto"/>
            </w:tcBorders>
            <w:shd w:val="clear" w:color="000000" w:fill="DCE6F1"/>
            <w:vAlign w:val="center"/>
            <w:hideMark/>
          </w:tcPr>
          <w:p w14:paraId="0757BBC5" w14:textId="3AAB4A3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4,541</w:t>
            </w:r>
          </w:p>
        </w:tc>
        <w:tc>
          <w:tcPr>
            <w:tcW w:w="195" w:type="pct"/>
            <w:tcBorders>
              <w:top w:val="nil"/>
              <w:left w:val="nil"/>
              <w:bottom w:val="single" w:sz="4" w:space="0" w:color="auto"/>
              <w:right w:val="single" w:sz="8" w:space="0" w:color="auto"/>
            </w:tcBorders>
            <w:shd w:val="clear" w:color="000000" w:fill="DCE6F1"/>
            <w:vAlign w:val="center"/>
            <w:hideMark/>
          </w:tcPr>
          <w:p w14:paraId="4BCB178F" w14:textId="5A8ADE4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202" w:type="pct"/>
            <w:tcBorders>
              <w:top w:val="nil"/>
              <w:left w:val="nil"/>
              <w:bottom w:val="single" w:sz="4" w:space="0" w:color="auto"/>
              <w:right w:val="single" w:sz="4" w:space="0" w:color="auto"/>
            </w:tcBorders>
            <w:shd w:val="clear" w:color="000000" w:fill="DCE6F1"/>
            <w:vAlign w:val="center"/>
            <w:hideMark/>
          </w:tcPr>
          <w:p w14:paraId="49539C1F" w14:textId="3481E67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48,153</w:t>
            </w:r>
          </w:p>
        </w:tc>
        <w:tc>
          <w:tcPr>
            <w:tcW w:w="200" w:type="pct"/>
            <w:tcBorders>
              <w:top w:val="nil"/>
              <w:left w:val="nil"/>
              <w:bottom w:val="single" w:sz="4" w:space="0" w:color="auto"/>
              <w:right w:val="single" w:sz="4" w:space="0" w:color="auto"/>
            </w:tcBorders>
            <w:shd w:val="clear" w:color="000000" w:fill="DCE6F1"/>
            <w:vAlign w:val="center"/>
            <w:hideMark/>
          </w:tcPr>
          <w:p w14:paraId="27991C91" w14:textId="2E6D805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852</w:t>
            </w:r>
          </w:p>
        </w:tc>
        <w:tc>
          <w:tcPr>
            <w:tcW w:w="197" w:type="pct"/>
            <w:tcBorders>
              <w:top w:val="nil"/>
              <w:left w:val="nil"/>
              <w:bottom w:val="single" w:sz="4" w:space="0" w:color="auto"/>
              <w:right w:val="single" w:sz="4" w:space="0" w:color="auto"/>
            </w:tcBorders>
            <w:shd w:val="clear" w:color="000000" w:fill="DCE6F1"/>
            <w:vAlign w:val="center"/>
            <w:hideMark/>
          </w:tcPr>
          <w:p w14:paraId="37E9AF35" w14:textId="041E73F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47,301</w:t>
            </w:r>
          </w:p>
        </w:tc>
        <w:tc>
          <w:tcPr>
            <w:tcW w:w="342" w:type="pct"/>
            <w:tcBorders>
              <w:top w:val="nil"/>
              <w:left w:val="nil"/>
              <w:bottom w:val="single" w:sz="4" w:space="0" w:color="auto"/>
              <w:right w:val="single" w:sz="8" w:space="0" w:color="auto"/>
            </w:tcBorders>
            <w:shd w:val="clear" w:color="000000" w:fill="DCE6F1"/>
            <w:vAlign w:val="center"/>
            <w:hideMark/>
          </w:tcPr>
          <w:p w14:paraId="1AF35780" w14:textId="0D2D0D7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r>
      <w:tr w:rsidR="00387E5A" w:rsidRPr="00024D5A" w14:paraId="7520A80D"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6F14BF56" w14:textId="6EFDAB44"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Masa </w:t>
            </w:r>
            <w:r w:rsidR="00BB0B47" w:rsidRPr="00024D5A">
              <w:rPr>
                <w:rFonts w:ascii="Garamond" w:eastAsia="Times New Roman" w:hAnsi="Garamond" w:cs="Calibri"/>
                <w:b/>
                <w:bCs/>
                <w:sz w:val="6"/>
                <w:szCs w:val="6"/>
                <w:lang w:eastAsia="en-US"/>
              </w:rPr>
              <w:t xml:space="preserve">prioritare </w:t>
            </w:r>
            <w:r w:rsidRPr="00024D5A">
              <w:rPr>
                <w:rFonts w:ascii="Garamond" w:eastAsia="Times New Roman" w:hAnsi="Garamond" w:cs="Calibri"/>
                <w:b/>
                <w:bCs/>
                <w:sz w:val="6"/>
                <w:szCs w:val="6"/>
                <w:lang w:eastAsia="en-US"/>
              </w:rPr>
              <w:t>3.2</w:t>
            </w:r>
            <w:r w:rsidR="003526AF">
              <w:rPr>
                <w:rFonts w:ascii="Garamond" w:eastAsia="Times New Roman" w:hAnsi="Garamond" w:cs="Calibri"/>
                <w:b/>
                <w:bCs/>
                <w:sz w:val="6"/>
                <w:szCs w:val="6"/>
                <w:lang w:eastAsia="en-US"/>
              </w:rPr>
              <w:t xml:space="preserve">: </w:t>
            </w:r>
            <w:r w:rsidRPr="00024D5A">
              <w:rPr>
                <w:rFonts w:ascii="Garamond" w:eastAsia="Times New Roman" w:hAnsi="Garamond" w:cs="Calibri"/>
                <w:b/>
                <w:bCs/>
                <w:sz w:val="6"/>
                <w:szCs w:val="6"/>
                <w:lang w:eastAsia="en-US"/>
              </w:rPr>
              <w:t>Akses i barabartë në mjedise dhe informacion shëndetësor për të gjitha kategoritë e personave me aftësi të kufizuar</w:t>
            </w:r>
            <w:r w:rsidR="00BB0B47" w:rsidRPr="00024D5A">
              <w:rPr>
                <w:rFonts w:ascii="Garamond" w:eastAsia="Times New Roman" w:hAnsi="Garamond" w:cs="Calibri"/>
                <w:b/>
                <w:bCs/>
                <w:sz w:val="6"/>
                <w:szCs w:val="6"/>
                <w:lang w:eastAsia="en-US"/>
              </w:rPr>
              <w:t>.</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09FD403B"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2027</w:t>
            </w:r>
          </w:p>
        </w:tc>
        <w:tc>
          <w:tcPr>
            <w:tcW w:w="226" w:type="pct"/>
            <w:tcBorders>
              <w:top w:val="nil"/>
              <w:left w:val="nil"/>
              <w:bottom w:val="single" w:sz="4" w:space="0" w:color="auto"/>
              <w:right w:val="single" w:sz="4" w:space="0" w:color="auto"/>
            </w:tcBorders>
            <w:shd w:val="clear" w:color="000000" w:fill="DCE6F1"/>
            <w:vAlign w:val="center"/>
            <w:hideMark/>
          </w:tcPr>
          <w:p w14:paraId="5395BFD2"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2030</w:t>
            </w:r>
          </w:p>
        </w:tc>
        <w:tc>
          <w:tcPr>
            <w:tcW w:w="664" w:type="pct"/>
            <w:tcBorders>
              <w:top w:val="nil"/>
              <w:left w:val="nil"/>
              <w:bottom w:val="single" w:sz="4" w:space="0" w:color="auto"/>
              <w:right w:val="single" w:sz="4" w:space="0" w:color="auto"/>
            </w:tcBorders>
            <w:shd w:val="clear" w:color="000000" w:fill="DCE6F1"/>
            <w:noWrap/>
            <w:vAlign w:val="center"/>
            <w:hideMark/>
          </w:tcPr>
          <w:p w14:paraId="32ECB175"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OSHKSH</w:t>
            </w:r>
          </w:p>
        </w:tc>
        <w:tc>
          <w:tcPr>
            <w:tcW w:w="792" w:type="pct"/>
            <w:tcBorders>
              <w:top w:val="nil"/>
              <w:left w:val="nil"/>
              <w:bottom w:val="single" w:sz="4" w:space="0" w:color="auto"/>
              <w:right w:val="single" w:sz="8" w:space="0" w:color="auto"/>
            </w:tcBorders>
            <w:shd w:val="clear" w:color="000000" w:fill="DCE6F1"/>
            <w:noWrap/>
            <w:vAlign w:val="center"/>
            <w:hideMark/>
          </w:tcPr>
          <w:p w14:paraId="3D60AAFF"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w:t>
            </w:r>
          </w:p>
        </w:tc>
        <w:tc>
          <w:tcPr>
            <w:tcW w:w="188" w:type="pct"/>
            <w:tcBorders>
              <w:top w:val="nil"/>
              <w:left w:val="nil"/>
              <w:bottom w:val="single" w:sz="4" w:space="0" w:color="auto"/>
              <w:right w:val="single" w:sz="4" w:space="0" w:color="auto"/>
            </w:tcBorders>
            <w:shd w:val="clear" w:color="000000" w:fill="DCE6F1"/>
            <w:vAlign w:val="center"/>
            <w:hideMark/>
          </w:tcPr>
          <w:p w14:paraId="408CDC24" w14:textId="3CD4764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0" w:type="pct"/>
            <w:tcBorders>
              <w:top w:val="nil"/>
              <w:left w:val="nil"/>
              <w:bottom w:val="single" w:sz="4" w:space="0" w:color="auto"/>
              <w:right w:val="single" w:sz="4" w:space="0" w:color="auto"/>
            </w:tcBorders>
            <w:shd w:val="clear" w:color="000000" w:fill="DCE6F1"/>
            <w:vAlign w:val="center"/>
            <w:hideMark/>
          </w:tcPr>
          <w:p w14:paraId="76E6334E" w14:textId="2AD644F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4,500</w:t>
            </w:r>
          </w:p>
        </w:tc>
        <w:tc>
          <w:tcPr>
            <w:tcW w:w="190" w:type="pct"/>
            <w:tcBorders>
              <w:top w:val="nil"/>
              <w:left w:val="nil"/>
              <w:bottom w:val="single" w:sz="4" w:space="0" w:color="auto"/>
              <w:right w:val="single" w:sz="4" w:space="0" w:color="auto"/>
            </w:tcBorders>
            <w:shd w:val="clear" w:color="000000" w:fill="DCE6F1"/>
            <w:vAlign w:val="center"/>
            <w:hideMark/>
          </w:tcPr>
          <w:p w14:paraId="784B3C8E" w14:textId="5382790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4,500</w:t>
            </w:r>
          </w:p>
        </w:tc>
        <w:tc>
          <w:tcPr>
            <w:tcW w:w="190" w:type="pct"/>
            <w:tcBorders>
              <w:top w:val="nil"/>
              <w:left w:val="nil"/>
              <w:bottom w:val="single" w:sz="4" w:space="0" w:color="auto"/>
              <w:right w:val="single" w:sz="4" w:space="0" w:color="auto"/>
            </w:tcBorders>
            <w:shd w:val="clear" w:color="000000" w:fill="DCE6F1"/>
            <w:vAlign w:val="center"/>
            <w:hideMark/>
          </w:tcPr>
          <w:p w14:paraId="795F1249" w14:textId="12F3A61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8,950</w:t>
            </w:r>
          </w:p>
        </w:tc>
        <w:tc>
          <w:tcPr>
            <w:tcW w:w="187" w:type="pct"/>
            <w:tcBorders>
              <w:top w:val="nil"/>
              <w:left w:val="nil"/>
              <w:bottom w:val="single" w:sz="4" w:space="0" w:color="auto"/>
              <w:right w:val="single" w:sz="4" w:space="0" w:color="auto"/>
            </w:tcBorders>
            <w:shd w:val="clear" w:color="000000" w:fill="DCE6F1"/>
            <w:vAlign w:val="center"/>
            <w:hideMark/>
          </w:tcPr>
          <w:p w14:paraId="4F4D80B7" w14:textId="541820F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8,950</w:t>
            </w:r>
          </w:p>
        </w:tc>
        <w:tc>
          <w:tcPr>
            <w:tcW w:w="200" w:type="pct"/>
            <w:tcBorders>
              <w:top w:val="nil"/>
              <w:left w:val="nil"/>
              <w:bottom w:val="single" w:sz="4" w:space="0" w:color="auto"/>
              <w:right w:val="nil"/>
            </w:tcBorders>
            <w:shd w:val="clear" w:color="000000" w:fill="DCE6F1"/>
            <w:vAlign w:val="center"/>
            <w:hideMark/>
          </w:tcPr>
          <w:p w14:paraId="6B4FD29B" w14:textId="240AA3B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26,900</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704F7440" w14:textId="1BCB7B9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15,000</w:t>
            </w:r>
          </w:p>
        </w:tc>
        <w:tc>
          <w:tcPr>
            <w:tcW w:w="209" w:type="pct"/>
            <w:tcBorders>
              <w:top w:val="nil"/>
              <w:left w:val="nil"/>
              <w:bottom w:val="single" w:sz="4" w:space="0" w:color="auto"/>
              <w:right w:val="single" w:sz="4" w:space="0" w:color="auto"/>
            </w:tcBorders>
            <w:shd w:val="clear" w:color="000000" w:fill="DCE6F1"/>
            <w:vAlign w:val="center"/>
            <w:hideMark/>
          </w:tcPr>
          <w:p w14:paraId="332BA37A" w14:textId="3786F65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9,650</w:t>
            </w:r>
          </w:p>
        </w:tc>
        <w:tc>
          <w:tcPr>
            <w:tcW w:w="195" w:type="pct"/>
            <w:tcBorders>
              <w:top w:val="nil"/>
              <w:left w:val="nil"/>
              <w:bottom w:val="single" w:sz="4" w:space="0" w:color="auto"/>
              <w:right w:val="single" w:sz="8" w:space="0" w:color="auto"/>
            </w:tcBorders>
            <w:shd w:val="clear" w:color="000000" w:fill="DCE6F1"/>
            <w:vAlign w:val="center"/>
            <w:hideMark/>
          </w:tcPr>
          <w:p w14:paraId="2C2B4C46" w14:textId="1A66610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2,250</w:t>
            </w:r>
          </w:p>
        </w:tc>
        <w:tc>
          <w:tcPr>
            <w:tcW w:w="202" w:type="pct"/>
            <w:tcBorders>
              <w:top w:val="nil"/>
              <w:left w:val="nil"/>
              <w:bottom w:val="single" w:sz="4" w:space="0" w:color="auto"/>
              <w:right w:val="single" w:sz="4" w:space="0" w:color="auto"/>
            </w:tcBorders>
            <w:shd w:val="clear" w:color="000000" w:fill="DCE6F1"/>
            <w:vAlign w:val="center"/>
            <w:hideMark/>
          </w:tcPr>
          <w:p w14:paraId="1419E1D0" w14:textId="26D68E2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280,208</w:t>
            </w:r>
          </w:p>
        </w:tc>
        <w:tc>
          <w:tcPr>
            <w:tcW w:w="200" w:type="pct"/>
            <w:tcBorders>
              <w:top w:val="nil"/>
              <w:left w:val="nil"/>
              <w:bottom w:val="single" w:sz="4" w:space="0" w:color="auto"/>
              <w:right w:val="single" w:sz="4" w:space="0" w:color="auto"/>
            </w:tcBorders>
            <w:shd w:val="clear" w:color="000000" w:fill="DCE6F1"/>
            <w:vAlign w:val="center"/>
            <w:hideMark/>
          </w:tcPr>
          <w:p w14:paraId="3FF8ADDF" w14:textId="04E175E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156,250</w:t>
            </w:r>
          </w:p>
        </w:tc>
        <w:tc>
          <w:tcPr>
            <w:tcW w:w="197" w:type="pct"/>
            <w:tcBorders>
              <w:top w:val="nil"/>
              <w:left w:val="nil"/>
              <w:bottom w:val="single" w:sz="4" w:space="0" w:color="auto"/>
              <w:right w:val="single" w:sz="4" w:space="0" w:color="auto"/>
            </w:tcBorders>
            <w:shd w:val="clear" w:color="000000" w:fill="DCE6F1"/>
            <w:vAlign w:val="center"/>
            <w:hideMark/>
          </w:tcPr>
          <w:p w14:paraId="42331E86" w14:textId="759824D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100,521</w:t>
            </w:r>
          </w:p>
        </w:tc>
        <w:tc>
          <w:tcPr>
            <w:tcW w:w="342" w:type="pct"/>
            <w:tcBorders>
              <w:top w:val="nil"/>
              <w:left w:val="nil"/>
              <w:bottom w:val="single" w:sz="4" w:space="0" w:color="auto"/>
              <w:right w:val="single" w:sz="8" w:space="0" w:color="auto"/>
            </w:tcBorders>
            <w:shd w:val="clear" w:color="000000" w:fill="DCE6F1"/>
            <w:vAlign w:val="center"/>
            <w:hideMark/>
          </w:tcPr>
          <w:p w14:paraId="3E26E4B4" w14:textId="43BECD9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23,438</w:t>
            </w:r>
          </w:p>
        </w:tc>
      </w:tr>
      <w:tr w:rsidR="00387E5A" w:rsidRPr="00024D5A" w14:paraId="5912B890" w14:textId="77777777" w:rsidTr="00387E5A">
        <w:trPr>
          <w:trHeight w:val="20"/>
        </w:trPr>
        <w:tc>
          <w:tcPr>
            <w:tcW w:w="375" w:type="pct"/>
            <w:tcBorders>
              <w:top w:val="nil"/>
              <w:left w:val="single" w:sz="4" w:space="0" w:color="auto"/>
              <w:bottom w:val="single" w:sz="4" w:space="0" w:color="auto"/>
              <w:right w:val="nil"/>
            </w:tcBorders>
            <w:shd w:val="clear" w:color="000000" w:fill="F276AB"/>
            <w:vAlign w:val="center"/>
            <w:hideMark/>
          </w:tcPr>
          <w:p w14:paraId="00DBF2B0" w14:textId="5DD16CF1"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VII. </w:t>
            </w:r>
            <w:r w:rsidR="00BB0B47" w:rsidRPr="00024D5A">
              <w:rPr>
                <w:rFonts w:ascii="Garamond" w:eastAsia="Times New Roman" w:hAnsi="Garamond" w:cs="Calibri"/>
                <w:b/>
                <w:bCs/>
                <w:sz w:val="6"/>
                <w:szCs w:val="6"/>
                <w:lang w:eastAsia="en-US"/>
              </w:rPr>
              <w:t>PËRFSHIRJA</w:t>
            </w:r>
            <w:r w:rsidRPr="00024D5A">
              <w:rPr>
                <w:rFonts w:ascii="Garamond" w:eastAsia="Times New Roman" w:hAnsi="Garamond" w:cs="Calibri"/>
                <w:b/>
                <w:bCs/>
                <w:sz w:val="6"/>
                <w:szCs w:val="6"/>
                <w:lang w:eastAsia="en-US"/>
              </w:rPr>
              <w:t xml:space="preserve"> N</w:t>
            </w:r>
            <w:r w:rsidR="002447A2" w:rsidRPr="00024D5A">
              <w:rPr>
                <w:rFonts w:ascii="Garamond" w:eastAsia="Times New Roman" w:hAnsi="Garamond" w:cs="Calibri"/>
                <w:b/>
                <w:bCs/>
                <w:sz w:val="6"/>
                <w:szCs w:val="6"/>
                <w:lang w:eastAsia="en-US"/>
              </w:rPr>
              <w:t>Ë</w:t>
            </w:r>
            <w:r w:rsidRPr="00024D5A">
              <w:rPr>
                <w:rFonts w:ascii="Garamond" w:eastAsia="Times New Roman" w:hAnsi="Garamond" w:cs="Calibri"/>
                <w:b/>
                <w:bCs/>
                <w:sz w:val="6"/>
                <w:szCs w:val="6"/>
                <w:lang w:eastAsia="en-US"/>
              </w:rPr>
              <w:t xml:space="preserve"> JET</w:t>
            </w:r>
            <w:r w:rsidR="002447A2" w:rsidRPr="00024D5A">
              <w:rPr>
                <w:rFonts w:ascii="Garamond" w:eastAsia="Times New Roman" w:hAnsi="Garamond" w:cs="Calibri"/>
                <w:b/>
                <w:bCs/>
                <w:sz w:val="6"/>
                <w:szCs w:val="6"/>
                <w:lang w:eastAsia="en-US"/>
              </w:rPr>
              <w:t>Ë</w:t>
            </w:r>
            <w:r w:rsidRPr="00024D5A">
              <w:rPr>
                <w:rFonts w:ascii="Garamond" w:eastAsia="Times New Roman" w:hAnsi="Garamond" w:cs="Calibri"/>
                <w:b/>
                <w:bCs/>
                <w:sz w:val="6"/>
                <w:szCs w:val="6"/>
                <w:lang w:eastAsia="en-US"/>
              </w:rPr>
              <w:t>N PUBLIKE DHE POLITIKE</w:t>
            </w:r>
          </w:p>
        </w:tc>
        <w:tc>
          <w:tcPr>
            <w:tcW w:w="244" w:type="pct"/>
            <w:tcBorders>
              <w:top w:val="nil"/>
              <w:left w:val="single" w:sz="8" w:space="0" w:color="auto"/>
              <w:bottom w:val="single" w:sz="4" w:space="0" w:color="auto"/>
              <w:right w:val="single" w:sz="4" w:space="0" w:color="auto"/>
            </w:tcBorders>
            <w:shd w:val="clear" w:color="000000" w:fill="F276AB"/>
            <w:vAlign w:val="center"/>
            <w:hideMark/>
          </w:tcPr>
          <w:p w14:paraId="10F9F613"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2026</w:t>
            </w:r>
          </w:p>
        </w:tc>
        <w:tc>
          <w:tcPr>
            <w:tcW w:w="226" w:type="pct"/>
            <w:tcBorders>
              <w:top w:val="nil"/>
              <w:left w:val="nil"/>
              <w:bottom w:val="single" w:sz="4" w:space="0" w:color="auto"/>
              <w:right w:val="single" w:sz="4" w:space="0" w:color="auto"/>
            </w:tcBorders>
            <w:shd w:val="clear" w:color="000000" w:fill="F276AB"/>
            <w:vAlign w:val="center"/>
            <w:hideMark/>
          </w:tcPr>
          <w:p w14:paraId="6061E9DA"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2030</w:t>
            </w:r>
          </w:p>
        </w:tc>
        <w:tc>
          <w:tcPr>
            <w:tcW w:w="664" w:type="pct"/>
            <w:tcBorders>
              <w:top w:val="nil"/>
              <w:left w:val="nil"/>
              <w:bottom w:val="single" w:sz="4" w:space="0" w:color="auto"/>
              <w:right w:val="single" w:sz="4" w:space="0" w:color="auto"/>
            </w:tcBorders>
            <w:shd w:val="clear" w:color="000000" w:fill="F276AB"/>
            <w:vAlign w:val="center"/>
            <w:hideMark/>
          </w:tcPr>
          <w:p w14:paraId="27554952" w14:textId="09E18B2C" w:rsidR="00DE4FCB" w:rsidRPr="00024D5A" w:rsidRDefault="00DE4FCB" w:rsidP="00387E5A">
            <w:pPr>
              <w:jc w:val="center"/>
              <w:rPr>
                <w:rFonts w:ascii="Garamond" w:eastAsia="Times New Roman" w:hAnsi="Garamond"/>
                <w:sz w:val="6"/>
                <w:szCs w:val="6"/>
                <w:lang w:eastAsia="en-US"/>
              </w:rPr>
            </w:pPr>
          </w:p>
        </w:tc>
        <w:tc>
          <w:tcPr>
            <w:tcW w:w="792" w:type="pct"/>
            <w:tcBorders>
              <w:top w:val="nil"/>
              <w:left w:val="nil"/>
              <w:bottom w:val="single" w:sz="4" w:space="0" w:color="auto"/>
              <w:right w:val="single" w:sz="8" w:space="0" w:color="auto"/>
            </w:tcBorders>
            <w:shd w:val="clear" w:color="000000" w:fill="F276AB"/>
            <w:vAlign w:val="center"/>
            <w:hideMark/>
          </w:tcPr>
          <w:p w14:paraId="0DEA86FD" w14:textId="2CA4D9BF" w:rsidR="00DE4FCB" w:rsidRPr="00024D5A" w:rsidRDefault="00DE4FCB" w:rsidP="00387E5A">
            <w:pPr>
              <w:jc w:val="center"/>
              <w:rPr>
                <w:rFonts w:ascii="Garamond" w:eastAsia="Times New Roman" w:hAnsi="Garamond"/>
                <w:sz w:val="6"/>
                <w:szCs w:val="6"/>
                <w:lang w:eastAsia="en-US"/>
              </w:rPr>
            </w:pPr>
          </w:p>
        </w:tc>
        <w:tc>
          <w:tcPr>
            <w:tcW w:w="188" w:type="pct"/>
            <w:tcBorders>
              <w:top w:val="nil"/>
              <w:left w:val="nil"/>
              <w:bottom w:val="single" w:sz="4" w:space="0" w:color="auto"/>
              <w:right w:val="single" w:sz="4" w:space="0" w:color="auto"/>
            </w:tcBorders>
            <w:shd w:val="clear" w:color="000000" w:fill="F276AB"/>
            <w:vAlign w:val="center"/>
            <w:hideMark/>
          </w:tcPr>
          <w:p w14:paraId="79495439" w14:textId="48D7033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2,077</w:t>
            </w:r>
          </w:p>
        </w:tc>
        <w:tc>
          <w:tcPr>
            <w:tcW w:w="190" w:type="pct"/>
            <w:tcBorders>
              <w:top w:val="nil"/>
              <w:left w:val="nil"/>
              <w:bottom w:val="single" w:sz="4" w:space="0" w:color="auto"/>
              <w:right w:val="single" w:sz="4" w:space="0" w:color="auto"/>
            </w:tcBorders>
            <w:shd w:val="clear" w:color="000000" w:fill="F276AB"/>
            <w:vAlign w:val="center"/>
            <w:hideMark/>
          </w:tcPr>
          <w:p w14:paraId="0D311761" w14:textId="423EB24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6,961</w:t>
            </w:r>
          </w:p>
        </w:tc>
        <w:tc>
          <w:tcPr>
            <w:tcW w:w="190" w:type="pct"/>
            <w:tcBorders>
              <w:top w:val="nil"/>
              <w:left w:val="nil"/>
              <w:bottom w:val="single" w:sz="4" w:space="0" w:color="auto"/>
              <w:right w:val="single" w:sz="4" w:space="0" w:color="auto"/>
            </w:tcBorders>
            <w:shd w:val="clear" w:color="000000" w:fill="F276AB"/>
            <w:vAlign w:val="center"/>
            <w:hideMark/>
          </w:tcPr>
          <w:p w14:paraId="2F5AA3B4" w14:textId="3844AD2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4,580</w:t>
            </w:r>
          </w:p>
        </w:tc>
        <w:tc>
          <w:tcPr>
            <w:tcW w:w="190" w:type="pct"/>
            <w:tcBorders>
              <w:top w:val="nil"/>
              <w:left w:val="nil"/>
              <w:bottom w:val="single" w:sz="4" w:space="0" w:color="auto"/>
              <w:right w:val="single" w:sz="4" w:space="0" w:color="auto"/>
            </w:tcBorders>
            <w:shd w:val="clear" w:color="000000" w:fill="F276AB"/>
            <w:vAlign w:val="center"/>
            <w:hideMark/>
          </w:tcPr>
          <w:p w14:paraId="43470476" w14:textId="26E0D75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4,288</w:t>
            </w:r>
          </w:p>
        </w:tc>
        <w:tc>
          <w:tcPr>
            <w:tcW w:w="187" w:type="pct"/>
            <w:tcBorders>
              <w:top w:val="nil"/>
              <w:left w:val="nil"/>
              <w:bottom w:val="single" w:sz="4" w:space="0" w:color="auto"/>
              <w:right w:val="single" w:sz="4" w:space="0" w:color="auto"/>
            </w:tcBorders>
            <w:shd w:val="clear" w:color="000000" w:fill="F276AB"/>
            <w:vAlign w:val="center"/>
            <w:hideMark/>
          </w:tcPr>
          <w:p w14:paraId="1682F511" w14:textId="346227C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3,788</w:t>
            </w:r>
          </w:p>
        </w:tc>
        <w:tc>
          <w:tcPr>
            <w:tcW w:w="200" w:type="pct"/>
            <w:tcBorders>
              <w:top w:val="nil"/>
              <w:left w:val="nil"/>
              <w:bottom w:val="single" w:sz="4" w:space="0" w:color="auto"/>
              <w:right w:val="nil"/>
            </w:tcBorders>
            <w:shd w:val="clear" w:color="000000" w:fill="F276AB"/>
            <w:vAlign w:val="center"/>
            <w:hideMark/>
          </w:tcPr>
          <w:p w14:paraId="39004A9E" w14:textId="211007C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21,694</w:t>
            </w:r>
          </w:p>
        </w:tc>
        <w:tc>
          <w:tcPr>
            <w:tcW w:w="209" w:type="pct"/>
            <w:tcBorders>
              <w:top w:val="nil"/>
              <w:left w:val="single" w:sz="8" w:space="0" w:color="auto"/>
              <w:bottom w:val="single" w:sz="4" w:space="0" w:color="auto"/>
              <w:right w:val="single" w:sz="4" w:space="0" w:color="auto"/>
            </w:tcBorders>
            <w:shd w:val="clear" w:color="000000" w:fill="F276AB"/>
            <w:vAlign w:val="center"/>
            <w:hideMark/>
          </w:tcPr>
          <w:p w14:paraId="5B3B6723" w14:textId="4921950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18,869</w:t>
            </w:r>
          </w:p>
        </w:tc>
        <w:tc>
          <w:tcPr>
            <w:tcW w:w="209" w:type="pct"/>
            <w:tcBorders>
              <w:top w:val="nil"/>
              <w:left w:val="nil"/>
              <w:bottom w:val="single" w:sz="4" w:space="0" w:color="auto"/>
              <w:right w:val="single" w:sz="4" w:space="0" w:color="auto"/>
            </w:tcBorders>
            <w:shd w:val="clear" w:color="000000" w:fill="F276AB"/>
            <w:vAlign w:val="center"/>
            <w:hideMark/>
          </w:tcPr>
          <w:p w14:paraId="10F09E75" w14:textId="55428FA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1,750</w:t>
            </w:r>
          </w:p>
        </w:tc>
        <w:tc>
          <w:tcPr>
            <w:tcW w:w="195" w:type="pct"/>
            <w:tcBorders>
              <w:top w:val="nil"/>
              <w:left w:val="nil"/>
              <w:bottom w:val="single" w:sz="4" w:space="0" w:color="auto"/>
              <w:right w:val="single" w:sz="8" w:space="0" w:color="auto"/>
            </w:tcBorders>
            <w:shd w:val="clear" w:color="000000" w:fill="F276AB"/>
            <w:vAlign w:val="center"/>
            <w:hideMark/>
          </w:tcPr>
          <w:p w14:paraId="79FBA1D4" w14:textId="74B4A28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1,075</w:t>
            </w:r>
          </w:p>
        </w:tc>
        <w:tc>
          <w:tcPr>
            <w:tcW w:w="202" w:type="pct"/>
            <w:tcBorders>
              <w:top w:val="nil"/>
              <w:left w:val="nil"/>
              <w:bottom w:val="single" w:sz="4" w:space="0" w:color="auto"/>
              <w:right w:val="single" w:sz="4" w:space="0" w:color="auto"/>
            </w:tcBorders>
            <w:shd w:val="clear" w:color="000000" w:fill="F276AB"/>
            <w:vAlign w:val="center"/>
            <w:hideMark/>
          </w:tcPr>
          <w:p w14:paraId="457C2C1D" w14:textId="178439D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225,980</w:t>
            </w:r>
          </w:p>
        </w:tc>
        <w:tc>
          <w:tcPr>
            <w:tcW w:w="200" w:type="pct"/>
            <w:tcBorders>
              <w:top w:val="nil"/>
              <w:left w:val="nil"/>
              <w:bottom w:val="single" w:sz="4" w:space="0" w:color="auto"/>
              <w:right w:val="single" w:sz="4" w:space="0" w:color="auto"/>
            </w:tcBorders>
            <w:shd w:val="clear" w:color="000000" w:fill="F276AB"/>
            <w:vAlign w:val="center"/>
            <w:hideMark/>
          </w:tcPr>
          <w:p w14:paraId="47B5362B" w14:textId="6813267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196,553</w:t>
            </w:r>
          </w:p>
        </w:tc>
        <w:tc>
          <w:tcPr>
            <w:tcW w:w="197" w:type="pct"/>
            <w:tcBorders>
              <w:top w:val="nil"/>
              <w:left w:val="nil"/>
              <w:bottom w:val="single" w:sz="4" w:space="0" w:color="auto"/>
              <w:right w:val="single" w:sz="4" w:space="0" w:color="auto"/>
            </w:tcBorders>
            <w:shd w:val="clear" w:color="000000" w:fill="F276AB"/>
            <w:vAlign w:val="center"/>
            <w:hideMark/>
          </w:tcPr>
          <w:p w14:paraId="0DEBDD1A" w14:textId="33EA73E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18,229</w:t>
            </w:r>
          </w:p>
        </w:tc>
        <w:tc>
          <w:tcPr>
            <w:tcW w:w="342" w:type="pct"/>
            <w:tcBorders>
              <w:top w:val="nil"/>
              <w:left w:val="nil"/>
              <w:bottom w:val="single" w:sz="4" w:space="0" w:color="auto"/>
              <w:right w:val="single" w:sz="8" w:space="0" w:color="auto"/>
            </w:tcBorders>
            <w:shd w:val="clear" w:color="000000" w:fill="F276AB"/>
            <w:vAlign w:val="center"/>
            <w:hideMark/>
          </w:tcPr>
          <w:p w14:paraId="2C8DDAE1" w14:textId="0C2D105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11,198</w:t>
            </w:r>
          </w:p>
        </w:tc>
      </w:tr>
      <w:tr w:rsidR="00387E5A" w:rsidRPr="00024D5A" w14:paraId="6CC4C0B7" w14:textId="77777777" w:rsidTr="00387E5A">
        <w:trPr>
          <w:trHeight w:val="20"/>
        </w:trPr>
        <w:tc>
          <w:tcPr>
            <w:tcW w:w="375" w:type="pct"/>
            <w:tcBorders>
              <w:top w:val="nil"/>
              <w:left w:val="single" w:sz="4" w:space="0" w:color="auto"/>
              <w:bottom w:val="single" w:sz="4" w:space="0" w:color="auto"/>
              <w:right w:val="nil"/>
            </w:tcBorders>
            <w:shd w:val="clear" w:color="000000" w:fill="FDE9D9"/>
            <w:vAlign w:val="center"/>
            <w:hideMark/>
          </w:tcPr>
          <w:p w14:paraId="3E3F4973" w14:textId="14A03529"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Objektivi </w:t>
            </w:r>
            <w:r w:rsidR="00BB0B47" w:rsidRPr="00024D5A">
              <w:rPr>
                <w:rFonts w:ascii="Garamond" w:eastAsia="Times New Roman" w:hAnsi="Garamond" w:cs="Calibri"/>
                <w:b/>
                <w:bCs/>
                <w:sz w:val="6"/>
                <w:szCs w:val="6"/>
                <w:lang w:eastAsia="en-US"/>
              </w:rPr>
              <w:t xml:space="preserve">specifik </w:t>
            </w:r>
            <w:r w:rsidRPr="00024D5A">
              <w:rPr>
                <w:rFonts w:ascii="Garamond" w:eastAsia="Times New Roman" w:hAnsi="Garamond" w:cs="Calibri"/>
                <w:b/>
                <w:bCs/>
                <w:sz w:val="6"/>
                <w:szCs w:val="6"/>
                <w:lang w:eastAsia="en-US"/>
              </w:rPr>
              <w:t>1</w:t>
            </w:r>
            <w:r w:rsidR="003526AF">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Rritja e numrit të personave me aftësi të kufizuara në procesin e votimit, dhënia e mundësisë për të mbrojtur interesat e tyre dhe për të marrë pjesë në vendimmarrje</w:t>
            </w:r>
            <w:r w:rsidR="00BB0B47" w:rsidRPr="00024D5A">
              <w:rPr>
                <w:rFonts w:ascii="Garamond" w:eastAsia="Times New Roman" w:hAnsi="Garamond" w:cs="Calibri"/>
                <w:b/>
                <w:bCs/>
                <w:sz w:val="6"/>
                <w:szCs w:val="6"/>
                <w:lang w:eastAsia="en-US"/>
              </w:rPr>
              <w:t>.</w:t>
            </w:r>
          </w:p>
        </w:tc>
        <w:tc>
          <w:tcPr>
            <w:tcW w:w="244" w:type="pct"/>
            <w:tcBorders>
              <w:top w:val="nil"/>
              <w:left w:val="single" w:sz="8" w:space="0" w:color="auto"/>
              <w:bottom w:val="single" w:sz="4" w:space="0" w:color="auto"/>
              <w:right w:val="single" w:sz="4" w:space="0" w:color="auto"/>
            </w:tcBorders>
            <w:shd w:val="clear" w:color="000000" w:fill="FDE9D9"/>
            <w:vAlign w:val="center"/>
            <w:hideMark/>
          </w:tcPr>
          <w:p w14:paraId="1CF19227" w14:textId="64BFDD8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VII. </w:t>
            </w:r>
            <w:r w:rsidR="002C53D9" w:rsidRPr="00024D5A">
              <w:rPr>
                <w:rFonts w:ascii="Garamond" w:eastAsia="Times New Roman" w:hAnsi="Garamond" w:cs="Calibri"/>
                <w:b/>
                <w:bCs/>
                <w:sz w:val="6"/>
                <w:szCs w:val="6"/>
                <w:lang w:eastAsia="en-US"/>
              </w:rPr>
              <w:t xml:space="preserve">PËRFSHIRJA </w:t>
            </w:r>
            <w:r w:rsidRPr="00024D5A">
              <w:rPr>
                <w:rFonts w:ascii="Garamond" w:eastAsia="Times New Roman" w:hAnsi="Garamond" w:cs="Calibri"/>
                <w:b/>
                <w:bCs/>
                <w:sz w:val="6"/>
                <w:szCs w:val="6"/>
                <w:lang w:eastAsia="en-US"/>
              </w:rPr>
              <w:t>N</w:t>
            </w:r>
            <w:r w:rsidR="002447A2" w:rsidRPr="00024D5A">
              <w:rPr>
                <w:rFonts w:ascii="Garamond" w:eastAsia="Times New Roman" w:hAnsi="Garamond" w:cs="Calibri"/>
                <w:b/>
                <w:bCs/>
                <w:sz w:val="6"/>
                <w:szCs w:val="6"/>
                <w:lang w:eastAsia="en-US"/>
              </w:rPr>
              <w:t>Ë</w:t>
            </w:r>
            <w:r w:rsidRPr="00024D5A">
              <w:rPr>
                <w:rFonts w:ascii="Garamond" w:eastAsia="Times New Roman" w:hAnsi="Garamond" w:cs="Calibri"/>
                <w:b/>
                <w:bCs/>
                <w:sz w:val="6"/>
                <w:szCs w:val="6"/>
                <w:lang w:eastAsia="en-US"/>
              </w:rPr>
              <w:t xml:space="preserve"> JET</w:t>
            </w:r>
            <w:r w:rsidR="002447A2" w:rsidRPr="00024D5A">
              <w:rPr>
                <w:rFonts w:ascii="Garamond" w:eastAsia="Times New Roman" w:hAnsi="Garamond" w:cs="Calibri"/>
                <w:b/>
                <w:bCs/>
                <w:sz w:val="6"/>
                <w:szCs w:val="6"/>
                <w:lang w:eastAsia="en-US"/>
              </w:rPr>
              <w:t>Ë</w:t>
            </w:r>
            <w:r w:rsidRPr="00024D5A">
              <w:rPr>
                <w:rFonts w:ascii="Garamond" w:eastAsia="Times New Roman" w:hAnsi="Garamond" w:cs="Calibri"/>
                <w:b/>
                <w:bCs/>
                <w:sz w:val="6"/>
                <w:szCs w:val="6"/>
                <w:lang w:eastAsia="en-US"/>
              </w:rPr>
              <w:t>N PUBLIKE DHE POLITIKE</w:t>
            </w:r>
          </w:p>
        </w:tc>
        <w:tc>
          <w:tcPr>
            <w:tcW w:w="226" w:type="pct"/>
            <w:tcBorders>
              <w:top w:val="nil"/>
              <w:left w:val="nil"/>
              <w:bottom w:val="single" w:sz="4" w:space="0" w:color="auto"/>
              <w:right w:val="single" w:sz="4" w:space="0" w:color="auto"/>
            </w:tcBorders>
            <w:shd w:val="clear" w:color="000000" w:fill="FDE9D9"/>
            <w:hideMark/>
          </w:tcPr>
          <w:p w14:paraId="7A809FAE"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2030</w:t>
            </w:r>
          </w:p>
        </w:tc>
        <w:tc>
          <w:tcPr>
            <w:tcW w:w="664" w:type="pct"/>
            <w:tcBorders>
              <w:top w:val="nil"/>
              <w:left w:val="nil"/>
              <w:bottom w:val="single" w:sz="4" w:space="0" w:color="auto"/>
              <w:right w:val="single" w:sz="4" w:space="0" w:color="auto"/>
            </w:tcBorders>
            <w:shd w:val="clear" w:color="000000" w:fill="FDE9D9"/>
            <w:vAlign w:val="center"/>
            <w:hideMark/>
          </w:tcPr>
          <w:p w14:paraId="337ADB49"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MSHMS/KQZ</w:t>
            </w:r>
          </w:p>
        </w:tc>
        <w:tc>
          <w:tcPr>
            <w:tcW w:w="792" w:type="pct"/>
            <w:tcBorders>
              <w:top w:val="nil"/>
              <w:left w:val="nil"/>
              <w:bottom w:val="single" w:sz="4" w:space="0" w:color="auto"/>
              <w:right w:val="single" w:sz="8" w:space="0" w:color="auto"/>
            </w:tcBorders>
            <w:shd w:val="clear" w:color="000000" w:fill="FDE9D9"/>
            <w:vAlign w:val="center"/>
            <w:hideMark/>
          </w:tcPr>
          <w:p w14:paraId="0B3B49C7" w14:textId="76BB45BC"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KQZ</w:t>
            </w:r>
            <w:r w:rsidR="007675EC" w:rsidRPr="00024D5A">
              <w:rPr>
                <w:rFonts w:ascii="Garamond" w:eastAsia="Times New Roman" w:hAnsi="Garamond"/>
                <w:sz w:val="6"/>
                <w:szCs w:val="6"/>
                <w:lang w:eastAsia="en-US"/>
              </w:rPr>
              <w:t>/</w:t>
            </w:r>
            <w:r w:rsidR="002C53D9" w:rsidRPr="00024D5A">
              <w:rPr>
                <w:rFonts w:ascii="Garamond" w:eastAsia="Times New Roman" w:hAnsi="Garamond"/>
                <w:sz w:val="6"/>
                <w:szCs w:val="6"/>
                <w:lang w:eastAsia="en-US"/>
              </w:rPr>
              <w:t>bashkitë</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OJF</w:t>
            </w:r>
          </w:p>
        </w:tc>
        <w:tc>
          <w:tcPr>
            <w:tcW w:w="188" w:type="pct"/>
            <w:tcBorders>
              <w:top w:val="nil"/>
              <w:left w:val="nil"/>
              <w:bottom w:val="single" w:sz="4" w:space="0" w:color="auto"/>
              <w:right w:val="single" w:sz="4" w:space="0" w:color="auto"/>
            </w:tcBorders>
            <w:shd w:val="clear" w:color="000000" w:fill="FDE9D9"/>
            <w:vAlign w:val="center"/>
            <w:hideMark/>
          </w:tcPr>
          <w:p w14:paraId="7C8A0AFD" w14:textId="78DFD1A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2,077</w:t>
            </w:r>
          </w:p>
        </w:tc>
        <w:tc>
          <w:tcPr>
            <w:tcW w:w="190" w:type="pct"/>
            <w:tcBorders>
              <w:top w:val="nil"/>
              <w:left w:val="nil"/>
              <w:bottom w:val="single" w:sz="4" w:space="0" w:color="auto"/>
              <w:right w:val="single" w:sz="4" w:space="0" w:color="auto"/>
            </w:tcBorders>
            <w:shd w:val="clear" w:color="000000" w:fill="FDE9D9"/>
            <w:vAlign w:val="center"/>
            <w:hideMark/>
          </w:tcPr>
          <w:p w14:paraId="56D498D9" w14:textId="1D47060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3,503</w:t>
            </w:r>
          </w:p>
        </w:tc>
        <w:tc>
          <w:tcPr>
            <w:tcW w:w="190" w:type="pct"/>
            <w:tcBorders>
              <w:top w:val="nil"/>
              <w:left w:val="nil"/>
              <w:bottom w:val="single" w:sz="4" w:space="0" w:color="auto"/>
              <w:right w:val="single" w:sz="4" w:space="0" w:color="auto"/>
            </w:tcBorders>
            <w:shd w:val="clear" w:color="000000" w:fill="FDE9D9"/>
            <w:vAlign w:val="center"/>
            <w:hideMark/>
          </w:tcPr>
          <w:p w14:paraId="34F8B04C" w14:textId="6114181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766</w:t>
            </w:r>
          </w:p>
        </w:tc>
        <w:tc>
          <w:tcPr>
            <w:tcW w:w="190" w:type="pct"/>
            <w:tcBorders>
              <w:top w:val="nil"/>
              <w:left w:val="nil"/>
              <w:bottom w:val="single" w:sz="4" w:space="0" w:color="auto"/>
              <w:right w:val="single" w:sz="4" w:space="0" w:color="auto"/>
            </w:tcBorders>
            <w:shd w:val="clear" w:color="000000" w:fill="FDE9D9"/>
            <w:vAlign w:val="center"/>
            <w:hideMark/>
          </w:tcPr>
          <w:p w14:paraId="439029ED" w14:textId="5E7411D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966</w:t>
            </w:r>
          </w:p>
        </w:tc>
        <w:tc>
          <w:tcPr>
            <w:tcW w:w="187" w:type="pct"/>
            <w:tcBorders>
              <w:top w:val="nil"/>
              <w:left w:val="nil"/>
              <w:bottom w:val="single" w:sz="4" w:space="0" w:color="auto"/>
              <w:right w:val="single" w:sz="4" w:space="0" w:color="auto"/>
            </w:tcBorders>
            <w:shd w:val="clear" w:color="000000" w:fill="FDE9D9"/>
            <w:vAlign w:val="center"/>
            <w:hideMark/>
          </w:tcPr>
          <w:p w14:paraId="0CA54C88" w14:textId="20D9158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466</w:t>
            </w:r>
          </w:p>
        </w:tc>
        <w:tc>
          <w:tcPr>
            <w:tcW w:w="200" w:type="pct"/>
            <w:tcBorders>
              <w:top w:val="nil"/>
              <w:left w:val="nil"/>
              <w:bottom w:val="single" w:sz="4" w:space="0" w:color="auto"/>
              <w:right w:val="nil"/>
            </w:tcBorders>
            <w:shd w:val="clear" w:color="000000" w:fill="FDE9D9"/>
            <w:vAlign w:val="center"/>
            <w:hideMark/>
          </w:tcPr>
          <w:p w14:paraId="3C75B24E" w14:textId="70D6A0A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7,779</w:t>
            </w:r>
          </w:p>
        </w:tc>
        <w:tc>
          <w:tcPr>
            <w:tcW w:w="209" w:type="pct"/>
            <w:tcBorders>
              <w:top w:val="nil"/>
              <w:left w:val="single" w:sz="8" w:space="0" w:color="auto"/>
              <w:bottom w:val="single" w:sz="4" w:space="0" w:color="auto"/>
              <w:right w:val="single" w:sz="4" w:space="0" w:color="auto"/>
            </w:tcBorders>
            <w:shd w:val="clear" w:color="000000" w:fill="FDE9D9"/>
            <w:vAlign w:val="center"/>
            <w:hideMark/>
          </w:tcPr>
          <w:p w14:paraId="0A463D52" w14:textId="16CE91D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6,029</w:t>
            </w:r>
          </w:p>
        </w:tc>
        <w:tc>
          <w:tcPr>
            <w:tcW w:w="209" w:type="pct"/>
            <w:tcBorders>
              <w:top w:val="nil"/>
              <w:left w:val="nil"/>
              <w:bottom w:val="single" w:sz="4" w:space="0" w:color="auto"/>
              <w:right w:val="single" w:sz="4" w:space="0" w:color="auto"/>
            </w:tcBorders>
            <w:shd w:val="clear" w:color="000000" w:fill="FDE9D9"/>
            <w:vAlign w:val="center"/>
            <w:hideMark/>
          </w:tcPr>
          <w:p w14:paraId="43AB243E" w14:textId="44E5897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1,750</w:t>
            </w:r>
          </w:p>
        </w:tc>
        <w:tc>
          <w:tcPr>
            <w:tcW w:w="195" w:type="pct"/>
            <w:tcBorders>
              <w:top w:val="nil"/>
              <w:left w:val="nil"/>
              <w:bottom w:val="single" w:sz="4" w:space="0" w:color="auto"/>
              <w:right w:val="single" w:sz="8" w:space="0" w:color="auto"/>
            </w:tcBorders>
            <w:shd w:val="clear" w:color="000000" w:fill="FDE9D9"/>
            <w:vAlign w:val="center"/>
            <w:hideMark/>
          </w:tcPr>
          <w:p w14:paraId="179A33DF" w14:textId="5F40E2B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202" w:type="pct"/>
            <w:tcBorders>
              <w:top w:val="nil"/>
              <w:left w:val="nil"/>
              <w:bottom w:val="single" w:sz="4" w:space="0" w:color="auto"/>
              <w:right w:val="single" w:sz="4" w:space="0" w:color="auto"/>
            </w:tcBorders>
            <w:shd w:val="clear" w:color="000000" w:fill="FDE9D9"/>
            <w:vAlign w:val="center"/>
            <w:hideMark/>
          </w:tcPr>
          <w:p w14:paraId="11C4A138" w14:textId="40A809F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81,032</w:t>
            </w:r>
          </w:p>
        </w:tc>
        <w:tc>
          <w:tcPr>
            <w:tcW w:w="200" w:type="pct"/>
            <w:tcBorders>
              <w:top w:val="nil"/>
              <w:left w:val="nil"/>
              <w:bottom w:val="single" w:sz="4" w:space="0" w:color="auto"/>
              <w:right w:val="single" w:sz="4" w:space="0" w:color="auto"/>
            </w:tcBorders>
            <w:shd w:val="clear" w:color="000000" w:fill="FDE9D9"/>
            <w:vAlign w:val="center"/>
            <w:hideMark/>
          </w:tcPr>
          <w:p w14:paraId="3F69A574" w14:textId="5000167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62,803</w:t>
            </w:r>
          </w:p>
        </w:tc>
        <w:tc>
          <w:tcPr>
            <w:tcW w:w="197" w:type="pct"/>
            <w:tcBorders>
              <w:top w:val="nil"/>
              <w:left w:val="nil"/>
              <w:bottom w:val="single" w:sz="4" w:space="0" w:color="auto"/>
              <w:right w:val="single" w:sz="4" w:space="0" w:color="auto"/>
            </w:tcBorders>
            <w:shd w:val="clear" w:color="000000" w:fill="FDE9D9"/>
            <w:vAlign w:val="center"/>
            <w:hideMark/>
          </w:tcPr>
          <w:p w14:paraId="52FD3140" w14:textId="753E136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18,229</w:t>
            </w:r>
          </w:p>
        </w:tc>
        <w:tc>
          <w:tcPr>
            <w:tcW w:w="342" w:type="pct"/>
            <w:tcBorders>
              <w:top w:val="nil"/>
              <w:left w:val="nil"/>
              <w:bottom w:val="single" w:sz="4" w:space="0" w:color="auto"/>
              <w:right w:val="single" w:sz="8" w:space="0" w:color="auto"/>
            </w:tcBorders>
            <w:shd w:val="clear" w:color="000000" w:fill="FDE9D9"/>
            <w:vAlign w:val="center"/>
            <w:hideMark/>
          </w:tcPr>
          <w:p w14:paraId="5657437C" w14:textId="2E93BAD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r>
      <w:tr w:rsidR="00387E5A" w:rsidRPr="00024D5A" w14:paraId="36542395"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5322100F" w14:textId="409DA6CE"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Masa </w:t>
            </w:r>
            <w:r w:rsidR="00BB0B47" w:rsidRPr="00024D5A">
              <w:rPr>
                <w:rFonts w:ascii="Garamond" w:eastAsia="Times New Roman" w:hAnsi="Garamond" w:cs="Calibri"/>
                <w:b/>
                <w:bCs/>
                <w:sz w:val="6"/>
                <w:szCs w:val="6"/>
                <w:lang w:eastAsia="en-US"/>
              </w:rPr>
              <w:t xml:space="preserve">prioritare </w:t>
            </w:r>
            <w:r w:rsidRPr="00024D5A">
              <w:rPr>
                <w:rFonts w:ascii="Garamond" w:eastAsia="Times New Roman" w:hAnsi="Garamond" w:cs="Calibri"/>
                <w:b/>
                <w:bCs/>
                <w:sz w:val="6"/>
                <w:szCs w:val="6"/>
                <w:lang w:eastAsia="en-US"/>
              </w:rPr>
              <w:t>1.1</w:t>
            </w:r>
            <w:r w:rsidR="003526AF">
              <w:rPr>
                <w:rFonts w:ascii="Garamond" w:eastAsia="Times New Roman" w:hAnsi="Garamond" w:cs="Calibri"/>
                <w:b/>
                <w:bCs/>
                <w:sz w:val="6"/>
                <w:szCs w:val="6"/>
                <w:lang w:eastAsia="en-US"/>
              </w:rPr>
              <w:t>:</w:t>
            </w:r>
            <w:r w:rsidR="008F29FA" w:rsidRPr="00024D5A">
              <w:rPr>
                <w:rFonts w:ascii="Garamond" w:eastAsia="Times New Roman" w:hAnsi="Garamond" w:cs="Calibri"/>
                <w:b/>
                <w:bCs/>
                <w:sz w:val="6"/>
                <w:szCs w:val="6"/>
                <w:lang w:eastAsia="en-US"/>
              </w:rPr>
              <w:t xml:space="preserve"> </w:t>
            </w:r>
            <w:r w:rsidRPr="00024D5A">
              <w:rPr>
                <w:rFonts w:ascii="Garamond" w:eastAsia="Times New Roman" w:hAnsi="Garamond" w:cs="Calibri"/>
                <w:b/>
                <w:bCs/>
                <w:sz w:val="6"/>
                <w:szCs w:val="6"/>
                <w:lang w:eastAsia="en-US"/>
              </w:rPr>
              <w:t>Përmirësime ligjore për të mundësuar pjesëmarrjen në votime të të gjithë votuesve me aftësi të kufizuara.</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5CCEF8B9"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2026</w:t>
            </w:r>
          </w:p>
        </w:tc>
        <w:tc>
          <w:tcPr>
            <w:tcW w:w="226" w:type="pct"/>
            <w:tcBorders>
              <w:top w:val="nil"/>
              <w:left w:val="nil"/>
              <w:bottom w:val="single" w:sz="4" w:space="0" w:color="auto"/>
              <w:right w:val="single" w:sz="4" w:space="0" w:color="auto"/>
            </w:tcBorders>
            <w:shd w:val="clear" w:color="000000" w:fill="DCE6F1"/>
            <w:hideMark/>
          </w:tcPr>
          <w:p w14:paraId="0B28B2EB"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2029</w:t>
            </w:r>
          </w:p>
        </w:tc>
        <w:tc>
          <w:tcPr>
            <w:tcW w:w="664" w:type="pct"/>
            <w:tcBorders>
              <w:top w:val="nil"/>
              <w:left w:val="nil"/>
              <w:bottom w:val="single" w:sz="4" w:space="0" w:color="auto"/>
              <w:right w:val="single" w:sz="4" w:space="0" w:color="auto"/>
            </w:tcBorders>
            <w:shd w:val="clear" w:color="000000" w:fill="DCE6F1"/>
            <w:vAlign w:val="center"/>
            <w:hideMark/>
          </w:tcPr>
          <w:p w14:paraId="33648F74"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KQZ</w:t>
            </w:r>
          </w:p>
        </w:tc>
        <w:tc>
          <w:tcPr>
            <w:tcW w:w="792" w:type="pct"/>
            <w:tcBorders>
              <w:top w:val="nil"/>
              <w:left w:val="nil"/>
              <w:bottom w:val="single" w:sz="4" w:space="0" w:color="auto"/>
              <w:right w:val="single" w:sz="8" w:space="0" w:color="auto"/>
            </w:tcBorders>
            <w:shd w:val="clear" w:color="000000" w:fill="DCE6F1"/>
            <w:vAlign w:val="center"/>
            <w:hideMark/>
          </w:tcPr>
          <w:p w14:paraId="33E023D1" w14:textId="716CCE8F"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w:t>
            </w:r>
            <w:r w:rsidR="007675EC" w:rsidRPr="00024D5A">
              <w:rPr>
                <w:rFonts w:ascii="Garamond" w:eastAsia="Times New Roman" w:hAnsi="Garamond"/>
                <w:sz w:val="6"/>
                <w:szCs w:val="6"/>
                <w:lang w:eastAsia="en-US"/>
              </w:rPr>
              <w:t>/</w:t>
            </w:r>
            <w:r w:rsidR="00E51640" w:rsidRPr="00024D5A">
              <w:rPr>
                <w:rFonts w:ascii="Garamond" w:eastAsia="Times New Roman" w:hAnsi="Garamond"/>
                <w:sz w:val="6"/>
                <w:szCs w:val="6"/>
                <w:lang w:eastAsia="en-US"/>
              </w:rPr>
              <w:t>bashkitë</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OJF</w:t>
            </w:r>
          </w:p>
        </w:tc>
        <w:tc>
          <w:tcPr>
            <w:tcW w:w="188" w:type="pct"/>
            <w:tcBorders>
              <w:top w:val="nil"/>
              <w:left w:val="nil"/>
              <w:bottom w:val="single" w:sz="4" w:space="0" w:color="auto"/>
              <w:right w:val="single" w:sz="4" w:space="0" w:color="auto"/>
            </w:tcBorders>
            <w:shd w:val="clear" w:color="000000" w:fill="DCE6F1"/>
            <w:vAlign w:val="center"/>
            <w:hideMark/>
          </w:tcPr>
          <w:p w14:paraId="38CAD820" w14:textId="75CF015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2,077</w:t>
            </w:r>
          </w:p>
        </w:tc>
        <w:tc>
          <w:tcPr>
            <w:tcW w:w="190" w:type="pct"/>
            <w:tcBorders>
              <w:top w:val="nil"/>
              <w:left w:val="nil"/>
              <w:bottom w:val="single" w:sz="4" w:space="0" w:color="auto"/>
              <w:right w:val="single" w:sz="4" w:space="0" w:color="auto"/>
            </w:tcBorders>
            <w:shd w:val="clear" w:color="000000" w:fill="DCE6F1"/>
            <w:vAlign w:val="center"/>
            <w:hideMark/>
          </w:tcPr>
          <w:p w14:paraId="58D21D3D" w14:textId="7A7FD8F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3,036</w:t>
            </w:r>
          </w:p>
        </w:tc>
        <w:tc>
          <w:tcPr>
            <w:tcW w:w="190" w:type="pct"/>
            <w:tcBorders>
              <w:top w:val="nil"/>
              <w:left w:val="nil"/>
              <w:bottom w:val="single" w:sz="4" w:space="0" w:color="auto"/>
              <w:right w:val="single" w:sz="4" w:space="0" w:color="auto"/>
            </w:tcBorders>
            <w:shd w:val="clear" w:color="000000" w:fill="DCE6F1"/>
            <w:vAlign w:val="center"/>
            <w:hideMark/>
          </w:tcPr>
          <w:p w14:paraId="0FB8904B" w14:textId="364C83D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300</w:t>
            </w:r>
          </w:p>
        </w:tc>
        <w:tc>
          <w:tcPr>
            <w:tcW w:w="190" w:type="pct"/>
            <w:tcBorders>
              <w:top w:val="nil"/>
              <w:left w:val="nil"/>
              <w:bottom w:val="single" w:sz="4" w:space="0" w:color="auto"/>
              <w:right w:val="single" w:sz="4" w:space="0" w:color="auto"/>
            </w:tcBorders>
            <w:shd w:val="clear" w:color="000000" w:fill="DCE6F1"/>
            <w:vAlign w:val="center"/>
            <w:hideMark/>
          </w:tcPr>
          <w:p w14:paraId="36844CA3" w14:textId="633F57E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500</w:t>
            </w:r>
          </w:p>
        </w:tc>
        <w:tc>
          <w:tcPr>
            <w:tcW w:w="187" w:type="pct"/>
            <w:tcBorders>
              <w:top w:val="nil"/>
              <w:left w:val="nil"/>
              <w:bottom w:val="single" w:sz="4" w:space="0" w:color="auto"/>
              <w:right w:val="single" w:sz="4" w:space="0" w:color="auto"/>
            </w:tcBorders>
            <w:shd w:val="clear" w:color="000000" w:fill="DCE6F1"/>
            <w:vAlign w:val="center"/>
            <w:hideMark/>
          </w:tcPr>
          <w:p w14:paraId="0C7CD652" w14:textId="52D784F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200" w:type="pct"/>
            <w:tcBorders>
              <w:top w:val="nil"/>
              <w:left w:val="nil"/>
              <w:bottom w:val="single" w:sz="4" w:space="0" w:color="auto"/>
              <w:right w:val="nil"/>
            </w:tcBorders>
            <w:shd w:val="clear" w:color="000000" w:fill="DCE6F1"/>
            <w:vAlign w:val="center"/>
            <w:hideMark/>
          </w:tcPr>
          <w:p w14:paraId="2C36B7BF" w14:textId="6F2CCEE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5,914</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4A33D774" w14:textId="1E886A4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4,164</w:t>
            </w:r>
          </w:p>
        </w:tc>
        <w:tc>
          <w:tcPr>
            <w:tcW w:w="209" w:type="pct"/>
            <w:tcBorders>
              <w:top w:val="nil"/>
              <w:left w:val="nil"/>
              <w:bottom w:val="single" w:sz="4" w:space="0" w:color="auto"/>
              <w:right w:val="single" w:sz="4" w:space="0" w:color="auto"/>
            </w:tcBorders>
            <w:shd w:val="clear" w:color="000000" w:fill="DCE6F1"/>
            <w:vAlign w:val="center"/>
            <w:hideMark/>
          </w:tcPr>
          <w:p w14:paraId="41DD5867" w14:textId="0D1B225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1,750</w:t>
            </w:r>
          </w:p>
        </w:tc>
        <w:tc>
          <w:tcPr>
            <w:tcW w:w="195" w:type="pct"/>
            <w:tcBorders>
              <w:top w:val="nil"/>
              <w:left w:val="nil"/>
              <w:bottom w:val="single" w:sz="4" w:space="0" w:color="auto"/>
              <w:right w:val="single" w:sz="8" w:space="0" w:color="auto"/>
            </w:tcBorders>
            <w:shd w:val="clear" w:color="000000" w:fill="DCE6F1"/>
            <w:vAlign w:val="center"/>
            <w:hideMark/>
          </w:tcPr>
          <w:p w14:paraId="63954A65" w14:textId="1CECD08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202" w:type="pct"/>
            <w:tcBorders>
              <w:top w:val="nil"/>
              <w:left w:val="nil"/>
              <w:bottom w:val="single" w:sz="4" w:space="0" w:color="auto"/>
              <w:right w:val="single" w:sz="4" w:space="0" w:color="auto"/>
            </w:tcBorders>
            <w:shd w:val="clear" w:color="000000" w:fill="DCE6F1"/>
            <w:vAlign w:val="center"/>
            <w:hideMark/>
          </w:tcPr>
          <w:p w14:paraId="715402DE" w14:textId="7A53B83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61,600</w:t>
            </w:r>
          </w:p>
        </w:tc>
        <w:tc>
          <w:tcPr>
            <w:tcW w:w="200" w:type="pct"/>
            <w:tcBorders>
              <w:top w:val="nil"/>
              <w:left w:val="nil"/>
              <w:bottom w:val="single" w:sz="4" w:space="0" w:color="auto"/>
              <w:right w:val="single" w:sz="4" w:space="0" w:color="auto"/>
            </w:tcBorders>
            <w:shd w:val="clear" w:color="000000" w:fill="DCE6F1"/>
            <w:vAlign w:val="center"/>
            <w:hideMark/>
          </w:tcPr>
          <w:p w14:paraId="3EFEFA5B" w14:textId="4EE8BC1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43,371</w:t>
            </w:r>
          </w:p>
        </w:tc>
        <w:tc>
          <w:tcPr>
            <w:tcW w:w="197" w:type="pct"/>
            <w:tcBorders>
              <w:top w:val="nil"/>
              <w:left w:val="nil"/>
              <w:bottom w:val="single" w:sz="4" w:space="0" w:color="auto"/>
              <w:right w:val="single" w:sz="4" w:space="0" w:color="auto"/>
            </w:tcBorders>
            <w:shd w:val="clear" w:color="000000" w:fill="DCE6F1"/>
            <w:vAlign w:val="center"/>
            <w:hideMark/>
          </w:tcPr>
          <w:p w14:paraId="56D74AB3" w14:textId="15E7297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18,229</w:t>
            </w:r>
          </w:p>
        </w:tc>
        <w:tc>
          <w:tcPr>
            <w:tcW w:w="342" w:type="pct"/>
            <w:tcBorders>
              <w:top w:val="nil"/>
              <w:left w:val="nil"/>
              <w:bottom w:val="single" w:sz="4" w:space="0" w:color="auto"/>
              <w:right w:val="single" w:sz="8" w:space="0" w:color="auto"/>
            </w:tcBorders>
            <w:shd w:val="clear" w:color="000000" w:fill="DCE6F1"/>
            <w:vAlign w:val="center"/>
            <w:hideMark/>
          </w:tcPr>
          <w:p w14:paraId="1C59A679" w14:textId="561B36F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r>
      <w:tr w:rsidR="00387E5A" w:rsidRPr="00024D5A" w14:paraId="4F420C9B"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54E5EABD" w14:textId="70A82CC7"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Masa Prioritare 1.2</w:t>
            </w:r>
            <w:r w:rsidR="003526AF">
              <w:rPr>
                <w:rFonts w:ascii="Garamond" w:eastAsia="Times New Roman" w:hAnsi="Garamond" w:cs="Calibri"/>
                <w:b/>
                <w:bCs/>
                <w:sz w:val="6"/>
                <w:szCs w:val="6"/>
                <w:lang w:eastAsia="en-US"/>
              </w:rPr>
              <w:t>:</w:t>
            </w:r>
            <w:r w:rsidR="008F29FA" w:rsidRPr="00024D5A">
              <w:rPr>
                <w:rFonts w:ascii="Garamond" w:eastAsia="Times New Roman" w:hAnsi="Garamond" w:cs="Calibri"/>
                <w:b/>
                <w:bCs/>
                <w:sz w:val="6"/>
                <w:szCs w:val="6"/>
                <w:lang w:eastAsia="en-US"/>
              </w:rPr>
              <w:t xml:space="preserve"> </w:t>
            </w:r>
            <w:r w:rsidRPr="00024D5A">
              <w:rPr>
                <w:rFonts w:ascii="Garamond" w:eastAsia="Times New Roman" w:hAnsi="Garamond" w:cs="Calibri"/>
                <w:b/>
                <w:bCs/>
                <w:sz w:val="6"/>
                <w:szCs w:val="6"/>
                <w:lang w:eastAsia="en-US"/>
              </w:rPr>
              <w:t>Rritje e ndërgjegjësimit për pjesëmarrjen e personave me aftësi të kufizuara në proceset zgjedhore, jo vetëm si votues.</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136B25CF"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2027</w:t>
            </w:r>
          </w:p>
        </w:tc>
        <w:tc>
          <w:tcPr>
            <w:tcW w:w="226" w:type="pct"/>
            <w:tcBorders>
              <w:top w:val="nil"/>
              <w:left w:val="nil"/>
              <w:bottom w:val="single" w:sz="4" w:space="0" w:color="auto"/>
              <w:right w:val="single" w:sz="4" w:space="0" w:color="auto"/>
            </w:tcBorders>
            <w:shd w:val="clear" w:color="000000" w:fill="DCE6F1"/>
            <w:hideMark/>
          </w:tcPr>
          <w:p w14:paraId="1096452D"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6FE8940E"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KQZ</w:t>
            </w:r>
          </w:p>
        </w:tc>
        <w:tc>
          <w:tcPr>
            <w:tcW w:w="792" w:type="pct"/>
            <w:tcBorders>
              <w:top w:val="nil"/>
              <w:left w:val="nil"/>
              <w:bottom w:val="single" w:sz="4" w:space="0" w:color="auto"/>
              <w:right w:val="single" w:sz="8" w:space="0" w:color="auto"/>
            </w:tcBorders>
            <w:shd w:val="clear" w:color="000000" w:fill="DCE6F1"/>
            <w:vAlign w:val="center"/>
            <w:hideMark/>
          </w:tcPr>
          <w:p w14:paraId="4884CC94" w14:textId="442F4E76"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Bashkitë</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OJF</w:t>
            </w:r>
          </w:p>
        </w:tc>
        <w:tc>
          <w:tcPr>
            <w:tcW w:w="188" w:type="pct"/>
            <w:tcBorders>
              <w:top w:val="nil"/>
              <w:left w:val="nil"/>
              <w:bottom w:val="single" w:sz="4" w:space="0" w:color="auto"/>
              <w:right w:val="single" w:sz="4" w:space="0" w:color="auto"/>
            </w:tcBorders>
            <w:shd w:val="clear" w:color="000000" w:fill="DCE6F1"/>
            <w:vAlign w:val="center"/>
            <w:hideMark/>
          </w:tcPr>
          <w:p w14:paraId="29A92E65" w14:textId="7431B0E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0" w:type="pct"/>
            <w:tcBorders>
              <w:top w:val="nil"/>
              <w:left w:val="nil"/>
              <w:bottom w:val="single" w:sz="4" w:space="0" w:color="auto"/>
              <w:right w:val="single" w:sz="4" w:space="0" w:color="auto"/>
            </w:tcBorders>
            <w:shd w:val="clear" w:color="000000" w:fill="DCE6F1"/>
            <w:vAlign w:val="center"/>
            <w:hideMark/>
          </w:tcPr>
          <w:p w14:paraId="5A65B05B" w14:textId="46970F1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466</w:t>
            </w:r>
          </w:p>
        </w:tc>
        <w:tc>
          <w:tcPr>
            <w:tcW w:w="190" w:type="pct"/>
            <w:tcBorders>
              <w:top w:val="nil"/>
              <w:left w:val="nil"/>
              <w:bottom w:val="single" w:sz="4" w:space="0" w:color="auto"/>
              <w:right w:val="single" w:sz="4" w:space="0" w:color="auto"/>
            </w:tcBorders>
            <w:shd w:val="clear" w:color="000000" w:fill="DCE6F1"/>
            <w:vAlign w:val="center"/>
            <w:hideMark/>
          </w:tcPr>
          <w:p w14:paraId="0A2B80D5" w14:textId="6D12A0D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466</w:t>
            </w:r>
          </w:p>
        </w:tc>
        <w:tc>
          <w:tcPr>
            <w:tcW w:w="190" w:type="pct"/>
            <w:tcBorders>
              <w:top w:val="nil"/>
              <w:left w:val="nil"/>
              <w:bottom w:val="single" w:sz="4" w:space="0" w:color="auto"/>
              <w:right w:val="single" w:sz="4" w:space="0" w:color="auto"/>
            </w:tcBorders>
            <w:shd w:val="clear" w:color="000000" w:fill="DCE6F1"/>
            <w:vAlign w:val="center"/>
            <w:hideMark/>
          </w:tcPr>
          <w:p w14:paraId="41FA22D3" w14:textId="00B8F49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466</w:t>
            </w:r>
          </w:p>
        </w:tc>
        <w:tc>
          <w:tcPr>
            <w:tcW w:w="187" w:type="pct"/>
            <w:tcBorders>
              <w:top w:val="nil"/>
              <w:left w:val="nil"/>
              <w:bottom w:val="single" w:sz="4" w:space="0" w:color="auto"/>
              <w:right w:val="single" w:sz="4" w:space="0" w:color="auto"/>
            </w:tcBorders>
            <w:shd w:val="clear" w:color="000000" w:fill="DCE6F1"/>
            <w:vAlign w:val="center"/>
            <w:hideMark/>
          </w:tcPr>
          <w:p w14:paraId="3416E261" w14:textId="4700383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466</w:t>
            </w:r>
          </w:p>
        </w:tc>
        <w:tc>
          <w:tcPr>
            <w:tcW w:w="200" w:type="pct"/>
            <w:tcBorders>
              <w:top w:val="nil"/>
              <w:left w:val="nil"/>
              <w:bottom w:val="single" w:sz="4" w:space="0" w:color="auto"/>
              <w:right w:val="nil"/>
            </w:tcBorders>
            <w:shd w:val="clear" w:color="000000" w:fill="DCE6F1"/>
            <w:vAlign w:val="center"/>
            <w:hideMark/>
          </w:tcPr>
          <w:p w14:paraId="6CF76207" w14:textId="35EB5C6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1,865</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6978889F" w14:textId="7D73108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1,865</w:t>
            </w:r>
          </w:p>
        </w:tc>
        <w:tc>
          <w:tcPr>
            <w:tcW w:w="209" w:type="pct"/>
            <w:tcBorders>
              <w:top w:val="nil"/>
              <w:left w:val="nil"/>
              <w:bottom w:val="single" w:sz="4" w:space="0" w:color="auto"/>
              <w:right w:val="single" w:sz="4" w:space="0" w:color="auto"/>
            </w:tcBorders>
            <w:shd w:val="clear" w:color="000000" w:fill="DCE6F1"/>
            <w:vAlign w:val="center"/>
            <w:hideMark/>
          </w:tcPr>
          <w:p w14:paraId="501E331F" w14:textId="7366C30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5" w:type="pct"/>
            <w:tcBorders>
              <w:top w:val="nil"/>
              <w:left w:val="nil"/>
              <w:bottom w:val="single" w:sz="4" w:space="0" w:color="auto"/>
              <w:right w:val="single" w:sz="8" w:space="0" w:color="auto"/>
            </w:tcBorders>
            <w:shd w:val="clear" w:color="000000" w:fill="DCE6F1"/>
            <w:vAlign w:val="center"/>
            <w:hideMark/>
          </w:tcPr>
          <w:p w14:paraId="319C13AA" w14:textId="1E94F66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202" w:type="pct"/>
            <w:tcBorders>
              <w:top w:val="nil"/>
              <w:left w:val="nil"/>
              <w:bottom w:val="single" w:sz="4" w:space="0" w:color="auto"/>
              <w:right w:val="single" w:sz="4" w:space="0" w:color="auto"/>
            </w:tcBorders>
            <w:shd w:val="clear" w:color="000000" w:fill="DCE6F1"/>
            <w:vAlign w:val="center"/>
            <w:hideMark/>
          </w:tcPr>
          <w:p w14:paraId="4BAB2DB5" w14:textId="1FEE201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19,432</w:t>
            </w:r>
          </w:p>
        </w:tc>
        <w:tc>
          <w:tcPr>
            <w:tcW w:w="200" w:type="pct"/>
            <w:tcBorders>
              <w:top w:val="nil"/>
              <w:left w:val="nil"/>
              <w:bottom w:val="single" w:sz="4" w:space="0" w:color="auto"/>
              <w:right w:val="single" w:sz="4" w:space="0" w:color="auto"/>
            </w:tcBorders>
            <w:shd w:val="clear" w:color="000000" w:fill="DCE6F1"/>
            <w:vAlign w:val="center"/>
            <w:hideMark/>
          </w:tcPr>
          <w:p w14:paraId="01056781" w14:textId="3464C5E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19,432</w:t>
            </w:r>
          </w:p>
        </w:tc>
        <w:tc>
          <w:tcPr>
            <w:tcW w:w="197" w:type="pct"/>
            <w:tcBorders>
              <w:top w:val="nil"/>
              <w:left w:val="nil"/>
              <w:bottom w:val="single" w:sz="4" w:space="0" w:color="auto"/>
              <w:right w:val="single" w:sz="4" w:space="0" w:color="auto"/>
            </w:tcBorders>
            <w:shd w:val="clear" w:color="000000" w:fill="DCE6F1"/>
            <w:vAlign w:val="center"/>
            <w:hideMark/>
          </w:tcPr>
          <w:p w14:paraId="47605ECF" w14:textId="6718057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single" w:sz="8" w:space="0" w:color="auto"/>
            </w:tcBorders>
            <w:shd w:val="clear" w:color="000000" w:fill="DCE6F1"/>
            <w:vAlign w:val="center"/>
            <w:hideMark/>
          </w:tcPr>
          <w:p w14:paraId="572205B6" w14:textId="6B9C65A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r>
      <w:tr w:rsidR="00387E5A" w:rsidRPr="00024D5A" w14:paraId="7327725B" w14:textId="77777777" w:rsidTr="00387E5A">
        <w:trPr>
          <w:trHeight w:val="20"/>
        </w:trPr>
        <w:tc>
          <w:tcPr>
            <w:tcW w:w="375" w:type="pct"/>
            <w:tcBorders>
              <w:top w:val="nil"/>
              <w:left w:val="single" w:sz="4" w:space="0" w:color="auto"/>
              <w:bottom w:val="single" w:sz="4" w:space="0" w:color="auto"/>
              <w:right w:val="nil"/>
            </w:tcBorders>
            <w:shd w:val="clear" w:color="000000" w:fill="FDE9D9"/>
            <w:vAlign w:val="center"/>
            <w:hideMark/>
          </w:tcPr>
          <w:p w14:paraId="33EA68F5" w14:textId="40CBE4A6"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Objektivi specifik 2</w:t>
            </w:r>
            <w:r w:rsidR="003526AF">
              <w:rPr>
                <w:rFonts w:ascii="Garamond" w:eastAsia="Times New Roman" w:hAnsi="Garamond" w:cs="Calibri"/>
                <w:b/>
                <w:bCs/>
                <w:sz w:val="6"/>
                <w:szCs w:val="6"/>
                <w:lang w:eastAsia="en-US"/>
              </w:rPr>
              <w:t>:</w:t>
            </w:r>
            <w:r w:rsidR="00E51640" w:rsidRPr="00024D5A">
              <w:rPr>
                <w:rFonts w:ascii="Garamond" w:eastAsia="Times New Roman" w:hAnsi="Garamond" w:cs="Calibri"/>
                <w:b/>
                <w:bCs/>
                <w:sz w:val="6"/>
                <w:szCs w:val="6"/>
                <w:lang w:eastAsia="en-US"/>
              </w:rPr>
              <w:t xml:space="preserve"> </w:t>
            </w:r>
            <w:r w:rsidRPr="00024D5A">
              <w:rPr>
                <w:rFonts w:ascii="Garamond" w:eastAsia="Times New Roman" w:hAnsi="Garamond" w:cs="Calibri"/>
                <w:b/>
                <w:bCs/>
                <w:sz w:val="6"/>
                <w:szCs w:val="6"/>
                <w:lang w:eastAsia="en-US"/>
              </w:rPr>
              <w:t>Promovimi i punës së artistëve me aftësi të kufizuara dhe përfshirja e personave me aftësi të kufizuara në jetën artistike</w:t>
            </w:r>
            <w:r w:rsidR="00B47620" w:rsidRPr="00024D5A">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për të marrë pjesë në aktivitete dhe evenimente sportive kombëtare dhe ndërkombëtare</w:t>
            </w:r>
            <w:r w:rsidR="00BB0B47" w:rsidRPr="00024D5A">
              <w:rPr>
                <w:rFonts w:ascii="Garamond" w:eastAsia="Times New Roman" w:hAnsi="Garamond" w:cs="Calibri"/>
                <w:b/>
                <w:bCs/>
                <w:sz w:val="6"/>
                <w:szCs w:val="6"/>
                <w:lang w:eastAsia="en-US"/>
              </w:rPr>
              <w:t>.</w:t>
            </w:r>
          </w:p>
        </w:tc>
        <w:tc>
          <w:tcPr>
            <w:tcW w:w="244" w:type="pct"/>
            <w:tcBorders>
              <w:top w:val="nil"/>
              <w:left w:val="single" w:sz="8" w:space="0" w:color="auto"/>
              <w:bottom w:val="single" w:sz="4" w:space="0" w:color="auto"/>
              <w:right w:val="single" w:sz="4" w:space="0" w:color="auto"/>
            </w:tcBorders>
            <w:shd w:val="clear" w:color="000000" w:fill="FDE9D9"/>
            <w:vAlign w:val="center"/>
            <w:hideMark/>
          </w:tcPr>
          <w:p w14:paraId="42C93FE4"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0</w:t>
            </w:r>
          </w:p>
        </w:tc>
        <w:tc>
          <w:tcPr>
            <w:tcW w:w="226" w:type="pct"/>
            <w:tcBorders>
              <w:top w:val="nil"/>
              <w:left w:val="nil"/>
              <w:bottom w:val="single" w:sz="4" w:space="0" w:color="auto"/>
              <w:right w:val="single" w:sz="4" w:space="0" w:color="auto"/>
            </w:tcBorders>
            <w:shd w:val="clear" w:color="000000" w:fill="FDE9D9"/>
            <w:hideMark/>
          </w:tcPr>
          <w:p w14:paraId="3DA4F335"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2030</w:t>
            </w:r>
          </w:p>
        </w:tc>
        <w:tc>
          <w:tcPr>
            <w:tcW w:w="664" w:type="pct"/>
            <w:tcBorders>
              <w:top w:val="nil"/>
              <w:left w:val="nil"/>
              <w:bottom w:val="single" w:sz="4" w:space="0" w:color="auto"/>
              <w:right w:val="single" w:sz="4" w:space="0" w:color="auto"/>
            </w:tcBorders>
            <w:shd w:val="clear" w:color="000000" w:fill="FDE9D9"/>
            <w:vAlign w:val="center"/>
            <w:hideMark/>
          </w:tcPr>
          <w:p w14:paraId="7C1308E0"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MTKS</w:t>
            </w:r>
          </w:p>
        </w:tc>
        <w:tc>
          <w:tcPr>
            <w:tcW w:w="792" w:type="pct"/>
            <w:tcBorders>
              <w:top w:val="nil"/>
              <w:left w:val="nil"/>
              <w:bottom w:val="single" w:sz="4" w:space="0" w:color="auto"/>
              <w:right w:val="single" w:sz="8" w:space="0" w:color="auto"/>
            </w:tcBorders>
            <w:shd w:val="clear" w:color="000000" w:fill="FDE9D9"/>
            <w:vAlign w:val="center"/>
            <w:hideMark/>
          </w:tcPr>
          <w:p w14:paraId="0148644D" w14:textId="27687D90"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KKS/INSTAT</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OJF/BASHKI</w:t>
            </w:r>
          </w:p>
        </w:tc>
        <w:tc>
          <w:tcPr>
            <w:tcW w:w="188" w:type="pct"/>
            <w:tcBorders>
              <w:top w:val="nil"/>
              <w:left w:val="nil"/>
              <w:bottom w:val="single" w:sz="4" w:space="0" w:color="auto"/>
              <w:right w:val="single" w:sz="4" w:space="0" w:color="auto"/>
            </w:tcBorders>
            <w:shd w:val="clear" w:color="000000" w:fill="FDE9D9"/>
            <w:vAlign w:val="center"/>
            <w:hideMark/>
          </w:tcPr>
          <w:p w14:paraId="513C993D" w14:textId="4ABA59D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0" w:type="pct"/>
            <w:tcBorders>
              <w:top w:val="nil"/>
              <w:left w:val="nil"/>
              <w:bottom w:val="single" w:sz="4" w:space="0" w:color="auto"/>
              <w:right w:val="single" w:sz="4" w:space="0" w:color="auto"/>
            </w:tcBorders>
            <w:shd w:val="clear" w:color="000000" w:fill="FDE9D9"/>
            <w:vAlign w:val="center"/>
            <w:hideMark/>
          </w:tcPr>
          <w:p w14:paraId="1CCFAD01" w14:textId="0021B17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3,458</w:t>
            </w:r>
          </w:p>
        </w:tc>
        <w:tc>
          <w:tcPr>
            <w:tcW w:w="190" w:type="pct"/>
            <w:tcBorders>
              <w:top w:val="nil"/>
              <w:left w:val="nil"/>
              <w:bottom w:val="single" w:sz="4" w:space="0" w:color="auto"/>
              <w:right w:val="single" w:sz="4" w:space="0" w:color="auto"/>
            </w:tcBorders>
            <w:shd w:val="clear" w:color="000000" w:fill="FDE9D9"/>
            <w:vAlign w:val="center"/>
            <w:hideMark/>
          </w:tcPr>
          <w:p w14:paraId="662CB742" w14:textId="21637D7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3,813</w:t>
            </w:r>
          </w:p>
        </w:tc>
        <w:tc>
          <w:tcPr>
            <w:tcW w:w="190" w:type="pct"/>
            <w:tcBorders>
              <w:top w:val="nil"/>
              <w:left w:val="nil"/>
              <w:bottom w:val="single" w:sz="4" w:space="0" w:color="auto"/>
              <w:right w:val="single" w:sz="4" w:space="0" w:color="auto"/>
            </w:tcBorders>
            <w:shd w:val="clear" w:color="000000" w:fill="FDE9D9"/>
            <w:vAlign w:val="center"/>
            <w:hideMark/>
          </w:tcPr>
          <w:p w14:paraId="5C7F4C25" w14:textId="74CB2BB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3,322</w:t>
            </w:r>
          </w:p>
        </w:tc>
        <w:tc>
          <w:tcPr>
            <w:tcW w:w="187" w:type="pct"/>
            <w:tcBorders>
              <w:top w:val="nil"/>
              <w:left w:val="nil"/>
              <w:bottom w:val="single" w:sz="4" w:space="0" w:color="auto"/>
              <w:right w:val="single" w:sz="4" w:space="0" w:color="auto"/>
            </w:tcBorders>
            <w:shd w:val="clear" w:color="000000" w:fill="FDE9D9"/>
            <w:vAlign w:val="center"/>
            <w:hideMark/>
          </w:tcPr>
          <w:p w14:paraId="1A991A3C" w14:textId="38B04B8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3,322</w:t>
            </w:r>
          </w:p>
        </w:tc>
        <w:tc>
          <w:tcPr>
            <w:tcW w:w="200" w:type="pct"/>
            <w:tcBorders>
              <w:top w:val="nil"/>
              <w:left w:val="nil"/>
              <w:bottom w:val="single" w:sz="4" w:space="0" w:color="auto"/>
              <w:right w:val="nil"/>
            </w:tcBorders>
            <w:shd w:val="clear" w:color="000000" w:fill="FDE9D9"/>
            <w:vAlign w:val="center"/>
            <w:hideMark/>
          </w:tcPr>
          <w:p w14:paraId="7E902DC2" w14:textId="7F002AB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13,915</w:t>
            </w:r>
          </w:p>
        </w:tc>
        <w:tc>
          <w:tcPr>
            <w:tcW w:w="209" w:type="pct"/>
            <w:tcBorders>
              <w:top w:val="nil"/>
              <w:left w:val="single" w:sz="8" w:space="0" w:color="auto"/>
              <w:bottom w:val="single" w:sz="4" w:space="0" w:color="auto"/>
              <w:right w:val="single" w:sz="4" w:space="0" w:color="auto"/>
            </w:tcBorders>
            <w:shd w:val="clear" w:color="000000" w:fill="FDE9D9"/>
            <w:vAlign w:val="center"/>
            <w:hideMark/>
          </w:tcPr>
          <w:p w14:paraId="7C3873FE" w14:textId="4D3C920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12,840</w:t>
            </w:r>
          </w:p>
        </w:tc>
        <w:tc>
          <w:tcPr>
            <w:tcW w:w="209" w:type="pct"/>
            <w:tcBorders>
              <w:top w:val="nil"/>
              <w:left w:val="nil"/>
              <w:bottom w:val="single" w:sz="4" w:space="0" w:color="auto"/>
              <w:right w:val="single" w:sz="4" w:space="0" w:color="auto"/>
            </w:tcBorders>
            <w:shd w:val="clear" w:color="000000" w:fill="FDE9D9"/>
            <w:vAlign w:val="center"/>
            <w:hideMark/>
          </w:tcPr>
          <w:p w14:paraId="1CC6D5AE" w14:textId="40C8B75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5" w:type="pct"/>
            <w:tcBorders>
              <w:top w:val="nil"/>
              <w:left w:val="nil"/>
              <w:bottom w:val="single" w:sz="4" w:space="0" w:color="auto"/>
              <w:right w:val="single" w:sz="8" w:space="0" w:color="auto"/>
            </w:tcBorders>
            <w:shd w:val="clear" w:color="000000" w:fill="FDE9D9"/>
            <w:vAlign w:val="center"/>
            <w:hideMark/>
          </w:tcPr>
          <w:p w14:paraId="1300382D" w14:textId="37334D8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1,075</w:t>
            </w:r>
          </w:p>
        </w:tc>
        <w:tc>
          <w:tcPr>
            <w:tcW w:w="202" w:type="pct"/>
            <w:tcBorders>
              <w:top w:val="nil"/>
              <w:left w:val="nil"/>
              <w:bottom w:val="single" w:sz="4" w:space="0" w:color="auto"/>
              <w:right w:val="single" w:sz="4" w:space="0" w:color="auto"/>
            </w:tcBorders>
            <w:shd w:val="clear" w:color="000000" w:fill="FDE9D9"/>
            <w:vAlign w:val="center"/>
            <w:hideMark/>
          </w:tcPr>
          <w:p w14:paraId="0A77C029" w14:textId="0F67226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144,948</w:t>
            </w:r>
          </w:p>
        </w:tc>
        <w:tc>
          <w:tcPr>
            <w:tcW w:w="200" w:type="pct"/>
            <w:tcBorders>
              <w:top w:val="nil"/>
              <w:left w:val="nil"/>
              <w:bottom w:val="single" w:sz="4" w:space="0" w:color="auto"/>
              <w:right w:val="single" w:sz="4" w:space="0" w:color="auto"/>
            </w:tcBorders>
            <w:shd w:val="clear" w:color="000000" w:fill="FDE9D9"/>
            <w:vAlign w:val="center"/>
            <w:hideMark/>
          </w:tcPr>
          <w:p w14:paraId="2F13A602" w14:textId="5B707F5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133,750</w:t>
            </w:r>
          </w:p>
        </w:tc>
        <w:tc>
          <w:tcPr>
            <w:tcW w:w="197" w:type="pct"/>
            <w:tcBorders>
              <w:top w:val="nil"/>
              <w:left w:val="nil"/>
              <w:bottom w:val="single" w:sz="4" w:space="0" w:color="auto"/>
              <w:right w:val="single" w:sz="4" w:space="0" w:color="auto"/>
            </w:tcBorders>
            <w:shd w:val="clear" w:color="000000" w:fill="FDE9D9"/>
            <w:vAlign w:val="center"/>
            <w:hideMark/>
          </w:tcPr>
          <w:p w14:paraId="1FD46EA6" w14:textId="46CF0B5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single" w:sz="8" w:space="0" w:color="auto"/>
            </w:tcBorders>
            <w:shd w:val="clear" w:color="000000" w:fill="FDE9D9"/>
            <w:vAlign w:val="center"/>
            <w:hideMark/>
          </w:tcPr>
          <w:p w14:paraId="33A59A91" w14:textId="7114818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11,198</w:t>
            </w:r>
          </w:p>
        </w:tc>
      </w:tr>
      <w:tr w:rsidR="00387E5A" w:rsidRPr="00024D5A" w14:paraId="5382FA35"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4B5B0A6A" w14:textId="6F06EA52"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Masa prioritare 2.1</w:t>
            </w:r>
            <w:r w:rsidR="003526AF">
              <w:rPr>
                <w:rFonts w:ascii="Garamond" w:eastAsia="Times New Roman" w:hAnsi="Garamond" w:cs="Calibri"/>
                <w:b/>
                <w:bCs/>
                <w:sz w:val="6"/>
                <w:szCs w:val="6"/>
                <w:lang w:eastAsia="en-US"/>
              </w:rPr>
              <w:t>:</w:t>
            </w:r>
            <w:r w:rsidR="00BB0B47" w:rsidRPr="00024D5A">
              <w:rPr>
                <w:rFonts w:ascii="Garamond" w:eastAsia="Times New Roman" w:hAnsi="Garamond" w:cs="Calibri"/>
                <w:b/>
                <w:bCs/>
                <w:sz w:val="6"/>
                <w:szCs w:val="6"/>
                <w:lang w:eastAsia="en-US"/>
              </w:rPr>
              <w:t xml:space="preserve"> </w:t>
            </w:r>
            <w:r w:rsidRPr="00024D5A">
              <w:rPr>
                <w:rFonts w:ascii="Garamond" w:eastAsia="Times New Roman" w:hAnsi="Garamond" w:cs="Calibri"/>
                <w:b/>
                <w:bCs/>
                <w:sz w:val="6"/>
                <w:szCs w:val="6"/>
                <w:lang w:eastAsia="en-US"/>
              </w:rPr>
              <w:t>Rritje e aksesit për pjesëmarrje t</w:t>
            </w:r>
            <w:r w:rsidR="0059189E" w:rsidRPr="00024D5A">
              <w:rPr>
                <w:rFonts w:ascii="Garamond" w:eastAsia="Times New Roman" w:hAnsi="Garamond" w:cs="Calibri"/>
                <w:b/>
                <w:bCs/>
                <w:sz w:val="6"/>
                <w:szCs w:val="6"/>
                <w:lang w:eastAsia="en-US"/>
              </w:rPr>
              <w:t>ë</w:t>
            </w:r>
            <w:r w:rsidRPr="00024D5A">
              <w:rPr>
                <w:rFonts w:ascii="Garamond" w:eastAsia="Times New Roman" w:hAnsi="Garamond" w:cs="Calibri"/>
                <w:b/>
                <w:bCs/>
                <w:sz w:val="6"/>
                <w:szCs w:val="6"/>
                <w:lang w:eastAsia="en-US"/>
              </w:rPr>
              <w:t xml:space="preserve"> PAK</w:t>
            </w:r>
            <w:r w:rsidR="0059189E" w:rsidRPr="00024D5A">
              <w:rPr>
                <w:rFonts w:ascii="Garamond" w:eastAsia="Times New Roman" w:hAnsi="Garamond" w:cs="Calibri"/>
                <w:b/>
                <w:bCs/>
                <w:sz w:val="6"/>
                <w:szCs w:val="6"/>
                <w:lang w:eastAsia="en-US"/>
              </w:rPr>
              <w:t>-së</w:t>
            </w:r>
            <w:r w:rsidRPr="00024D5A">
              <w:rPr>
                <w:rFonts w:ascii="Garamond" w:eastAsia="Times New Roman" w:hAnsi="Garamond" w:cs="Calibri"/>
                <w:b/>
                <w:bCs/>
                <w:sz w:val="6"/>
                <w:szCs w:val="6"/>
                <w:lang w:eastAsia="en-US"/>
              </w:rPr>
              <w:t xml:space="preserve"> në aktivitete kulturore dhe sportive</w:t>
            </w:r>
            <w:r w:rsidR="00BB0B47" w:rsidRPr="00024D5A">
              <w:rPr>
                <w:rFonts w:ascii="Garamond" w:eastAsia="Times New Roman" w:hAnsi="Garamond" w:cs="Calibri"/>
                <w:b/>
                <w:bCs/>
                <w:sz w:val="6"/>
                <w:szCs w:val="6"/>
                <w:lang w:eastAsia="en-US"/>
              </w:rPr>
              <w:t>.</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7EAB59FF"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2026</w:t>
            </w:r>
          </w:p>
        </w:tc>
        <w:tc>
          <w:tcPr>
            <w:tcW w:w="226" w:type="pct"/>
            <w:tcBorders>
              <w:top w:val="nil"/>
              <w:left w:val="nil"/>
              <w:bottom w:val="single" w:sz="4" w:space="0" w:color="auto"/>
              <w:right w:val="single" w:sz="4" w:space="0" w:color="auto"/>
            </w:tcBorders>
            <w:shd w:val="clear" w:color="000000" w:fill="DCE6F1"/>
            <w:hideMark/>
          </w:tcPr>
          <w:p w14:paraId="0EA89582"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747C5817"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MTKS</w:t>
            </w:r>
          </w:p>
        </w:tc>
        <w:tc>
          <w:tcPr>
            <w:tcW w:w="792" w:type="pct"/>
            <w:tcBorders>
              <w:top w:val="nil"/>
              <w:left w:val="nil"/>
              <w:bottom w:val="single" w:sz="4" w:space="0" w:color="auto"/>
              <w:right w:val="single" w:sz="8" w:space="0" w:color="auto"/>
            </w:tcBorders>
            <w:shd w:val="clear" w:color="000000" w:fill="DCE6F1"/>
            <w:vAlign w:val="center"/>
            <w:hideMark/>
          </w:tcPr>
          <w:p w14:paraId="614C6F94" w14:textId="6861A5B0"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INSTAT</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OJF/BASHKI</w:t>
            </w:r>
          </w:p>
        </w:tc>
        <w:tc>
          <w:tcPr>
            <w:tcW w:w="188" w:type="pct"/>
            <w:tcBorders>
              <w:top w:val="nil"/>
              <w:left w:val="nil"/>
              <w:bottom w:val="single" w:sz="4" w:space="0" w:color="auto"/>
              <w:right w:val="single" w:sz="4" w:space="0" w:color="auto"/>
            </w:tcBorders>
            <w:shd w:val="clear" w:color="000000" w:fill="DCE6F1"/>
            <w:vAlign w:val="center"/>
            <w:hideMark/>
          </w:tcPr>
          <w:p w14:paraId="4C61591B" w14:textId="26F8151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0" w:type="pct"/>
            <w:tcBorders>
              <w:top w:val="nil"/>
              <w:left w:val="nil"/>
              <w:bottom w:val="single" w:sz="4" w:space="0" w:color="auto"/>
              <w:right w:val="single" w:sz="4" w:space="0" w:color="auto"/>
            </w:tcBorders>
            <w:shd w:val="clear" w:color="000000" w:fill="DCE6F1"/>
            <w:vAlign w:val="center"/>
            <w:hideMark/>
          </w:tcPr>
          <w:p w14:paraId="4DA44091" w14:textId="3B488AC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236</w:t>
            </w:r>
          </w:p>
        </w:tc>
        <w:tc>
          <w:tcPr>
            <w:tcW w:w="190" w:type="pct"/>
            <w:tcBorders>
              <w:top w:val="nil"/>
              <w:left w:val="nil"/>
              <w:bottom w:val="single" w:sz="4" w:space="0" w:color="auto"/>
              <w:right w:val="single" w:sz="4" w:space="0" w:color="auto"/>
            </w:tcBorders>
            <w:shd w:val="clear" w:color="000000" w:fill="DCE6F1"/>
            <w:vAlign w:val="center"/>
            <w:hideMark/>
          </w:tcPr>
          <w:p w14:paraId="314DD9C3" w14:textId="0CA111C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136</w:t>
            </w:r>
          </w:p>
        </w:tc>
        <w:tc>
          <w:tcPr>
            <w:tcW w:w="190" w:type="pct"/>
            <w:tcBorders>
              <w:top w:val="nil"/>
              <w:left w:val="nil"/>
              <w:bottom w:val="single" w:sz="4" w:space="0" w:color="auto"/>
              <w:right w:val="single" w:sz="4" w:space="0" w:color="auto"/>
            </w:tcBorders>
            <w:shd w:val="clear" w:color="000000" w:fill="DCE6F1"/>
            <w:vAlign w:val="center"/>
            <w:hideMark/>
          </w:tcPr>
          <w:p w14:paraId="12A7D493" w14:textId="6E389B5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136</w:t>
            </w:r>
          </w:p>
        </w:tc>
        <w:tc>
          <w:tcPr>
            <w:tcW w:w="187" w:type="pct"/>
            <w:tcBorders>
              <w:top w:val="nil"/>
              <w:left w:val="nil"/>
              <w:bottom w:val="single" w:sz="4" w:space="0" w:color="auto"/>
              <w:right w:val="single" w:sz="4" w:space="0" w:color="auto"/>
            </w:tcBorders>
            <w:shd w:val="clear" w:color="000000" w:fill="DCE6F1"/>
            <w:vAlign w:val="center"/>
            <w:hideMark/>
          </w:tcPr>
          <w:p w14:paraId="4B92D0DC" w14:textId="28FD34C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136</w:t>
            </w:r>
          </w:p>
        </w:tc>
        <w:tc>
          <w:tcPr>
            <w:tcW w:w="200" w:type="pct"/>
            <w:tcBorders>
              <w:top w:val="nil"/>
              <w:left w:val="nil"/>
              <w:bottom w:val="single" w:sz="4" w:space="0" w:color="auto"/>
              <w:right w:val="nil"/>
            </w:tcBorders>
            <w:shd w:val="clear" w:color="000000" w:fill="DCE6F1"/>
            <w:vAlign w:val="center"/>
            <w:hideMark/>
          </w:tcPr>
          <w:p w14:paraId="5A63705F" w14:textId="49C51C4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645</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33DACE4B" w14:textId="697635B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645</w:t>
            </w:r>
          </w:p>
        </w:tc>
        <w:tc>
          <w:tcPr>
            <w:tcW w:w="209" w:type="pct"/>
            <w:tcBorders>
              <w:top w:val="nil"/>
              <w:left w:val="nil"/>
              <w:bottom w:val="single" w:sz="4" w:space="0" w:color="auto"/>
              <w:right w:val="single" w:sz="4" w:space="0" w:color="auto"/>
            </w:tcBorders>
            <w:shd w:val="clear" w:color="000000" w:fill="DCE6F1"/>
            <w:vAlign w:val="center"/>
            <w:hideMark/>
          </w:tcPr>
          <w:p w14:paraId="6C28EEA8" w14:textId="1C5DC43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5" w:type="pct"/>
            <w:tcBorders>
              <w:top w:val="nil"/>
              <w:left w:val="nil"/>
              <w:bottom w:val="single" w:sz="4" w:space="0" w:color="auto"/>
              <w:right w:val="single" w:sz="8" w:space="0" w:color="auto"/>
            </w:tcBorders>
            <w:shd w:val="clear" w:color="000000" w:fill="DCE6F1"/>
            <w:vAlign w:val="center"/>
            <w:hideMark/>
          </w:tcPr>
          <w:p w14:paraId="795893F2" w14:textId="64834C4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202" w:type="pct"/>
            <w:tcBorders>
              <w:top w:val="nil"/>
              <w:left w:val="nil"/>
              <w:bottom w:val="single" w:sz="4" w:space="0" w:color="auto"/>
              <w:right w:val="single" w:sz="4" w:space="0" w:color="auto"/>
            </w:tcBorders>
            <w:shd w:val="clear" w:color="000000" w:fill="DCE6F1"/>
            <w:vAlign w:val="center"/>
            <w:hideMark/>
          </w:tcPr>
          <w:p w14:paraId="5630A0ED" w14:textId="612DF2E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6,723</w:t>
            </w:r>
          </w:p>
        </w:tc>
        <w:tc>
          <w:tcPr>
            <w:tcW w:w="200" w:type="pct"/>
            <w:tcBorders>
              <w:top w:val="nil"/>
              <w:left w:val="nil"/>
              <w:bottom w:val="single" w:sz="4" w:space="0" w:color="auto"/>
              <w:right w:val="single" w:sz="4" w:space="0" w:color="auto"/>
            </w:tcBorders>
            <w:shd w:val="clear" w:color="000000" w:fill="DCE6F1"/>
            <w:vAlign w:val="center"/>
            <w:hideMark/>
          </w:tcPr>
          <w:p w14:paraId="229A813C" w14:textId="55100D9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6,723</w:t>
            </w:r>
          </w:p>
        </w:tc>
        <w:tc>
          <w:tcPr>
            <w:tcW w:w="197" w:type="pct"/>
            <w:tcBorders>
              <w:top w:val="nil"/>
              <w:left w:val="nil"/>
              <w:bottom w:val="single" w:sz="4" w:space="0" w:color="auto"/>
              <w:right w:val="single" w:sz="4" w:space="0" w:color="auto"/>
            </w:tcBorders>
            <w:shd w:val="clear" w:color="000000" w:fill="DCE6F1"/>
            <w:vAlign w:val="center"/>
            <w:hideMark/>
          </w:tcPr>
          <w:p w14:paraId="1C5CAC2C" w14:textId="2603176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single" w:sz="8" w:space="0" w:color="auto"/>
            </w:tcBorders>
            <w:shd w:val="clear" w:color="000000" w:fill="DCE6F1"/>
            <w:vAlign w:val="center"/>
            <w:hideMark/>
          </w:tcPr>
          <w:p w14:paraId="2A45D181" w14:textId="4A45C32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r>
      <w:tr w:rsidR="00387E5A" w:rsidRPr="00024D5A" w14:paraId="04B6B108"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62C5B3DF" w14:textId="14CCF31E"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Masa prioritare</w:t>
            </w:r>
            <w:r w:rsidR="00BB0B47" w:rsidRPr="00024D5A">
              <w:rPr>
                <w:rFonts w:ascii="Garamond" w:eastAsia="Times New Roman" w:hAnsi="Garamond" w:cs="Calibri"/>
                <w:b/>
                <w:bCs/>
                <w:sz w:val="6"/>
                <w:szCs w:val="6"/>
                <w:lang w:eastAsia="en-US"/>
              </w:rPr>
              <w:t xml:space="preserve"> </w:t>
            </w:r>
            <w:r w:rsidRPr="00024D5A">
              <w:rPr>
                <w:rFonts w:ascii="Garamond" w:eastAsia="Times New Roman" w:hAnsi="Garamond" w:cs="Calibri"/>
                <w:b/>
                <w:bCs/>
                <w:sz w:val="6"/>
                <w:szCs w:val="6"/>
                <w:lang w:eastAsia="en-US"/>
              </w:rPr>
              <w:t>2.2</w:t>
            </w:r>
            <w:r w:rsidR="003526AF">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Ngritja dhe fuqizimi i kapaciteteve</w:t>
            </w:r>
            <w:r w:rsidR="00BB0B47" w:rsidRPr="00024D5A">
              <w:rPr>
                <w:rFonts w:ascii="Garamond" w:eastAsia="Times New Roman" w:hAnsi="Garamond" w:cs="Calibri"/>
                <w:b/>
                <w:bCs/>
                <w:sz w:val="6"/>
                <w:szCs w:val="6"/>
                <w:lang w:eastAsia="en-US"/>
              </w:rPr>
              <w:t>.</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55924C13"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2026</w:t>
            </w:r>
          </w:p>
        </w:tc>
        <w:tc>
          <w:tcPr>
            <w:tcW w:w="226" w:type="pct"/>
            <w:tcBorders>
              <w:top w:val="nil"/>
              <w:left w:val="nil"/>
              <w:bottom w:val="single" w:sz="4" w:space="0" w:color="auto"/>
              <w:right w:val="single" w:sz="4" w:space="0" w:color="auto"/>
            </w:tcBorders>
            <w:shd w:val="clear" w:color="000000" w:fill="DCE6F1"/>
            <w:noWrap/>
            <w:hideMark/>
          </w:tcPr>
          <w:p w14:paraId="687D5B7A"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2030</w:t>
            </w:r>
          </w:p>
        </w:tc>
        <w:tc>
          <w:tcPr>
            <w:tcW w:w="664" w:type="pct"/>
            <w:tcBorders>
              <w:top w:val="nil"/>
              <w:left w:val="nil"/>
              <w:bottom w:val="single" w:sz="4" w:space="0" w:color="auto"/>
              <w:right w:val="single" w:sz="4" w:space="0" w:color="auto"/>
            </w:tcBorders>
            <w:shd w:val="clear" w:color="000000" w:fill="DCE6F1"/>
            <w:noWrap/>
            <w:vAlign w:val="center"/>
            <w:hideMark/>
          </w:tcPr>
          <w:p w14:paraId="2C2B4AB6"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MA/MTKS</w:t>
            </w:r>
          </w:p>
        </w:tc>
        <w:tc>
          <w:tcPr>
            <w:tcW w:w="792" w:type="pct"/>
            <w:tcBorders>
              <w:top w:val="nil"/>
              <w:left w:val="nil"/>
              <w:bottom w:val="single" w:sz="4" w:space="0" w:color="auto"/>
              <w:right w:val="single" w:sz="8" w:space="0" w:color="auto"/>
            </w:tcBorders>
            <w:shd w:val="clear" w:color="000000" w:fill="DCE6F1"/>
            <w:noWrap/>
            <w:vAlign w:val="center"/>
            <w:hideMark/>
          </w:tcPr>
          <w:p w14:paraId="13DDF778"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MSHMS/KKS</w:t>
            </w:r>
          </w:p>
        </w:tc>
        <w:tc>
          <w:tcPr>
            <w:tcW w:w="188" w:type="pct"/>
            <w:tcBorders>
              <w:top w:val="nil"/>
              <w:left w:val="nil"/>
              <w:bottom w:val="single" w:sz="4" w:space="0" w:color="auto"/>
              <w:right w:val="single" w:sz="4" w:space="0" w:color="auto"/>
            </w:tcBorders>
            <w:shd w:val="clear" w:color="000000" w:fill="DCE6F1"/>
            <w:vAlign w:val="center"/>
            <w:hideMark/>
          </w:tcPr>
          <w:p w14:paraId="456B77C8" w14:textId="4FEDD0F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0" w:type="pct"/>
            <w:tcBorders>
              <w:top w:val="nil"/>
              <w:left w:val="nil"/>
              <w:bottom w:val="single" w:sz="4" w:space="0" w:color="auto"/>
              <w:right w:val="single" w:sz="4" w:space="0" w:color="auto"/>
            </w:tcBorders>
            <w:shd w:val="clear" w:color="000000" w:fill="DCE6F1"/>
            <w:vAlign w:val="center"/>
            <w:hideMark/>
          </w:tcPr>
          <w:p w14:paraId="46DF0E8B" w14:textId="7C91F72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3,222</w:t>
            </w:r>
          </w:p>
        </w:tc>
        <w:tc>
          <w:tcPr>
            <w:tcW w:w="190" w:type="pct"/>
            <w:tcBorders>
              <w:top w:val="nil"/>
              <w:left w:val="nil"/>
              <w:bottom w:val="single" w:sz="4" w:space="0" w:color="auto"/>
              <w:right w:val="single" w:sz="4" w:space="0" w:color="auto"/>
            </w:tcBorders>
            <w:shd w:val="clear" w:color="000000" w:fill="DCE6F1"/>
            <w:vAlign w:val="center"/>
            <w:hideMark/>
          </w:tcPr>
          <w:p w14:paraId="763DD0FF" w14:textId="1724BED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3,677</w:t>
            </w:r>
          </w:p>
        </w:tc>
        <w:tc>
          <w:tcPr>
            <w:tcW w:w="190" w:type="pct"/>
            <w:tcBorders>
              <w:top w:val="nil"/>
              <w:left w:val="nil"/>
              <w:bottom w:val="single" w:sz="4" w:space="0" w:color="auto"/>
              <w:right w:val="single" w:sz="4" w:space="0" w:color="auto"/>
            </w:tcBorders>
            <w:shd w:val="clear" w:color="000000" w:fill="DCE6F1"/>
            <w:vAlign w:val="center"/>
            <w:hideMark/>
          </w:tcPr>
          <w:p w14:paraId="3C87B30F" w14:textId="28A58F5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3,185</w:t>
            </w:r>
          </w:p>
        </w:tc>
        <w:tc>
          <w:tcPr>
            <w:tcW w:w="187" w:type="pct"/>
            <w:tcBorders>
              <w:top w:val="nil"/>
              <w:left w:val="nil"/>
              <w:bottom w:val="single" w:sz="4" w:space="0" w:color="auto"/>
              <w:right w:val="single" w:sz="4" w:space="0" w:color="auto"/>
            </w:tcBorders>
            <w:shd w:val="clear" w:color="000000" w:fill="DCE6F1"/>
            <w:vAlign w:val="center"/>
            <w:hideMark/>
          </w:tcPr>
          <w:p w14:paraId="3CED19FF" w14:textId="234B881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3,185</w:t>
            </w:r>
          </w:p>
        </w:tc>
        <w:tc>
          <w:tcPr>
            <w:tcW w:w="200" w:type="pct"/>
            <w:tcBorders>
              <w:top w:val="nil"/>
              <w:left w:val="nil"/>
              <w:bottom w:val="single" w:sz="4" w:space="0" w:color="auto"/>
              <w:right w:val="nil"/>
            </w:tcBorders>
            <w:shd w:val="clear" w:color="000000" w:fill="DCE6F1"/>
            <w:vAlign w:val="center"/>
            <w:hideMark/>
          </w:tcPr>
          <w:p w14:paraId="6F0B136A" w14:textId="74D468F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13,270</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16F4CA2A" w14:textId="2845601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12,195</w:t>
            </w:r>
          </w:p>
        </w:tc>
        <w:tc>
          <w:tcPr>
            <w:tcW w:w="209" w:type="pct"/>
            <w:tcBorders>
              <w:top w:val="nil"/>
              <w:left w:val="nil"/>
              <w:bottom w:val="single" w:sz="4" w:space="0" w:color="auto"/>
              <w:right w:val="single" w:sz="4" w:space="0" w:color="auto"/>
            </w:tcBorders>
            <w:shd w:val="clear" w:color="000000" w:fill="DCE6F1"/>
            <w:vAlign w:val="center"/>
            <w:hideMark/>
          </w:tcPr>
          <w:p w14:paraId="47FC5C16" w14:textId="2FD1313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5" w:type="pct"/>
            <w:tcBorders>
              <w:top w:val="nil"/>
              <w:left w:val="nil"/>
              <w:bottom w:val="single" w:sz="4" w:space="0" w:color="auto"/>
              <w:right w:val="single" w:sz="8" w:space="0" w:color="auto"/>
            </w:tcBorders>
            <w:shd w:val="clear" w:color="000000" w:fill="DCE6F1"/>
            <w:vAlign w:val="center"/>
            <w:hideMark/>
          </w:tcPr>
          <w:p w14:paraId="3765A5FD" w14:textId="3DEBD60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1,075</w:t>
            </w:r>
          </w:p>
        </w:tc>
        <w:tc>
          <w:tcPr>
            <w:tcW w:w="202" w:type="pct"/>
            <w:tcBorders>
              <w:top w:val="nil"/>
              <w:left w:val="nil"/>
              <w:bottom w:val="single" w:sz="4" w:space="0" w:color="auto"/>
              <w:right w:val="single" w:sz="4" w:space="0" w:color="auto"/>
            </w:tcBorders>
            <w:shd w:val="clear" w:color="000000" w:fill="DCE6F1"/>
            <w:vAlign w:val="center"/>
            <w:hideMark/>
          </w:tcPr>
          <w:p w14:paraId="519DA743" w14:textId="0164A80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138,224</w:t>
            </w:r>
          </w:p>
        </w:tc>
        <w:tc>
          <w:tcPr>
            <w:tcW w:w="200" w:type="pct"/>
            <w:tcBorders>
              <w:top w:val="nil"/>
              <w:left w:val="nil"/>
              <w:bottom w:val="single" w:sz="4" w:space="0" w:color="auto"/>
              <w:right w:val="single" w:sz="4" w:space="0" w:color="auto"/>
            </w:tcBorders>
            <w:shd w:val="clear" w:color="000000" w:fill="DCE6F1"/>
            <w:vAlign w:val="center"/>
            <w:hideMark/>
          </w:tcPr>
          <w:p w14:paraId="282692B4" w14:textId="180C5C0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127,027</w:t>
            </w:r>
          </w:p>
        </w:tc>
        <w:tc>
          <w:tcPr>
            <w:tcW w:w="197" w:type="pct"/>
            <w:tcBorders>
              <w:top w:val="nil"/>
              <w:left w:val="nil"/>
              <w:bottom w:val="single" w:sz="4" w:space="0" w:color="auto"/>
              <w:right w:val="single" w:sz="4" w:space="0" w:color="auto"/>
            </w:tcBorders>
            <w:shd w:val="clear" w:color="000000" w:fill="DCE6F1"/>
            <w:vAlign w:val="center"/>
            <w:hideMark/>
          </w:tcPr>
          <w:p w14:paraId="6AD6C34D" w14:textId="3E0ED9C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single" w:sz="8" w:space="0" w:color="auto"/>
            </w:tcBorders>
            <w:shd w:val="clear" w:color="000000" w:fill="DCE6F1"/>
            <w:vAlign w:val="center"/>
            <w:hideMark/>
          </w:tcPr>
          <w:p w14:paraId="4C0F5EDA" w14:textId="661BB55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11,198</w:t>
            </w:r>
          </w:p>
        </w:tc>
      </w:tr>
      <w:tr w:rsidR="00387E5A" w:rsidRPr="00024D5A" w14:paraId="396B7876" w14:textId="77777777" w:rsidTr="00387E5A">
        <w:trPr>
          <w:trHeight w:val="20"/>
        </w:trPr>
        <w:tc>
          <w:tcPr>
            <w:tcW w:w="375" w:type="pct"/>
            <w:tcBorders>
              <w:top w:val="nil"/>
              <w:left w:val="single" w:sz="4" w:space="0" w:color="auto"/>
              <w:bottom w:val="single" w:sz="4" w:space="0" w:color="auto"/>
              <w:right w:val="nil"/>
            </w:tcBorders>
            <w:shd w:val="clear" w:color="000000" w:fill="F276AB"/>
            <w:vAlign w:val="center"/>
            <w:hideMark/>
          </w:tcPr>
          <w:p w14:paraId="6FB23F98" w14:textId="77777777"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VIII. BASHKËPUNIMI DHE KOORDINIMI NDËRINSTITUCIONAL</w:t>
            </w:r>
          </w:p>
        </w:tc>
        <w:tc>
          <w:tcPr>
            <w:tcW w:w="244" w:type="pct"/>
            <w:tcBorders>
              <w:top w:val="nil"/>
              <w:left w:val="single" w:sz="8" w:space="0" w:color="auto"/>
              <w:bottom w:val="single" w:sz="4" w:space="0" w:color="auto"/>
              <w:right w:val="single" w:sz="4" w:space="0" w:color="auto"/>
            </w:tcBorders>
            <w:shd w:val="clear" w:color="000000" w:fill="F276AB"/>
            <w:vAlign w:val="center"/>
            <w:hideMark/>
          </w:tcPr>
          <w:p w14:paraId="243E9332"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2026</w:t>
            </w:r>
          </w:p>
        </w:tc>
        <w:tc>
          <w:tcPr>
            <w:tcW w:w="226" w:type="pct"/>
            <w:tcBorders>
              <w:top w:val="nil"/>
              <w:left w:val="nil"/>
              <w:bottom w:val="single" w:sz="4" w:space="0" w:color="auto"/>
              <w:right w:val="single" w:sz="4" w:space="0" w:color="auto"/>
            </w:tcBorders>
            <w:shd w:val="clear" w:color="000000" w:fill="F276AB"/>
            <w:vAlign w:val="center"/>
            <w:hideMark/>
          </w:tcPr>
          <w:p w14:paraId="0FA1AB13"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2030</w:t>
            </w:r>
          </w:p>
        </w:tc>
        <w:tc>
          <w:tcPr>
            <w:tcW w:w="664" w:type="pct"/>
            <w:tcBorders>
              <w:top w:val="nil"/>
              <w:left w:val="nil"/>
              <w:bottom w:val="single" w:sz="4" w:space="0" w:color="auto"/>
              <w:right w:val="single" w:sz="4" w:space="0" w:color="auto"/>
            </w:tcBorders>
            <w:shd w:val="clear" w:color="000000" w:fill="F276AB"/>
            <w:vAlign w:val="center"/>
            <w:hideMark/>
          </w:tcPr>
          <w:p w14:paraId="482CBD70" w14:textId="5009C644" w:rsidR="00DE4FCB" w:rsidRPr="00024D5A" w:rsidRDefault="00DE4FCB" w:rsidP="00387E5A">
            <w:pPr>
              <w:jc w:val="center"/>
              <w:rPr>
                <w:rFonts w:ascii="Garamond" w:eastAsia="Times New Roman" w:hAnsi="Garamond" w:cs="Calibri"/>
                <w:sz w:val="6"/>
                <w:szCs w:val="6"/>
                <w:lang w:eastAsia="en-US"/>
              </w:rPr>
            </w:pPr>
          </w:p>
        </w:tc>
        <w:tc>
          <w:tcPr>
            <w:tcW w:w="792" w:type="pct"/>
            <w:tcBorders>
              <w:top w:val="nil"/>
              <w:left w:val="nil"/>
              <w:bottom w:val="single" w:sz="4" w:space="0" w:color="auto"/>
              <w:right w:val="single" w:sz="8" w:space="0" w:color="auto"/>
            </w:tcBorders>
            <w:shd w:val="clear" w:color="000000" w:fill="F276AB"/>
            <w:vAlign w:val="center"/>
            <w:hideMark/>
          </w:tcPr>
          <w:p w14:paraId="776C3ABD" w14:textId="220806DB" w:rsidR="00DE4FCB" w:rsidRPr="00024D5A" w:rsidRDefault="00DE4FCB" w:rsidP="00387E5A">
            <w:pPr>
              <w:jc w:val="center"/>
              <w:rPr>
                <w:rFonts w:ascii="Garamond" w:eastAsia="Times New Roman" w:hAnsi="Garamond" w:cs="Calibri"/>
                <w:sz w:val="6"/>
                <w:szCs w:val="6"/>
                <w:lang w:eastAsia="en-US"/>
              </w:rPr>
            </w:pPr>
          </w:p>
        </w:tc>
        <w:tc>
          <w:tcPr>
            <w:tcW w:w="188" w:type="pct"/>
            <w:tcBorders>
              <w:top w:val="nil"/>
              <w:left w:val="nil"/>
              <w:bottom w:val="single" w:sz="4" w:space="0" w:color="auto"/>
              <w:right w:val="single" w:sz="4" w:space="0" w:color="auto"/>
            </w:tcBorders>
            <w:shd w:val="clear" w:color="000000" w:fill="F276AB"/>
            <w:vAlign w:val="center"/>
            <w:hideMark/>
          </w:tcPr>
          <w:p w14:paraId="0E1668B0" w14:textId="5DD3522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9,095</w:t>
            </w:r>
          </w:p>
        </w:tc>
        <w:tc>
          <w:tcPr>
            <w:tcW w:w="190" w:type="pct"/>
            <w:tcBorders>
              <w:top w:val="nil"/>
              <w:left w:val="nil"/>
              <w:bottom w:val="single" w:sz="4" w:space="0" w:color="auto"/>
              <w:right w:val="single" w:sz="4" w:space="0" w:color="auto"/>
            </w:tcBorders>
            <w:shd w:val="clear" w:color="000000" w:fill="F276AB"/>
            <w:vAlign w:val="center"/>
            <w:hideMark/>
          </w:tcPr>
          <w:p w14:paraId="0CBADD84" w14:textId="6EB6D4A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13,067</w:t>
            </w:r>
          </w:p>
        </w:tc>
        <w:tc>
          <w:tcPr>
            <w:tcW w:w="190" w:type="pct"/>
            <w:tcBorders>
              <w:top w:val="nil"/>
              <w:left w:val="nil"/>
              <w:bottom w:val="single" w:sz="4" w:space="0" w:color="auto"/>
              <w:right w:val="single" w:sz="4" w:space="0" w:color="auto"/>
            </w:tcBorders>
            <w:shd w:val="clear" w:color="000000" w:fill="F276AB"/>
            <w:vAlign w:val="center"/>
            <w:hideMark/>
          </w:tcPr>
          <w:p w14:paraId="77D0BF8E" w14:textId="313D9B6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7,017</w:t>
            </w:r>
          </w:p>
        </w:tc>
        <w:tc>
          <w:tcPr>
            <w:tcW w:w="190" w:type="pct"/>
            <w:tcBorders>
              <w:top w:val="nil"/>
              <w:left w:val="nil"/>
              <w:bottom w:val="single" w:sz="4" w:space="0" w:color="auto"/>
              <w:right w:val="single" w:sz="4" w:space="0" w:color="auto"/>
            </w:tcBorders>
            <w:shd w:val="clear" w:color="000000" w:fill="F276AB"/>
            <w:vAlign w:val="center"/>
            <w:hideMark/>
          </w:tcPr>
          <w:p w14:paraId="1E51AA0B" w14:textId="67AF18F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6,442</w:t>
            </w:r>
          </w:p>
        </w:tc>
        <w:tc>
          <w:tcPr>
            <w:tcW w:w="187" w:type="pct"/>
            <w:tcBorders>
              <w:top w:val="nil"/>
              <w:left w:val="nil"/>
              <w:bottom w:val="single" w:sz="4" w:space="0" w:color="auto"/>
              <w:right w:val="single" w:sz="4" w:space="0" w:color="auto"/>
            </w:tcBorders>
            <w:shd w:val="clear" w:color="000000" w:fill="F276AB"/>
            <w:vAlign w:val="center"/>
            <w:hideMark/>
          </w:tcPr>
          <w:p w14:paraId="3DF51A6C" w14:textId="1B98BC9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4,942</w:t>
            </w:r>
          </w:p>
        </w:tc>
        <w:tc>
          <w:tcPr>
            <w:tcW w:w="200" w:type="pct"/>
            <w:tcBorders>
              <w:top w:val="nil"/>
              <w:left w:val="nil"/>
              <w:bottom w:val="single" w:sz="4" w:space="0" w:color="auto"/>
              <w:right w:val="nil"/>
            </w:tcBorders>
            <w:shd w:val="clear" w:color="000000" w:fill="F276AB"/>
            <w:vAlign w:val="center"/>
            <w:hideMark/>
          </w:tcPr>
          <w:p w14:paraId="7F038470" w14:textId="719B75C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40,563</w:t>
            </w:r>
          </w:p>
        </w:tc>
        <w:tc>
          <w:tcPr>
            <w:tcW w:w="209" w:type="pct"/>
            <w:tcBorders>
              <w:top w:val="nil"/>
              <w:left w:val="single" w:sz="8" w:space="0" w:color="auto"/>
              <w:bottom w:val="single" w:sz="4" w:space="0" w:color="auto"/>
              <w:right w:val="single" w:sz="4" w:space="0" w:color="auto"/>
            </w:tcBorders>
            <w:shd w:val="clear" w:color="000000" w:fill="F276AB"/>
            <w:vAlign w:val="center"/>
            <w:hideMark/>
          </w:tcPr>
          <w:p w14:paraId="44FCA969" w14:textId="799162B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20,413</w:t>
            </w:r>
          </w:p>
        </w:tc>
        <w:tc>
          <w:tcPr>
            <w:tcW w:w="209" w:type="pct"/>
            <w:tcBorders>
              <w:top w:val="nil"/>
              <w:left w:val="nil"/>
              <w:bottom w:val="single" w:sz="4" w:space="0" w:color="auto"/>
              <w:right w:val="single" w:sz="4" w:space="0" w:color="auto"/>
            </w:tcBorders>
            <w:shd w:val="clear" w:color="000000" w:fill="F276AB"/>
            <w:vAlign w:val="center"/>
            <w:hideMark/>
          </w:tcPr>
          <w:p w14:paraId="2BFBEA33" w14:textId="5FD1342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16,550</w:t>
            </w:r>
          </w:p>
        </w:tc>
        <w:tc>
          <w:tcPr>
            <w:tcW w:w="195" w:type="pct"/>
            <w:tcBorders>
              <w:top w:val="nil"/>
              <w:left w:val="nil"/>
              <w:bottom w:val="single" w:sz="4" w:space="0" w:color="auto"/>
              <w:right w:val="single" w:sz="8" w:space="0" w:color="auto"/>
            </w:tcBorders>
            <w:shd w:val="clear" w:color="000000" w:fill="F276AB"/>
            <w:vAlign w:val="center"/>
            <w:hideMark/>
          </w:tcPr>
          <w:p w14:paraId="7A54842F" w14:textId="2B6F070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3,600</w:t>
            </w:r>
          </w:p>
        </w:tc>
        <w:tc>
          <w:tcPr>
            <w:tcW w:w="202" w:type="pct"/>
            <w:tcBorders>
              <w:top w:val="nil"/>
              <w:left w:val="nil"/>
              <w:bottom w:val="single" w:sz="4" w:space="0" w:color="auto"/>
              <w:right w:val="single" w:sz="4" w:space="0" w:color="auto"/>
            </w:tcBorders>
            <w:shd w:val="clear" w:color="000000" w:fill="F276AB"/>
            <w:vAlign w:val="center"/>
            <w:hideMark/>
          </w:tcPr>
          <w:p w14:paraId="1760013A" w14:textId="3EFBD48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422,528</w:t>
            </w:r>
          </w:p>
        </w:tc>
        <w:tc>
          <w:tcPr>
            <w:tcW w:w="200" w:type="pct"/>
            <w:tcBorders>
              <w:top w:val="nil"/>
              <w:left w:val="nil"/>
              <w:bottom w:val="single" w:sz="4" w:space="0" w:color="auto"/>
              <w:right w:val="single" w:sz="4" w:space="0" w:color="auto"/>
            </w:tcBorders>
            <w:shd w:val="clear" w:color="000000" w:fill="F276AB"/>
            <w:vAlign w:val="center"/>
            <w:hideMark/>
          </w:tcPr>
          <w:p w14:paraId="591BD52D" w14:textId="563DD00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212,633</w:t>
            </w:r>
          </w:p>
        </w:tc>
        <w:tc>
          <w:tcPr>
            <w:tcW w:w="197" w:type="pct"/>
            <w:tcBorders>
              <w:top w:val="nil"/>
              <w:left w:val="nil"/>
              <w:bottom w:val="single" w:sz="4" w:space="0" w:color="auto"/>
              <w:right w:val="single" w:sz="4" w:space="0" w:color="auto"/>
            </w:tcBorders>
            <w:shd w:val="clear" w:color="000000" w:fill="F276AB"/>
            <w:vAlign w:val="center"/>
            <w:hideMark/>
          </w:tcPr>
          <w:p w14:paraId="1BCE07A6" w14:textId="1EEA9BD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172,396</w:t>
            </w:r>
          </w:p>
        </w:tc>
        <w:tc>
          <w:tcPr>
            <w:tcW w:w="342" w:type="pct"/>
            <w:tcBorders>
              <w:top w:val="nil"/>
              <w:left w:val="nil"/>
              <w:bottom w:val="single" w:sz="4" w:space="0" w:color="auto"/>
              <w:right w:val="single" w:sz="8" w:space="0" w:color="auto"/>
            </w:tcBorders>
            <w:shd w:val="clear" w:color="000000" w:fill="F276AB"/>
            <w:vAlign w:val="center"/>
            <w:hideMark/>
          </w:tcPr>
          <w:p w14:paraId="4A083F26" w14:textId="5358924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37,500</w:t>
            </w:r>
          </w:p>
        </w:tc>
      </w:tr>
      <w:tr w:rsidR="00387E5A" w:rsidRPr="00024D5A" w14:paraId="6043E1E3" w14:textId="77777777" w:rsidTr="00387E5A">
        <w:trPr>
          <w:trHeight w:val="20"/>
        </w:trPr>
        <w:tc>
          <w:tcPr>
            <w:tcW w:w="375" w:type="pct"/>
            <w:tcBorders>
              <w:top w:val="nil"/>
              <w:left w:val="single" w:sz="4" w:space="0" w:color="auto"/>
              <w:bottom w:val="single" w:sz="4" w:space="0" w:color="auto"/>
              <w:right w:val="nil"/>
            </w:tcBorders>
            <w:shd w:val="clear" w:color="000000" w:fill="FDE9D9"/>
            <w:vAlign w:val="center"/>
            <w:hideMark/>
          </w:tcPr>
          <w:p w14:paraId="6AF910AB" w14:textId="0F4BB956"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 xml:space="preserve">Objektivi </w:t>
            </w:r>
            <w:r w:rsidR="00BB0B47" w:rsidRPr="00024D5A">
              <w:rPr>
                <w:rFonts w:ascii="Garamond" w:eastAsia="Times New Roman" w:hAnsi="Garamond" w:cs="Calibri"/>
                <w:b/>
                <w:bCs/>
                <w:sz w:val="6"/>
                <w:szCs w:val="6"/>
                <w:lang w:eastAsia="en-US"/>
              </w:rPr>
              <w:t xml:space="preserve">specifik </w:t>
            </w:r>
            <w:r w:rsidRPr="00024D5A">
              <w:rPr>
                <w:rFonts w:ascii="Garamond" w:eastAsia="Times New Roman" w:hAnsi="Garamond" w:cs="Calibri"/>
                <w:b/>
                <w:bCs/>
                <w:sz w:val="6"/>
                <w:szCs w:val="6"/>
                <w:lang w:eastAsia="en-US"/>
              </w:rPr>
              <w:t>1</w:t>
            </w:r>
            <w:r w:rsidR="003526AF">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Forcimi i bashkëpunimit institucional ndërmjet strukturave qendrore dhe pushtetit vendor dhe ndërveprimi me OPAK në të gjitha nivelet.</w:t>
            </w:r>
          </w:p>
        </w:tc>
        <w:tc>
          <w:tcPr>
            <w:tcW w:w="244" w:type="pct"/>
            <w:tcBorders>
              <w:top w:val="nil"/>
              <w:left w:val="single" w:sz="8" w:space="0" w:color="auto"/>
              <w:bottom w:val="single" w:sz="4" w:space="0" w:color="auto"/>
              <w:right w:val="single" w:sz="4" w:space="0" w:color="auto"/>
            </w:tcBorders>
            <w:shd w:val="clear" w:color="000000" w:fill="FDE9D9"/>
            <w:vAlign w:val="center"/>
            <w:hideMark/>
          </w:tcPr>
          <w:p w14:paraId="70016D19"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0</w:t>
            </w:r>
          </w:p>
        </w:tc>
        <w:tc>
          <w:tcPr>
            <w:tcW w:w="226" w:type="pct"/>
            <w:tcBorders>
              <w:top w:val="nil"/>
              <w:left w:val="nil"/>
              <w:bottom w:val="single" w:sz="4" w:space="0" w:color="auto"/>
              <w:right w:val="single" w:sz="4" w:space="0" w:color="auto"/>
            </w:tcBorders>
            <w:shd w:val="clear" w:color="000000" w:fill="FDE9D9"/>
            <w:vAlign w:val="center"/>
            <w:hideMark/>
          </w:tcPr>
          <w:p w14:paraId="01C35764"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FDE9D9"/>
            <w:vAlign w:val="center"/>
            <w:hideMark/>
          </w:tcPr>
          <w:p w14:paraId="3DFC3BD2"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MSHMS/BASHKI</w:t>
            </w:r>
          </w:p>
        </w:tc>
        <w:tc>
          <w:tcPr>
            <w:tcW w:w="792" w:type="pct"/>
            <w:tcBorders>
              <w:top w:val="nil"/>
              <w:left w:val="nil"/>
              <w:bottom w:val="single" w:sz="4" w:space="0" w:color="auto"/>
              <w:right w:val="single" w:sz="8" w:space="0" w:color="auto"/>
            </w:tcBorders>
            <w:shd w:val="clear" w:color="000000" w:fill="FDE9D9"/>
            <w:vAlign w:val="center"/>
            <w:hideMark/>
          </w:tcPr>
          <w:p w14:paraId="108FAC61" w14:textId="64F065F2"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MSHMS/BASHKI/NJVV</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AMVV</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OJF</w:t>
            </w:r>
          </w:p>
        </w:tc>
        <w:tc>
          <w:tcPr>
            <w:tcW w:w="188" w:type="pct"/>
            <w:tcBorders>
              <w:top w:val="nil"/>
              <w:left w:val="nil"/>
              <w:bottom w:val="single" w:sz="4" w:space="0" w:color="auto"/>
              <w:right w:val="single" w:sz="4" w:space="0" w:color="auto"/>
            </w:tcBorders>
            <w:shd w:val="clear" w:color="000000" w:fill="FDE9D9"/>
            <w:vAlign w:val="center"/>
            <w:hideMark/>
          </w:tcPr>
          <w:p w14:paraId="72D4BB7C" w14:textId="1D5FCC0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7,645</w:t>
            </w:r>
          </w:p>
        </w:tc>
        <w:tc>
          <w:tcPr>
            <w:tcW w:w="190" w:type="pct"/>
            <w:tcBorders>
              <w:top w:val="nil"/>
              <w:left w:val="nil"/>
              <w:bottom w:val="single" w:sz="4" w:space="0" w:color="auto"/>
              <w:right w:val="single" w:sz="4" w:space="0" w:color="auto"/>
            </w:tcBorders>
            <w:shd w:val="clear" w:color="000000" w:fill="FDE9D9"/>
            <w:vAlign w:val="center"/>
            <w:hideMark/>
          </w:tcPr>
          <w:p w14:paraId="6629715E" w14:textId="2061253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7,645</w:t>
            </w:r>
          </w:p>
        </w:tc>
        <w:tc>
          <w:tcPr>
            <w:tcW w:w="190" w:type="pct"/>
            <w:tcBorders>
              <w:top w:val="nil"/>
              <w:left w:val="nil"/>
              <w:bottom w:val="single" w:sz="4" w:space="0" w:color="auto"/>
              <w:right w:val="single" w:sz="4" w:space="0" w:color="auto"/>
            </w:tcBorders>
            <w:shd w:val="clear" w:color="000000" w:fill="FDE9D9"/>
            <w:vAlign w:val="center"/>
            <w:hideMark/>
          </w:tcPr>
          <w:p w14:paraId="5EEEFD96" w14:textId="2E8C53F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2,500</w:t>
            </w:r>
          </w:p>
        </w:tc>
        <w:tc>
          <w:tcPr>
            <w:tcW w:w="190" w:type="pct"/>
            <w:tcBorders>
              <w:top w:val="nil"/>
              <w:left w:val="nil"/>
              <w:bottom w:val="single" w:sz="4" w:space="0" w:color="auto"/>
              <w:right w:val="single" w:sz="4" w:space="0" w:color="auto"/>
            </w:tcBorders>
            <w:shd w:val="clear" w:color="000000" w:fill="FDE9D9"/>
            <w:vAlign w:val="center"/>
            <w:hideMark/>
          </w:tcPr>
          <w:p w14:paraId="1183468D" w14:textId="5406685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2,500</w:t>
            </w:r>
          </w:p>
        </w:tc>
        <w:tc>
          <w:tcPr>
            <w:tcW w:w="187" w:type="pct"/>
            <w:tcBorders>
              <w:top w:val="nil"/>
              <w:left w:val="nil"/>
              <w:bottom w:val="single" w:sz="4" w:space="0" w:color="auto"/>
              <w:right w:val="single" w:sz="4" w:space="0" w:color="auto"/>
            </w:tcBorders>
            <w:shd w:val="clear" w:color="000000" w:fill="FDE9D9"/>
            <w:vAlign w:val="center"/>
            <w:hideMark/>
          </w:tcPr>
          <w:p w14:paraId="743647A4" w14:textId="359D25C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2,500</w:t>
            </w:r>
          </w:p>
        </w:tc>
        <w:tc>
          <w:tcPr>
            <w:tcW w:w="200" w:type="pct"/>
            <w:tcBorders>
              <w:top w:val="nil"/>
              <w:left w:val="nil"/>
              <w:bottom w:val="single" w:sz="4" w:space="0" w:color="auto"/>
              <w:right w:val="nil"/>
            </w:tcBorders>
            <w:shd w:val="clear" w:color="000000" w:fill="FDE9D9"/>
            <w:vAlign w:val="center"/>
            <w:hideMark/>
          </w:tcPr>
          <w:p w14:paraId="61675629" w14:textId="2B6E0D2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22,791</w:t>
            </w:r>
          </w:p>
        </w:tc>
        <w:tc>
          <w:tcPr>
            <w:tcW w:w="209" w:type="pct"/>
            <w:tcBorders>
              <w:top w:val="nil"/>
              <w:left w:val="single" w:sz="8" w:space="0" w:color="auto"/>
              <w:bottom w:val="single" w:sz="4" w:space="0" w:color="auto"/>
              <w:right w:val="single" w:sz="4" w:space="0" w:color="auto"/>
            </w:tcBorders>
            <w:shd w:val="clear" w:color="000000" w:fill="FDE9D9"/>
            <w:vAlign w:val="center"/>
            <w:hideMark/>
          </w:tcPr>
          <w:p w14:paraId="54615F33" w14:textId="521752B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8,191</w:t>
            </w:r>
          </w:p>
        </w:tc>
        <w:tc>
          <w:tcPr>
            <w:tcW w:w="209" w:type="pct"/>
            <w:tcBorders>
              <w:top w:val="nil"/>
              <w:left w:val="nil"/>
              <w:bottom w:val="single" w:sz="4" w:space="0" w:color="auto"/>
              <w:right w:val="single" w:sz="4" w:space="0" w:color="auto"/>
            </w:tcBorders>
            <w:shd w:val="clear" w:color="000000" w:fill="FDE9D9"/>
            <w:vAlign w:val="center"/>
            <w:hideMark/>
          </w:tcPr>
          <w:p w14:paraId="368E0E7B" w14:textId="25D36E4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13,550</w:t>
            </w:r>
          </w:p>
        </w:tc>
        <w:tc>
          <w:tcPr>
            <w:tcW w:w="195" w:type="pct"/>
            <w:tcBorders>
              <w:top w:val="nil"/>
              <w:left w:val="nil"/>
              <w:bottom w:val="single" w:sz="4" w:space="0" w:color="auto"/>
              <w:right w:val="single" w:sz="8" w:space="0" w:color="auto"/>
            </w:tcBorders>
            <w:shd w:val="clear" w:color="000000" w:fill="FDE9D9"/>
            <w:vAlign w:val="center"/>
            <w:hideMark/>
          </w:tcPr>
          <w:p w14:paraId="02CE4E31" w14:textId="60587A5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1,050</w:t>
            </w:r>
          </w:p>
        </w:tc>
        <w:tc>
          <w:tcPr>
            <w:tcW w:w="202" w:type="pct"/>
            <w:tcBorders>
              <w:top w:val="nil"/>
              <w:left w:val="nil"/>
              <w:bottom w:val="single" w:sz="4" w:space="0" w:color="auto"/>
              <w:right w:val="single" w:sz="4" w:space="0" w:color="auto"/>
            </w:tcBorders>
            <w:shd w:val="clear" w:color="000000" w:fill="FDE9D9"/>
            <w:vAlign w:val="center"/>
            <w:hideMark/>
          </w:tcPr>
          <w:p w14:paraId="3F9A688B" w14:textId="6369351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237,405</w:t>
            </w:r>
          </w:p>
        </w:tc>
        <w:tc>
          <w:tcPr>
            <w:tcW w:w="200" w:type="pct"/>
            <w:tcBorders>
              <w:top w:val="nil"/>
              <w:left w:val="nil"/>
              <w:bottom w:val="single" w:sz="4" w:space="0" w:color="auto"/>
              <w:right w:val="single" w:sz="4" w:space="0" w:color="auto"/>
            </w:tcBorders>
            <w:shd w:val="clear" w:color="000000" w:fill="FDE9D9"/>
            <w:vAlign w:val="center"/>
            <w:hideMark/>
          </w:tcPr>
          <w:p w14:paraId="21A985ED" w14:textId="7D57183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85,322</w:t>
            </w:r>
          </w:p>
        </w:tc>
        <w:tc>
          <w:tcPr>
            <w:tcW w:w="197" w:type="pct"/>
            <w:tcBorders>
              <w:top w:val="nil"/>
              <w:left w:val="nil"/>
              <w:bottom w:val="single" w:sz="4" w:space="0" w:color="auto"/>
              <w:right w:val="single" w:sz="4" w:space="0" w:color="auto"/>
            </w:tcBorders>
            <w:shd w:val="clear" w:color="000000" w:fill="FDE9D9"/>
            <w:vAlign w:val="center"/>
            <w:hideMark/>
          </w:tcPr>
          <w:p w14:paraId="7F838F04" w14:textId="12EB9B8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141,146</w:t>
            </w:r>
          </w:p>
        </w:tc>
        <w:tc>
          <w:tcPr>
            <w:tcW w:w="342" w:type="pct"/>
            <w:tcBorders>
              <w:top w:val="nil"/>
              <w:left w:val="nil"/>
              <w:bottom w:val="single" w:sz="4" w:space="0" w:color="auto"/>
              <w:right w:val="single" w:sz="8" w:space="0" w:color="auto"/>
            </w:tcBorders>
            <w:shd w:val="clear" w:color="000000" w:fill="FDE9D9"/>
            <w:vAlign w:val="center"/>
            <w:hideMark/>
          </w:tcPr>
          <w:p w14:paraId="751275F3" w14:textId="3578BF1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10,938</w:t>
            </w:r>
          </w:p>
        </w:tc>
      </w:tr>
      <w:tr w:rsidR="00387E5A" w:rsidRPr="00024D5A" w14:paraId="65C10FBB"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273DAFFC" w14:textId="32DD8B34"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Masa prioritare</w:t>
            </w:r>
            <w:r w:rsidR="00BB0B47" w:rsidRPr="00024D5A">
              <w:rPr>
                <w:rFonts w:ascii="Garamond" w:eastAsia="Times New Roman" w:hAnsi="Garamond" w:cs="Calibri"/>
                <w:b/>
                <w:bCs/>
                <w:sz w:val="6"/>
                <w:szCs w:val="6"/>
                <w:lang w:eastAsia="en-US"/>
              </w:rPr>
              <w:t xml:space="preserve"> </w:t>
            </w:r>
            <w:r w:rsidRPr="00024D5A">
              <w:rPr>
                <w:rFonts w:ascii="Garamond" w:eastAsia="Times New Roman" w:hAnsi="Garamond" w:cs="Calibri"/>
                <w:b/>
                <w:bCs/>
                <w:sz w:val="6"/>
                <w:szCs w:val="6"/>
                <w:lang w:eastAsia="en-US"/>
              </w:rPr>
              <w:t>1.1</w:t>
            </w:r>
            <w:r w:rsidR="003526AF">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Orientimi i bashkive për të fuqizuar bashkëpunimin me MSHMS pjesëmarrjen në votime të të gjithë votuesve me aftësi të kufizuara.</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04952D51"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2026</w:t>
            </w:r>
          </w:p>
        </w:tc>
        <w:tc>
          <w:tcPr>
            <w:tcW w:w="226" w:type="pct"/>
            <w:tcBorders>
              <w:top w:val="nil"/>
              <w:left w:val="nil"/>
              <w:bottom w:val="single" w:sz="4" w:space="0" w:color="auto"/>
              <w:right w:val="single" w:sz="4" w:space="0" w:color="auto"/>
            </w:tcBorders>
            <w:shd w:val="clear" w:color="000000" w:fill="DCE6F1"/>
            <w:vAlign w:val="center"/>
            <w:hideMark/>
          </w:tcPr>
          <w:p w14:paraId="69F83CF0"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7346AC16" w14:textId="6228B40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MF/BASHKI</w:t>
            </w:r>
          </w:p>
        </w:tc>
        <w:tc>
          <w:tcPr>
            <w:tcW w:w="792" w:type="pct"/>
            <w:tcBorders>
              <w:top w:val="nil"/>
              <w:left w:val="nil"/>
              <w:bottom w:val="single" w:sz="4" w:space="0" w:color="auto"/>
              <w:right w:val="single" w:sz="8" w:space="0" w:color="auto"/>
            </w:tcBorders>
            <w:shd w:val="clear" w:color="000000" w:fill="DCE6F1"/>
            <w:vAlign w:val="center"/>
            <w:hideMark/>
          </w:tcPr>
          <w:p w14:paraId="7944AD38"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MSHMS/BASHKI</w:t>
            </w:r>
          </w:p>
        </w:tc>
        <w:tc>
          <w:tcPr>
            <w:tcW w:w="188" w:type="pct"/>
            <w:tcBorders>
              <w:top w:val="nil"/>
              <w:left w:val="nil"/>
              <w:bottom w:val="single" w:sz="4" w:space="0" w:color="auto"/>
              <w:right w:val="single" w:sz="4" w:space="0" w:color="auto"/>
            </w:tcBorders>
            <w:shd w:val="clear" w:color="000000" w:fill="DCE6F1"/>
            <w:vAlign w:val="center"/>
            <w:hideMark/>
          </w:tcPr>
          <w:p w14:paraId="5AB62678" w14:textId="053A053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2,500</w:t>
            </w:r>
          </w:p>
        </w:tc>
        <w:tc>
          <w:tcPr>
            <w:tcW w:w="190" w:type="pct"/>
            <w:tcBorders>
              <w:top w:val="nil"/>
              <w:left w:val="nil"/>
              <w:bottom w:val="single" w:sz="4" w:space="0" w:color="auto"/>
              <w:right w:val="single" w:sz="4" w:space="0" w:color="auto"/>
            </w:tcBorders>
            <w:shd w:val="clear" w:color="000000" w:fill="DCE6F1"/>
            <w:vAlign w:val="center"/>
            <w:hideMark/>
          </w:tcPr>
          <w:p w14:paraId="18EE9D71" w14:textId="2E814A1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2,500</w:t>
            </w:r>
          </w:p>
        </w:tc>
        <w:tc>
          <w:tcPr>
            <w:tcW w:w="190" w:type="pct"/>
            <w:tcBorders>
              <w:top w:val="nil"/>
              <w:left w:val="nil"/>
              <w:bottom w:val="single" w:sz="4" w:space="0" w:color="auto"/>
              <w:right w:val="single" w:sz="4" w:space="0" w:color="auto"/>
            </w:tcBorders>
            <w:shd w:val="clear" w:color="000000" w:fill="DCE6F1"/>
            <w:vAlign w:val="center"/>
            <w:hideMark/>
          </w:tcPr>
          <w:p w14:paraId="151AB558" w14:textId="362BB6F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2,500</w:t>
            </w:r>
          </w:p>
        </w:tc>
        <w:tc>
          <w:tcPr>
            <w:tcW w:w="190" w:type="pct"/>
            <w:tcBorders>
              <w:top w:val="nil"/>
              <w:left w:val="nil"/>
              <w:bottom w:val="single" w:sz="4" w:space="0" w:color="auto"/>
              <w:right w:val="single" w:sz="4" w:space="0" w:color="auto"/>
            </w:tcBorders>
            <w:shd w:val="clear" w:color="000000" w:fill="DCE6F1"/>
            <w:vAlign w:val="center"/>
            <w:hideMark/>
          </w:tcPr>
          <w:p w14:paraId="3CABBAC6" w14:textId="77038CA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2,500</w:t>
            </w:r>
          </w:p>
        </w:tc>
        <w:tc>
          <w:tcPr>
            <w:tcW w:w="187" w:type="pct"/>
            <w:tcBorders>
              <w:top w:val="nil"/>
              <w:left w:val="nil"/>
              <w:bottom w:val="single" w:sz="4" w:space="0" w:color="auto"/>
              <w:right w:val="single" w:sz="4" w:space="0" w:color="auto"/>
            </w:tcBorders>
            <w:shd w:val="clear" w:color="000000" w:fill="DCE6F1"/>
            <w:vAlign w:val="center"/>
            <w:hideMark/>
          </w:tcPr>
          <w:p w14:paraId="2329148D" w14:textId="1388323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2,500</w:t>
            </w:r>
          </w:p>
        </w:tc>
        <w:tc>
          <w:tcPr>
            <w:tcW w:w="200" w:type="pct"/>
            <w:tcBorders>
              <w:top w:val="nil"/>
              <w:left w:val="nil"/>
              <w:bottom w:val="single" w:sz="4" w:space="0" w:color="auto"/>
              <w:right w:val="nil"/>
            </w:tcBorders>
            <w:shd w:val="clear" w:color="000000" w:fill="DCE6F1"/>
            <w:vAlign w:val="center"/>
            <w:hideMark/>
          </w:tcPr>
          <w:p w14:paraId="7A0617CC" w14:textId="3A45B81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12,500</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56CBDE40" w14:textId="0AC4532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209" w:type="pct"/>
            <w:tcBorders>
              <w:top w:val="nil"/>
              <w:left w:val="nil"/>
              <w:bottom w:val="single" w:sz="4" w:space="0" w:color="auto"/>
              <w:right w:val="single" w:sz="4" w:space="0" w:color="auto"/>
            </w:tcBorders>
            <w:shd w:val="clear" w:color="000000" w:fill="DCE6F1"/>
            <w:vAlign w:val="center"/>
            <w:hideMark/>
          </w:tcPr>
          <w:p w14:paraId="661A21E0" w14:textId="08CFBD7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12,500</w:t>
            </w:r>
          </w:p>
        </w:tc>
        <w:tc>
          <w:tcPr>
            <w:tcW w:w="195" w:type="pct"/>
            <w:tcBorders>
              <w:top w:val="nil"/>
              <w:left w:val="nil"/>
              <w:bottom w:val="single" w:sz="4" w:space="0" w:color="auto"/>
              <w:right w:val="single" w:sz="8" w:space="0" w:color="auto"/>
            </w:tcBorders>
            <w:shd w:val="clear" w:color="000000" w:fill="DCE6F1"/>
            <w:vAlign w:val="center"/>
            <w:hideMark/>
          </w:tcPr>
          <w:p w14:paraId="13928C68" w14:textId="6EAE98D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202" w:type="pct"/>
            <w:tcBorders>
              <w:top w:val="nil"/>
              <w:left w:val="nil"/>
              <w:bottom w:val="single" w:sz="4" w:space="0" w:color="auto"/>
              <w:right w:val="single" w:sz="4" w:space="0" w:color="auto"/>
            </w:tcBorders>
            <w:shd w:val="clear" w:color="000000" w:fill="DCE6F1"/>
            <w:vAlign w:val="center"/>
            <w:hideMark/>
          </w:tcPr>
          <w:p w14:paraId="7821392F" w14:textId="4833F13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130,208</w:t>
            </w:r>
          </w:p>
        </w:tc>
        <w:tc>
          <w:tcPr>
            <w:tcW w:w="200" w:type="pct"/>
            <w:tcBorders>
              <w:top w:val="nil"/>
              <w:left w:val="nil"/>
              <w:bottom w:val="single" w:sz="4" w:space="0" w:color="auto"/>
              <w:right w:val="single" w:sz="4" w:space="0" w:color="auto"/>
            </w:tcBorders>
            <w:shd w:val="clear" w:color="000000" w:fill="DCE6F1"/>
            <w:vAlign w:val="center"/>
            <w:hideMark/>
          </w:tcPr>
          <w:p w14:paraId="2D9BC440" w14:textId="0067527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7" w:type="pct"/>
            <w:tcBorders>
              <w:top w:val="nil"/>
              <w:left w:val="nil"/>
              <w:bottom w:val="single" w:sz="4" w:space="0" w:color="auto"/>
              <w:right w:val="single" w:sz="4" w:space="0" w:color="auto"/>
            </w:tcBorders>
            <w:shd w:val="clear" w:color="000000" w:fill="DCE6F1"/>
            <w:vAlign w:val="center"/>
            <w:hideMark/>
          </w:tcPr>
          <w:p w14:paraId="4BC48E9C" w14:textId="407E04F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130,208</w:t>
            </w:r>
          </w:p>
        </w:tc>
        <w:tc>
          <w:tcPr>
            <w:tcW w:w="342" w:type="pct"/>
            <w:tcBorders>
              <w:top w:val="nil"/>
              <w:left w:val="nil"/>
              <w:bottom w:val="single" w:sz="4" w:space="0" w:color="auto"/>
              <w:right w:val="single" w:sz="8" w:space="0" w:color="auto"/>
            </w:tcBorders>
            <w:shd w:val="clear" w:color="000000" w:fill="DCE6F1"/>
            <w:vAlign w:val="center"/>
            <w:hideMark/>
          </w:tcPr>
          <w:p w14:paraId="4E9FDBD3" w14:textId="6790DF4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r>
      <w:tr w:rsidR="00387E5A" w:rsidRPr="00024D5A" w14:paraId="64ACBA81"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3A857038" w14:textId="3560DC51"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Masa prioritare 1.2</w:t>
            </w:r>
            <w:r w:rsidR="003526AF">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Fuqizimi i rolit të bashkive dhe promovimi i tyre në njohjen dhe përmbushjen e nevojave të PAK në territorin e tyre.</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2C2EF4C7"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2026</w:t>
            </w:r>
          </w:p>
        </w:tc>
        <w:tc>
          <w:tcPr>
            <w:tcW w:w="226" w:type="pct"/>
            <w:tcBorders>
              <w:top w:val="nil"/>
              <w:left w:val="nil"/>
              <w:bottom w:val="single" w:sz="4" w:space="0" w:color="auto"/>
              <w:right w:val="single" w:sz="4" w:space="0" w:color="auto"/>
            </w:tcBorders>
            <w:shd w:val="clear" w:color="000000" w:fill="DCE6F1"/>
            <w:vAlign w:val="center"/>
            <w:hideMark/>
          </w:tcPr>
          <w:p w14:paraId="2071475E"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2027</w:t>
            </w:r>
          </w:p>
        </w:tc>
        <w:tc>
          <w:tcPr>
            <w:tcW w:w="664" w:type="pct"/>
            <w:tcBorders>
              <w:top w:val="nil"/>
              <w:left w:val="nil"/>
              <w:bottom w:val="single" w:sz="4" w:space="0" w:color="auto"/>
              <w:right w:val="single" w:sz="4" w:space="0" w:color="auto"/>
            </w:tcBorders>
            <w:shd w:val="clear" w:color="000000" w:fill="DCE6F1"/>
            <w:vAlign w:val="center"/>
            <w:hideMark/>
          </w:tcPr>
          <w:p w14:paraId="34CBA928"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MSHMS/BASHKI</w:t>
            </w:r>
          </w:p>
        </w:tc>
        <w:tc>
          <w:tcPr>
            <w:tcW w:w="792" w:type="pct"/>
            <w:tcBorders>
              <w:top w:val="nil"/>
              <w:left w:val="nil"/>
              <w:bottom w:val="single" w:sz="4" w:space="0" w:color="auto"/>
              <w:right w:val="single" w:sz="8" w:space="0" w:color="auto"/>
            </w:tcBorders>
            <w:shd w:val="clear" w:color="000000" w:fill="DCE6F1"/>
            <w:vAlign w:val="center"/>
            <w:hideMark/>
          </w:tcPr>
          <w:p w14:paraId="04252C5E" w14:textId="6CA142C2" w:rsidR="00DE4FCB" w:rsidRPr="00024D5A" w:rsidRDefault="00DE4FCB" w:rsidP="00387E5A">
            <w:pPr>
              <w:jc w:val="center"/>
              <w:rPr>
                <w:rFonts w:ascii="Garamond" w:eastAsia="Times New Roman" w:hAnsi="Garamond"/>
                <w:i/>
                <w:iCs/>
                <w:sz w:val="6"/>
                <w:szCs w:val="6"/>
                <w:lang w:eastAsia="en-US"/>
              </w:rPr>
            </w:pPr>
            <w:r w:rsidRPr="00024D5A">
              <w:rPr>
                <w:rFonts w:ascii="Garamond" w:eastAsia="Times New Roman" w:hAnsi="Garamond"/>
                <w:i/>
                <w:iCs/>
                <w:sz w:val="6"/>
                <w:szCs w:val="6"/>
                <w:lang w:eastAsia="en-US"/>
              </w:rPr>
              <w:t>NJVV</w:t>
            </w:r>
            <w:r w:rsidR="007675EC" w:rsidRPr="00024D5A">
              <w:rPr>
                <w:rFonts w:ascii="Garamond" w:eastAsia="Times New Roman" w:hAnsi="Garamond"/>
                <w:i/>
                <w:iCs/>
                <w:sz w:val="6"/>
                <w:szCs w:val="6"/>
                <w:lang w:eastAsia="en-US"/>
              </w:rPr>
              <w:t>/</w:t>
            </w:r>
            <w:r w:rsidRPr="00024D5A">
              <w:rPr>
                <w:rFonts w:ascii="Garamond" w:eastAsia="Times New Roman" w:hAnsi="Garamond"/>
                <w:i/>
                <w:iCs/>
                <w:sz w:val="6"/>
                <w:szCs w:val="6"/>
                <w:lang w:eastAsia="en-US"/>
              </w:rPr>
              <w:t>AMVV</w:t>
            </w:r>
            <w:r w:rsidR="007675EC" w:rsidRPr="00024D5A">
              <w:rPr>
                <w:rFonts w:ascii="Garamond" w:eastAsia="Times New Roman" w:hAnsi="Garamond"/>
                <w:i/>
                <w:iCs/>
                <w:sz w:val="6"/>
                <w:szCs w:val="6"/>
                <w:lang w:eastAsia="en-US"/>
              </w:rPr>
              <w:t>/</w:t>
            </w:r>
            <w:r w:rsidRPr="00024D5A">
              <w:rPr>
                <w:rFonts w:ascii="Garamond" w:eastAsia="Times New Roman" w:hAnsi="Garamond"/>
                <w:i/>
                <w:iCs/>
                <w:sz w:val="6"/>
                <w:szCs w:val="6"/>
                <w:lang w:eastAsia="en-US"/>
              </w:rPr>
              <w:t>OJF/BASHKI</w:t>
            </w:r>
          </w:p>
        </w:tc>
        <w:tc>
          <w:tcPr>
            <w:tcW w:w="188" w:type="pct"/>
            <w:tcBorders>
              <w:top w:val="nil"/>
              <w:left w:val="nil"/>
              <w:bottom w:val="single" w:sz="4" w:space="0" w:color="auto"/>
              <w:right w:val="single" w:sz="4" w:space="0" w:color="auto"/>
            </w:tcBorders>
            <w:shd w:val="clear" w:color="000000" w:fill="DCE6F1"/>
            <w:vAlign w:val="center"/>
            <w:hideMark/>
          </w:tcPr>
          <w:p w14:paraId="2123B48B" w14:textId="07833AF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5,145</w:t>
            </w:r>
          </w:p>
        </w:tc>
        <w:tc>
          <w:tcPr>
            <w:tcW w:w="190" w:type="pct"/>
            <w:tcBorders>
              <w:top w:val="nil"/>
              <w:left w:val="nil"/>
              <w:bottom w:val="single" w:sz="4" w:space="0" w:color="auto"/>
              <w:right w:val="single" w:sz="4" w:space="0" w:color="auto"/>
            </w:tcBorders>
            <w:shd w:val="clear" w:color="000000" w:fill="DCE6F1"/>
            <w:vAlign w:val="center"/>
            <w:hideMark/>
          </w:tcPr>
          <w:p w14:paraId="71D1FA48" w14:textId="64E4D01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5,145</w:t>
            </w:r>
          </w:p>
        </w:tc>
        <w:tc>
          <w:tcPr>
            <w:tcW w:w="190" w:type="pct"/>
            <w:tcBorders>
              <w:top w:val="nil"/>
              <w:left w:val="nil"/>
              <w:bottom w:val="single" w:sz="4" w:space="0" w:color="auto"/>
              <w:right w:val="single" w:sz="4" w:space="0" w:color="auto"/>
            </w:tcBorders>
            <w:shd w:val="clear" w:color="000000" w:fill="DCE6F1"/>
            <w:vAlign w:val="center"/>
            <w:hideMark/>
          </w:tcPr>
          <w:p w14:paraId="1F7B886E" w14:textId="3017C07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0" w:type="pct"/>
            <w:tcBorders>
              <w:top w:val="nil"/>
              <w:left w:val="nil"/>
              <w:bottom w:val="single" w:sz="4" w:space="0" w:color="auto"/>
              <w:right w:val="single" w:sz="4" w:space="0" w:color="auto"/>
            </w:tcBorders>
            <w:shd w:val="clear" w:color="000000" w:fill="DCE6F1"/>
            <w:vAlign w:val="center"/>
            <w:hideMark/>
          </w:tcPr>
          <w:p w14:paraId="612DA991" w14:textId="35FE514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87" w:type="pct"/>
            <w:tcBorders>
              <w:top w:val="nil"/>
              <w:left w:val="nil"/>
              <w:bottom w:val="single" w:sz="4" w:space="0" w:color="auto"/>
              <w:right w:val="single" w:sz="4" w:space="0" w:color="auto"/>
            </w:tcBorders>
            <w:shd w:val="clear" w:color="000000" w:fill="DCE6F1"/>
            <w:vAlign w:val="center"/>
            <w:hideMark/>
          </w:tcPr>
          <w:p w14:paraId="2FCF1610" w14:textId="045A1EA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200" w:type="pct"/>
            <w:tcBorders>
              <w:top w:val="nil"/>
              <w:left w:val="nil"/>
              <w:bottom w:val="single" w:sz="4" w:space="0" w:color="auto"/>
              <w:right w:val="nil"/>
            </w:tcBorders>
            <w:shd w:val="clear" w:color="000000" w:fill="DCE6F1"/>
            <w:vAlign w:val="center"/>
            <w:hideMark/>
          </w:tcPr>
          <w:p w14:paraId="368E3D5A" w14:textId="7A021A0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10,291</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09D481DC" w14:textId="2EF0687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8,191</w:t>
            </w:r>
          </w:p>
        </w:tc>
        <w:tc>
          <w:tcPr>
            <w:tcW w:w="209" w:type="pct"/>
            <w:tcBorders>
              <w:top w:val="nil"/>
              <w:left w:val="nil"/>
              <w:bottom w:val="single" w:sz="4" w:space="0" w:color="auto"/>
              <w:right w:val="single" w:sz="4" w:space="0" w:color="auto"/>
            </w:tcBorders>
            <w:shd w:val="clear" w:color="000000" w:fill="DCE6F1"/>
            <w:vAlign w:val="center"/>
            <w:hideMark/>
          </w:tcPr>
          <w:p w14:paraId="3886986F" w14:textId="6508BCD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1,050</w:t>
            </w:r>
          </w:p>
        </w:tc>
        <w:tc>
          <w:tcPr>
            <w:tcW w:w="195" w:type="pct"/>
            <w:tcBorders>
              <w:top w:val="nil"/>
              <w:left w:val="nil"/>
              <w:bottom w:val="single" w:sz="4" w:space="0" w:color="auto"/>
              <w:right w:val="single" w:sz="8" w:space="0" w:color="auto"/>
            </w:tcBorders>
            <w:shd w:val="clear" w:color="000000" w:fill="DCE6F1"/>
            <w:vAlign w:val="center"/>
            <w:hideMark/>
          </w:tcPr>
          <w:p w14:paraId="1E92A70E" w14:textId="521DB7C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1,050</w:t>
            </w:r>
          </w:p>
        </w:tc>
        <w:tc>
          <w:tcPr>
            <w:tcW w:w="202" w:type="pct"/>
            <w:tcBorders>
              <w:top w:val="nil"/>
              <w:left w:val="nil"/>
              <w:bottom w:val="single" w:sz="4" w:space="0" w:color="auto"/>
              <w:right w:val="single" w:sz="4" w:space="0" w:color="auto"/>
            </w:tcBorders>
            <w:shd w:val="clear" w:color="000000" w:fill="DCE6F1"/>
            <w:vAlign w:val="center"/>
            <w:hideMark/>
          </w:tcPr>
          <w:p w14:paraId="7B1F778F" w14:textId="449AD1B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107,197</w:t>
            </w:r>
          </w:p>
        </w:tc>
        <w:tc>
          <w:tcPr>
            <w:tcW w:w="200" w:type="pct"/>
            <w:tcBorders>
              <w:top w:val="nil"/>
              <w:left w:val="nil"/>
              <w:bottom w:val="single" w:sz="4" w:space="0" w:color="auto"/>
              <w:right w:val="single" w:sz="4" w:space="0" w:color="auto"/>
            </w:tcBorders>
            <w:shd w:val="clear" w:color="000000" w:fill="DCE6F1"/>
            <w:vAlign w:val="center"/>
            <w:hideMark/>
          </w:tcPr>
          <w:p w14:paraId="013AA0FD" w14:textId="0FC8169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85,322</w:t>
            </w:r>
          </w:p>
        </w:tc>
        <w:tc>
          <w:tcPr>
            <w:tcW w:w="197" w:type="pct"/>
            <w:tcBorders>
              <w:top w:val="nil"/>
              <w:left w:val="nil"/>
              <w:bottom w:val="single" w:sz="4" w:space="0" w:color="auto"/>
              <w:right w:val="single" w:sz="4" w:space="0" w:color="auto"/>
            </w:tcBorders>
            <w:shd w:val="clear" w:color="000000" w:fill="DCE6F1"/>
            <w:vAlign w:val="center"/>
            <w:hideMark/>
          </w:tcPr>
          <w:p w14:paraId="413EBD16" w14:textId="6D0697F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10,938</w:t>
            </w:r>
          </w:p>
        </w:tc>
        <w:tc>
          <w:tcPr>
            <w:tcW w:w="342" w:type="pct"/>
            <w:tcBorders>
              <w:top w:val="nil"/>
              <w:left w:val="nil"/>
              <w:bottom w:val="single" w:sz="4" w:space="0" w:color="auto"/>
              <w:right w:val="single" w:sz="8" w:space="0" w:color="auto"/>
            </w:tcBorders>
            <w:shd w:val="clear" w:color="000000" w:fill="DCE6F1"/>
            <w:vAlign w:val="center"/>
            <w:hideMark/>
          </w:tcPr>
          <w:p w14:paraId="1EE8D128" w14:textId="62CF45B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10,938</w:t>
            </w:r>
          </w:p>
        </w:tc>
      </w:tr>
      <w:tr w:rsidR="00387E5A" w:rsidRPr="00024D5A" w14:paraId="686FE9EA" w14:textId="77777777" w:rsidTr="00387E5A">
        <w:trPr>
          <w:trHeight w:val="20"/>
        </w:trPr>
        <w:tc>
          <w:tcPr>
            <w:tcW w:w="375" w:type="pct"/>
            <w:tcBorders>
              <w:top w:val="nil"/>
              <w:left w:val="single" w:sz="4" w:space="0" w:color="auto"/>
              <w:bottom w:val="single" w:sz="4" w:space="0" w:color="auto"/>
              <w:right w:val="nil"/>
            </w:tcBorders>
            <w:shd w:val="clear" w:color="000000" w:fill="FDE9D9"/>
            <w:vAlign w:val="center"/>
            <w:hideMark/>
          </w:tcPr>
          <w:p w14:paraId="517BD1EF" w14:textId="3499D0C3"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Objektivi specifik 2</w:t>
            </w:r>
            <w:r w:rsidR="003526AF">
              <w:rPr>
                <w:rFonts w:ascii="Garamond" w:eastAsia="Times New Roman" w:hAnsi="Garamond" w:cs="Calibri"/>
                <w:b/>
                <w:bCs/>
                <w:sz w:val="6"/>
                <w:szCs w:val="6"/>
                <w:lang w:eastAsia="en-US"/>
              </w:rPr>
              <w:t>:</w:t>
            </w:r>
            <w:r w:rsidR="008F29FA" w:rsidRPr="00024D5A">
              <w:rPr>
                <w:rFonts w:ascii="Garamond" w:eastAsia="Times New Roman" w:hAnsi="Garamond" w:cs="Calibri"/>
                <w:b/>
                <w:bCs/>
                <w:sz w:val="6"/>
                <w:szCs w:val="6"/>
                <w:lang w:eastAsia="en-US"/>
              </w:rPr>
              <w:t xml:space="preserve"> </w:t>
            </w:r>
            <w:r w:rsidRPr="00024D5A">
              <w:rPr>
                <w:rFonts w:ascii="Garamond" w:eastAsia="Times New Roman" w:hAnsi="Garamond" w:cs="Calibri"/>
                <w:b/>
                <w:bCs/>
                <w:sz w:val="6"/>
                <w:szCs w:val="6"/>
                <w:lang w:eastAsia="en-US"/>
              </w:rPr>
              <w:t>Përmirësimi i funksionimit të KKAK</w:t>
            </w:r>
            <w:r w:rsidR="00BB0B47" w:rsidRPr="00024D5A">
              <w:rPr>
                <w:rFonts w:ascii="Garamond" w:eastAsia="Times New Roman" w:hAnsi="Garamond" w:cs="Calibri"/>
                <w:b/>
                <w:bCs/>
                <w:sz w:val="6"/>
                <w:szCs w:val="6"/>
                <w:lang w:eastAsia="en-US"/>
              </w:rPr>
              <w:t xml:space="preserve">-së, </w:t>
            </w:r>
            <w:r w:rsidRPr="00024D5A">
              <w:rPr>
                <w:rFonts w:ascii="Garamond" w:eastAsia="Times New Roman" w:hAnsi="Garamond" w:cs="Calibri"/>
                <w:b/>
                <w:bCs/>
                <w:sz w:val="6"/>
                <w:szCs w:val="6"/>
                <w:lang w:eastAsia="en-US"/>
              </w:rPr>
              <w:t xml:space="preserve"> lidhur me koordinimin e politikave publike në nivel horizontal dhe vertikal, të dedikuara për personat me aftësi të kufizuara</w:t>
            </w:r>
            <w:r w:rsidR="00BB0B47" w:rsidRPr="00024D5A">
              <w:rPr>
                <w:rFonts w:ascii="Garamond" w:eastAsia="Times New Roman" w:hAnsi="Garamond" w:cs="Calibri"/>
                <w:b/>
                <w:bCs/>
                <w:sz w:val="6"/>
                <w:szCs w:val="6"/>
                <w:lang w:eastAsia="en-US"/>
              </w:rPr>
              <w:t>.</w:t>
            </w:r>
          </w:p>
        </w:tc>
        <w:tc>
          <w:tcPr>
            <w:tcW w:w="244" w:type="pct"/>
            <w:tcBorders>
              <w:top w:val="nil"/>
              <w:left w:val="single" w:sz="8" w:space="0" w:color="auto"/>
              <w:bottom w:val="single" w:sz="4" w:space="0" w:color="auto"/>
              <w:right w:val="single" w:sz="4" w:space="0" w:color="auto"/>
            </w:tcBorders>
            <w:shd w:val="clear" w:color="000000" w:fill="FDE9D9"/>
            <w:vAlign w:val="center"/>
            <w:hideMark/>
          </w:tcPr>
          <w:p w14:paraId="1631AD52"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0</w:t>
            </w:r>
          </w:p>
        </w:tc>
        <w:tc>
          <w:tcPr>
            <w:tcW w:w="226" w:type="pct"/>
            <w:tcBorders>
              <w:top w:val="nil"/>
              <w:left w:val="nil"/>
              <w:bottom w:val="single" w:sz="4" w:space="0" w:color="auto"/>
              <w:right w:val="single" w:sz="4" w:space="0" w:color="auto"/>
            </w:tcBorders>
            <w:shd w:val="clear" w:color="000000" w:fill="FDE9D9"/>
            <w:vAlign w:val="center"/>
            <w:hideMark/>
          </w:tcPr>
          <w:p w14:paraId="0AD2E10F"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FDE9D9"/>
            <w:vAlign w:val="center"/>
            <w:hideMark/>
          </w:tcPr>
          <w:p w14:paraId="5710ADC0"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MSHMS/PARLAMENTI</w:t>
            </w:r>
          </w:p>
        </w:tc>
        <w:tc>
          <w:tcPr>
            <w:tcW w:w="792" w:type="pct"/>
            <w:tcBorders>
              <w:top w:val="nil"/>
              <w:left w:val="nil"/>
              <w:bottom w:val="single" w:sz="4" w:space="0" w:color="auto"/>
              <w:right w:val="single" w:sz="8" w:space="0" w:color="auto"/>
            </w:tcBorders>
            <w:shd w:val="clear" w:color="000000" w:fill="FDE9D9"/>
            <w:vAlign w:val="center"/>
            <w:hideMark/>
          </w:tcPr>
          <w:p w14:paraId="35E68C85"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Sekretariati KKAK/Të gjitha institucionet, OJF</w:t>
            </w:r>
          </w:p>
        </w:tc>
        <w:tc>
          <w:tcPr>
            <w:tcW w:w="188" w:type="pct"/>
            <w:tcBorders>
              <w:top w:val="nil"/>
              <w:left w:val="nil"/>
              <w:bottom w:val="single" w:sz="4" w:space="0" w:color="auto"/>
              <w:right w:val="single" w:sz="4" w:space="0" w:color="auto"/>
            </w:tcBorders>
            <w:shd w:val="clear" w:color="000000" w:fill="FDE9D9"/>
            <w:vAlign w:val="center"/>
            <w:hideMark/>
          </w:tcPr>
          <w:p w14:paraId="68A9A820" w14:textId="02915E3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545</w:t>
            </w:r>
          </w:p>
        </w:tc>
        <w:tc>
          <w:tcPr>
            <w:tcW w:w="190" w:type="pct"/>
            <w:tcBorders>
              <w:top w:val="nil"/>
              <w:left w:val="nil"/>
              <w:bottom w:val="single" w:sz="4" w:space="0" w:color="auto"/>
              <w:right w:val="single" w:sz="4" w:space="0" w:color="auto"/>
            </w:tcBorders>
            <w:shd w:val="clear" w:color="000000" w:fill="FDE9D9"/>
            <w:vAlign w:val="center"/>
            <w:hideMark/>
          </w:tcPr>
          <w:p w14:paraId="4FA3BD59" w14:textId="2C051FA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2,617</w:t>
            </w:r>
          </w:p>
        </w:tc>
        <w:tc>
          <w:tcPr>
            <w:tcW w:w="190" w:type="pct"/>
            <w:tcBorders>
              <w:top w:val="nil"/>
              <w:left w:val="nil"/>
              <w:bottom w:val="single" w:sz="4" w:space="0" w:color="auto"/>
              <w:right w:val="single" w:sz="4" w:space="0" w:color="auto"/>
            </w:tcBorders>
            <w:shd w:val="clear" w:color="000000" w:fill="FDE9D9"/>
            <w:vAlign w:val="center"/>
            <w:hideMark/>
          </w:tcPr>
          <w:p w14:paraId="57A3E47C" w14:textId="28126F2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2,617</w:t>
            </w:r>
          </w:p>
        </w:tc>
        <w:tc>
          <w:tcPr>
            <w:tcW w:w="190" w:type="pct"/>
            <w:tcBorders>
              <w:top w:val="nil"/>
              <w:left w:val="nil"/>
              <w:bottom w:val="single" w:sz="4" w:space="0" w:color="auto"/>
              <w:right w:val="single" w:sz="4" w:space="0" w:color="auto"/>
            </w:tcBorders>
            <w:shd w:val="clear" w:color="000000" w:fill="FDE9D9"/>
            <w:vAlign w:val="center"/>
            <w:hideMark/>
          </w:tcPr>
          <w:p w14:paraId="45814B21" w14:textId="0A0BEF1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2,442</w:t>
            </w:r>
          </w:p>
        </w:tc>
        <w:tc>
          <w:tcPr>
            <w:tcW w:w="187" w:type="pct"/>
            <w:tcBorders>
              <w:top w:val="nil"/>
              <w:left w:val="nil"/>
              <w:bottom w:val="single" w:sz="4" w:space="0" w:color="auto"/>
              <w:right w:val="single" w:sz="4" w:space="0" w:color="auto"/>
            </w:tcBorders>
            <w:shd w:val="clear" w:color="000000" w:fill="FDE9D9"/>
            <w:vAlign w:val="center"/>
            <w:hideMark/>
          </w:tcPr>
          <w:p w14:paraId="0C2C01EA" w14:textId="322F982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2,442</w:t>
            </w:r>
          </w:p>
        </w:tc>
        <w:tc>
          <w:tcPr>
            <w:tcW w:w="200" w:type="pct"/>
            <w:tcBorders>
              <w:top w:val="nil"/>
              <w:left w:val="nil"/>
              <w:bottom w:val="single" w:sz="4" w:space="0" w:color="auto"/>
              <w:right w:val="nil"/>
            </w:tcBorders>
            <w:shd w:val="clear" w:color="000000" w:fill="FDE9D9"/>
            <w:vAlign w:val="center"/>
            <w:hideMark/>
          </w:tcPr>
          <w:p w14:paraId="0F522815" w14:textId="16BDBC8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10,663</w:t>
            </w:r>
          </w:p>
        </w:tc>
        <w:tc>
          <w:tcPr>
            <w:tcW w:w="209" w:type="pct"/>
            <w:tcBorders>
              <w:top w:val="nil"/>
              <w:left w:val="single" w:sz="8" w:space="0" w:color="auto"/>
              <w:bottom w:val="single" w:sz="4" w:space="0" w:color="auto"/>
              <w:right w:val="single" w:sz="4" w:space="0" w:color="auto"/>
            </w:tcBorders>
            <w:shd w:val="clear" w:color="000000" w:fill="FDE9D9"/>
            <w:vAlign w:val="center"/>
            <w:hideMark/>
          </w:tcPr>
          <w:p w14:paraId="5DD85856" w14:textId="79E8248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10,313</w:t>
            </w:r>
          </w:p>
        </w:tc>
        <w:tc>
          <w:tcPr>
            <w:tcW w:w="209" w:type="pct"/>
            <w:tcBorders>
              <w:top w:val="nil"/>
              <w:left w:val="nil"/>
              <w:bottom w:val="single" w:sz="4" w:space="0" w:color="auto"/>
              <w:right w:val="single" w:sz="4" w:space="0" w:color="auto"/>
            </w:tcBorders>
            <w:shd w:val="clear" w:color="000000" w:fill="FDE9D9"/>
            <w:vAlign w:val="center"/>
            <w:hideMark/>
          </w:tcPr>
          <w:p w14:paraId="4FC1C99C" w14:textId="5A053E2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5" w:type="pct"/>
            <w:tcBorders>
              <w:top w:val="nil"/>
              <w:left w:val="nil"/>
              <w:bottom w:val="single" w:sz="4" w:space="0" w:color="auto"/>
              <w:right w:val="single" w:sz="8" w:space="0" w:color="auto"/>
            </w:tcBorders>
            <w:shd w:val="clear" w:color="000000" w:fill="FDE9D9"/>
            <w:vAlign w:val="center"/>
            <w:hideMark/>
          </w:tcPr>
          <w:p w14:paraId="586054DD" w14:textId="1EA4BC5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350</w:t>
            </w:r>
          </w:p>
        </w:tc>
        <w:tc>
          <w:tcPr>
            <w:tcW w:w="202" w:type="pct"/>
            <w:tcBorders>
              <w:top w:val="nil"/>
              <w:left w:val="nil"/>
              <w:bottom w:val="single" w:sz="4" w:space="0" w:color="auto"/>
              <w:right w:val="single" w:sz="4" w:space="0" w:color="auto"/>
            </w:tcBorders>
            <w:shd w:val="clear" w:color="000000" w:fill="FDE9D9"/>
            <w:vAlign w:val="center"/>
            <w:hideMark/>
          </w:tcPr>
          <w:p w14:paraId="02A49168" w14:textId="3BA32DE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111,070</w:t>
            </w:r>
          </w:p>
        </w:tc>
        <w:tc>
          <w:tcPr>
            <w:tcW w:w="200" w:type="pct"/>
            <w:tcBorders>
              <w:top w:val="nil"/>
              <w:left w:val="nil"/>
              <w:bottom w:val="single" w:sz="4" w:space="0" w:color="auto"/>
              <w:right w:val="single" w:sz="4" w:space="0" w:color="auto"/>
            </w:tcBorders>
            <w:shd w:val="clear" w:color="000000" w:fill="FDE9D9"/>
            <w:vAlign w:val="center"/>
            <w:hideMark/>
          </w:tcPr>
          <w:p w14:paraId="7E6B0491" w14:textId="39DB49C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107,424</w:t>
            </w:r>
          </w:p>
        </w:tc>
        <w:tc>
          <w:tcPr>
            <w:tcW w:w="197" w:type="pct"/>
            <w:tcBorders>
              <w:top w:val="nil"/>
              <w:left w:val="nil"/>
              <w:bottom w:val="single" w:sz="4" w:space="0" w:color="auto"/>
              <w:right w:val="single" w:sz="4" w:space="0" w:color="auto"/>
            </w:tcBorders>
            <w:shd w:val="clear" w:color="000000" w:fill="FDE9D9"/>
            <w:vAlign w:val="center"/>
            <w:hideMark/>
          </w:tcPr>
          <w:p w14:paraId="6A9B1AF2" w14:textId="3E927CB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single" w:sz="8" w:space="0" w:color="auto"/>
            </w:tcBorders>
            <w:shd w:val="clear" w:color="000000" w:fill="FDE9D9"/>
            <w:vAlign w:val="center"/>
            <w:hideMark/>
          </w:tcPr>
          <w:p w14:paraId="5B65B8D0" w14:textId="526836B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3,646</w:t>
            </w:r>
          </w:p>
        </w:tc>
      </w:tr>
      <w:tr w:rsidR="00387E5A" w:rsidRPr="00024D5A" w14:paraId="2039CABC"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286D947F" w14:textId="3FC6A90B"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Masa prioritare 2.1</w:t>
            </w:r>
            <w:r w:rsidR="003526AF">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Rritje e aksesit për pjesëmarrje t</w:t>
            </w:r>
            <w:r w:rsidR="0059189E" w:rsidRPr="00024D5A">
              <w:rPr>
                <w:rFonts w:ascii="Garamond" w:eastAsia="Times New Roman" w:hAnsi="Garamond" w:cs="Calibri"/>
                <w:b/>
                <w:bCs/>
                <w:sz w:val="6"/>
                <w:szCs w:val="6"/>
                <w:lang w:eastAsia="en-US"/>
              </w:rPr>
              <w:t>ë</w:t>
            </w:r>
            <w:r w:rsidRPr="00024D5A">
              <w:rPr>
                <w:rFonts w:ascii="Garamond" w:eastAsia="Times New Roman" w:hAnsi="Garamond" w:cs="Calibri"/>
                <w:b/>
                <w:bCs/>
                <w:sz w:val="6"/>
                <w:szCs w:val="6"/>
                <w:lang w:eastAsia="en-US"/>
              </w:rPr>
              <w:t xml:space="preserve"> PAK</w:t>
            </w:r>
            <w:r w:rsidR="0059189E" w:rsidRPr="00024D5A">
              <w:rPr>
                <w:rFonts w:ascii="Garamond" w:eastAsia="Times New Roman" w:hAnsi="Garamond" w:cs="Calibri"/>
                <w:b/>
                <w:bCs/>
                <w:sz w:val="6"/>
                <w:szCs w:val="6"/>
                <w:lang w:eastAsia="en-US"/>
              </w:rPr>
              <w:t>-së</w:t>
            </w:r>
            <w:r w:rsidRPr="00024D5A">
              <w:rPr>
                <w:rFonts w:ascii="Garamond" w:eastAsia="Times New Roman" w:hAnsi="Garamond" w:cs="Calibri"/>
                <w:b/>
                <w:bCs/>
                <w:sz w:val="6"/>
                <w:szCs w:val="6"/>
                <w:lang w:eastAsia="en-US"/>
              </w:rPr>
              <w:t xml:space="preserve"> në aktivitete kulturore dhe sportive</w:t>
            </w:r>
            <w:r w:rsidR="00BB0B47" w:rsidRPr="00024D5A">
              <w:rPr>
                <w:rFonts w:ascii="Garamond" w:eastAsia="Times New Roman" w:hAnsi="Garamond" w:cs="Calibri"/>
                <w:b/>
                <w:bCs/>
                <w:sz w:val="6"/>
                <w:szCs w:val="6"/>
                <w:lang w:eastAsia="en-US"/>
              </w:rPr>
              <w:t>.</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0EE6817D"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2026</w:t>
            </w:r>
          </w:p>
        </w:tc>
        <w:tc>
          <w:tcPr>
            <w:tcW w:w="226" w:type="pct"/>
            <w:tcBorders>
              <w:top w:val="nil"/>
              <w:left w:val="nil"/>
              <w:bottom w:val="single" w:sz="4" w:space="0" w:color="auto"/>
              <w:right w:val="single" w:sz="4" w:space="0" w:color="auto"/>
            </w:tcBorders>
            <w:shd w:val="clear" w:color="000000" w:fill="DCE6F1"/>
            <w:vAlign w:val="center"/>
            <w:hideMark/>
          </w:tcPr>
          <w:p w14:paraId="3C025879"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4108FF69"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MSHMS/PARLAMENTI</w:t>
            </w:r>
          </w:p>
        </w:tc>
        <w:tc>
          <w:tcPr>
            <w:tcW w:w="792" w:type="pct"/>
            <w:tcBorders>
              <w:top w:val="nil"/>
              <w:left w:val="nil"/>
              <w:bottom w:val="single" w:sz="4" w:space="0" w:color="auto"/>
              <w:right w:val="single" w:sz="8" w:space="0" w:color="auto"/>
            </w:tcBorders>
            <w:shd w:val="clear" w:color="000000" w:fill="DCE6F1"/>
            <w:vAlign w:val="center"/>
            <w:hideMark/>
          </w:tcPr>
          <w:p w14:paraId="113B36BD" w14:textId="38C5B1E6"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T</w:t>
            </w:r>
            <w:r w:rsidR="00E51640" w:rsidRPr="00024D5A">
              <w:rPr>
                <w:rFonts w:ascii="Garamond" w:eastAsia="Times New Roman" w:hAnsi="Garamond"/>
                <w:sz w:val="6"/>
                <w:szCs w:val="6"/>
                <w:lang w:eastAsia="en-US"/>
              </w:rPr>
              <w:t>ë</w:t>
            </w:r>
            <w:r w:rsidRPr="00024D5A">
              <w:rPr>
                <w:rFonts w:ascii="Garamond" w:eastAsia="Times New Roman" w:hAnsi="Garamond"/>
                <w:sz w:val="6"/>
                <w:szCs w:val="6"/>
                <w:lang w:eastAsia="en-US"/>
              </w:rPr>
              <w:t xml:space="preserve"> gjitha </w:t>
            </w:r>
            <w:r w:rsidR="00E51640" w:rsidRPr="00024D5A">
              <w:rPr>
                <w:rFonts w:ascii="Garamond" w:eastAsia="Times New Roman" w:hAnsi="Garamond"/>
                <w:sz w:val="6"/>
                <w:szCs w:val="6"/>
                <w:lang w:eastAsia="en-US"/>
              </w:rPr>
              <w:t>institucionet</w:t>
            </w:r>
            <w:r w:rsidRPr="00024D5A">
              <w:rPr>
                <w:rFonts w:ascii="Garamond" w:eastAsia="Times New Roman" w:hAnsi="Garamond"/>
                <w:sz w:val="6"/>
                <w:szCs w:val="6"/>
                <w:lang w:eastAsia="en-US"/>
              </w:rPr>
              <w:t>/OJF</w:t>
            </w:r>
          </w:p>
        </w:tc>
        <w:tc>
          <w:tcPr>
            <w:tcW w:w="188" w:type="pct"/>
            <w:tcBorders>
              <w:top w:val="nil"/>
              <w:left w:val="nil"/>
              <w:bottom w:val="single" w:sz="4" w:space="0" w:color="auto"/>
              <w:right w:val="single" w:sz="4" w:space="0" w:color="auto"/>
            </w:tcBorders>
            <w:shd w:val="clear" w:color="000000" w:fill="DCE6F1"/>
            <w:vAlign w:val="center"/>
            <w:hideMark/>
          </w:tcPr>
          <w:p w14:paraId="27AFB11A" w14:textId="70423D8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409</w:t>
            </w:r>
          </w:p>
        </w:tc>
        <w:tc>
          <w:tcPr>
            <w:tcW w:w="190" w:type="pct"/>
            <w:tcBorders>
              <w:top w:val="nil"/>
              <w:left w:val="nil"/>
              <w:bottom w:val="single" w:sz="4" w:space="0" w:color="auto"/>
              <w:right w:val="single" w:sz="4" w:space="0" w:color="auto"/>
            </w:tcBorders>
            <w:shd w:val="clear" w:color="000000" w:fill="DCE6F1"/>
            <w:vAlign w:val="center"/>
            <w:hideMark/>
          </w:tcPr>
          <w:p w14:paraId="1A29EE04" w14:textId="5179EF3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409</w:t>
            </w:r>
          </w:p>
        </w:tc>
        <w:tc>
          <w:tcPr>
            <w:tcW w:w="190" w:type="pct"/>
            <w:tcBorders>
              <w:top w:val="nil"/>
              <w:left w:val="nil"/>
              <w:bottom w:val="single" w:sz="4" w:space="0" w:color="auto"/>
              <w:right w:val="single" w:sz="4" w:space="0" w:color="auto"/>
            </w:tcBorders>
            <w:shd w:val="clear" w:color="000000" w:fill="DCE6F1"/>
            <w:vAlign w:val="center"/>
            <w:hideMark/>
          </w:tcPr>
          <w:p w14:paraId="559CD270" w14:textId="5D2B289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409</w:t>
            </w:r>
          </w:p>
        </w:tc>
        <w:tc>
          <w:tcPr>
            <w:tcW w:w="190" w:type="pct"/>
            <w:tcBorders>
              <w:top w:val="nil"/>
              <w:left w:val="nil"/>
              <w:bottom w:val="single" w:sz="4" w:space="0" w:color="auto"/>
              <w:right w:val="single" w:sz="4" w:space="0" w:color="auto"/>
            </w:tcBorders>
            <w:shd w:val="clear" w:color="000000" w:fill="DCE6F1"/>
            <w:vAlign w:val="center"/>
            <w:hideMark/>
          </w:tcPr>
          <w:p w14:paraId="7C41FB5C" w14:textId="3B2EF29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409</w:t>
            </w:r>
          </w:p>
        </w:tc>
        <w:tc>
          <w:tcPr>
            <w:tcW w:w="187" w:type="pct"/>
            <w:tcBorders>
              <w:top w:val="nil"/>
              <w:left w:val="nil"/>
              <w:bottom w:val="single" w:sz="4" w:space="0" w:color="auto"/>
              <w:right w:val="single" w:sz="4" w:space="0" w:color="auto"/>
            </w:tcBorders>
            <w:shd w:val="clear" w:color="000000" w:fill="DCE6F1"/>
            <w:vAlign w:val="center"/>
            <w:hideMark/>
          </w:tcPr>
          <w:p w14:paraId="0A54EF1D" w14:textId="7EDCFE4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409</w:t>
            </w:r>
          </w:p>
        </w:tc>
        <w:tc>
          <w:tcPr>
            <w:tcW w:w="200" w:type="pct"/>
            <w:tcBorders>
              <w:top w:val="nil"/>
              <w:left w:val="nil"/>
              <w:bottom w:val="single" w:sz="4" w:space="0" w:color="auto"/>
              <w:right w:val="nil"/>
            </w:tcBorders>
            <w:shd w:val="clear" w:color="000000" w:fill="DCE6F1"/>
            <w:vAlign w:val="center"/>
            <w:hideMark/>
          </w:tcPr>
          <w:p w14:paraId="7765D438" w14:textId="52A471B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2,045</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188B5A63" w14:textId="724AF21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2,045</w:t>
            </w:r>
          </w:p>
        </w:tc>
        <w:tc>
          <w:tcPr>
            <w:tcW w:w="209" w:type="pct"/>
            <w:tcBorders>
              <w:top w:val="nil"/>
              <w:left w:val="nil"/>
              <w:bottom w:val="single" w:sz="4" w:space="0" w:color="auto"/>
              <w:right w:val="single" w:sz="4" w:space="0" w:color="auto"/>
            </w:tcBorders>
            <w:shd w:val="clear" w:color="000000" w:fill="DCE6F1"/>
            <w:vAlign w:val="center"/>
            <w:hideMark/>
          </w:tcPr>
          <w:p w14:paraId="35174D20" w14:textId="2444502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5" w:type="pct"/>
            <w:tcBorders>
              <w:top w:val="nil"/>
              <w:left w:val="nil"/>
              <w:bottom w:val="single" w:sz="4" w:space="0" w:color="auto"/>
              <w:right w:val="single" w:sz="8" w:space="0" w:color="auto"/>
            </w:tcBorders>
            <w:shd w:val="clear" w:color="000000" w:fill="DCE6F1"/>
            <w:vAlign w:val="center"/>
            <w:hideMark/>
          </w:tcPr>
          <w:p w14:paraId="59F69133" w14:textId="7A3D117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202" w:type="pct"/>
            <w:tcBorders>
              <w:top w:val="nil"/>
              <w:left w:val="nil"/>
              <w:bottom w:val="single" w:sz="4" w:space="0" w:color="auto"/>
              <w:right w:val="single" w:sz="4" w:space="0" w:color="auto"/>
            </w:tcBorders>
            <w:shd w:val="clear" w:color="000000" w:fill="DCE6F1"/>
            <w:vAlign w:val="center"/>
            <w:hideMark/>
          </w:tcPr>
          <w:p w14:paraId="632D43CB" w14:textId="6192010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21,307</w:t>
            </w:r>
          </w:p>
        </w:tc>
        <w:tc>
          <w:tcPr>
            <w:tcW w:w="200" w:type="pct"/>
            <w:tcBorders>
              <w:top w:val="nil"/>
              <w:left w:val="nil"/>
              <w:bottom w:val="single" w:sz="4" w:space="0" w:color="auto"/>
              <w:right w:val="single" w:sz="4" w:space="0" w:color="auto"/>
            </w:tcBorders>
            <w:shd w:val="clear" w:color="000000" w:fill="DCE6F1"/>
            <w:vAlign w:val="center"/>
            <w:hideMark/>
          </w:tcPr>
          <w:p w14:paraId="5A8E9CA9" w14:textId="7CF4C1B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21,307</w:t>
            </w:r>
          </w:p>
        </w:tc>
        <w:tc>
          <w:tcPr>
            <w:tcW w:w="197" w:type="pct"/>
            <w:tcBorders>
              <w:top w:val="nil"/>
              <w:left w:val="nil"/>
              <w:bottom w:val="single" w:sz="4" w:space="0" w:color="auto"/>
              <w:right w:val="single" w:sz="4" w:space="0" w:color="auto"/>
            </w:tcBorders>
            <w:shd w:val="clear" w:color="000000" w:fill="DCE6F1"/>
            <w:vAlign w:val="center"/>
            <w:hideMark/>
          </w:tcPr>
          <w:p w14:paraId="2C1CD809" w14:textId="296EFF5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single" w:sz="8" w:space="0" w:color="auto"/>
            </w:tcBorders>
            <w:shd w:val="clear" w:color="000000" w:fill="DCE6F1"/>
            <w:vAlign w:val="center"/>
            <w:hideMark/>
          </w:tcPr>
          <w:p w14:paraId="6998A689" w14:textId="7735E6A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r>
      <w:tr w:rsidR="00387E5A" w:rsidRPr="00024D5A" w14:paraId="7543ADDD"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64235687" w14:textId="6B1636E5"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Masa prioritare</w:t>
            </w:r>
            <w:r w:rsidR="00BB0B47" w:rsidRPr="00024D5A">
              <w:rPr>
                <w:rFonts w:ascii="Garamond" w:eastAsia="Times New Roman" w:hAnsi="Garamond" w:cs="Calibri"/>
                <w:b/>
                <w:bCs/>
                <w:sz w:val="6"/>
                <w:szCs w:val="6"/>
                <w:lang w:eastAsia="en-US"/>
              </w:rPr>
              <w:t xml:space="preserve"> </w:t>
            </w:r>
            <w:r w:rsidRPr="00024D5A">
              <w:rPr>
                <w:rFonts w:ascii="Garamond" w:eastAsia="Times New Roman" w:hAnsi="Garamond" w:cs="Calibri"/>
                <w:b/>
                <w:bCs/>
                <w:sz w:val="6"/>
                <w:szCs w:val="6"/>
                <w:lang w:eastAsia="en-US"/>
              </w:rPr>
              <w:t>2.2</w:t>
            </w:r>
            <w:r w:rsidR="003526AF">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Ngritja dhe fuqizimi i kapaciteteve</w:t>
            </w:r>
            <w:r w:rsidR="00BB0B47" w:rsidRPr="00024D5A">
              <w:rPr>
                <w:rFonts w:ascii="Garamond" w:eastAsia="Times New Roman" w:hAnsi="Garamond" w:cs="Calibri"/>
                <w:b/>
                <w:bCs/>
                <w:sz w:val="6"/>
                <w:szCs w:val="6"/>
                <w:lang w:eastAsia="en-US"/>
              </w:rPr>
              <w:t>.</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3ABB56C7"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2026</w:t>
            </w:r>
          </w:p>
        </w:tc>
        <w:tc>
          <w:tcPr>
            <w:tcW w:w="226" w:type="pct"/>
            <w:tcBorders>
              <w:top w:val="nil"/>
              <w:left w:val="nil"/>
              <w:bottom w:val="single" w:sz="4" w:space="0" w:color="auto"/>
              <w:right w:val="single" w:sz="4" w:space="0" w:color="auto"/>
            </w:tcBorders>
            <w:shd w:val="clear" w:color="000000" w:fill="DCE6F1"/>
            <w:noWrap/>
            <w:vAlign w:val="center"/>
            <w:hideMark/>
          </w:tcPr>
          <w:p w14:paraId="3FFCF30C"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DCE6F1"/>
            <w:noWrap/>
            <w:vAlign w:val="center"/>
            <w:hideMark/>
          </w:tcPr>
          <w:p w14:paraId="6604FCA2"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w:t>
            </w:r>
          </w:p>
        </w:tc>
        <w:tc>
          <w:tcPr>
            <w:tcW w:w="792" w:type="pct"/>
            <w:tcBorders>
              <w:top w:val="nil"/>
              <w:left w:val="nil"/>
              <w:bottom w:val="single" w:sz="4" w:space="0" w:color="auto"/>
              <w:right w:val="single" w:sz="8" w:space="0" w:color="auto"/>
            </w:tcBorders>
            <w:shd w:val="clear" w:color="000000" w:fill="DCE6F1"/>
            <w:vAlign w:val="center"/>
            <w:hideMark/>
          </w:tcPr>
          <w:p w14:paraId="685CB48E"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Sekretariati KKAK/Të gjitha institucionet, OJF</w:t>
            </w:r>
          </w:p>
        </w:tc>
        <w:tc>
          <w:tcPr>
            <w:tcW w:w="188" w:type="pct"/>
            <w:tcBorders>
              <w:top w:val="nil"/>
              <w:left w:val="nil"/>
              <w:bottom w:val="single" w:sz="4" w:space="0" w:color="auto"/>
              <w:right w:val="single" w:sz="4" w:space="0" w:color="auto"/>
            </w:tcBorders>
            <w:shd w:val="clear" w:color="000000" w:fill="DCE6F1"/>
            <w:vAlign w:val="center"/>
            <w:hideMark/>
          </w:tcPr>
          <w:p w14:paraId="4787A665" w14:textId="269CDA2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136</w:t>
            </w:r>
          </w:p>
        </w:tc>
        <w:tc>
          <w:tcPr>
            <w:tcW w:w="190" w:type="pct"/>
            <w:tcBorders>
              <w:top w:val="nil"/>
              <w:left w:val="nil"/>
              <w:bottom w:val="single" w:sz="4" w:space="0" w:color="auto"/>
              <w:right w:val="single" w:sz="4" w:space="0" w:color="auto"/>
            </w:tcBorders>
            <w:shd w:val="clear" w:color="000000" w:fill="DCE6F1"/>
            <w:vAlign w:val="center"/>
            <w:hideMark/>
          </w:tcPr>
          <w:p w14:paraId="3A073F5E" w14:textId="64E2354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2,208</w:t>
            </w:r>
          </w:p>
        </w:tc>
        <w:tc>
          <w:tcPr>
            <w:tcW w:w="190" w:type="pct"/>
            <w:tcBorders>
              <w:top w:val="nil"/>
              <w:left w:val="nil"/>
              <w:bottom w:val="single" w:sz="4" w:space="0" w:color="auto"/>
              <w:right w:val="single" w:sz="4" w:space="0" w:color="auto"/>
            </w:tcBorders>
            <w:shd w:val="clear" w:color="000000" w:fill="DCE6F1"/>
            <w:vAlign w:val="center"/>
            <w:hideMark/>
          </w:tcPr>
          <w:p w14:paraId="4316C859" w14:textId="5F3B09B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2,208</w:t>
            </w:r>
          </w:p>
        </w:tc>
        <w:tc>
          <w:tcPr>
            <w:tcW w:w="190" w:type="pct"/>
            <w:tcBorders>
              <w:top w:val="nil"/>
              <w:left w:val="nil"/>
              <w:bottom w:val="single" w:sz="4" w:space="0" w:color="auto"/>
              <w:right w:val="single" w:sz="4" w:space="0" w:color="auto"/>
            </w:tcBorders>
            <w:shd w:val="clear" w:color="000000" w:fill="DCE6F1"/>
            <w:vAlign w:val="center"/>
            <w:hideMark/>
          </w:tcPr>
          <w:p w14:paraId="5C10D7F2" w14:textId="707A482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2,033</w:t>
            </w:r>
          </w:p>
        </w:tc>
        <w:tc>
          <w:tcPr>
            <w:tcW w:w="187" w:type="pct"/>
            <w:tcBorders>
              <w:top w:val="nil"/>
              <w:left w:val="nil"/>
              <w:bottom w:val="single" w:sz="4" w:space="0" w:color="auto"/>
              <w:right w:val="single" w:sz="4" w:space="0" w:color="auto"/>
            </w:tcBorders>
            <w:shd w:val="clear" w:color="000000" w:fill="DCE6F1"/>
            <w:vAlign w:val="center"/>
            <w:hideMark/>
          </w:tcPr>
          <w:p w14:paraId="0D39420C" w14:textId="14662F9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2,033</w:t>
            </w:r>
          </w:p>
        </w:tc>
        <w:tc>
          <w:tcPr>
            <w:tcW w:w="200" w:type="pct"/>
            <w:tcBorders>
              <w:top w:val="nil"/>
              <w:left w:val="nil"/>
              <w:bottom w:val="single" w:sz="4" w:space="0" w:color="auto"/>
              <w:right w:val="nil"/>
            </w:tcBorders>
            <w:shd w:val="clear" w:color="000000" w:fill="DCE6F1"/>
            <w:vAlign w:val="center"/>
            <w:hideMark/>
          </w:tcPr>
          <w:p w14:paraId="68A785BF" w14:textId="442B33C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8,617</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7DC2E3D9" w14:textId="3DBF37D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8,267</w:t>
            </w:r>
          </w:p>
        </w:tc>
        <w:tc>
          <w:tcPr>
            <w:tcW w:w="209" w:type="pct"/>
            <w:tcBorders>
              <w:top w:val="nil"/>
              <w:left w:val="nil"/>
              <w:bottom w:val="single" w:sz="4" w:space="0" w:color="auto"/>
              <w:right w:val="single" w:sz="4" w:space="0" w:color="auto"/>
            </w:tcBorders>
            <w:shd w:val="clear" w:color="000000" w:fill="DCE6F1"/>
            <w:vAlign w:val="center"/>
            <w:hideMark/>
          </w:tcPr>
          <w:p w14:paraId="38ABF883" w14:textId="574FBA1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5" w:type="pct"/>
            <w:tcBorders>
              <w:top w:val="nil"/>
              <w:left w:val="nil"/>
              <w:bottom w:val="single" w:sz="4" w:space="0" w:color="auto"/>
              <w:right w:val="single" w:sz="8" w:space="0" w:color="auto"/>
            </w:tcBorders>
            <w:shd w:val="clear" w:color="000000" w:fill="DCE6F1"/>
            <w:vAlign w:val="center"/>
            <w:hideMark/>
          </w:tcPr>
          <w:p w14:paraId="38699D05" w14:textId="667B5CB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350</w:t>
            </w:r>
          </w:p>
        </w:tc>
        <w:tc>
          <w:tcPr>
            <w:tcW w:w="202" w:type="pct"/>
            <w:tcBorders>
              <w:top w:val="nil"/>
              <w:left w:val="nil"/>
              <w:bottom w:val="single" w:sz="4" w:space="0" w:color="auto"/>
              <w:right w:val="single" w:sz="4" w:space="0" w:color="auto"/>
            </w:tcBorders>
            <w:shd w:val="clear" w:color="000000" w:fill="DCE6F1"/>
            <w:vAlign w:val="center"/>
            <w:hideMark/>
          </w:tcPr>
          <w:p w14:paraId="46B9A414" w14:textId="39602B8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89,763</w:t>
            </w:r>
          </w:p>
        </w:tc>
        <w:tc>
          <w:tcPr>
            <w:tcW w:w="200" w:type="pct"/>
            <w:tcBorders>
              <w:top w:val="nil"/>
              <w:left w:val="nil"/>
              <w:bottom w:val="single" w:sz="4" w:space="0" w:color="auto"/>
              <w:right w:val="single" w:sz="4" w:space="0" w:color="auto"/>
            </w:tcBorders>
            <w:shd w:val="clear" w:color="000000" w:fill="DCE6F1"/>
            <w:vAlign w:val="center"/>
            <w:hideMark/>
          </w:tcPr>
          <w:p w14:paraId="5AD8763F" w14:textId="0511C13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86,117</w:t>
            </w:r>
          </w:p>
        </w:tc>
        <w:tc>
          <w:tcPr>
            <w:tcW w:w="197" w:type="pct"/>
            <w:tcBorders>
              <w:top w:val="nil"/>
              <w:left w:val="nil"/>
              <w:bottom w:val="single" w:sz="4" w:space="0" w:color="auto"/>
              <w:right w:val="single" w:sz="4" w:space="0" w:color="auto"/>
            </w:tcBorders>
            <w:shd w:val="clear" w:color="000000" w:fill="DCE6F1"/>
            <w:vAlign w:val="center"/>
            <w:hideMark/>
          </w:tcPr>
          <w:p w14:paraId="3D3D26B4" w14:textId="42A302F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single" w:sz="8" w:space="0" w:color="auto"/>
            </w:tcBorders>
            <w:shd w:val="clear" w:color="000000" w:fill="DCE6F1"/>
            <w:vAlign w:val="center"/>
            <w:hideMark/>
          </w:tcPr>
          <w:p w14:paraId="6E029CBB" w14:textId="03A2A88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3,646</w:t>
            </w:r>
          </w:p>
        </w:tc>
      </w:tr>
      <w:tr w:rsidR="00387E5A" w:rsidRPr="00024D5A" w14:paraId="34263BC4" w14:textId="77777777" w:rsidTr="00387E5A">
        <w:trPr>
          <w:trHeight w:val="20"/>
        </w:trPr>
        <w:tc>
          <w:tcPr>
            <w:tcW w:w="375" w:type="pct"/>
            <w:tcBorders>
              <w:top w:val="nil"/>
              <w:left w:val="single" w:sz="4" w:space="0" w:color="auto"/>
              <w:bottom w:val="single" w:sz="4" w:space="0" w:color="auto"/>
              <w:right w:val="nil"/>
            </w:tcBorders>
            <w:shd w:val="clear" w:color="000000" w:fill="FDE9D9"/>
            <w:vAlign w:val="center"/>
            <w:hideMark/>
          </w:tcPr>
          <w:p w14:paraId="4071E1E9" w14:textId="4E44DE76"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Objektivi specifik 3</w:t>
            </w:r>
            <w:r w:rsidR="003526AF">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w:t>
            </w:r>
            <w:r w:rsidR="008F29FA" w:rsidRPr="00024D5A">
              <w:rPr>
                <w:rFonts w:ascii="Garamond" w:eastAsia="Times New Roman" w:hAnsi="Garamond" w:cs="Calibri"/>
                <w:b/>
                <w:bCs/>
                <w:sz w:val="6"/>
                <w:szCs w:val="6"/>
                <w:lang w:eastAsia="en-US"/>
              </w:rPr>
              <w:t xml:space="preserve"> </w:t>
            </w:r>
            <w:r w:rsidRPr="00024D5A">
              <w:rPr>
                <w:rFonts w:ascii="Garamond" w:eastAsia="Times New Roman" w:hAnsi="Garamond" w:cs="Calibri"/>
                <w:b/>
                <w:bCs/>
                <w:sz w:val="6"/>
                <w:szCs w:val="6"/>
                <w:lang w:eastAsia="en-US"/>
              </w:rPr>
              <w:t>Përmirësimi i funksionimit të KKAK</w:t>
            </w:r>
            <w:r w:rsidR="00BB0B47" w:rsidRPr="00024D5A">
              <w:rPr>
                <w:rFonts w:ascii="Garamond" w:eastAsia="Times New Roman" w:hAnsi="Garamond" w:cs="Calibri"/>
                <w:b/>
                <w:bCs/>
                <w:sz w:val="6"/>
                <w:szCs w:val="6"/>
                <w:lang w:eastAsia="en-US"/>
              </w:rPr>
              <w:t>-së</w:t>
            </w:r>
            <w:r w:rsidRPr="00024D5A">
              <w:rPr>
                <w:rFonts w:ascii="Garamond" w:eastAsia="Times New Roman" w:hAnsi="Garamond" w:cs="Calibri"/>
                <w:b/>
                <w:bCs/>
                <w:sz w:val="6"/>
                <w:szCs w:val="6"/>
                <w:lang w:eastAsia="en-US"/>
              </w:rPr>
              <w:t xml:space="preserve"> lidhur me koordinimin e politikave publike në nivel horizontal dhe vertikal, të dedikuara për personat me aftësi të kufizuara</w:t>
            </w:r>
            <w:r w:rsidR="00BB0B47" w:rsidRPr="00024D5A">
              <w:rPr>
                <w:rFonts w:ascii="Garamond" w:eastAsia="Times New Roman" w:hAnsi="Garamond" w:cs="Calibri"/>
                <w:b/>
                <w:bCs/>
                <w:sz w:val="6"/>
                <w:szCs w:val="6"/>
                <w:lang w:eastAsia="en-US"/>
              </w:rPr>
              <w:t>.</w:t>
            </w:r>
          </w:p>
        </w:tc>
        <w:tc>
          <w:tcPr>
            <w:tcW w:w="244" w:type="pct"/>
            <w:tcBorders>
              <w:top w:val="nil"/>
              <w:left w:val="single" w:sz="8" w:space="0" w:color="auto"/>
              <w:bottom w:val="single" w:sz="4" w:space="0" w:color="auto"/>
              <w:right w:val="single" w:sz="4" w:space="0" w:color="auto"/>
            </w:tcBorders>
            <w:shd w:val="clear" w:color="000000" w:fill="FDE9D9"/>
            <w:vAlign w:val="center"/>
            <w:hideMark/>
          </w:tcPr>
          <w:p w14:paraId="6BF46D67"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0</w:t>
            </w:r>
          </w:p>
        </w:tc>
        <w:tc>
          <w:tcPr>
            <w:tcW w:w="226" w:type="pct"/>
            <w:tcBorders>
              <w:top w:val="nil"/>
              <w:left w:val="nil"/>
              <w:bottom w:val="single" w:sz="4" w:space="0" w:color="auto"/>
              <w:right w:val="single" w:sz="4" w:space="0" w:color="auto"/>
            </w:tcBorders>
            <w:shd w:val="clear" w:color="000000" w:fill="FDE9D9"/>
            <w:vAlign w:val="center"/>
            <w:hideMark/>
          </w:tcPr>
          <w:p w14:paraId="1B15E661"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FDE9D9"/>
            <w:vAlign w:val="center"/>
            <w:hideMark/>
          </w:tcPr>
          <w:p w14:paraId="3233E8B0" w14:textId="49A3F84F"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INSTAT</w:t>
            </w:r>
          </w:p>
        </w:tc>
        <w:tc>
          <w:tcPr>
            <w:tcW w:w="792" w:type="pct"/>
            <w:tcBorders>
              <w:top w:val="nil"/>
              <w:left w:val="nil"/>
              <w:bottom w:val="single" w:sz="4" w:space="0" w:color="auto"/>
              <w:right w:val="single" w:sz="8" w:space="0" w:color="auto"/>
            </w:tcBorders>
            <w:shd w:val="clear" w:color="000000" w:fill="FDE9D9"/>
            <w:vAlign w:val="center"/>
            <w:hideMark/>
          </w:tcPr>
          <w:p w14:paraId="0C726C6D"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Të gjitha institucionet</w:t>
            </w:r>
          </w:p>
        </w:tc>
        <w:tc>
          <w:tcPr>
            <w:tcW w:w="188" w:type="pct"/>
            <w:tcBorders>
              <w:top w:val="nil"/>
              <w:left w:val="nil"/>
              <w:bottom w:val="single" w:sz="4" w:space="0" w:color="auto"/>
              <w:right w:val="single" w:sz="4" w:space="0" w:color="auto"/>
            </w:tcBorders>
            <w:shd w:val="clear" w:color="000000" w:fill="FDE9D9"/>
            <w:vAlign w:val="center"/>
            <w:hideMark/>
          </w:tcPr>
          <w:p w14:paraId="1CB645D3" w14:textId="7C356A1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905</w:t>
            </w:r>
          </w:p>
        </w:tc>
        <w:tc>
          <w:tcPr>
            <w:tcW w:w="190" w:type="pct"/>
            <w:tcBorders>
              <w:top w:val="nil"/>
              <w:left w:val="nil"/>
              <w:bottom w:val="single" w:sz="4" w:space="0" w:color="auto"/>
              <w:right w:val="single" w:sz="4" w:space="0" w:color="auto"/>
            </w:tcBorders>
            <w:shd w:val="clear" w:color="000000" w:fill="FDE9D9"/>
            <w:vAlign w:val="center"/>
            <w:hideMark/>
          </w:tcPr>
          <w:p w14:paraId="17A17A49" w14:textId="7A41922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1,305</w:t>
            </w:r>
          </w:p>
        </w:tc>
        <w:tc>
          <w:tcPr>
            <w:tcW w:w="190" w:type="pct"/>
            <w:tcBorders>
              <w:top w:val="nil"/>
              <w:left w:val="nil"/>
              <w:bottom w:val="single" w:sz="4" w:space="0" w:color="auto"/>
              <w:right w:val="single" w:sz="4" w:space="0" w:color="auto"/>
            </w:tcBorders>
            <w:shd w:val="clear" w:color="000000" w:fill="FDE9D9"/>
            <w:vAlign w:val="center"/>
            <w:hideMark/>
          </w:tcPr>
          <w:p w14:paraId="28DCF2B3" w14:textId="7A80CEB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400</w:t>
            </w:r>
          </w:p>
        </w:tc>
        <w:tc>
          <w:tcPr>
            <w:tcW w:w="190" w:type="pct"/>
            <w:tcBorders>
              <w:top w:val="nil"/>
              <w:left w:val="nil"/>
              <w:bottom w:val="single" w:sz="4" w:space="0" w:color="auto"/>
              <w:right w:val="single" w:sz="4" w:space="0" w:color="auto"/>
            </w:tcBorders>
            <w:shd w:val="clear" w:color="000000" w:fill="FDE9D9"/>
            <w:vAlign w:val="center"/>
            <w:hideMark/>
          </w:tcPr>
          <w:p w14:paraId="3F578F00" w14:textId="0ADE07F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87" w:type="pct"/>
            <w:tcBorders>
              <w:top w:val="nil"/>
              <w:left w:val="nil"/>
              <w:bottom w:val="single" w:sz="4" w:space="0" w:color="auto"/>
              <w:right w:val="single" w:sz="4" w:space="0" w:color="auto"/>
            </w:tcBorders>
            <w:shd w:val="clear" w:color="000000" w:fill="FDE9D9"/>
            <w:vAlign w:val="center"/>
            <w:hideMark/>
          </w:tcPr>
          <w:p w14:paraId="1D15C1E7" w14:textId="1C9B844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200" w:type="pct"/>
            <w:tcBorders>
              <w:top w:val="nil"/>
              <w:left w:val="nil"/>
              <w:bottom w:val="single" w:sz="4" w:space="0" w:color="auto"/>
              <w:right w:val="nil"/>
            </w:tcBorders>
            <w:shd w:val="clear" w:color="000000" w:fill="FDE9D9"/>
            <w:vAlign w:val="center"/>
            <w:hideMark/>
          </w:tcPr>
          <w:p w14:paraId="66BC78A8" w14:textId="5A5BC94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2,609</w:t>
            </w:r>
          </w:p>
        </w:tc>
        <w:tc>
          <w:tcPr>
            <w:tcW w:w="209" w:type="pct"/>
            <w:tcBorders>
              <w:top w:val="nil"/>
              <w:left w:val="single" w:sz="8" w:space="0" w:color="auto"/>
              <w:bottom w:val="single" w:sz="4" w:space="0" w:color="auto"/>
              <w:right w:val="single" w:sz="4" w:space="0" w:color="auto"/>
            </w:tcBorders>
            <w:shd w:val="clear" w:color="000000" w:fill="FDE9D9"/>
            <w:vAlign w:val="center"/>
            <w:hideMark/>
          </w:tcPr>
          <w:p w14:paraId="676DB8A5" w14:textId="13DAECC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1,909</w:t>
            </w:r>
          </w:p>
        </w:tc>
        <w:tc>
          <w:tcPr>
            <w:tcW w:w="209" w:type="pct"/>
            <w:tcBorders>
              <w:top w:val="nil"/>
              <w:left w:val="nil"/>
              <w:bottom w:val="single" w:sz="4" w:space="0" w:color="auto"/>
              <w:right w:val="single" w:sz="4" w:space="0" w:color="auto"/>
            </w:tcBorders>
            <w:shd w:val="clear" w:color="000000" w:fill="FDE9D9"/>
            <w:vAlign w:val="center"/>
            <w:hideMark/>
          </w:tcPr>
          <w:p w14:paraId="77517631" w14:textId="310AAB3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5" w:type="pct"/>
            <w:tcBorders>
              <w:top w:val="nil"/>
              <w:left w:val="nil"/>
              <w:bottom w:val="single" w:sz="4" w:space="0" w:color="auto"/>
              <w:right w:val="single" w:sz="8" w:space="0" w:color="auto"/>
            </w:tcBorders>
            <w:shd w:val="clear" w:color="000000" w:fill="FDE9D9"/>
            <w:vAlign w:val="center"/>
            <w:hideMark/>
          </w:tcPr>
          <w:p w14:paraId="0B30375B" w14:textId="24EE704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700</w:t>
            </w:r>
          </w:p>
        </w:tc>
        <w:tc>
          <w:tcPr>
            <w:tcW w:w="202" w:type="pct"/>
            <w:tcBorders>
              <w:top w:val="nil"/>
              <w:left w:val="nil"/>
              <w:bottom w:val="single" w:sz="4" w:space="0" w:color="auto"/>
              <w:right w:val="single" w:sz="4" w:space="0" w:color="auto"/>
            </w:tcBorders>
            <w:shd w:val="clear" w:color="000000" w:fill="FDE9D9"/>
            <w:vAlign w:val="center"/>
            <w:hideMark/>
          </w:tcPr>
          <w:p w14:paraId="53C853C8" w14:textId="133671E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27,178</w:t>
            </w:r>
          </w:p>
        </w:tc>
        <w:tc>
          <w:tcPr>
            <w:tcW w:w="200" w:type="pct"/>
            <w:tcBorders>
              <w:top w:val="nil"/>
              <w:left w:val="nil"/>
              <w:bottom w:val="single" w:sz="4" w:space="0" w:color="auto"/>
              <w:right w:val="single" w:sz="4" w:space="0" w:color="auto"/>
            </w:tcBorders>
            <w:shd w:val="clear" w:color="000000" w:fill="FDE9D9"/>
            <w:vAlign w:val="center"/>
            <w:hideMark/>
          </w:tcPr>
          <w:p w14:paraId="47430290" w14:textId="6E00D838"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19,886</w:t>
            </w:r>
          </w:p>
        </w:tc>
        <w:tc>
          <w:tcPr>
            <w:tcW w:w="197" w:type="pct"/>
            <w:tcBorders>
              <w:top w:val="nil"/>
              <w:left w:val="nil"/>
              <w:bottom w:val="single" w:sz="4" w:space="0" w:color="auto"/>
              <w:right w:val="single" w:sz="4" w:space="0" w:color="auto"/>
            </w:tcBorders>
            <w:shd w:val="clear" w:color="000000" w:fill="FDE9D9"/>
            <w:vAlign w:val="center"/>
            <w:hideMark/>
          </w:tcPr>
          <w:p w14:paraId="70C61F28" w14:textId="445F5E8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single" w:sz="8" w:space="0" w:color="auto"/>
            </w:tcBorders>
            <w:shd w:val="clear" w:color="000000" w:fill="FDE9D9"/>
            <w:vAlign w:val="center"/>
            <w:hideMark/>
          </w:tcPr>
          <w:p w14:paraId="7BA6415B" w14:textId="7144A4F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7,292</w:t>
            </w:r>
          </w:p>
        </w:tc>
      </w:tr>
      <w:tr w:rsidR="00387E5A" w:rsidRPr="00024D5A" w14:paraId="0855D3D9" w14:textId="77777777" w:rsidTr="00387E5A">
        <w:trPr>
          <w:trHeight w:val="20"/>
        </w:trPr>
        <w:tc>
          <w:tcPr>
            <w:tcW w:w="375" w:type="pct"/>
            <w:tcBorders>
              <w:top w:val="nil"/>
              <w:left w:val="single" w:sz="4" w:space="0" w:color="auto"/>
              <w:bottom w:val="single" w:sz="4" w:space="0" w:color="auto"/>
              <w:right w:val="nil"/>
            </w:tcBorders>
            <w:shd w:val="clear" w:color="000000" w:fill="DCE6F1"/>
            <w:vAlign w:val="center"/>
            <w:hideMark/>
          </w:tcPr>
          <w:p w14:paraId="39CFA3D9" w14:textId="69E678C1"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Masa prioritare 3.1</w:t>
            </w:r>
            <w:r w:rsidR="003526AF">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Përmirësim i akteve ligjore e nënligjore</w:t>
            </w:r>
            <w:r w:rsidR="00BB0B47" w:rsidRPr="00024D5A">
              <w:rPr>
                <w:rFonts w:ascii="Garamond" w:eastAsia="Times New Roman" w:hAnsi="Garamond" w:cs="Calibri"/>
                <w:b/>
                <w:bCs/>
                <w:sz w:val="6"/>
                <w:szCs w:val="6"/>
                <w:lang w:eastAsia="en-US"/>
              </w:rPr>
              <w:t>.</w:t>
            </w:r>
          </w:p>
        </w:tc>
        <w:tc>
          <w:tcPr>
            <w:tcW w:w="244" w:type="pct"/>
            <w:tcBorders>
              <w:top w:val="nil"/>
              <w:left w:val="single" w:sz="8" w:space="0" w:color="auto"/>
              <w:bottom w:val="single" w:sz="4" w:space="0" w:color="auto"/>
              <w:right w:val="single" w:sz="4" w:space="0" w:color="auto"/>
            </w:tcBorders>
            <w:shd w:val="clear" w:color="000000" w:fill="DCE6F1"/>
            <w:vAlign w:val="center"/>
            <w:hideMark/>
          </w:tcPr>
          <w:p w14:paraId="6DCD86E8"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2026</w:t>
            </w:r>
          </w:p>
        </w:tc>
        <w:tc>
          <w:tcPr>
            <w:tcW w:w="226" w:type="pct"/>
            <w:tcBorders>
              <w:top w:val="nil"/>
              <w:left w:val="nil"/>
              <w:bottom w:val="single" w:sz="4" w:space="0" w:color="auto"/>
              <w:right w:val="single" w:sz="4" w:space="0" w:color="auto"/>
            </w:tcBorders>
            <w:shd w:val="clear" w:color="000000" w:fill="DCE6F1"/>
            <w:vAlign w:val="center"/>
            <w:hideMark/>
          </w:tcPr>
          <w:p w14:paraId="00BD72A3"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DCE6F1"/>
            <w:vAlign w:val="center"/>
            <w:hideMark/>
          </w:tcPr>
          <w:p w14:paraId="7EE39088" w14:textId="05E6C993"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w:t>
            </w:r>
            <w:r w:rsidR="007675EC" w:rsidRPr="00024D5A">
              <w:rPr>
                <w:rFonts w:ascii="Garamond" w:eastAsia="Times New Roman" w:hAnsi="Garamond"/>
                <w:sz w:val="6"/>
                <w:szCs w:val="6"/>
                <w:lang w:eastAsia="en-US"/>
              </w:rPr>
              <w:t>/</w:t>
            </w:r>
            <w:r w:rsidRPr="00024D5A">
              <w:rPr>
                <w:rFonts w:ascii="Garamond" w:eastAsia="Times New Roman" w:hAnsi="Garamond"/>
                <w:sz w:val="6"/>
                <w:szCs w:val="6"/>
                <w:lang w:eastAsia="en-US"/>
              </w:rPr>
              <w:t>INSTAT</w:t>
            </w:r>
          </w:p>
        </w:tc>
        <w:tc>
          <w:tcPr>
            <w:tcW w:w="792" w:type="pct"/>
            <w:tcBorders>
              <w:top w:val="nil"/>
              <w:left w:val="nil"/>
              <w:bottom w:val="single" w:sz="4" w:space="0" w:color="auto"/>
              <w:right w:val="single" w:sz="8" w:space="0" w:color="auto"/>
            </w:tcBorders>
            <w:shd w:val="clear" w:color="000000" w:fill="DCE6F1"/>
            <w:vAlign w:val="center"/>
            <w:hideMark/>
          </w:tcPr>
          <w:p w14:paraId="7B2CAFE2"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Të gjitha institucionet</w:t>
            </w:r>
          </w:p>
        </w:tc>
        <w:tc>
          <w:tcPr>
            <w:tcW w:w="188" w:type="pct"/>
            <w:tcBorders>
              <w:top w:val="nil"/>
              <w:left w:val="nil"/>
              <w:bottom w:val="single" w:sz="4" w:space="0" w:color="auto"/>
              <w:right w:val="single" w:sz="4" w:space="0" w:color="auto"/>
            </w:tcBorders>
            <w:shd w:val="clear" w:color="000000" w:fill="DCE6F1"/>
            <w:vAlign w:val="center"/>
            <w:hideMark/>
          </w:tcPr>
          <w:p w14:paraId="7C646DDB" w14:textId="0205DE9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905</w:t>
            </w:r>
          </w:p>
        </w:tc>
        <w:tc>
          <w:tcPr>
            <w:tcW w:w="190" w:type="pct"/>
            <w:tcBorders>
              <w:top w:val="nil"/>
              <w:left w:val="nil"/>
              <w:bottom w:val="single" w:sz="4" w:space="0" w:color="auto"/>
              <w:right w:val="single" w:sz="4" w:space="0" w:color="auto"/>
            </w:tcBorders>
            <w:shd w:val="clear" w:color="000000" w:fill="DCE6F1"/>
            <w:vAlign w:val="center"/>
            <w:hideMark/>
          </w:tcPr>
          <w:p w14:paraId="33D75508" w14:textId="1FEB738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1,305</w:t>
            </w:r>
          </w:p>
        </w:tc>
        <w:tc>
          <w:tcPr>
            <w:tcW w:w="190" w:type="pct"/>
            <w:tcBorders>
              <w:top w:val="nil"/>
              <w:left w:val="nil"/>
              <w:bottom w:val="single" w:sz="4" w:space="0" w:color="auto"/>
              <w:right w:val="single" w:sz="4" w:space="0" w:color="auto"/>
            </w:tcBorders>
            <w:shd w:val="clear" w:color="000000" w:fill="DCE6F1"/>
            <w:vAlign w:val="center"/>
            <w:hideMark/>
          </w:tcPr>
          <w:p w14:paraId="66E5F217" w14:textId="177DC7B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400</w:t>
            </w:r>
          </w:p>
        </w:tc>
        <w:tc>
          <w:tcPr>
            <w:tcW w:w="190" w:type="pct"/>
            <w:tcBorders>
              <w:top w:val="nil"/>
              <w:left w:val="nil"/>
              <w:bottom w:val="single" w:sz="4" w:space="0" w:color="auto"/>
              <w:right w:val="single" w:sz="4" w:space="0" w:color="auto"/>
            </w:tcBorders>
            <w:shd w:val="clear" w:color="000000" w:fill="DCE6F1"/>
            <w:vAlign w:val="center"/>
            <w:hideMark/>
          </w:tcPr>
          <w:p w14:paraId="1E85428F" w14:textId="5A85EF7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87" w:type="pct"/>
            <w:tcBorders>
              <w:top w:val="nil"/>
              <w:left w:val="nil"/>
              <w:bottom w:val="single" w:sz="4" w:space="0" w:color="auto"/>
              <w:right w:val="single" w:sz="4" w:space="0" w:color="auto"/>
            </w:tcBorders>
            <w:shd w:val="clear" w:color="000000" w:fill="DCE6F1"/>
            <w:vAlign w:val="center"/>
            <w:hideMark/>
          </w:tcPr>
          <w:p w14:paraId="7957387E" w14:textId="5932614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200" w:type="pct"/>
            <w:tcBorders>
              <w:top w:val="nil"/>
              <w:left w:val="nil"/>
              <w:bottom w:val="single" w:sz="4" w:space="0" w:color="auto"/>
              <w:right w:val="nil"/>
            </w:tcBorders>
            <w:shd w:val="clear" w:color="000000" w:fill="DCE6F1"/>
            <w:vAlign w:val="center"/>
            <w:hideMark/>
          </w:tcPr>
          <w:p w14:paraId="221F4418" w14:textId="77698E3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2,609</w:t>
            </w:r>
          </w:p>
        </w:tc>
        <w:tc>
          <w:tcPr>
            <w:tcW w:w="209" w:type="pct"/>
            <w:tcBorders>
              <w:top w:val="nil"/>
              <w:left w:val="single" w:sz="8" w:space="0" w:color="auto"/>
              <w:bottom w:val="single" w:sz="4" w:space="0" w:color="auto"/>
              <w:right w:val="single" w:sz="4" w:space="0" w:color="auto"/>
            </w:tcBorders>
            <w:shd w:val="clear" w:color="000000" w:fill="DCE6F1"/>
            <w:vAlign w:val="center"/>
            <w:hideMark/>
          </w:tcPr>
          <w:p w14:paraId="24840C2F" w14:textId="15744DE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1,909</w:t>
            </w:r>
          </w:p>
        </w:tc>
        <w:tc>
          <w:tcPr>
            <w:tcW w:w="209" w:type="pct"/>
            <w:tcBorders>
              <w:top w:val="nil"/>
              <w:left w:val="nil"/>
              <w:bottom w:val="single" w:sz="4" w:space="0" w:color="auto"/>
              <w:right w:val="single" w:sz="4" w:space="0" w:color="auto"/>
            </w:tcBorders>
            <w:shd w:val="clear" w:color="000000" w:fill="DCE6F1"/>
            <w:vAlign w:val="center"/>
            <w:hideMark/>
          </w:tcPr>
          <w:p w14:paraId="78D43B24"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0</w:t>
            </w:r>
          </w:p>
        </w:tc>
        <w:tc>
          <w:tcPr>
            <w:tcW w:w="195" w:type="pct"/>
            <w:tcBorders>
              <w:top w:val="nil"/>
              <w:left w:val="nil"/>
              <w:bottom w:val="single" w:sz="4" w:space="0" w:color="auto"/>
              <w:right w:val="single" w:sz="8" w:space="0" w:color="auto"/>
            </w:tcBorders>
            <w:shd w:val="clear" w:color="000000" w:fill="DCE6F1"/>
            <w:vAlign w:val="center"/>
            <w:hideMark/>
          </w:tcPr>
          <w:p w14:paraId="00EDCCA4" w14:textId="4F6701A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700</w:t>
            </w:r>
          </w:p>
        </w:tc>
        <w:tc>
          <w:tcPr>
            <w:tcW w:w="202" w:type="pct"/>
            <w:tcBorders>
              <w:top w:val="nil"/>
              <w:left w:val="nil"/>
              <w:bottom w:val="single" w:sz="4" w:space="0" w:color="auto"/>
              <w:right w:val="single" w:sz="4" w:space="0" w:color="auto"/>
            </w:tcBorders>
            <w:shd w:val="clear" w:color="000000" w:fill="DCE6F1"/>
            <w:vAlign w:val="center"/>
            <w:hideMark/>
          </w:tcPr>
          <w:p w14:paraId="3DD06D18" w14:textId="188B945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27,178</w:t>
            </w:r>
          </w:p>
        </w:tc>
        <w:tc>
          <w:tcPr>
            <w:tcW w:w="200" w:type="pct"/>
            <w:tcBorders>
              <w:top w:val="nil"/>
              <w:left w:val="nil"/>
              <w:bottom w:val="single" w:sz="4" w:space="0" w:color="auto"/>
              <w:right w:val="single" w:sz="4" w:space="0" w:color="auto"/>
            </w:tcBorders>
            <w:shd w:val="clear" w:color="000000" w:fill="DCE6F1"/>
            <w:vAlign w:val="center"/>
            <w:hideMark/>
          </w:tcPr>
          <w:p w14:paraId="7FF6106D" w14:textId="647A978F"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19,886</w:t>
            </w:r>
          </w:p>
        </w:tc>
        <w:tc>
          <w:tcPr>
            <w:tcW w:w="197" w:type="pct"/>
            <w:tcBorders>
              <w:top w:val="nil"/>
              <w:left w:val="nil"/>
              <w:bottom w:val="single" w:sz="4" w:space="0" w:color="auto"/>
              <w:right w:val="single" w:sz="4" w:space="0" w:color="auto"/>
            </w:tcBorders>
            <w:shd w:val="clear" w:color="000000" w:fill="DCE6F1"/>
            <w:vAlign w:val="center"/>
            <w:hideMark/>
          </w:tcPr>
          <w:p w14:paraId="1DE121AE" w14:textId="1C548C0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342" w:type="pct"/>
            <w:tcBorders>
              <w:top w:val="nil"/>
              <w:left w:val="nil"/>
              <w:bottom w:val="single" w:sz="4" w:space="0" w:color="auto"/>
              <w:right w:val="single" w:sz="8" w:space="0" w:color="auto"/>
            </w:tcBorders>
            <w:shd w:val="clear" w:color="000000" w:fill="DCE6F1"/>
            <w:vAlign w:val="center"/>
            <w:hideMark/>
          </w:tcPr>
          <w:p w14:paraId="60D5E241" w14:textId="04E2F17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7,292</w:t>
            </w:r>
          </w:p>
        </w:tc>
      </w:tr>
      <w:tr w:rsidR="00387E5A" w:rsidRPr="00024D5A" w14:paraId="6B15FCA6" w14:textId="77777777" w:rsidTr="00387E5A">
        <w:trPr>
          <w:trHeight w:val="20"/>
        </w:trPr>
        <w:tc>
          <w:tcPr>
            <w:tcW w:w="375" w:type="pct"/>
            <w:tcBorders>
              <w:top w:val="nil"/>
              <w:left w:val="single" w:sz="4" w:space="0" w:color="auto"/>
              <w:bottom w:val="single" w:sz="4" w:space="0" w:color="auto"/>
              <w:right w:val="nil"/>
            </w:tcBorders>
            <w:shd w:val="clear" w:color="000000" w:fill="FDE9D9"/>
            <w:vAlign w:val="center"/>
            <w:hideMark/>
          </w:tcPr>
          <w:p w14:paraId="5FACE573" w14:textId="035B91F8"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Objektivi specifik 4</w:t>
            </w:r>
            <w:r w:rsidR="003526AF">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Objektivi specifik 4</w:t>
            </w:r>
            <w:r w:rsidR="00BB0B47" w:rsidRPr="00024D5A">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Nxitja e bashkëpunimit rajonal për zbatimin e KDPAK</w:t>
            </w:r>
            <w:r w:rsidR="00BB0B47" w:rsidRPr="00024D5A">
              <w:rPr>
                <w:rFonts w:ascii="Garamond" w:eastAsia="Times New Roman" w:hAnsi="Garamond" w:cs="Calibri"/>
                <w:b/>
                <w:bCs/>
                <w:sz w:val="6"/>
                <w:szCs w:val="6"/>
                <w:lang w:eastAsia="en-US"/>
              </w:rPr>
              <w:t>-së.</w:t>
            </w:r>
          </w:p>
        </w:tc>
        <w:tc>
          <w:tcPr>
            <w:tcW w:w="244" w:type="pct"/>
            <w:tcBorders>
              <w:top w:val="nil"/>
              <w:left w:val="single" w:sz="8" w:space="0" w:color="auto"/>
              <w:bottom w:val="single" w:sz="4" w:space="0" w:color="auto"/>
              <w:right w:val="single" w:sz="4" w:space="0" w:color="auto"/>
            </w:tcBorders>
            <w:shd w:val="clear" w:color="000000" w:fill="FDE9D9"/>
            <w:vAlign w:val="center"/>
            <w:hideMark/>
          </w:tcPr>
          <w:p w14:paraId="06EB60C5"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0</w:t>
            </w:r>
          </w:p>
        </w:tc>
        <w:tc>
          <w:tcPr>
            <w:tcW w:w="226" w:type="pct"/>
            <w:tcBorders>
              <w:top w:val="nil"/>
              <w:left w:val="nil"/>
              <w:bottom w:val="single" w:sz="4" w:space="0" w:color="auto"/>
              <w:right w:val="single" w:sz="4" w:space="0" w:color="auto"/>
            </w:tcBorders>
            <w:shd w:val="clear" w:color="000000" w:fill="FDE9D9"/>
            <w:vAlign w:val="center"/>
            <w:hideMark/>
          </w:tcPr>
          <w:p w14:paraId="0EEC1FF0"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4" w:space="0" w:color="auto"/>
              <w:right w:val="single" w:sz="4" w:space="0" w:color="auto"/>
            </w:tcBorders>
            <w:shd w:val="clear" w:color="000000" w:fill="FDE9D9"/>
            <w:vAlign w:val="center"/>
            <w:hideMark/>
          </w:tcPr>
          <w:p w14:paraId="139200C6"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w:t>
            </w:r>
          </w:p>
        </w:tc>
        <w:tc>
          <w:tcPr>
            <w:tcW w:w="792" w:type="pct"/>
            <w:tcBorders>
              <w:top w:val="nil"/>
              <w:left w:val="nil"/>
              <w:bottom w:val="single" w:sz="4" w:space="0" w:color="auto"/>
              <w:right w:val="single" w:sz="8" w:space="0" w:color="auto"/>
            </w:tcBorders>
            <w:shd w:val="clear" w:color="000000" w:fill="FDE9D9"/>
            <w:vAlign w:val="center"/>
            <w:hideMark/>
          </w:tcPr>
          <w:p w14:paraId="63346373"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Të gjitha institucionet</w:t>
            </w:r>
          </w:p>
        </w:tc>
        <w:tc>
          <w:tcPr>
            <w:tcW w:w="188" w:type="pct"/>
            <w:tcBorders>
              <w:top w:val="nil"/>
              <w:left w:val="nil"/>
              <w:bottom w:val="single" w:sz="4" w:space="0" w:color="auto"/>
              <w:right w:val="single" w:sz="4" w:space="0" w:color="auto"/>
            </w:tcBorders>
            <w:shd w:val="clear" w:color="000000" w:fill="FDE9D9"/>
            <w:vAlign w:val="center"/>
            <w:hideMark/>
          </w:tcPr>
          <w:p w14:paraId="6BD82378" w14:textId="235C933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0" w:type="pct"/>
            <w:tcBorders>
              <w:top w:val="nil"/>
              <w:left w:val="nil"/>
              <w:bottom w:val="single" w:sz="4" w:space="0" w:color="auto"/>
              <w:right w:val="single" w:sz="4" w:space="0" w:color="auto"/>
            </w:tcBorders>
            <w:shd w:val="clear" w:color="000000" w:fill="FDE9D9"/>
            <w:vAlign w:val="center"/>
            <w:hideMark/>
          </w:tcPr>
          <w:p w14:paraId="5DD593A0" w14:textId="7918062D"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1,500</w:t>
            </w:r>
          </w:p>
        </w:tc>
        <w:tc>
          <w:tcPr>
            <w:tcW w:w="190" w:type="pct"/>
            <w:tcBorders>
              <w:top w:val="nil"/>
              <w:left w:val="nil"/>
              <w:bottom w:val="single" w:sz="4" w:space="0" w:color="auto"/>
              <w:right w:val="single" w:sz="4" w:space="0" w:color="auto"/>
            </w:tcBorders>
            <w:shd w:val="clear" w:color="000000" w:fill="FDE9D9"/>
            <w:vAlign w:val="center"/>
            <w:hideMark/>
          </w:tcPr>
          <w:p w14:paraId="658D43A7" w14:textId="2A28AAD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1,500</w:t>
            </w:r>
          </w:p>
        </w:tc>
        <w:tc>
          <w:tcPr>
            <w:tcW w:w="190" w:type="pct"/>
            <w:tcBorders>
              <w:top w:val="nil"/>
              <w:left w:val="nil"/>
              <w:bottom w:val="single" w:sz="4" w:space="0" w:color="auto"/>
              <w:right w:val="single" w:sz="4" w:space="0" w:color="auto"/>
            </w:tcBorders>
            <w:shd w:val="clear" w:color="000000" w:fill="FDE9D9"/>
            <w:vAlign w:val="center"/>
            <w:hideMark/>
          </w:tcPr>
          <w:p w14:paraId="77695866" w14:textId="137C72B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1,500</w:t>
            </w:r>
          </w:p>
        </w:tc>
        <w:tc>
          <w:tcPr>
            <w:tcW w:w="187" w:type="pct"/>
            <w:tcBorders>
              <w:top w:val="nil"/>
              <w:left w:val="nil"/>
              <w:bottom w:val="single" w:sz="4" w:space="0" w:color="auto"/>
              <w:right w:val="single" w:sz="4" w:space="0" w:color="auto"/>
            </w:tcBorders>
            <w:shd w:val="clear" w:color="000000" w:fill="FDE9D9"/>
            <w:vAlign w:val="center"/>
            <w:hideMark/>
          </w:tcPr>
          <w:p w14:paraId="1F712F20" w14:textId="490D93C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200" w:type="pct"/>
            <w:tcBorders>
              <w:top w:val="nil"/>
              <w:left w:val="nil"/>
              <w:bottom w:val="single" w:sz="4" w:space="0" w:color="auto"/>
              <w:right w:val="nil"/>
            </w:tcBorders>
            <w:shd w:val="clear" w:color="000000" w:fill="FDE9D9"/>
            <w:vAlign w:val="center"/>
            <w:hideMark/>
          </w:tcPr>
          <w:p w14:paraId="5429B205" w14:textId="695EC5DE"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4,500</w:t>
            </w:r>
          </w:p>
        </w:tc>
        <w:tc>
          <w:tcPr>
            <w:tcW w:w="209" w:type="pct"/>
            <w:tcBorders>
              <w:top w:val="nil"/>
              <w:left w:val="single" w:sz="8" w:space="0" w:color="auto"/>
              <w:bottom w:val="single" w:sz="4" w:space="0" w:color="auto"/>
              <w:right w:val="single" w:sz="4" w:space="0" w:color="auto"/>
            </w:tcBorders>
            <w:shd w:val="clear" w:color="000000" w:fill="FDE9D9"/>
            <w:vAlign w:val="center"/>
            <w:hideMark/>
          </w:tcPr>
          <w:p w14:paraId="5E9F4A06" w14:textId="037E457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209" w:type="pct"/>
            <w:tcBorders>
              <w:top w:val="nil"/>
              <w:left w:val="nil"/>
              <w:bottom w:val="single" w:sz="4" w:space="0" w:color="auto"/>
              <w:right w:val="single" w:sz="4" w:space="0" w:color="auto"/>
            </w:tcBorders>
            <w:shd w:val="clear" w:color="000000" w:fill="FDE9D9"/>
            <w:vAlign w:val="center"/>
            <w:hideMark/>
          </w:tcPr>
          <w:p w14:paraId="1FE7AAB6" w14:textId="51F6DAD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3,000</w:t>
            </w:r>
          </w:p>
        </w:tc>
        <w:tc>
          <w:tcPr>
            <w:tcW w:w="195" w:type="pct"/>
            <w:tcBorders>
              <w:top w:val="nil"/>
              <w:left w:val="nil"/>
              <w:bottom w:val="single" w:sz="4" w:space="0" w:color="auto"/>
              <w:right w:val="single" w:sz="8" w:space="0" w:color="auto"/>
            </w:tcBorders>
            <w:shd w:val="clear" w:color="000000" w:fill="FDE9D9"/>
            <w:vAlign w:val="center"/>
            <w:hideMark/>
          </w:tcPr>
          <w:p w14:paraId="158CDC7D" w14:textId="41030E74"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1,500</w:t>
            </w:r>
          </w:p>
        </w:tc>
        <w:tc>
          <w:tcPr>
            <w:tcW w:w="202" w:type="pct"/>
            <w:tcBorders>
              <w:top w:val="nil"/>
              <w:left w:val="nil"/>
              <w:bottom w:val="single" w:sz="4" w:space="0" w:color="auto"/>
              <w:right w:val="single" w:sz="4" w:space="0" w:color="auto"/>
            </w:tcBorders>
            <w:shd w:val="clear" w:color="000000" w:fill="FDE9D9"/>
            <w:vAlign w:val="center"/>
            <w:hideMark/>
          </w:tcPr>
          <w:p w14:paraId="57F36F1E" w14:textId="32104BD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46,875</w:t>
            </w:r>
          </w:p>
        </w:tc>
        <w:tc>
          <w:tcPr>
            <w:tcW w:w="200" w:type="pct"/>
            <w:tcBorders>
              <w:top w:val="nil"/>
              <w:left w:val="nil"/>
              <w:bottom w:val="single" w:sz="4" w:space="0" w:color="auto"/>
              <w:right w:val="single" w:sz="4" w:space="0" w:color="auto"/>
            </w:tcBorders>
            <w:shd w:val="clear" w:color="000000" w:fill="FDE9D9"/>
            <w:vAlign w:val="center"/>
            <w:hideMark/>
          </w:tcPr>
          <w:p w14:paraId="30FAA538" w14:textId="5798C6A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7" w:type="pct"/>
            <w:tcBorders>
              <w:top w:val="nil"/>
              <w:left w:val="nil"/>
              <w:bottom w:val="single" w:sz="4" w:space="0" w:color="auto"/>
              <w:right w:val="single" w:sz="4" w:space="0" w:color="auto"/>
            </w:tcBorders>
            <w:shd w:val="clear" w:color="000000" w:fill="FDE9D9"/>
            <w:vAlign w:val="center"/>
            <w:hideMark/>
          </w:tcPr>
          <w:p w14:paraId="1AA12E96" w14:textId="583496C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31,250</w:t>
            </w:r>
          </w:p>
        </w:tc>
        <w:tc>
          <w:tcPr>
            <w:tcW w:w="342" w:type="pct"/>
            <w:tcBorders>
              <w:top w:val="nil"/>
              <w:left w:val="nil"/>
              <w:bottom w:val="single" w:sz="4" w:space="0" w:color="auto"/>
              <w:right w:val="single" w:sz="8" w:space="0" w:color="auto"/>
            </w:tcBorders>
            <w:shd w:val="clear" w:color="000000" w:fill="FDE9D9"/>
            <w:vAlign w:val="center"/>
            <w:hideMark/>
          </w:tcPr>
          <w:p w14:paraId="3484F0C8" w14:textId="48C11E7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15,625</w:t>
            </w:r>
          </w:p>
        </w:tc>
      </w:tr>
      <w:tr w:rsidR="00387E5A" w:rsidRPr="00024D5A" w14:paraId="197A5D2C" w14:textId="77777777" w:rsidTr="00387E5A">
        <w:trPr>
          <w:trHeight w:val="20"/>
        </w:trPr>
        <w:tc>
          <w:tcPr>
            <w:tcW w:w="375" w:type="pct"/>
            <w:tcBorders>
              <w:top w:val="nil"/>
              <w:left w:val="single" w:sz="4" w:space="0" w:color="auto"/>
              <w:bottom w:val="single" w:sz="4" w:space="0" w:color="auto"/>
              <w:right w:val="nil"/>
            </w:tcBorders>
            <w:shd w:val="clear" w:color="000000" w:fill="C5D9F1"/>
            <w:vAlign w:val="center"/>
            <w:hideMark/>
          </w:tcPr>
          <w:p w14:paraId="458A5DE5" w14:textId="4E9E191B" w:rsidR="00DE4FCB" w:rsidRPr="00024D5A" w:rsidRDefault="00DE4FCB" w:rsidP="00387E5A">
            <w:pP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Masa prioritare 4.1</w:t>
            </w:r>
            <w:r w:rsidR="003526AF">
              <w:rPr>
                <w:rFonts w:ascii="Garamond" w:eastAsia="Times New Roman" w:hAnsi="Garamond" w:cs="Calibri"/>
                <w:b/>
                <w:bCs/>
                <w:sz w:val="6"/>
                <w:szCs w:val="6"/>
                <w:lang w:eastAsia="en-US"/>
              </w:rPr>
              <w:t>:</w:t>
            </w:r>
            <w:r w:rsidRPr="00024D5A">
              <w:rPr>
                <w:rFonts w:ascii="Garamond" w:eastAsia="Times New Roman" w:hAnsi="Garamond" w:cs="Calibri"/>
                <w:b/>
                <w:bCs/>
                <w:sz w:val="6"/>
                <w:szCs w:val="6"/>
                <w:lang w:eastAsia="en-US"/>
              </w:rPr>
              <w:t xml:space="preserve"> Organizim dhe pjesëmarrje në aktivitete ndërkombëtare</w:t>
            </w:r>
            <w:r w:rsidR="00E51640" w:rsidRPr="00024D5A">
              <w:rPr>
                <w:rFonts w:ascii="Garamond" w:eastAsia="Times New Roman" w:hAnsi="Garamond" w:cs="Calibri"/>
                <w:b/>
                <w:bCs/>
                <w:sz w:val="6"/>
                <w:szCs w:val="6"/>
                <w:lang w:eastAsia="en-US"/>
              </w:rPr>
              <w:t>.</w:t>
            </w:r>
          </w:p>
        </w:tc>
        <w:tc>
          <w:tcPr>
            <w:tcW w:w="244" w:type="pct"/>
            <w:tcBorders>
              <w:top w:val="nil"/>
              <w:left w:val="single" w:sz="8" w:space="0" w:color="auto"/>
              <w:bottom w:val="single" w:sz="8" w:space="0" w:color="auto"/>
              <w:right w:val="single" w:sz="4" w:space="0" w:color="auto"/>
            </w:tcBorders>
            <w:shd w:val="clear" w:color="000000" w:fill="C5D9F1"/>
            <w:vAlign w:val="center"/>
            <w:hideMark/>
          </w:tcPr>
          <w:p w14:paraId="6841021D" w14:textId="7777777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2026</w:t>
            </w:r>
          </w:p>
        </w:tc>
        <w:tc>
          <w:tcPr>
            <w:tcW w:w="226" w:type="pct"/>
            <w:tcBorders>
              <w:top w:val="nil"/>
              <w:left w:val="nil"/>
              <w:bottom w:val="single" w:sz="8" w:space="0" w:color="auto"/>
              <w:right w:val="single" w:sz="4" w:space="0" w:color="auto"/>
            </w:tcBorders>
            <w:shd w:val="clear" w:color="000000" w:fill="DCE6F1"/>
            <w:vAlign w:val="center"/>
            <w:hideMark/>
          </w:tcPr>
          <w:p w14:paraId="20FB1044" w14:textId="77777777" w:rsidR="00DE4FCB" w:rsidRPr="00024D5A" w:rsidRDefault="00DE4FCB" w:rsidP="00387E5A">
            <w:pPr>
              <w:jc w:val="center"/>
              <w:rPr>
                <w:rFonts w:ascii="Garamond" w:eastAsia="Times New Roman" w:hAnsi="Garamond" w:cs="Calibri"/>
                <w:sz w:val="6"/>
                <w:szCs w:val="6"/>
                <w:lang w:eastAsia="en-US"/>
              </w:rPr>
            </w:pPr>
            <w:r w:rsidRPr="00024D5A">
              <w:rPr>
                <w:rFonts w:ascii="Garamond" w:eastAsia="Times New Roman" w:hAnsi="Garamond" w:cs="Calibri"/>
                <w:sz w:val="6"/>
                <w:szCs w:val="6"/>
                <w:lang w:eastAsia="en-US"/>
              </w:rPr>
              <w:t>2030</w:t>
            </w:r>
          </w:p>
        </w:tc>
        <w:tc>
          <w:tcPr>
            <w:tcW w:w="664" w:type="pct"/>
            <w:tcBorders>
              <w:top w:val="nil"/>
              <w:left w:val="nil"/>
              <w:bottom w:val="single" w:sz="8" w:space="0" w:color="auto"/>
              <w:right w:val="single" w:sz="4" w:space="0" w:color="auto"/>
            </w:tcBorders>
            <w:shd w:val="clear" w:color="000000" w:fill="DCE6F1"/>
            <w:vAlign w:val="center"/>
            <w:hideMark/>
          </w:tcPr>
          <w:p w14:paraId="5AABD299" w14:textId="77777777"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MSHMS</w:t>
            </w:r>
          </w:p>
        </w:tc>
        <w:tc>
          <w:tcPr>
            <w:tcW w:w="792" w:type="pct"/>
            <w:tcBorders>
              <w:top w:val="nil"/>
              <w:left w:val="nil"/>
              <w:bottom w:val="single" w:sz="8" w:space="0" w:color="auto"/>
              <w:right w:val="single" w:sz="8" w:space="0" w:color="auto"/>
            </w:tcBorders>
            <w:shd w:val="clear" w:color="000000" w:fill="DCE6F1"/>
            <w:vAlign w:val="center"/>
            <w:hideMark/>
          </w:tcPr>
          <w:p w14:paraId="0CBB25E1" w14:textId="1D1427FF" w:rsidR="00DE4FCB" w:rsidRPr="00024D5A" w:rsidRDefault="00DE4FCB" w:rsidP="00387E5A">
            <w:pPr>
              <w:jc w:val="center"/>
              <w:rPr>
                <w:rFonts w:ascii="Garamond" w:eastAsia="Times New Roman" w:hAnsi="Garamond"/>
                <w:sz w:val="6"/>
                <w:szCs w:val="6"/>
                <w:lang w:eastAsia="en-US"/>
              </w:rPr>
            </w:pPr>
            <w:r w:rsidRPr="00024D5A">
              <w:rPr>
                <w:rFonts w:ascii="Garamond" w:eastAsia="Times New Roman" w:hAnsi="Garamond"/>
                <w:sz w:val="6"/>
                <w:szCs w:val="6"/>
                <w:lang w:eastAsia="en-US"/>
              </w:rPr>
              <w:t>T</w:t>
            </w:r>
            <w:r w:rsidR="005A46ED">
              <w:rPr>
                <w:rFonts w:ascii="Garamond" w:eastAsia="Times New Roman" w:hAnsi="Garamond"/>
                <w:sz w:val="6"/>
                <w:szCs w:val="6"/>
                <w:lang w:eastAsia="en-US"/>
              </w:rPr>
              <w:t>ë</w:t>
            </w:r>
            <w:r w:rsidRPr="00024D5A">
              <w:rPr>
                <w:rFonts w:ascii="Garamond" w:eastAsia="Times New Roman" w:hAnsi="Garamond"/>
                <w:sz w:val="6"/>
                <w:szCs w:val="6"/>
                <w:lang w:eastAsia="en-US"/>
              </w:rPr>
              <w:t xml:space="preserve"> gjitha institucionet</w:t>
            </w:r>
          </w:p>
        </w:tc>
        <w:tc>
          <w:tcPr>
            <w:tcW w:w="188" w:type="pct"/>
            <w:tcBorders>
              <w:top w:val="nil"/>
              <w:left w:val="nil"/>
              <w:bottom w:val="single" w:sz="4" w:space="0" w:color="auto"/>
              <w:right w:val="single" w:sz="4" w:space="0" w:color="auto"/>
            </w:tcBorders>
            <w:shd w:val="clear" w:color="000000" w:fill="C5D9F1"/>
            <w:vAlign w:val="center"/>
            <w:hideMark/>
          </w:tcPr>
          <w:p w14:paraId="02A8EA9B" w14:textId="11896F30"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0" w:type="pct"/>
            <w:tcBorders>
              <w:top w:val="nil"/>
              <w:left w:val="nil"/>
              <w:bottom w:val="single" w:sz="4" w:space="0" w:color="auto"/>
              <w:right w:val="single" w:sz="4" w:space="0" w:color="auto"/>
            </w:tcBorders>
            <w:shd w:val="clear" w:color="000000" w:fill="C5D9F1"/>
            <w:vAlign w:val="center"/>
            <w:hideMark/>
          </w:tcPr>
          <w:p w14:paraId="253CE2D3" w14:textId="749B00F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1,500</w:t>
            </w:r>
          </w:p>
        </w:tc>
        <w:tc>
          <w:tcPr>
            <w:tcW w:w="190" w:type="pct"/>
            <w:tcBorders>
              <w:top w:val="nil"/>
              <w:left w:val="nil"/>
              <w:bottom w:val="single" w:sz="4" w:space="0" w:color="auto"/>
              <w:right w:val="single" w:sz="4" w:space="0" w:color="auto"/>
            </w:tcBorders>
            <w:shd w:val="clear" w:color="000000" w:fill="C5D9F1"/>
            <w:vAlign w:val="center"/>
            <w:hideMark/>
          </w:tcPr>
          <w:p w14:paraId="2BD67A12" w14:textId="664FB042"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1,500</w:t>
            </w:r>
          </w:p>
        </w:tc>
        <w:tc>
          <w:tcPr>
            <w:tcW w:w="190" w:type="pct"/>
            <w:tcBorders>
              <w:top w:val="nil"/>
              <w:left w:val="nil"/>
              <w:bottom w:val="single" w:sz="4" w:space="0" w:color="auto"/>
              <w:right w:val="single" w:sz="4" w:space="0" w:color="auto"/>
            </w:tcBorders>
            <w:shd w:val="clear" w:color="000000" w:fill="C5D9F1"/>
            <w:vAlign w:val="center"/>
            <w:hideMark/>
          </w:tcPr>
          <w:p w14:paraId="5E15BE9B" w14:textId="4E81DFA1"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1,500</w:t>
            </w:r>
          </w:p>
        </w:tc>
        <w:tc>
          <w:tcPr>
            <w:tcW w:w="187" w:type="pct"/>
            <w:tcBorders>
              <w:top w:val="nil"/>
              <w:left w:val="nil"/>
              <w:bottom w:val="single" w:sz="4" w:space="0" w:color="auto"/>
              <w:right w:val="single" w:sz="4" w:space="0" w:color="auto"/>
            </w:tcBorders>
            <w:shd w:val="clear" w:color="000000" w:fill="C5D9F1"/>
            <w:vAlign w:val="center"/>
            <w:hideMark/>
          </w:tcPr>
          <w:p w14:paraId="033E37C0" w14:textId="5AD2161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200" w:type="pct"/>
            <w:tcBorders>
              <w:top w:val="nil"/>
              <w:left w:val="nil"/>
              <w:bottom w:val="single" w:sz="4" w:space="0" w:color="auto"/>
              <w:right w:val="nil"/>
            </w:tcBorders>
            <w:shd w:val="clear" w:color="000000" w:fill="C5D9F1"/>
            <w:vAlign w:val="center"/>
            <w:hideMark/>
          </w:tcPr>
          <w:p w14:paraId="04ED6266" w14:textId="401FE689"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4,500</w:t>
            </w:r>
          </w:p>
        </w:tc>
        <w:tc>
          <w:tcPr>
            <w:tcW w:w="209" w:type="pct"/>
            <w:tcBorders>
              <w:top w:val="nil"/>
              <w:left w:val="single" w:sz="8" w:space="0" w:color="auto"/>
              <w:bottom w:val="single" w:sz="8" w:space="0" w:color="auto"/>
              <w:right w:val="single" w:sz="4" w:space="0" w:color="auto"/>
            </w:tcBorders>
            <w:shd w:val="clear" w:color="000000" w:fill="C5D9F1"/>
            <w:vAlign w:val="center"/>
            <w:hideMark/>
          </w:tcPr>
          <w:p w14:paraId="21E48587" w14:textId="6B363D53"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209" w:type="pct"/>
            <w:tcBorders>
              <w:top w:val="nil"/>
              <w:left w:val="nil"/>
              <w:bottom w:val="single" w:sz="8" w:space="0" w:color="auto"/>
              <w:right w:val="single" w:sz="4" w:space="0" w:color="auto"/>
            </w:tcBorders>
            <w:shd w:val="clear" w:color="000000" w:fill="C5D9F1"/>
            <w:vAlign w:val="center"/>
            <w:hideMark/>
          </w:tcPr>
          <w:p w14:paraId="56E3456D" w14:textId="71BA364A"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3,000</w:t>
            </w:r>
          </w:p>
        </w:tc>
        <w:tc>
          <w:tcPr>
            <w:tcW w:w="195" w:type="pct"/>
            <w:tcBorders>
              <w:top w:val="nil"/>
              <w:left w:val="nil"/>
              <w:bottom w:val="single" w:sz="8" w:space="0" w:color="auto"/>
              <w:right w:val="single" w:sz="8" w:space="0" w:color="auto"/>
            </w:tcBorders>
            <w:shd w:val="clear" w:color="000000" w:fill="DCE6F1"/>
            <w:vAlign w:val="center"/>
            <w:hideMark/>
          </w:tcPr>
          <w:p w14:paraId="67EB5CCB" w14:textId="1601F6AB"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1,500</w:t>
            </w:r>
          </w:p>
        </w:tc>
        <w:tc>
          <w:tcPr>
            <w:tcW w:w="202" w:type="pct"/>
            <w:tcBorders>
              <w:top w:val="nil"/>
              <w:left w:val="nil"/>
              <w:bottom w:val="single" w:sz="8" w:space="0" w:color="auto"/>
              <w:right w:val="single" w:sz="4" w:space="0" w:color="auto"/>
            </w:tcBorders>
            <w:shd w:val="clear" w:color="000000" w:fill="DCE6F1"/>
            <w:vAlign w:val="center"/>
            <w:hideMark/>
          </w:tcPr>
          <w:p w14:paraId="4B53D95F" w14:textId="6FE58595"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46,875</w:t>
            </w:r>
          </w:p>
        </w:tc>
        <w:tc>
          <w:tcPr>
            <w:tcW w:w="200" w:type="pct"/>
            <w:tcBorders>
              <w:top w:val="nil"/>
              <w:left w:val="nil"/>
              <w:bottom w:val="single" w:sz="8" w:space="0" w:color="auto"/>
              <w:right w:val="single" w:sz="4" w:space="0" w:color="auto"/>
            </w:tcBorders>
            <w:shd w:val="clear" w:color="000000" w:fill="DCE6F1"/>
            <w:vAlign w:val="center"/>
            <w:hideMark/>
          </w:tcPr>
          <w:p w14:paraId="6AC6F47D" w14:textId="3E0CE837"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w:t>
            </w:r>
          </w:p>
        </w:tc>
        <w:tc>
          <w:tcPr>
            <w:tcW w:w="197" w:type="pct"/>
            <w:tcBorders>
              <w:top w:val="nil"/>
              <w:left w:val="nil"/>
              <w:bottom w:val="single" w:sz="8" w:space="0" w:color="auto"/>
              <w:right w:val="single" w:sz="4" w:space="0" w:color="auto"/>
            </w:tcBorders>
            <w:shd w:val="clear" w:color="000000" w:fill="DCE6F1"/>
            <w:vAlign w:val="center"/>
            <w:hideMark/>
          </w:tcPr>
          <w:p w14:paraId="6D9E5D96" w14:textId="6BBAE0AC"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31,250</w:t>
            </w:r>
          </w:p>
        </w:tc>
        <w:tc>
          <w:tcPr>
            <w:tcW w:w="342" w:type="pct"/>
            <w:tcBorders>
              <w:top w:val="nil"/>
              <w:left w:val="nil"/>
              <w:bottom w:val="single" w:sz="8" w:space="0" w:color="auto"/>
              <w:right w:val="single" w:sz="8" w:space="0" w:color="auto"/>
            </w:tcBorders>
            <w:shd w:val="clear" w:color="000000" w:fill="DCE6F1"/>
            <w:vAlign w:val="center"/>
            <w:hideMark/>
          </w:tcPr>
          <w:p w14:paraId="6F793F32" w14:textId="657BEDF6" w:rsidR="00DE4FCB" w:rsidRPr="00024D5A" w:rsidRDefault="00DE4FCB" w:rsidP="00387E5A">
            <w:pPr>
              <w:jc w:val="center"/>
              <w:rPr>
                <w:rFonts w:ascii="Garamond" w:eastAsia="Times New Roman" w:hAnsi="Garamond" w:cs="Calibri"/>
                <w:b/>
                <w:bCs/>
                <w:sz w:val="6"/>
                <w:szCs w:val="6"/>
                <w:lang w:eastAsia="en-US"/>
              </w:rPr>
            </w:pPr>
            <w:r w:rsidRPr="00024D5A">
              <w:rPr>
                <w:rFonts w:ascii="Garamond" w:eastAsia="Times New Roman" w:hAnsi="Garamond" w:cs="Calibri"/>
                <w:b/>
                <w:bCs/>
                <w:sz w:val="6"/>
                <w:szCs w:val="6"/>
                <w:lang w:eastAsia="en-US"/>
              </w:rPr>
              <w:t>15,625</w:t>
            </w:r>
          </w:p>
        </w:tc>
      </w:tr>
    </w:tbl>
    <w:p w14:paraId="1BEE1370" w14:textId="0C893B9E" w:rsidR="003E1630" w:rsidRPr="00024D5A" w:rsidRDefault="00DE4FCB" w:rsidP="00387E5A">
      <w:pPr>
        <w:pStyle w:val="font7"/>
        <w:spacing w:before="0" w:beforeAutospacing="0" w:after="0" w:afterAutospacing="0"/>
        <w:jc w:val="center"/>
        <w:rPr>
          <w:rFonts w:ascii="Garamond" w:hAnsi="Garamond"/>
          <w:b/>
          <w:bCs/>
          <w:smallCaps/>
          <w:spacing w:val="5"/>
          <w:lang w:val="sq-AL"/>
        </w:rPr>
        <w:sectPr w:rsidR="003E1630" w:rsidRPr="00024D5A" w:rsidSect="00387E5A">
          <w:pgSz w:w="15840" w:h="12240" w:orient="landscape"/>
          <w:pgMar w:top="1440" w:right="1440" w:bottom="1440" w:left="1440" w:header="720" w:footer="720" w:gutter="0"/>
          <w:cols w:space="720"/>
          <w:docGrid w:linePitch="360"/>
        </w:sectPr>
      </w:pPr>
      <w:r w:rsidRPr="00024D5A">
        <w:rPr>
          <w:rStyle w:val="IntenseReference"/>
          <w:rFonts w:ascii="Garamond" w:hAnsi="Garamond"/>
          <w:color w:val="auto"/>
          <w:lang w:val="sq-AL"/>
        </w:rPr>
        <w:fldChar w:fldCharType="end"/>
      </w:r>
    </w:p>
    <w:p w14:paraId="338CBAC9" w14:textId="0B31B84F" w:rsidR="003E1630" w:rsidRPr="00024D5A" w:rsidRDefault="0058487E" w:rsidP="00E755A6">
      <w:pPr>
        <w:ind w:firstLine="288"/>
        <w:rPr>
          <w:rFonts w:ascii="Garamond" w:hAnsi="Garamond"/>
          <w:lang w:eastAsia="en-US"/>
        </w:rPr>
      </w:pPr>
      <w:r w:rsidRPr="00024D5A">
        <w:rPr>
          <w:rFonts w:ascii="Garamond" w:hAnsi="Garamond"/>
          <w:lang w:eastAsia="en-US"/>
        </w:rPr>
        <w:t>KONKLUZIONET DHE HAPAT E MËTEJSHËM NË VLERËSIMIN E KOSTOVE</w:t>
      </w:r>
    </w:p>
    <w:p w14:paraId="08D515D0" w14:textId="651AB191" w:rsidR="00387E5A" w:rsidRPr="00024D5A" w:rsidRDefault="00387E5A" w:rsidP="00E755A6">
      <w:pPr>
        <w:autoSpaceDE w:val="0"/>
        <w:autoSpaceDN w:val="0"/>
        <w:adjustRightInd w:val="0"/>
        <w:ind w:firstLine="288"/>
        <w:jc w:val="both"/>
        <w:rPr>
          <w:i/>
          <w:iCs/>
          <w:lang w:eastAsia="en-US"/>
        </w:rPr>
      </w:pPr>
      <w:bookmarkStart w:id="71" w:name="_Toc231489666"/>
      <w:r w:rsidRPr="00024D5A">
        <w:rPr>
          <w:rFonts w:ascii="Garamond" w:hAnsi="Garamond"/>
          <w:b/>
          <w:lang w:eastAsia="en-US"/>
        </w:rPr>
        <w:t xml:space="preserve">- </w:t>
      </w:r>
      <w:r w:rsidRPr="00024D5A">
        <w:rPr>
          <w:rFonts w:ascii="Garamond" w:hAnsi="Garamond" w:cs="Garamond"/>
          <w:b/>
          <w:bCs/>
          <w:lang w:eastAsia="en-US"/>
        </w:rPr>
        <w:t>Miratimi i ndryshimeve ligjore dhe ndikimi i tyre ekonomik</w:t>
      </w:r>
    </w:p>
    <w:p w14:paraId="71B28355" w14:textId="77777777" w:rsidR="00387E5A" w:rsidRPr="00024D5A" w:rsidRDefault="00387E5A" w:rsidP="00E755A6">
      <w:pPr>
        <w:autoSpaceDE w:val="0"/>
        <w:autoSpaceDN w:val="0"/>
        <w:adjustRightInd w:val="0"/>
        <w:ind w:firstLine="288"/>
        <w:jc w:val="both"/>
        <w:rPr>
          <w:i/>
          <w:iCs/>
          <w:lang w:eastAsia="en-US"/>
        </w:rPr>
      </w:pPr>
      <w:r w:rsidRPr="00024D5A">
        <w:rPr>
          <w:rFonts w:ascii="Garamond" w:hAnsi="Garamond" w:cs="Garamond"/>
          <w:lang w:eastAsia="en-US"/>
        </w:rPr>
        <w:t>Çdo ndryshim në kuadrin ligjor pritet të ketë implikime financiare, të cilat duhet të analizohen dhe të reflektohen në planifikimin buxhetor.</w:t>
      </w:r>
    </w:p>
    <w:p w14:paraId="68654B9D" w14:textId="7D925BD3" w:rsidR="00387E5A" w:rsidRPr="00024D5A" w:rsidRDefault="00387E5A" w:rsidP="00E755A6">
      <w:pPr>
        <w:autoSpaceDE w:val="0"/>
        <w:autoSpaceDN w:val="0"/>
        <w:adjustRightInd w:val="0"/>
        <w:ind w:firstLine="288"/>
        <w:jc w:val="both"/>
        <w:rPr>
          <w:i/>
          <w:iCs/>
          <w:lang w:eastAsia="en-US"/>
        </w:rPr>
      </w:pPr>
      <w:r w:rsidRPr="00024D5A">
        <w:rPr>
          <w:rFonts w:ascii="Garamond" w:hAnsi="Garamond"/>
          <w:b/>
          <w:lang w:eastAsia="en-US"/>
        </w:rPr>
        <w:t xml:space="preserve">- </w:t>
      </w:r>
      <w:r w:rsidRPr="00024D5A">
        <w:rPr>
          <w:rFonts w:ascii="Garamond" w:hAnsi="Garamond" w:cs="Garamond"/>
          <w:b/>
          <w:bCs/>
          <w:lang w:eastAsia="en-US"/>
        </w:rPr>
        <w:t>Përshtatja ose hartimi i protokolleve/praktikave të reja si ato shëndetësore dhe sociale për shërbimet e integruara, arsimi</w:t>
      </w:r>
      <w:r w:rsidR="00B47620" w:rsidRPr="00024D5A">
        <w:rPr>
          <w:rFonts w:ascii="Garamond" w:hAnsi="Garamond" w:cs="Garamond"/>
          <w:b/>
          <w:bCs/>
          <w:lang w:eastAsia="en-US"/>
        </w:rPr>
        <w:t>,</w:t>
      </w:r>
      <w:r w:rsidRPr="00024D5A">
        <w:rPr>
          <w:rFonts w:ascii="Garamond" w:hAnsi="Garamond" w:cs="Garamond"/>
          <w:b/>
          <w:bCs/>
          <w:lang w:eastAsia="en-US"/>
        </w:rPr>
        <w:t xml:space="preserve"> aftësia për punë</w:t>
      </w:r>
      <w:r w:rsidR="00A92F2B" w:rsidRPr="00024D5A">
        <w:rPr>
          <w:rFonts w:ascii="Garamond" w:hAnsi="Garamond" w:cs="Garamond"/>
          <w:b/>
          <w:bCs/>
          <w:lang w:eastAsia="en-US"/>
        </w:rPr>
        <w:t xml:space="preserve"> </w:t>
      </w:r>
      <w:r w:rsidRPr="00024D5A">
        <w:rPr>
          <w:rFonts w:ascii="Garamond" w:hAnsi="Garamond" w:cs="Garamond"/>
          <w:b/>
          <w:bCs/>
          <w:lang w:eastAsia="en-US"/>
        </w:rPr>
        <w:t xml:space="preserve">etj. </w:t>
      </w:r>
    </w:p>
    <w:p w14:paraId="1112AA11" w14:textId="7E652276" w:rsidR="00387E5A" w:rsidRPr="00024D5A" w:rsidRDefault="00387E5A" w:rsidP="00E755A6">
      <w:pPr>
        <w:autoSpaceDE w:val="0"/>
        <w:autoSpaceDN w:val="0"/>
        <w:adjustRightInd w:val="0"/>
        <w:ind w:firstLine="288"/>
        <w:jc w:val="both"/>
        <w:rPr>
          <w:i/>
          <w:iCs/>
          <w:lang w:eastAsia="en-US"/>
        </w:rPr>
      </w:pPr>
      <w:r w:rsidRPr="00024D5A">
        <w:rPr>
          <w:rFonts w:ascii="Garamond" w:hAnsi="Garamond" w:cs="Garamond"/>
          <w:lang w:eastAsia="en-US"/>
        </w:rPr>
        <w:t>Krijimi apo adaptimi i tyre</w:t>
      </w:r>
      <w:r w:rsidR="009D74E2" w:rsidRPr="00024D5A">
        <w:rPr>
          <w:rFonts w:ascii="Garamond" w:hAnsi="Garamond" w:cs="Garamond"/>
          <w:lang w:eastAsia="en-US"/>
        </w:rPr>
        <w:t xml:space="preserve"> </w:t>
      </w:r>
      <w:r w:rsidRPr="00024D5A">
        <w:rPr>
          <w:rFonts w:ascii="Garamond" w:hAnsi="Garamond" w:cs="Garamond"/>
          <w:lang w:eastAsia="en-US"/>
        </w:rPr>
        <w:t>do të shoqërohet me një ndikim financiar. Ky ndikim do të duhet të vlerësohet pas zbatimit të tyre nga ekspertë të fushave përkatëse.</w:t>
      </w:r>
    </w:p>
    <w:p w14:paraId="14131476" w14:textId="3AEB3ACE" w:rsidR="00387E5A" w:rsidRPr="00024D5A" w:rsidRDefault="00387E5A" w:rsidP="00E755A6">
      <w:pPr>
        <w:autoSpaceDE w:val="0"/>
        <w:autoSpaceDN w:val="0"/>
        <w:adjustRightInd w:val="0"/>
        <w:ind w:firstLine="288"/>
        <w:jc w:val="both"/>
        <w:rPr>
          <w:i/>
          <w:iCs/>
          <w:lang w:eastAsia="en-US"/>
        </w:rPr>
      </w:pPr>
      <w:r w:rsidRPr="00024D5A">
        <w:rPr>
          <w:rFonts w:ascii="Garamond" w:hAnsi="Garamond"/>
          <w:b/>
          <w:lang w:eastAsia="en-US"/>
        </w:rPr>
        <w:t xml:space="preserve">- </w:t>
      </w:r>
      <w:r w:rsidRPr="00024D5A">
        <w:rPr>
          <w:rFonts w:ascii="Garamond" w:hAnsi="Garamond" w:cs="Garamond"/>
          <w:b/>
          <w:bCs/>
          <w:lang w:eastAsia="en-US"/>
        </w:rPr>
        <w:t>Angazhimi i bashkive në financimin e projekteve komunitare për të moshuarit</w:t>
      </w:r>
    </w:p>
    <w:p w14:paraId="3B04B4E1" w14:textId="77777777" w:rsidR="00387E5A" w:rsidRPr="00024D5A" w:rsidRDefault="00387E5A" w:rsidP="00E755A6">
      <w:pPr>
        <w:autoSpaceDE w:val="0"/>
        <w:autoSpaceDN w:val="0"/>
        <w:adjustRightInd w:val="0"/>
        <w:ind w:firstLine="288"/>
        <w:jc w:val="both"/>
        <w:rPr>
          <w:i/>
          <w:iCs/>
          <w:lang w:eastAsia="en-US"/>
        </w:rPr>
      </w:pPr>
      <w:r w:rsidRPr="00024D5A">
        <w:rPr>
          <w:rFonts w:ascii="Garamond" w:hAnsi="Garamond" w:cs="Garamond"/>
          <w:lang w:eastAsia="en-US"/>
        </w:rPr>
        <w:t>Roli i pushtetit vendor mbetet thelbësor për garantimin e qëndrueshmërisë financiare të ndërhyrjeve në nivel komunitar.</w:t>
      </w:r>
    </w:p>
    <w:p w14:paraId="3E9BF68D" w14:textId="0DEF185B" w:rsidR="00387E5A" w:rsidRPr="00024D5A" w:rsidRDefault="00387E5A" w:rsidP="00E755A6">
      <w:pPr>
        <w:autoSpaceDE w:val="0"/>
        <w:autoSpaceDN w:val="0"/>
        <w:adjustRightInd w:val="0"/>
        <w:ind w:firstLine="288"/>
        <w:jc w:val="both"/>
        <w:rPr>
          <w:i/>
          <w:iCs/>
          <w:lang w:eastAsia="en-US"/>
        </w:rPr>
      </w:pPr>
      <w:r w:rsidRPr="00024D5A">
        <w:rPr>
          <w:rFonts w:ascii="Garamond" w:hAnsi="Garamond"/>
          <w:b/>
          <w:lang w:eastAsia="en-US"/>
        </w:rPr>
        <w:t xml:space="preserve">- </w:t>
      </w:r>
      <w:r w:rsidRPr="00024D5A">
        <w:rPr>
          <w:rFonts w:ascii="Garamond" w:hAnsi="Garamond" w:cs="Garamond"/>
          <w:b/>
          <w:bCs/>
          <w:lang w:eastAsia="en-US"/>
        </w:rPr>
        <w:t>Identifikimi i burimeve të reja financiare nga donatorët ndërkombëtarë</w:t>
      </w:r>
    </w:p>
    <w:p w14:paraId="004E5EC3" w14:textId="77777777" w:rsidR="00387E5A" w:rsidRPr="00024D5A" w:rsidRDefault="00387E5A" w:rsidP="00E755A6">
      <w:pPr>
        <w:autoSpaceDE w:val="0"/>
        <w:autoSpaceDN w:val="0"/>
        <w:adjustRightInd w:val="0"/>
        <w:ind w:firstLine="288"/>
        <w:jc w:val="both"/>
        <w:rPr>
          <w:rFonts w:ascii="Garamond" w:hAnsi="Garamond" w:cs="Garamond"/>
          <w:lang w:eastAsia="en-US"/>
        </w:rPr>
      </w:pPr>
      <w:r w:rsidRPr="00024D5A">
        <w:rPr>
          <w:rFonts w:ascii="Garamond" w:hAnsi="Garamond" w:cs="Garamond"/>
          <w:lang w:eastAsia="en-US"/>
        </w:rPr>
        <w:t>Diversifikimi i burimeve të financimit përmes partneriteteve me donatorë ndërkombëtarë do të kontribuojë në mbulimin e kostove dhe zgjerimin e shërbimeve.</w:t>
      </w:r>
    </w:p>
    <w:p w14:paraId="599602A8" w14:textId="54CAC6D1" w:rsidR="00387E5A" w:rsidRPr="00024D5A" w:rsidRDefault="00387E5A" w:rsidP="00E755A6">
      <w:pPr>
        <w:autoSpaceDE w:val="0"/>
        <w:autoSpaceDN w:val="0"/>
        <w:adjustRightInd w:val="0"/>
        <w:ind w:firstLine="288"/>
        <w:jc w:val="both"/>
        <w:rPr>
          <w:i/>
          <w:iCs/>
          <w:lang w:eastAsia="en-US"/>
        </w:rPr>
      </w:pPr>
      <w:r w:rsidRPr="00024D5A">
        <w:rPr>
          <w:rFonts w:ascii="Garamond" w:hAnsi="Garamond"/>
          <w:b/>
          <w:lang w:eastAsia="en-US"/>
        </w:rPr>
        <w:t xml:space="preserve">- </w:t>
      </w:r>
      <w:r w:rsidRPr="00024D5A">
        <w:rPr>
          <w:rFonts w:ascii="Garamond" w:hAnsi="Garamond" w:cs="Garamond"/>
          <w:b/>
          <w:bCs/>
          <w:lang w:eastAsia="en-US"/>
        </w:rPr>
        <w:t>Rishikimi i Planit të Veprimit në kuadër të procesit të planifikimit buxhetor (PBA)</w:t>
      </w:r>
    </w:p>
    <w:p w14:paraId="6AF0BA20" w14:textId="08E7FA89" w:rsidR="00387E5A" w:rsidRPr="00024D5A" w:rsidRDefault="00387E5A" w:rsidP="00E755A6">
      <w:pPr>
        <w:autoSpaceDE w:val="0"/>
        <w:autoSpaceDN w:val="0"/>
        <w:adjustRightInd w:val="0"/>
        <w:ind w:firstLine="288"/>
        <w:jc w:val="both"/>
        <w:rPr>
          <w:i/>
          <w:iCs/>
          <w:lang w:eastAsia="en-US"/>
        </w:rPr>
      </w:pPr>
      <w:r w:rsidRPr="00024D5A">
        <w:rPr>
          <w:rFonts w:ascii="Garamond" w:hAnsi="Garamond" w:cs="Garamond"/>
          <w:lang w:eastAsia="en-US"/>
        </w:rPr>
        <w:t>Plani i Veprimit duhet të rishikohet në fillim të procedurave të parashikimeve buxhetore në kuadër të Programit Buxhetor Afatmesëm (PBA) për çdo ministri dhe institucion të varësisë të angazhuar në zbatimin e tij. Ky rishikim synon azhurnimin e Planit</w:t>
      </w:r>
      <w:r w:rsidR="009D74E2" w:rsidRPr="00024D5A">
        <w:rPr>
          <w:rFonts w:ascii="Garamond" w:hAnsi="Garamond" w:cs="Garamond"/>
          <w:lang w:eastAsia="en-US"/>
        </w:rPr>
        <w:t>,</w:t>
      </w:r>
      <w:r w:rsidRPr="00024D5A">
        <w:rPr>
          <w:rFonts w:ascii="Garamond" w:hAnsi="Garamond" w:cs="Garamond"/>
          <w:lang w:eastAsia="en-US"/>
        </w:rPr>
        <w:t xml:space="preserve"> në përputhje me nevojat aktuale dhe me programet buxhetore afatmesme për periudhën </w:t>
      </w:r>
      <w:r w:rsidR="00657405" w:rsidRPr="00024D5A">
        <w:rPr>
          <w:rFonts w:ascii="Garamond" w:hAnsi="Garamond" w:cs="Garamond"/>
          <w:lang w:eastAsia="en-US"/>
        </w:rPr>
        <w:t>2026–2030</w:t>
      </w:r>
      <w:r w:rsidRPr="00024D5A">
        <w:rPr>
          <w:rFonts w:ascii="Garamond" w:hAnsi="Garamond" w:cs="Garamond"/>
          <w:lang w:eastAsia="en-US"/>
        </w:rPr>
        <w:t>.</w:t>
      </w:r>
    </w:p>
    <w:p w14:paraId="302156B6" w14:textId="1F1C704F" w:rsidR="00387E5A" w:rsidRPr="00024D5A" w:rsidRDefault="00387E5A" w:rsidP="00E755A6">
      <w:pPr>
        <w:ind w:firstLine="288"/>
        <w:rPr>
          <w:rFonts w:ascii="Garamond" w:hAnsi="Garamond"/>
          <w:b/>
          <w:i/>
          <w:iCs/>
          <w:lang w:eastAsia="en-US"/>
        </w:rPr>
      </w:pPr>
      <w:r w:rsidRPr="00024D5A">
        <w:rPr>
          <w:rFonts w:ascii="Garamond" w:hAnsi="Garamond"/>
          <w:b/>
          <w:lang w:eastAsia="en-US"/>
        </w:rPr>
        <w:t>- Planifikimi i masave të pambuluara financiarisht</w:t>
      </w:r>
    </w:p>
    <w:p w14:paraId="0A084BFA" w14:textId="798B30E3" w:rsidR="00387E5A" w:rsidRPr="00024D5A" w:rsidRDefault="00387E5A" w:rsidP="00E755A6">
      <w:pPr>
        <w:autoSpaceDE w:val="0"/>
        <w:autoSpaceDN w:val="0"/>
        <w:adjustRightInd w:val="0"/>
        <w:ind w:firstLine="288"/>
        <w:jc w:val="both"/>
        <w:rPr>
          <w:rFonts w:ascii="Garamond" w:hAnsi="Garamond" w:cs="Garamond"/>
          <w:i/>
          <w:iCs/>
          <w:lang w:eastAsia="en-US"/>
        </w:rPr>
      </w:pPr>
      <w:r w:rsidRPr="00024D5A">
        <w:rPr>
          <w:rFonts w:ascii="Garamond" w:hAnsi="Garamond" w:cs="Garamond"/>
          <w:lang w:eastAsia="en-US"/>
        </w:rPr>
        <w:t>Për masat e planit që aktualisht nuk kanë mbulim financiar, ministritë përkatëse dhe institucionet e varësisë do të planifikojnë nevojat për financim përmes programeve buxhetore përkatëse, si pjesë e procesit të planifikimit të Programit Buxhetor Afatmesëm (PBA) dhe buxhetit vjetor.</w:t>
      </w:r>
      <w:r w:rsidR="008F29FA" w:rsidRPr="00024D5A">
        <w:rPr>
          <w:rFonts w:ascii="Garamond" w:hAnsi="Garamond" w:cs="Garamond"/>
          <w:lang w:eastAsia="en-US"/>
        </w:rPr>
        <w:t xml:space="preserve"> </w:t>
      </w:r>
      <w:r w:rsidRPr="00024D5A">
        <w:rPr>
          <w:rFonts w:ascii="Garamond" w:hAnsi="Garamond" w:cs="Garamond"/>
          <w:lang w:eastAsia="en-US"/>
        </w:rPr>
        <w:t>Mobilizimit të fondeve nga instrumentet e asistencës së huaj, nëpërmjet organizat</w:t>
      </w:r>
      <w:r w:rsidR="000C2D3A" w:rsidRPr="00024D5A">
        <w:rPr>
          <w:rFonts w:ascii="Garamond" w:hAnsi="Garamond" w:cs="Garamond"/>
          <w:lang w:eastAsia="en-US"/>
        </w:rPr>
        <w:t>a</w:t>
      </w:r>
      <w:r w:rsidRPr="00024D5A">
        <w:rPr>
          <w:rFonts w:ascii="Garamond" w:hAnsi="Garamond" w:cs="Garamond"/>
          <w:lang w:eastAsia="en-US"/>
        </w:rPr>
        <w:t>ve të UN,</w:t>
      </w:r>
      <w:r w:rsidR="00A92F2B" w:rsidRPr="00024D5A">
        <w:rPr>
          <w:rFonts w:ascii="Garamond" w:hAnsi="Garamond" w:cs="Garamond"/>
          <w:lang w:eastAsia="en-US"/>
        </w:rPr>
        <w:t xml:space="preserve"> W</w:t>
      </w:r>
      <w:r w:rsidRPr="00024D5A">
        <w:rPr>
          <w:rFonts w:ascii="Garamond" w:hAnsi="Garamond" w:cs="Garamond"/>
          <w:lang w:eastAsia="en-US"/>
        </w:rPr>
        <w:t>HO etj</w:t>
      </w:r>
      <w:r w:rsidR="00A92F2B" w:rsidRPr="00024D5A">
        <w:rPr>
          <w:rFonts w:ascii="Garamond" w:hAnsi="Garamond" w:cs="Garamond"/>
          <w:lang w:eastAsia="en-US"/>
        </w:rPr>
        <w:t>.</w:t>
      </w:r>
      <w:r w:rsidRPr="00024D5A">
        <w:rPr>
          <w:rFonts w:ascii="Garamond" w:hAnsi="Garamond" w:cs="Garamond"/>
          <w:lang w:eastAsia="en-US"/>
        </w:rPr>
        <w:t>,</w:t>
      </w:r>
      <w:r w:rsidR="008F29FA" w:rsidRPr="00024D5A">
        <w:rPr>
          <w:rFonts w:ascii="Garamond" w:hAnsi="Garamond" w:cs="Garamond"/>
          <w:lang w:eastAsia="en-US"/>
        </w:rPr>
        <w:t xml:space="preserve"> </w:t>
      </w:r>
      <w:r w:rsidRPr="00024D5A">
        <w:rPr>
          <w:rFonts w:ascii="Garamond" w:hAnsi="Garamond" w:cs="Garamond"/>
          <w:lang w:eastAsia="en-US"/>
        </w:rPr>
        <w:t>përfshirë edhe programet e Bashkimit Evropian (si</w:t>
      </w:r>
      <w:r w:rsidR="00131A12" w:rsidRPr="00024D5A">
        <w:rPr>
          <w:rFonts w:ascii="Garamond" w:hAnsi="Garamond" w:cs="Garamond"/>
          <w:lang w:eastAsia="en-US"/>
        </w:rPr>
        <w:t>,</w:t>
      </w:r>
      <w:r w:rsidRPr="00024D5A">
        <w:rPr>
          <w:rFonts w:ascii="Garamond" w:hAnsi="Garamond" w:cs="Garamond"/>
          <w:lang w:eastAsia="en-US"/>
        </w:rPr>
        <w:t xml:space="preserve"> p.sh.</w:t>
      </w:r>
      <w:r w:rsidR="00131A12" w:rsidRPr="00024D5A">
        <w:rPr>
          <w:rFonts w:ascii="Garamond" w:hAnsi="Garamond" w:cs="Garamond"/>
          <w:lang w:eastAsia="en-US"/>
        </w:rPr>
        <w:t>,</w:t>
      </w:r>
      <w:r w:rsidRPr="00024D5A">
        <w:rPr>
          <w:rFonts w:ascii="Garamond" w:hAnsi="Garamond" w:cs="Garamond"/>
          <w:lang w:eastAsia="en-US"/>
        </w:rPr>
        <w:t xml:space="preserve"> IPA) dhe projekte të tjera të financuara nga partnerët zhvillimorë ndërkombëtarë. Programimi i këtyre fondeve realizohet në përputhje me ciklet shumëvjeçare të planifikimit dhe kuadrot përkatëse të bashkëpunimit (marrëveshje/memorandume mirëkuptimi), mbi bazën e prioriteteve të dakordësuara me palën shqiptare. Në këtë kontekst, angazhimet buxhetore reflektohen në mënyrë të fazuar në periudhat pasuese, duke integruar gradualisht edhe nevojat e pambuluara të identifikuara në kuadër të strategjisë aktuale të (PVPAK)</w:t>
      </w:r>
      <w:r w:rsidR="00131A12" w:rsidRPr="00024D5A">
        <w:rPr>
          <w:rFonts w:ascii="Garamond" w:hAnsi="Garamond" w:cs="Garamond"/>
          <w:lang w:eastAsia="en-US"/>
        </w:rPr>
        <w:t>:</w:t>
      </w:r>
    </w:p>
    <w:p w14:paraId="7B5770B6" w14:textId="70D8C33E" w:rsidR="00387E5A" w:rsidRPr="00024D5A" w:rsidRDefault="00131A12" w:rsidP="00E755A6">
      <w:pPr>
        <w:autoSpaceDE w:val="0"/>
        <w:autoSpaceDN w:val="0"/>
        <w:adjustRightInd w:val="0"/>
        <w:ind w:firstLine="288"/>
        <w:jc w:val="both"/>
        <w:rPr>
          <w:lang w:eastAsia="en-US"/>
        </w:rPr>
      </w:pPr>
      <w:r w:rsidRPr="00024D5A">
        <w:rPr>
          <w:rFonts w:ascii="Garamond" w:hAnsi="Garamond" w:cs="Garamond"/>
          <w:lang w:eastAsia="en-US"/>
        </w:rPr>
        <w:t xml:space="preserve">zgjerimit </w:t>
      </w:r>
      <w:r w:rsidR="00387E5A" w:rsidRPr="00024D5A">
        <w:rPr>
          <w:rFonts w:ascii="Garamond" w:hAnsi="Garamond" w:cs="Garamond"/>
          <w:lang w:eastAsia="en-US"/>
        </w:rPr>
        <w:t>të bashkëpunimit me organizata ndërkombëtare dhe donatorë bilateralë për financimin e ndërhyrjeve specifike; si dhe shfrytëzimit të skemave të bashkëfinancimit dhe mekanizmave të tjerë financiarë, aty ku është e aplikueshme</w:t>
      </w:r>
      <w:r w:rsidRPr="00024D5A">
        <w:rPr>
          <w:rFonts w:ascii="Garamond" w:hAnsi="Garamond" w:cs="Garamond"/>
          <w:lang w:eastAsia="en-US"/>
        </w:rPr>
        <w:t>; n</w:t>
      </w:r>
      <w:r w:rsidR="00387E5A" w:rsidRPr="00024D5A">
        <w:rPr>
          <w:rFonts w:ascii="Garamond" w:hAnsi="Garamond" w:cs="Garamond"/>
          <w:lang w:eastAsia="en-US"/>
        </w:rPr>
        <w:t>ë përfundim, rishikimi i vazhdueshëm i kostove dhe burimeve të financimit është thelbësor për të garantuar zbatimin efektiv dhe të qëndrueshëm të planit në periudhën afatmesme.</w:t>
      </w:r>
    </w:p>
    <w:p w14:paraId="756163F2" w14:textId="5147A30A" w:rsidR="003E1630" w:rsidRPr="00024D5A" w:rsidRDefault="00B27B08" w:rsidP="00E755A6">
      <w:pPr>
        <w:pStyle w:val="Heading2"/>
        <w:spacing w:before="0"/>
        <w:ind w:firstLine="288"/>
        <w:rPr>
          <w:rStyle w:val="IntenseReference"/>
          <w:rFonts w:ascii="Garamond" w:hAnsi="Garamond"/>
          <w:b w:val="0"/>
          <w:bCs w:val="0"/>
          <w:color w:val="auto"/>
          <w:sz w:val="24"/>
          <w:szCs w:val="24"/>
          <w:lang w:eastAsia="en-US"/>
        </w:rPr>
      </w:pPr>
      <w:r w:rsidRPr="00024D5A">
        <w:rPr>
          <w:rStyle w:val="IntenseReference"/>
          <w:rFonts w:ascii="Garamond" w:hAnsi="Garamond"/>
          <w:b w:val="0"/>
          <w:bCs w:val="0"/>
          <w:color w:val="auto"/>
          <w:sz w:val="24"/>
          <w:szCs w:val="24"/>
          <w:lang w:eastAsia="en-US"/>
        </w:rPr>
        <w:t>7</w:t>
      </w:r>
      <w:r w:rsidR="005743A8" w:rsidRPr="00024D5A">
        <w:rPr>
          <w:rStyle w:val="IntenseReference"/>
          <w:rFonts w:ascii="Garamond" w:hAnsi="Garamond"/>
          <w:b w:val="0"/>
          <w:bCs w:val="0"/>
          <w:color w:val="auto"/>
          <w:sz w:val="24"/>
          <w:szCs w:val="24"/>
          <w:lang w:eastAsia="en-US"/>
        </w:rPr>
        <w:t>. KUADRI LIGJOR DHE STRATEGJITË SEKTORIALE TË VENDIT</w:t>
      </w:r>
      <w:bookmarkEnd w:id="71"/>
    </w:p>
    <w:p w14:paraId="34442EFB" w14:textId="600F5D4D" w:rsidR="003E1630" w:rsidRPr="00024D5A" w:rsidRDefault="00B27B08" w:rsidP="00E755A6">
      <w:pPr>
        <w:pStyle w:val="Heading2"/>
        <w:spacing w:before="0"/>
        <w:ind w:firstLine="288"/>
        <w:rPr>
          <w:rFonts w:ascii="Garamond" w:hAnsi="Garamond"/>
          <w:color w:val="auto"/>
          <w:sz w:val="24"/>
          <w:szCs w:val="24"/>
          <w:lang w:eastAsia="en-US"/>
        </w:rPr>
      </w:pPr>
      <w:bookmarkStart w:id="72" w:name="_Toc231489667"/>
      <w:r w:rsidRPr="00024D5A">
        <w:rPr>
          <w:rFonts w:ascii="Garamond" w:hAnsi="Garamond"/>
          <w:color w:val="auto"/>
          <w:sz w:val="24"/>
          <w:szCs w:val="24"/>
          <w:lang w:eastAsia="en-US"/>
        </w:rPr>
        <w:t>7</w:t>
      </w:r>
      <w:r w:rsidR="005743A8" w:rsidRPr="00024D5A">
        <w:rPr>
          <w:rFonts w:ascii="Garamond" w:hAnsi="Garamond"/>
          <w:color w:val="auto"/>
          <w:sz w:val="24"/>
          <w:szCs w:val="24"/>
          <w:lang w:eastAsia="en-US"/>
        </w:rPr>
        <w:t>.</w:t>
      </w:r>
      <w:r w:rsidRPr="00024D5A">
        <w:rPr>
          <w:rFonts w:ascii="Garamond" w:hAnsi="Garamond"/>
          <w:color w:val="auto"/>
          <w:sz w:val="24"/>
          <w:szCs w:val="24"/>
          <w:lang w:eastAsia="en-US"/>
        </w:rPr>
        <w:t>1</w:t>
      </w:r>
      <w:r w:rsidR="005743A8" w:rsidRPr="00024D5A">
        <w:rPr>
          <w:rFonts w:ascii="Garamond" w:hAnsi="Garamond"/>
          <w:color w:val="auto"/>
          <w:sz w:val="24"/>
          <w:szCs w:val="24"/>
          <w:lang w:eastAsia="en-US"/>
        </w:rPr>
        <w:t xml:space="preserve"> Kuadri </w:t>
      </w:r>
      <w:r w:rsidR="000C2D3A" w:rsidRPr="00024D5A">
        <w:rPr>
          <w:rFonts w:ascii="Garamond" w:hAnsi="Garamond"/>
          <w:color w:val="auto"/>
          <w:sz w:val="24"/>
          <w:szCs w:val="24"/>
          <w:lang w:eastAsia="en-US"/>
        </w:rPr>
        <w:t>ligjor</w:t>
      </w:r>
      <w:bookmarkEnd w:id="72"/>
    </w:p>
    <w:p w14:paraId="36CB1499" w14:textId="41451AB0" w:rsidR="003E1630" w:rsidRPr="00024D5A" w:rsidRDefault="00B27B08" w:rsidP="00E755A6">
      <w:pPr>
        <w:ind w:firstLine="288"/>
        <w:jc w:val="both"/>
        <w:rPr>
          <w:rFonts w:ascii="Garamond" w:hAnsi="Garamond"/>
          <w:b/>
          <w:bCs/>
          <w:i/>
          <w:iCs/>
          <w:lang w:eastAsia="en-US"/>
        </w:rPr>
      </w:pPr>
      <w:r w:rsidRPr="00024D5A">
        <w:rPr>
          <w:rFonts w:ascii="Garamond" w:hAnsi="Garamond"/>
          <w:b/>
          <w:bCs/>
          <w:i/>
          <w:iCs/>
          <w:lang w:eastAsia="en-US"/>
        </w:rPr>
        <w:t xml:space="preserve"> </w:t>
      </w:r>
      <w:r w:rsidR="005743A8" w:rsidRPr="00024D5A">
        <w:rPr>
          <w:rFonts w:ascii="Garamond" w:hAnsi="Garamond"/>
          <w:b/>
          <w:bCs/>
          <w:i/>
          <w:iCs/>
          <w:lang w:eastAsia="en-US"/>
        </w:rPr>
        <w:t>Kushtetuta e Republik</w:t>
      </w:r>
      <w:r w:rsidR="005743A8" w:rsidRPr="00024D5A">
        <w:rPr>
          <w:rFonts w:ascii="Garamond" w:hAnsi="Garamond"/>
          <w:b/>
          <w:bCs/>
          <w:lang w:eastAsia="en-US"/>
        </w:rPr>
        <w:t>ë</w:t>
      </w:r>
      <w:r w:rsidR="005743A8" w:rsidRPr="00024D5A">
        <w:rPr>
          <w:rFonts w:ascii="Garamond" w:hAnsi="Garamond"/>
          <w:b/>
          <w:bCs/>
          <w:i/>
          <w:iCs/>
          <w:lang w:eastAsia="en-US"/>
        </w:rPr>
        <w:t>s s</w:t>
      </w:r>
      <w:r w:rsidR="005743A8" w:rsidRPr="00024D5A">
        <w:rPr>
          <w:rFonts w:ascii="Garamond" w:hAnsi="Garamond"/>
          <w:b/>
          <w:bCs/>
          <w:lang w:eastAsia="en-US"/>
        </w:rPr>
        <w:t>ë</w:t>
      </w:r>
      <w:r w:rsidR="005743A8" w:rsidRPr="00024D5A">
        <w:rPr>
          <w:rFonts w:ascii="Garamond" w:hAnsi="Garamond"/>
          <w:b/>
          <w:bCs/>
          <w:i/>
          <w:iCs/>
          <w:lang w:eastAsia="en-US"/>
        </w:rPr>
        <w:t xml:space="preserve"> Shqip</w:t>
      </w:r>
      <w:r w:rsidR="005743A8" w:rsidRPr="00024D5A">
        <w:rPr>
          <w:rFonts w:ascii="Garamond" w:hAnsi="Garamond"/>
          <w:b/>
          <w:bCs/>
          <w:lang w:eastAsia="en-US"/>
        </w:rPr>
        <w:t>ë</w:t>
      </w:r>
      <w:r w:rsidR="005743A8" w:rsidRPr="00024D5A">
        <w:rPr>
          <w:rFonts w:ascii="Garamond" w:hAnsi="Garamond"/>
          <w:b/>
          <w:bCs/>
          <w:i/>
          <w:iCs/>
          <w:lang w:eastAsia="en-US"/>
        </w:rPr>
        <w:t>ris</w:t>
      </w:r>
      <w:r w:rsidR="005743A8" w:rsidRPr="00024D5A">
        <w:rPr>
          <w:rFonts w:ascii="Garamond" w:hAnsi="Garamond"/>
          <w:b/>
          <w:bCs/>
          <w:lang w:eastAsia="en-US"/>
        </w:rPr>
        <w:t>ë</w:t>
      </w:r>
    </w:p>
    <w:p w14:paraId="27E1FB03" w14:textId="1D4A5EBD" w:rsidR="003E1630" w:rsidRPr="00024D5A" w:rsidRDefault="005743A8" w:rsidP="00E755A6">
      <w:pPr>
        <w:ind w:firstLine="288"/>
        <w:jc w:val="both"/>
        <w:rPr>
          <w:rFonts w:ascii="Garamond" w:hAnsi="Garamond"/>
          <w:b/>
          <w:bCs/>
          <w:i/>
          <w:iCs/>
          <w:lang w:eastAsia="en-US"/>
        </w:rPr>
      </w:pPr>
      <w:r w:rsidRPr="00024D5A">
        <w:rPr>
          <w:rFonts w:ascii="Garamond" w:hAnsi="Garamond"/>
          <w:b/>
          <w:bCs/>
          <w:i/>
          <w:iCs/>
          <w:lang w:eastAsia="en-US"/>
        </w:rPr>
        <w:t>I. Aksesueshm</w:t>
      </w:r>
      <w:r w:rsidR="00131A12" w:rsidRPr="00024D5A">
        <w:rPr>
          <w:rFonts w:ascii="Garamond" w:hAnsi="Garamond"/>
          <w:b/>
          <w:bCs/>
          <w:i/>
          <w:iCs/>
          <w:lang w:eastAsia="en-US"/>
        </w:rPr>
        <w:t>ë</w:t>
      </w:r>
      <w:r w:rsidRPr="00024D5A">
        <w:rPr>
          <w:rFonts w:ascii="Garamond" w:hAnsi="Garamond"/>
          <w:b/>
          <w:bCs/>
          <w:i/>
          <w:iCs/>
          <w:lang w:eastAsia="en-US"/>
        </w:rPr>
        <w:t>ria</w:t>
      </w:r>
    </w:p>
    <w:p w14:paraId="23677C3B" w14:textId="005EE3B8" w:rsidR="003E1630" w:rsidRPr="00024D5A" w:rsidRDefault="005743A8" w:rsidP="00E755A6">
      <w:pPr>
        <w:ind w:firstLine="288"/>
        <w:jc w:val="both"/>
        <w:rPr>
          <w:rFonts w:ascii="Garamond" w:hAnsi="Garamond"/>
          <w:lang w:eastAsia="en-US"/>
        </w:rPr>
      </w:pPr>
      <w:r w:rsidRPr="00024D5A">
        <w:rPr>
          <w:rFonts w:ascii="Garamond" w:hAnsi="Garamond"/>
          <w:lang w:eastAsia="en-US"/>
        </w:rPr>
        <w:t>Ligji nr. 108/2012</w:t>
      </w:r>
      <w:r w:rsidR="00F1289D" w:rsidRPr="00024D5A">
        <w:rPr>
          <w:rFonts w:ascii="Garamond" w:hAnsi="Garamond"/>
          <w:lang w:eastAsia="en-US"/>
        </w:rPr>
        <w:t>,</w:t>
      </w:r>
      <w:r w:rsidRPr="00024D5A">
        <w:rPr>
          <w:rFonts w:ascii="Garamond" w:hAnsi="Garamond"/>
          <w:lang w:eastAsia="en-US"/>
        </w:rPr>
        <w:t xml:space="preserve"> datë 15.11.2012</w:t>
      </w:r>
      <w:r w:rsidR="00F1289D" w:rsidRPr="00024D5A">
        <w:rPr>
          <w:rFonts w:ascii="Garamond" w:hAnsi="Garamond"/>
          <w:lang w:eastAsia="en-US"/>
        </w:rPr>
        <w:t>,</w:t>
      </w:r>
      <w:r w:rsidRPr="00024D5A">
        <w:rPr>
          <w:rFonts w:ascii="Garamond" w:hAnsi="Garamond"/>
          <w:lang w:eastAsia="en-US"/>
        </w:rPr>
        <w:t xml:space="preserve"> </w:t>
      </w:r>
      <w:r w:rsidR="0078161D" w:rsidRPr="00024D5A">
        <w:rPr>
          <w:rFonts w:ascii="Garamond" w:hAnsi="Garamond"/>
          <w:lang w:eastAsia="en-US"/>
        </w:rPr>
        <w:t>“</w:t>
      </w:r>
      <w:r w:rsidRPr="00024D5A">
        <w:rPr>
          <w:rFonts w:ascii="Garamond" w:hAnsi="Garamond"/>
          <w:lang w:eastAsia="en-US"/>
        </w:rPr>
        <w:t>P</w:t>
      </w:r>
      <w:bookmarkStart w:id="73" w:name="_Hlk228135857"/>
      <w:r w:rsidRPr="00024D5A">
        <w:rPr>
          <w:rFonts w:ascii="Garamond" w:hAnsi="Garamond"/>
          <w:lang w:eastAsia="en-US"/>
        </w:rPr>
        <w:t>ë</w:t>
      </w:r>
      <w:bookmarkEnd w:id="73"/>
      <w:r w:rsidRPr="00024D5A">
        <w:rPr>
          <w:rFonts w:ascii="Garamond" w:hAnsi="Garamond"/>
          <w:lang w:eastAsia="en-US"/>
        </w:rPr>
        <w:t xml:space="preserve">r ratifikimin e Konventës së OKB-së </w:t>
      </w:r>
      <w:r w:rsidR="000C2D3A" w:rsidRPr="00024D5A">
        <w:rPr>
          <w:rFonts w:ascii="Garamond" w:hAnsi="Garamond"/>
          <w:lang w:eastAsia="en-US"/>
        </w:rPr>
        <w:t>‘</w:t>
      </w:r>
      <w:r w:rsidRPr="00024D5A">
        <w:rPr>
          <w:rFonts w:ascii="Garamond" w:hAnsi="Garamond"/>
          <w:lang w:eastAsia="en-US"/>
        </w:rPr>
        <w:t>Për të drejtat e personave me aftësi të kufizuara</w:t>
      </w:r>
      <w:r w:rsidR="000C2D3A" w:rsidRPr="00024D5A">
        <w:rPr>
          <w:rFonts w:ascii="Garamond" w:hAnsi="Garamond"/>
          <w:lang w:eastAsia="en-US"/>
        </w:rPr>
        <w:t>’</w:t>
      </w:r>
      <w:r w:rsidR="0078161D" w:rsidRPr="00024D5A">
        <w:rPr>
          <w:rFonts w:ascii="Garamond" w:hAnsi="Garamond"/>
          <w:lang w:eastAsia="en-US"/>
        </w:rPr>
        <w:t>”</w:t>
      </w:r>
      <w:r w:rsidRPr="00024D5A">
        <w:rPr>
          <w:rFonts w:ascii="Garamond" w:hAnsi="Garamond"/>
          <w:lang w:eastAsia="en-US"/>
        </w:rPr>
        <w:t>.</w:t>
      </w:r>
    </w:p>
    <w:p w14:paraId="5415AA9D" w14:textId="22785296" w:rsidR="003E1630" w:rsidRPr="00024D5A" w:rsidRDefault="005743A8" w:rsidP="00E755A6">
      <w:pPr>
        <w:ind w:firstLine="288"/>
        <w:jc w:val="both"/>
        <w:rPr>
          <w:rFonts w:ascii="Garamond" w:hAnsi="Garamond"/>
          <w:lang w:eastAsia="en-US"/>
        </w:rPr>
      </w:pPr>
      <w:bookmarkStart w:id="74" w:name="_Hlk222927243"/>
      <w:r w:rsidRPr="00024D5A">
        <w:rPr>
          <w:rFonts w:ascii="Garamond" w:hAnsi="Garamond"/>
          <w:lang w:eastAsia="en-US"/>
        </w:rPr>
        <w:t>Ligji nr. 93/2014, datë 24.7.2014</w:t>
      </w:r>
      <w:r w:rsidR="00F1289D" w:rsidRPr="00024D5A">
        <w:rPr>
          <w:rFonts w:ascii="Garamond" w:hAnsi="Garamond"/>
          <w:lang w:eastAsia="en-US"/>
        </w:rPr>
        <w:t>,</w:t>
      </w:r>
      <w:r w:rsidRPr="00024D5A">
        <w:rPr>
          <w:rFonts w:ascii="Garamond" w:hAnsi="Garamond"/>
          <w:lang w:eastAsia="en-US"/>
        </w:rPr>
        <w:t xml:space="preserve"> </w:t>
      </w:r>
      <w:r w:rsidR="0078161D" w:rsidRPr="00024D5A">
        <w:rPr>
          <w:rFonts w:ascii="Garamond" w:hAnsi="Garamond"/>
          <w:lang w:eastAsia="en-US"/>
        </w:rPr>
        <w:t>“</w:t>
      </w:r>
      <w:r w:rsidRPr="00024D5A">
        <w:rPr>
          <w:rFonts w:ascii="Garamond" w:hAnsi="Garamond"/>
          <w:lang w:eastAsia="en-US"/>
        </w:rPr>
        <w:t>Për përfshirjen dhe aksesueshmërinë e personave me aftësi të kufizuara</w:t>
      </w:r>
      <w:r w:rsidR="0078161D" w:rsidRPr="00024D5A">
        <w:rPr>
          <w:rFonts w:ascii="Garamond" w:hAnsi="Garamond"/>
          <w:lang w:eastAsia="en-US"/>
        </w:rPr>
        <w:t>”</w:t>
      </w:r>
      <w:r w:rsidRPr="00024D5A">
        <w:rPr>
          <w:rFonts w:ascii="Garamond" w:hAnsi="Garamond"/>
          <w:lang w:eastAsia="en-US"/>
        </w:rPr>
        <w:t>.</w:t>
      </w:r>
    </w:p>
    <w:p w14:paraId="5E3F384D" w14:textId="0728CE73" w:rsidR="003E1630" w:rsidRPr="00024D5A" w:rsidRDefault="007C0500" w:rsidP="00E755A6">
      <w:pPr>
        <w:ind w:firstLine="288"/>
        <w:jc w:val="both"/>
        <w:rPr>
          <w:rFonts w:ascii="Garamond" w:hAnsi="Garamond"/>
          <w:lang w:eastAsia="en-US"/>
        </w:rPr>
      </w:pPr>
      <w:hyperlink r:id="rId16" w:tgtFrame="_blank" w:history="1">
        <w:r w:rsidR="005743A8" w:rsidRPr="00024D5A">
          <w:rPr>
            <w:rFonts w:ascii="Garamond" w:hAnsi="Garamond"/>
            <w:lang w:eastAsia="en-US"/>
          </w:rPr>
          <w:t xml:space="preserve">Ligji </w:t>
        </w:r>
        <w:r w:rsidR="00F1289D" w:rsidRPr="00024D5A">
          <w:rPr>
            <w:rFonts w:ascii="Garamond" w:hAnsi="Garamond"/>
            <w:lang w:eastAsia="en-US"/>
          </w:rPr>
          <w:t>n</w:t>
        </w:r>
        <w:r w:rsidR="005743A8" w:rsidRPr="00024D5A">
          <w:rPr>
            <w:rFonts w:ascii="Garamond" w:hAnsi="Garamond"/>
            <w:lang w:eastAsia="en-US"/>
          </w:rPr>
          <w:t>r. 107</w:t>
        </w:r>
        <w:r w:rsidR="00F1289D" w:rsidRPr="00024D5A">
          <w:rPr>
            <w:rFonts w:ascii="Garamond" w:hAnsi="Garamond"/>
            <w:lang w:eastAsia="en-US"/>
          </w:rPr>
          <w:t>,</w:t>
        </w:r>
        <w:r w:rsidR="005743A8" w:rsidRPr="00024D5A">
          <w:rPr>
            <w:rFonts w:ascii="Garamond" w:hAnsi="Garamond"/>
            <w:lang w:eastAsia="en-US"/>
          </w:rPr>
          <w:t xml:space="preserve"> datë 31.7.2014</w:t>
        </w:r>
        <w:r w:rsidR="00F1289D" w:rsidRPr="00024D5A">
          <w:rPr>
            <w:rFonts w:ascii="Garamond" w:hAnsi="Garamond"/>
            <w:lang w:eastAsia="en-US"/>
          </w:rPr>
          <w:t>,</w:t>
        </w:r>
        <w:r w:rsidR="005743A8" w:rsidRPr="00024D5A">
          <w:rPr>
            <w:rFonts w:ascii="Garamond" w:hAnsi="Garamond"/>
            <w:lang w:eastAsia="en-US"/>
          </w:rPr>
          <w:t> </w:t>
        </w:r>
        <w:r w:rsidR="00E755A6" w:rsidRPr="00024D5A">
          <w:rPr>
            <w:rFonts w:ascii="Garamond" w:hAnsi="Garamond"/>
            <w:lang w:eastAsia="en-US"/>
          </w:rPr>
          <w:t>“</w:t>
        </w:r>
        <w:r w:rsidR="005743A8" w:rsidRPr="00024D5A">
          <w:rPr>
            <w:rFonts w:ascii="Garamond" w:hAnsi="Garamond"/>
            <w:lang w:eastAsia="en-US"/>
          </w:rPr>
          <w:t xml:space="preserve">Për </w:t>
        </w:r>
        <w:r w:rsidR="00131A12" w:rsidRPr="00024D5A">
          <w:rPr>
            <w:rFonts w:ascii="Garamond" w:hAnsi="Garamond"/>
            <w:lang w:eastAsia="en-US"/>
          </w:rPr>
          <w:t>planifikimin dhe zhvillimin e territo</w:t>
        </w:r>
        <w:r w:rsidR="005743A8" w:rsidRPr="00024D5A">
          <w:rPr>
            <w:rFonts w:ascii="Garamond" w:hAnsi="Garamond"/>
            <w:lang w:eastAsia="en-US"/>
          </w:rPr>
          <w:t>rit</w:t>
        </w:r>
        <w:r w:rsidR="0078161D" w:rsidRPr="00024D5A">
          <w:rPr>
            <w:rFonts w:ascii="Garamond" w:hAnsi="Garamond"/>
            <w:lang w:eastAsia="en-US"/>
          </w:rPr>
          <w:t>”</w:t>
        </w:r>
        <w:r w:rsidR="000C2D3A" w:rsidRPr="00024D5A">
          <w:rPr>
            <w:rFonts w:ascii="Garamond" w:hAnsi="Garamond"/>
            <w:lang w:eastAsia="en-US"/>
          </w:rPr>
          <w:t>,</w:t>
        </w:r>
        <w:r w:rsidR="005743A8" w:rsidRPr="00024D5A">
          <w:rPr>
            <w:rFonts w:ascii="Garamond" w:hAnsi="Garamond"/>
            <w:lang w:eastAsia="en-US"/>
          </w:rPr>
          <w:t xml:space="preserve"> i azhurnuar me të gjitha ndryshimet.</w:t>
        </w:r>
      </w:hyperlink>
    </w:p>
    <w:p w14:paraId="3A5FD80F" w14:textId="765AD68B" w:rsidR="003E1630" w:rsidRPr="00024D5A" w:rsidRDefault="005743A8" w:rsidP="00E755A6">
      <w:pPr>
        <w:ind w:firstLine="288"/>
        <w:jc w:val="both"/>
        <w:rPr>
          <w:rFonts w:ascii="Garamond" w:hAnsi="Garamond"/>
          <w:lang w:eastAsia="en-US"/>
        </w:rPr>
      </w:pPr>
      <w:r w:rsidRPr="00024D5A">
        <w:rPr>
          <w:rFonts w:ascii="Garamond" w:hAnsi="Garamond"/>
          <w:lang w:eastAsia="en-US"/>
        </w:rPr>
        <w:t>Ligji nr. 8308, datë 18.3.1998</w:t>
      </w:r>
      <w:r w:rsidR="00F1289D" w:rsidRPr="00024D5A">
        <w:rPr>
          <w:rFonts w:ascii="Garamond" w:hAnsi="Garamond"/>
          <w:lang w:eastAsia="en-US"/>
        </w:rPr>
        <w:t>,</w:t>
      </w:r>
      <w:r w:rsidRPr="00024D5A">
        <w:rPr>
          <w:rFonts w:ascii="Garamond" w:hAnsi="Garamond"/>
          <w:lang w:eastAsia="en-US"/>
        </w:rPr>
        <w:t xml:space="preserve"> </w:t>
      </w:r>
      <w:r w:rsidR="0078161D" w:rsidRPr="00024D5A">
        <w:rPr>
          <w:rFonts w:ascii="Garamond" w:hAnsi="Garamond"/>
          <w:lang w:eastAsia="en-US"/>
        </w:rPr>
        <w:t>“</w:t>
      </w:r>
      <w:r w:rsidRPr="00024D5A">
        <w:rPr>
          <w:rFonts w:ascii="Garamond" w:hAnsi="Garamond"/>
          <w:lang w:eastAsia="en-US"/>
        </w:rPr>
        <w:t xml:space="preserve">Për </w:t>
      </w:r>
      <w:r w:rsidR="00E755A6" w:rsidRPr="00024D5A">
        <w:rPr>
          <w:rFonts w:ascii="Garamond" w:hAnsi="Garamond"/>
          <w:lang w:eastAsia="en-US"/>
        </w:rPr>
        <w:t>transportet rrugore</w:t>
      </w:r>
      <w:r w:rsidR="0078161D" w:rsidRPr="00024D5A">
        <w:rPr>
          <w:rFonts w:ascii="Garamond" w:hAnsi="Garamond"/>
          <w:lang w:eastAsia="en-US"/>
        </w:rPr>
        <w:t>”</w:t>
      </w:r>
      <w:r w:rsidRPr="00024D5A">
        <w:rPr>
          <w:rFonts w:ascii="Garamond" w:hAnsi="Garamond"/>
          <w:lang w:eastAsia="en-US"/>
        </w:rPr>
        <w:t>, i ndryshuar.</w:t>
      </w:r>
    </w:p>
    <w:p w14:paraId="09F09B7B" w14:textId="60AD9278" w:rsidR="003E1630" w:rsidRPr="00024D5A" w:rsidRDefault="005743A8" w:rsidP="00E755A6">
      <w:pPr>
        <w:ind w:firstLine="288"/>
        <w:jc w:val="both"/>
        <w:rPr>
          <w:rFonts w:ascii="Garamond" w:hAnsi="Garamond"/>
          <w:lang w:eastAsia="en-US"/>
        </w:rPr>
      </w:pPr>
      <w:r w:rsidRPr="00024D5A">
        <w:rPr>
          <w:rFonts w:ascii="Garamond" w:hAnsi="Garamond"/>
          <w:lang w:eastAsia="en-US"/>
        </w:rPr>
        <w:t>Ligji nr. 8378, datë 22.7.1998</w:t>
      </w:r>
      <w:r w:rsidR="00F1289D" w:rsidRPr="00024D5A">
        <w:rPr>
          <w:rFonts w:ascii="Garamond" w:hAnsi="Garamond"/>
          <w:lang w:eastAsia="en-US"/>
        </w:rPr>
        <w:t>,</w:t>
      </w:r>
      <w:r w:rsidRPr="00024D5A">
        <w:rPr>
          <w:rFonts w:ascii="Garamond" w:hAnsi="Garamond"/>
          <w:lang w:eastAsia="en-US"/>
        </w:rPr>
        <w:t xml:space="preserve"> </w:t>
      </w:r>
      <w:r w:rsidR="0078161D" w:rsidRPr="00024D5A">
        <w:rPr>
          <w:rFonts w:ascii="Garamond" w:hAnsi="Garamond"/>
          <w:lang w:eastAsia="en-US"/>
        </w:rPr>
        <w:t>“</w:t>
      </w:r>
      <w:r w:rsidRPr="00024D5A">
        <w:rPr>
          <w:rFonts w:ascii="Garamond" w:hAnsi="Garamond"/>
          <w:lang w:eastAsia="en-US"/>
        </w:rPr>
        <w:t>Kodi Rrugor i Republikës së Shqipërisë</w:t>
      </w:r>
      <w:r w:rsidR="0078161D" w:rsidRPr="00024D5A">
        <w:rPr>
          <w:rFonts w:ascii="Garamond" w:hAnsi="Garamond"/>
          <w:lang w:eastAsia="en-US"/>
        </w:rPr>
        <w:t>”</w:t>
      </w:r>
      <w:r w:rsidRPr="00024D5A">
        <w:rPr>
          <w:rFonts w:ascii="Garamond" w:hAnsi="Garamond"/>
          <w:lang w:eastAsia="en-US"/>
        </w:rPr>
        <w:t>.</w:t>
      </w:r>
    </w:p>
    <w:p w14:paraId="6E8983F7" w14:textId="49C2E635" w:rsidR="003E1630" w:rsidRPr="00024D5A" w:rsidRDefault="005743A8" w:rsidP="00E755A6">
      <w:pPr>
        <w:ind w:firstLine="288"/>
        <w:jc w:val="both"/>
        <w:rPr>
          <w:rFonts w:ascii="Garamond" w:hAnsi="Garamond"/>
          <w:lang w:eastAsia="en-US"/>
        </w:rPr>
      </w:pPr>
      <w:r w:rsidRPr="00024D5A">
        <w:rPr>
          <w:rFonts w:ascii="Garamond" w:hAnsi="Garamond"/>
          <w:lang w:eastAsia="en-US"/>
        </w:rPr>
        <w:t>Ligji nr. 54</w:t>
      </w:r>
      <w:r w:rsidR="007675EC" w:rsidRPr="00024D5A">
        <w:rPr>
          <w:rFonts w:ascii="Garamond" w:hAnsi="Garamond"/>
          <w:lang w:eastAsia="en-US"/>
        </w:rPr>
        <w:t>/</w:t>
      </w:r>
      <w:r w:rsidRPr="00024D5A">
        <w:rPr>
          <w:rFonts w:ascii="Garamond" w:hAnsi="Garamond"/>
          <w:lang w:eastAsia="en-US"/>
        </w:rPr>
        <w:t>2024</w:t>
      </w:r>
      <w:r w:rsidR="00F1289D" w:rsidRPr="00024D5A">
        <w:rPr>
          <w:rFonts w:ascii="Garamond" w:hAnsi="Garamond"/>
          <w:lang w:eastAsia="en-US"/>
        </w:rPr>
        <w:t>,</w:t>
      </w:r>
      <w:r w:rsidRPr="00024D5A">
        <w:rPr>
          <w:rFonts w:ascii="Garamond" w:hAnsi="Garamond"/>
          <w:lang w:eastAsia="en-US"/>
        </w:rPr>
        <w:t xml:space="preserve"> </w:t>
      </w:r>
      <w:r w:rsidR="0078161D" w:rsidRPr="00024D5A">
        <w:rPr>
          <w:rFonts w:ascii="Garamond" w:hAnsi="Garamond"/>
          <w:lang w:eastAsia="en-US"/>
        </w:rPr>
        <w:t>“</w:t>
      </w:r>
      <w:r w:rsidRPr="00024D5A">
        <w:rPr>
          <w:rFonts w:ascii="Garamond" w:hAnsi="Garamond"/>
          <w:lang w:eastAsia="en-US"/>
        </w:rPr>
        <w:t xml:space="preserve">Për </w:t>
      </w:r>
      <w:r w:rsidR="005C0FF5" w:rsidRPr="00024D5A">
        <w:rPr>
          <w:rFonts w:ascii="Garamond" w:hAnsi="Garamond"/>
          <w:lang w:eastAsia="en-US"/>
        </w:rPr>
        <w:t>komunikimet elek</w:t>
      </w:r>
      <w:r w:rsidRPr="00024D5A">
        <w:rPr>
          <w:rFonts w:ascii="Garamond" w:hAnsi="Garamond"/>
          <w:lang w:eastAsia="en-US"/>
        </w:rPr>
        <w:t>tronike në Republikën e Shqipërisë</w:t>
      </w:r>
      <w:r w:rsidR="0078161D" w:rsidRPr="00024D5A">
        <w:rPr>
          <w:rFonts w:ascii="Garamond" w:hAnsi="Garamond"/>
          <w:lang w:eastAsia="en-US"/>
        </w:rPr>
        <w:t>”</w:t>
      </w:r>
      <w:r w:rsidRPr="00024D5A">
        <w:rPr>
          <w:rFonts w:ascii="Garamond" w:hAnsi="Garamond"/>
          <w:lang w:eastAsia="en-US"/>
        </w:rPr>
        <w:t>.</w:t>
      </w:r>
    </w:p>
    <w:p w14:paraId="2C98831B" w14:textId="2EB54E97" w:rsidR="003E1630" w:rsidRPr="00024D5A" w:rsidRDefault="005743A8" w:rsidP="00E755A6">
      <w:pPr>
        <w:ind w:firstLine="288"/>
        <w:jc w:val="both"/>
        <w:rPr>
          <w:rFonts w:ascii="Garamond" w:hAnsi="Garamond"/>
          <w:shd w:val="clear" w:color="auto" w:fill="FFFFFF"/>
          <w:lang w:eastAsia="en-US"/>
        </w:rPr>
      </w:pPr>
      <w:r w:rsidRPr="00024D5A">
        <w:rPr>
          <w:rFonts w:ascii="Garamond" w:hAnsi="Garamond"/>
          <w:shd w:val="clear" w:color="auto" w:fill="FFFFFF"/>
          <w:lang w:eastAsia="en-US"/>
        </w:rPr>
        <w:t xml:space="preserve">Ligji </w:t>
      </w:r>
      <w:r w:rsidR="00F1289D" w:rsidRPr="00024D5A">
        <w:rPr>
          <w:rFonts w:ascii="Garamond" w:hAnsi="Garamond"/>
          <w:shd w:val="clear" w:color="auto" w:fill="FFFFFF"/>
          <w:lang w:eastAsia="en-US"/>
        </w:rPr>
        <w:t>n</w:t>
      </w:r>
      <w:r w:rsidRPr="00024D5A">
        <w:rPr>
          <w:rFonts w:ascii="Garamond" w:hAnsi="Garamond"/>
          <w:shd w:val="clear" w:color="auto" w:fill="FFFFFF"/>
          <w:lang w:eastAsia="en-US"/>
        </w:rPr>
        <w:t>r. 8530, datë 23.9.1999</w:t>
      </w:r>
      <w:r w:rsidR="00F1289D" w:rsidRPr="00024D5A">
        <w:rPr>
          <w:rFonts w:ascii="Garamond" w:hAnsi="Garamond"/>
          <w:shd w:val="clear" w:color="auto" w:fill="FFFFFF"/>
          <w:lang w:eastAsia="en-US"/>
        </w:rPr>
        <w:t xml:space="preserve">, </w:t>
      </w:r>
      <w:r w:rsidR="0078161D" w:rsidRPr="00024D5A">
        <w:rPr>
          <w:rFonts w:ascii="Garamond" w:hAnsi="Garamond"/>
          <w:shd w:val="clear" w:color="auto" w:fill="FFFFFF"/>
          <w:lang w:eastAsia="en-US"/>
        </w:rPr>
        <w:t>“</w:t>
      </w:r>
      <w:r w:rsidRPr="00024D5A">
        <w:rPr>
          <w:rFonts w:ascii="Garamond" w:hAnsi="Garamond"/>
          <w:shd w:val="clear" w:color="auto" w:fill="FFFFFF"/>
          <w:lang w:eastAsia="en-US"/>
        </w:rPr>
        <w:t xml:space="preserve">Për </w:t>
      </w:r>
      <w:r w:rsidR="005C0FF5" w:rsidRPr="00024D5A">
        <w:rPr>
          <w:rFonts w:ascii="Garamond" w:hAnsi="Garamond"/>
          <w:shd w:val="clear" w:color="auto" w:fill="FFFFFF"/>
          <w:lang w:eastAsia="en-US"/>
        </w:rPr>
        <w:t xml:space="preserve">shërbimin postar </w:t>
      </w:r>
      <w:r w:rsidRPr="00024D5A">
        <w:rPr>
          <w:rFonts w:ascii="Garamond" w:hAnsi="Garamond"/>
          <w:shd w:val="clear" w:color="auto" w:fill="FFFFFF"/>
          <w:lang w:eastAsia="en-US"/>
        </w:rPr>
        <w:t>në Republikën e Shqipërisë</w:t>
      </w:r>
      <w:r w:rsidR="005C0FF5" w:rsidRPr="00024D5A">
        <w:rPr>
          <w:rFonts w:ascii="Garamond" w:hAnsi="Garamond"/>
          <w:shd w:val="clear" w:color="auto" w:fill="FFFFFF"/>
          <w:lang w:eastAsia="en-US"/>
        </w:rPr>
        <w:t>”</w:t>
      </w:r>
      <w:r w:rsidRPr="00024D5A">
        <w:rPr>
          <w:rFonts w:ascii="Garamond" w:hAnsi="Garamond"/>
          <w:shd w:val="clear" w:color="auto" w:fill="FFFFFF"/>
          <w:lang w:eastAsia="en-US"/>
        </w:rPr>
        <w:t xml:space="preserve">, i ndryshuar me </w:t>
      </w:r>
      <w:r w:rsidR="005C0FF5" w:rsidRPr="00024D5A">
        <w:rPr>
          <w:rFonts w:ascii="Garamond" w:hAnsi="Garamond"/>
          <w:shd w:val="clear" w:color="auto" w:fill="FFFFFF"/>
          <w:lang w:eastAsia="en-US"/>
        </w:rPr>
        <w:t xml:space="preserve">ligjin </w:t>
      </w:r>
      <w:r w:rsidR="00F1289D" w:rsidRPr="00024D5A">
        <w:rPr>
          <w:rFonts w:ascii="Garamond" w:hAnsi="Garamond"/>
          <w:shd w:val="clear" w:color="auto" w:fill="FFFFFF"/>
          <w:lang w:eastAsia="en-US"/>
        </w:rPr>
        <w:t>n</w:t>
      </w:r>
      <w:r w:rsidRPr="00024D5A">
        <w:rPr>
          <w:rFonts w:ascii="Garamond" w:hAnsi="Garamond"/>
          <w:shd w:val="clear" w:color="auto" w:fill="FFFFFF"/>
          <w:lang w:eastAsia="en-US"/>
        </w:rPr>
        <w:t>r. 9223, datë 29.4.2004.</w:t>
      </w:r>
    </w:p>
    <w:p w14:paraId="71EA7DB2" w14:textId="4FFB06B7" w:rsidR="003E1630" w:rsidRPr="00024D5A" w:rsidRDefault="005743A8" w:rsidP="00E755A6">
      <w:pPr>
        <w:ind w:firstLine="288"/>
        <w:jc w:val="both"/>
        <w:rPr>
          <w:rFonts w:ascii="Garamond" w:hAnsi="Garamond"/>
          <w:lang w:eastAsia="en-US"/>
        </w:rPr>
      </w:pPr>
      <w:r w:rsidRPr="00024D5A">
        <w:rPr>
          <w:rFonts w:ascii="Garamond" w:hAnsi="Garamond"/>
          <w:shd w:val="clear" w:color="auto" w:fill="FFFFFF"/>
          <w:lang w:eastAsia="en-US"/>
        </w:rPr>
        <w:t>Ligji </w:t>
      </w:r>
      <w:r w:rsidR="00F1289D" w:rsidRPr="00024D5A">
        <w:rPr>
          <w:rFonts w:ascii="Garamond" w:hAnsi="Garamond"/>
          <w:shd w:val="clear" w:color="auto" w:fill="FFFFFF"/>
          <w:lang w:eastAsia="en-US"/>
        </w:rPr>
        <w:t>n</w:t>
      </w:r>
      <w:r w:rsidRPr="00024D5A">
        <w:rPr>
          <w:rFonts w:ascii="Garamond" w:hAnsi="Garamond"/>
          <w:shd w:val="clear" w:color="auto" w:fill="FFFFFF"/>
          <w:lang w:eastAsia="en-US"/>
        </w:rPr>
        <w:t>r. 27, datë 17.5.2018</w:t>
      </w:r>
      <w:r w:rsidR="00F1289D" w:rsidRPr="00024D5A">
        <w:rPr>
          <w:rFonts w:ascii="Garamond" w:hAnsi="Garamond"/>
          <w:shd w:val="clear" w:color="auto" w:fill="FFFFFF"/>
          <w:lang w:eastAsia="en-US"/>
        </w:rPr>
        <w:t>,</w:t>
      </w:r>
      <w:r w:rsidRPr="00024D5A">
        <w:rPr>
          <w:rFonts w:ascii="Garamond" w:hAnsi="Garamond"/>
          <w:shd w:val="clear" w:color="auto" w:fill="FFFFFF"/>
          <w:lang w:eastAsia="en-US"/>
        </w:rPr>
        <w:t xml:space="preserve"> </w:t>
      </w:r>
      <w:r w:rsidR="0078161D" w:rsidRPr="00024D5A">
        <w:rPr>
          <w:rFonts w:ascii="Garamond" w:hAnsi="Garamond"/>
          <w:shd w:val="clear" w:color="auto" w:fill="FFFFFF"/>
          <w:lang w:eastAsia="en-US"/>
        </w:rPr>
        <w:t>“</w:t>
      </w:r>
      <w:r w:rsidRPr="00024D5A">
        <w:rPr>
          <w:rFonts w:ascii="Garamond" w:hAnsi="Garamond"/>
          <w:shd w:val="clear" w:color="auto" w:fill="FFFFFF"/>
          <w:lang w:eastAsia="en-US"/>
        </w:rPr>
        <w:t xml:space="preserve">Për </w:t>
      </w:r>
      <w:r w:rsidR="005C0FF5" w:rsidRPr="00024D5A">
        <w:rPr>
          <w:rFonts w:ascii="Garamond" w:hAnsi="Garamond"/>
          <w:shd w:val="clear" w:color="auto" w:fill="FFFFFF"/>
          <w:lang w:eastAsia="en-US"/>
        </w:rPr>
        <w:t>trashëgiminë kulturore dhe muzetë</w:t>
      </w:r>
      <w:r w:rsidR="0078161D" w:rsidRPr="00024D5A">
        <w:rPr>
          <w:rFonts w:ascii="Garamond" w:hAnsi="Garamond"/>
          <w:shd w:val="clear" w:color="auto" w:fill="FFFFFF"/>
          <w:lang w:eastAsia="en-US"/>
        </w:rPr>
        <w:t>”</w:t>
      </w:r>
      <w:r w:rsidR="00F1289D" w:rsidRPr="00024D5A">
        <w:rPr>
          <w:rFonts w:ascii="Garamond" w:hAnsi="Garamond"/>
          <w:shd w:val="clear" w:color="auto" w:fill="FFFFFF"/>
          <w:lang w:eastAsia="en-US"/>
        </w:rPr>
        <w:t xml:space="preserve">, </w:t>
      </w:r>
      <w:r w:rsidR="005C0FF5" w:rsidRPr="00024D5A">
        <w:rPr>
          <w:rFonts w:ascii="Garamond" w:hAnsi="Garamond"/>
          <w:shd w:val="clear" w:color="auto" w:fill="FFFFFF"/>
          <w:lang w:eastAsia="en-US"/>
        </w:rPr>
        <w:t>i</w:t>
      </w:r>
      <w:r w:rsidR="00F1289D" w:rsidRPr="00024D5A">
        <w:rPr>
          <w:rFonts w:ascii="Garamond" w:hAnsi="Garamond"/>
          <w:shd w:val="clear" w:color="auto" w:fill="FFFFFF"/>
          <w:lang w:eastAsia="en-US"/>
        </w:rPr>
        <w:t xml:space="preserve"> ndryshuar.</w:t>
      </w:r>
    </w:p>
    <w:p w14:paraId="4BE4FC2A" w14:textId="60BE7009" w:rsidR="003E1630" w:rsidRPr="00024D5A" w:rsidRDefault="005743A8" w:rsidP="00E755A6">
      <w:pPr>
        <w:ind w:firstLine="288"/>
        <w:jc w:val="both"/>
        <w:rPr>
          <w:rFonts w:ascii="Garamond" w:hAnsi="Garamond"/>
          <w:lang w:eastAsia="en-US"/>
        </w:rPr>
      </w:pPr>
      <w:r w:rsidRPr="00024D5A">
        <w:rPr>
          <w:rFonts w:ascii="Garamond" w:hAnsi="Garamond"/>
          <w:lang w:eastAsia="en-US"/>
        </w:rPr>
        <w:t>Kodi i Transmetimit për medi</w:t>
      </w:r>
      <w:r w:rsidR="00F1289D" w:rsidRPr="00024D5A">
        <w:rPr>
          <w:rFonts w:ascii="Garamond" w:hAnsi="Garamond"/>
          <w:lang w:eastAsia="en-US"/>
        </w:rPr>
        <w:t>a</w:t>
      </w:r>
      <w:r w:rsidRPr="00024D5A">
        <w:rPr>
          <w:rFonts w:ascii="Garamond" w:hAnsi="Garamond"/>
          <w:lang w:eastAsia="en-US"/>
        </w:rPr>
        <w:t>t audiovizive nr. 60</w:t>
      </w:r>
      <w:r w:rsidR="00F1289D" w:rsidRPr="00024D5A">
        <w:rPr>
          <w:rFonts w:ascii="Garamond" w:hAnsi="Garamond"/>
          <w:lang w:eastAsia="en-US"/>
        </w:rPr>
        <w:t>,</w:t>
      </w:r>
      <w:r w:rsidRPr="00024D5A">
        <w:rPr>
          <w:rFonts w:ascii="Garamond" w:hAnsi="Garamond"/>
          <w:lang w:eastAsia="en-US"/>
        </w:rPr>
        <w:t xml:space="preserve"> datë 10.7.2023</w:t>
      </w:r>
      <w:r w:rsidR="005C0FF5" w:rsidRPr="00024D5A">
        <w:rPr>
          <w:rFonts w:ascii="Garamond" w:hAnsi="Garamond"/>
          <w:lang w:eastAsia="en-US"/>
        </w:rPr>
        <w:t>.</w:t>
      </w:r>
    </w:p>
    <w:p w14:paraId="2AAAC3AE" w14:textId="12B875D7" w:rsidR="003E1630" w:rsidRPr="00024D5A" w:rsidRDefault="005743A8" w:rsidP="00E755A6">
      <w:pPr>
        <w:ind w:firstLine="288"/>
        <w:jc w:val="both"/>
        <w:rPr>
          <w:rFonts w:ascii="Garamond" w:hAnsi="Garamond"/>
          <w:lang w:eastAsia="en-US"/>
        </w:rPr>
      </w:pPr>
      <w:r w:rsidRPr="00024D5A">
        <w:rPr>
          <w:rFonts w:ascii="Garamond" w:hAnsi="Garamond"/>
          <w:lang w:eastAsia="en-US"/>
        </w:rPr>
        <w:t>Ligji nr. 97/2013</w:t>
      </w:r>
      <w:r w:rsidR="00F1289D" w:rsidRPr="00024D5A">
        <w:rPr>
          <w:rFonts w:ascii="Garamond" w:hAnsi="Garamond"/>
          <w:lang w:eastAsia="en-US"/>
        </w:rPr>
        <w:t>,</w:t>
      </w:r>
      <w:r w:rsidRPr="00024D5A">
        <w:rPr>
          <w:rFonts w:ascii="Garamond" w:hAnsi="Garamond"/>
          <w:lang w:eastAsia="en-US"/>
        </w:rPr>
        <w:t xml:space="preserve"> </w:t>
      </w:r>
      <w:r w:rsidR="0078161D" w:rsidRPr="00024D5A">
        <w:rPr>
          <w:rFonts w:ascii="Garamond" w:hAnsi="Garamond"/>
          <w:lang w:eastAsia="en-US"/>
        </w:rPr>
        <w:t>“</w:t>
      </w:r>
      <w:r w:rsidRPr="00024D5A">
        <w:rPr>
          <w:rFonts w:ascii="Garamond" w:hAnsi="Garamond"/>
          <w:lang w:eastAsia="en-US"/>
        </w:rPr>
        <w:t>Për mediet audiovizive në Republikën e Shqipërisë</w:t>
      </w:r>
      <w:r w:rsidR="0078161D" w:rsidRPr="00024D5A">
        <w:rPr>
          <w:rFonts w:ascii="Garamond" w:hAnsi="Garamond"/>
          <w:lang w:eastAsia="en-US"/>
        </w:rPr>
        <w:t>”</w:t>
      </w:r>
      <w:r w:rsidRPr="00024D5A">
        <w:rPr>
          <w:rFonts w:ascii="Garamond" w:hAnsi="Garamond"/>
          <w:lang w:eastAsia="en-US"/>
        </w:rPr>
        <w:t>, i ndryshuar.</w:t>
      </w:r>
    </w:p>
    <w:p w14:paraId="7421BDAE" w14:textId="1EB006A0" w:rsidR="003E1630" w:rsidRPr="00024D5A" w:rsidRDefault="007C0500" w:rsidP="00E755A6">
      <w:pPr>
        <w:tabs>
          <w:tab w:val="right" w:pos="9360"/>
        </w:tabs>
        <w:ind w:firstLine="288"/>
        <w:jc w:val="both"/>
        <w:rPr>
          <w:rFonts w:ascii="Garamond" w:hAnsi="Garamond"/>
          <w:spacing w:val="5"/>
          <w:lang w:eastAsia="en-US"/>
        </w:rPr>
      </w:pPr>
      <w:hyperlink r:id="rId17" w:tgtFrame="_blank" w:history="1">
        <w:r w:rsidR="005743A8" w:rsidRPr="00024D5A">
          <w:rPr>
            <w:rFonts w:ascii="Garamond" w:hAnsi="Garamond"/>
            <w:spacing w:val="5"/>
            <w:lang w:eastAsia="en-US"/>
          </w:rPr>
          <w:t xml:space="preserve">VKM </w:t>
        </w:r>
        <w:r w:rsidR="00F1289D" w:rsidRPr="00024D5A">
          <w:rPr>
            <w:rFonts w:ascii="Garamond" w:hAnsi="Garamond"/>
            <w:spacing w:val="5"/>
            <w:lang w:eastAsia="en-US"/>
          </w:rPr>
          <w:t>n</w:t>
        </w:r>
        <w:r w:rsidR="005743A8" w:rsidRPr="00024D5A">
          <w:rPr>
            <w:rFonts w:ascii="Garamond" w:hAnsi="Garamond"/>
            <w:spacing w:val="5"/>
            <w:lang w:eastAsia="en-US"/>
          </w:rPr>
          <w:t>r. 408</w:t>
        </w:r>
        <w:r w:rsidR="00F1289D" w:rsidRPr="00024D5A">
          <w:rPr>
            <w:rFonts w:ascii="Garamond" w:hAnsi="Garamond"/>
            <w:spacing w:val="5"/>
            <w:lang w:eastAsia="en-US"/>
          </w:rPr>
          <w:t>,</w:t>
        </w:r>
        <w:r w:rsidR="005743A8" w:rsidRPr="00024D5A">
          <w:rPr>
            <w:rFonts w:ascii="Garamond" w:hAnsi="Garamond"/>
            <w:spacing w:val="5"/>
            <w:lang w:eastAsia="en-US"/>
          </w:rPr>
          <w:t xml:space="preserve"> datë 13.5.2015</w:t>
        </w:r>
        <w:r w:rsidR="00F1289D" w:rsidRPr="00024D5A">
          <w:rPr>
            <w:rFonts w:ascii="Garamond" w:hAnsi="Garamond"/>
            <w:spacing w:val="5"/>
            <w:lang w:eastAsia="en-US"/>
          </w:rPr>
          <w:t>,</w:t>
        </w:r>
        <w:r w:rsidR="005743A8" w:rsidRPr="00024D5A">
          <w:rPr>
            <w:rFonts w:ascii="Garamond" w:hAnsi="Garamond"/>
            <w:spacing w:val="5"/>
            <w:lang w:eastAsia="en-US"/>
          </w:rPr>
          <w:t xml:space="preserve"> </w:t>
        </w:r>
        <w:r w:rsidR="0078161D" w:rsidRPr="00024D5A">
          <w:rPr>
            <w:rFonts w:ascii="Garamond" w:hAnsi="Garamond"/>
            <w:spacing w:val="5"/>
            <w:lang w:eastAsia="en-US"/>
          </w:rPr>
          <w:t>“</w:t>
        </w:r>
        <w:r w:rsidR="005743A8" w:rsidRPr="00024D5A">
          <w:rPr>
            <w:rFonts w:ascii="Garamond" w:hAnsi="Garamond"/>
            <w:spacing w:val="5"/>
            <w:lang w:eastAsia="en-US"/>
          </w:rPr>
          <w:t xml:space="preserve">Për miratimin e </w:t>
        </w:r>
        <w:r w:rsidR="005C0FF5" w:rsidRPr="00024D5A">
          <w:rPr>
            <w:rFonts w:ascii="Garamond" w:hAnsi="Garamond"/>
            <w:spacing w:val="5"/>
            <w:lang w:eastAsia="en-US"/>
          </w:rPr>
          <w:t>rregullores së zhvillimit të territ</w:t>
        </w:r>
        <w:r w:rsidR="005743A8" w:rsidRPr="00024D5A">
          <w:rPr>
            <w:rFonts w:ascii="Garamond" w:hAnsi="Garamond"/>
            <w:spacing w:val="5"/>
            <w:lang w:eastAsia="en-US"/>
          </w:rPr>
          <w:t>orit</w:t>
        </w:r>
        <w:r w:rsidR="0078161D" w:rsidRPr="00024D5A">
          <w:rPr>
            <w:rFonts w:ascii="Garamond" w:hAnsi="Garamond"/>
            <w:spacing w:val="5"/>
            <w:lang w:eastAsia="en-US"/>
          </w:rPr>
          <w:t>”</w:t>
        </w:r>
        <w:r w:rsidR="005C0FF5" w:rsidRPr="00024D5A">
          <w:rPr>
            <w:rFonts w:ascii="Garamond" w:hAnsi="Garamond"/>
            <w:spacing w:val="5"/>
            <w:lang w:eastAsia="en-US"/>
          </w:rPr>
          <w:t>,</w:t>
        </w:r>
        <w:r w:rsidR="005743A8" w:rsidRPr="00024D5A">
          <w:rPr>
            <w:rFonts w:ascii="Garamond" w:hAnsi="Garamond"/>
            <w:spacing w:val="5"/>
            <w:lang w:eastAsia="en-US"/>
          </w:rPr>
          <w:t xml:space="preserve"> </w:t>
        </w:r>
        <w:r w:rsidR="005C0FF5" w:rsidRPr="00024D5A">
          <w:rPr>
            <w:rFonts w:ascii="Garamond" w:hAnsi="Garamond"/>
            <w:spacing w:val="5"/>
            <w:lang w:eastAsia="en-US"/>
          </w:rPr>
          <w:t>i</w:t>
        </w:r>
        <w:r w:rsidR="005743A8" w:rsidRPr="00024D5A">
          <w:rPr>
            <w:rFonts w:ascii="Garamond" w:hAnsi="Garamond"/>
            <w:spacing w:val="5"/>
            <w:lang w:eastAsia="en-US"/>
          </w:rPr>
          <w:t xml:space="preserve"> ndryshuar</w:t>
        </w:r>
      </w:hyperlink>
      <w:r w:rsidR="005743A8" w:rsidRPr="00024D5A">
        <w:rPr>
          <w:rFonts w:ascii="Garamond" w:hAnsi="Garamond"/>
          <w:spacing w:val="5"/>
          <w:lang w:eastAsia="en-US"/>
        </w:rPr>
        <w:t>.</w:t>
      </w:r>
    </w:p>
    <w:p w14:paraId="4D76A363" w14:textId="387DF8B1" w:rsidR="003E1630" w:rsidRPr="00024D5A" w:rsidRDefault="005743A8" w:rsidP="00E755A6">
      <w:pPr>
        <w:ind w:firstLine="288"/>
        <w:jc w:val="both"/>
        <w:rPr>
          <w:rFonts w:ascii="Garamond" w:hAnsi="Garamond"/>
          <w:lang w:eastAsia="en-US"/>
        </w:rPr>
      </w:pPr>
      <w:r w:rsidRPr="00024D5A">
        <w:rPr>
          <w:rFonts w:ascii="Garamond" w:hAnsi="Garamond"/>
          <w:lang w:eastAsia="en-US"/>
        </w:rPr>
        <w:t xml:space="preserve">VKM </w:t>
      </w:r>
      <w:r w:rsidR="00F1289D" w:rsidRPr="00024D5A">
        <w:rPr>
          <w:rFonts w:ascii="Garamond" w:hAnsi="Garamond"/>
          <w:lang w:eastAsia="en-US"/>
        </w:rPr>
        <w:t>n</w:t>
      </w:r>
      <w:r w:rsidRPr="00024D5A">
        <w:rPr>
          <w:rFonts w:ascii="Garamond" w:hAnsi="Garamond"/>
          <w:lang w:eastAsia="en-US"/>
        </w:rPr>
        <w:t>r. 153, datë 7.4.2000</w:t>
      </w:r>
      <w:r w:rsidR="00F1289D" w:rsidRPr="00024D5A">
        <w:rPr>
          <w:rFonts w:ascii="Garamond" w:hAnsi="Garamond"/>
          <w:lang w:eastAsia="en-US"/>
        </w:rPr>
        <w:t>,</w:t>
      </w:r>
      <w:r w:rsidRPr="00024D5A">
        <w:rPr>
          <w:rFonts w:ascii="Garamond" w:hAnsi="Garamond"/>
          <w:lang w:eastAsia="en-US"/>
        </w:rPr>
        <w:t xml:space="preserve"> </w:t>
      </w:r>
      <w:r w:rsidR="0078161D" w:rsidRPr="00024D5A">
        <w:rPr>
          <w:rFonts w:ascii="Garamond" w:hAnsi="Garamond"/>
          <w:lang w:eastAsia="en-US"/>
        </w:rPr>
        <w:t>“</w:t>
      </w:r>
      <w:r w:rsidRPr="00024D5A">
        <w:rPr>
          <w:rFonts w:ascii="Garamond" w:hAnsi="Garamond"/>
          <w:lang w:eastAsia="en-US"/>
        </w:rPr>
        <w:t xml:space="preserve">Për miratimin e </w:t>
      </w:r>
      <w:r w:rsidR="005C0FF5" w:rsidRPr="00024D5A">
        <w:rPr>
          <w:rFonts w:ascii="Garamond" w:hAnsi="Garamond"/>
          <w:lang w:eastAsia="en-US"/>
        </w:rPr>
        <w:t xml:space="preserve">rregullores </w:t>
      </w:r>
      <w:r w:rsidRPr="00024D5A">
        <w:rPr>
          <w:rFonts w:ascii="Garamond" w:hAnsi="Garamond"/>
          <w:lang w:eastAsia="en-US"/>
        </w:rPr>
        <w:t>së zbatimit të Kodit Rrugor të Republikës së Shqipërisë</w:t>
      </w:r>
      <w:r w:rsidR="0078161D" w:rsidRPr="00024D5A">
        <w:rPr>
          <w:rFonts w:ascii="Garamond" w:hAnsi="Garamond"/>
          <w:lang w:eastAsia="en-US"/>
        </w:rPr>
        <w:t>”</w:t>
      </w:r>
      <w:r w:rsidRPr="00024D5A">
        <w:rPr>
          <w:rFonts w:ascii="Garamond" w:hAnsi="Garamond"/>
          <w:lang w:eastAsia="en-US"/>
        </w:rPr>
        <w:t>, i ndryshuar.</w:t>
      </w:r>
    </w:p>
    <w:p w14:paraId="5B66EB73" w14:textId="3078217A" w:rsidR="003E1630" w:rsidRPr="00024D5A" w:rsidRDefault="005743A8" w:rsidP="00E755A6">
      <w:pPr>
        <w:ind w:firstLine="288"/>
        <w:jc w:val="both"/>
        <w:rPr>
          <w:rFonts w:ascii="Garamond" w:hAnsi="Garamond"/>
          <w:lang w:eastAsia="en-US"/>
        </w:rPr>
      </w:pPr>
      <w:r w:rsidRPr="00024D5A">
        <w:rPr>
          <w:rFonts w:ascii="Garamond" w:hAnsi="Garamond"/>
          <w:lang w:eastAsia="en-US"/>
        </w:rPr>
        <w:t xml:space="preserve">VKM </w:t>
      </w:r>
      <w:r w:rsidR="00F1289D" w:rsidRPr="00024D5A">
        <w:rPr>
          <w:rFonts w:ascii="Garamond" w:hAnsi="Garamond"/>
          <w:lang w:eastAsia="en-US"/>
        </w:rPr>
        <w:t>n</w:t>
      </w:r>
      <w:r w:rsidRPr="00024D5A">
        <w:rPr>
          <w:rFonts w:ascii="Garamond" w:hAnsi="Garamond"/>
          <w:lang w:eastAsia="en-US"/>
        </w:rPr>
        <w:t>r. 85, datë 8.2.2017</w:t>
      </w:r>
      <w:r w:rsidR="00505C21" w:rsidRPr="00024D5A">
        <w:rPr>
          <w:rFonts w:ascii="Garamond" w:hAnsi="Garamond"/>
          <w:lang w:eastAsia="en-US"/>
        </w:rPr>
        <w:t>,</w:t>
      </w:r>
      <w:r w:rsidRPr="00024D5A">
        <w:rPr>
          <w:rFonts w:ascii="Garamond" w:hAnsi="Garamond"/>
          <w:lang w:eastAsia="en-US"/>
        </w:rPr>
        <w:t xml:space="preserve"> </w:t>
      </w:r>
      <w:r w:rsidR="0078161D" w:rsidRPr="00024D5A">
        <w:rPr>
          <w:rFonts w:ascii="Garamond" w:hAnsi="Garamond"/>
          <w:lang w:eastAsia="en-US"/>
        </w:rPr>
        <w:t>“</w:t>
      </w:r>
      <w:r w:rsidRPr="00024D5A">
        <w:rPr>
          <w:rFonts w:ascii="Garamond" w:hAnsi="Garamond"/>
          <w:lang w:eastAsia="en-US"/>
        </w:rPr>
        <w:t>Për përcaktimin e rregullave për prodhimin shpërndarjen dhe pajisjen e udhëtarëve me bileta transporti rrugor</w:t>
      </w:r>
      <w:r w:rsidR="0078161D" w:rsidRPr="00024D5A">
        <w:rPr>
          <w:rFonts w:ascii="Garamond" w:hAnsi="Garamond"/>
          <w:lang w:eastAsia="en-US"/>
        </w:rPr>
        <w:t>”</w:t>
      </w:r>
      <w:r w:rsidRPr="00024D5A">
        <w:rPr>
          <w:rFonts w:ascii="Garamond" w:hAnsi="Garamond"/>
          <w:lang w:eastAsia="en-US"/>
        </w:rPr>
        <w:t>.</w:t>
      </w:r>
    </w:p>
    <w:p w14:paraId="1663767E" w14:textId="1E11B49F" w:rsidR="003E1630" w:rsidRPr="00024D5A" w:rsidRDefault="005743A8" w:rsidP="00E755A6">
      <w:pPr>
        <w:ind w:firstLine="288"/>
        <w:jc w:val="both"/>
        <w:rPr>
          <w:rFonts w:ascii="Garamond" w:eastAsia="Times New Roman" w:hAnsi="Garamond"/>
          <w:lang w:eastAsia="en-US"/>
        </w:rPr>
      </w:pPr>
      <w:r w:rsidRPr="00024D5A">
        <w:rPr>
          <w:rFonts w:ascii="Garamond" w:eastAsia="Times New Roman" w:hAnsi="Garamond"/>
          <w:lang w:eastAsia="en-US"/>
        </w:rPr>
        <w:t>Vendimi nr. 70, datë 17.4.2019</w:t>
      </w:r>
      <w:r w:rsidR="00505C21" w:rsidRPr="00024D5A">
        <w:rPr>
          <w:rFonts w:ascii="Garamond" w:eastAsia="Times New Roman" w:hAnsi="Garamond"/>
          <w:lang w:eastAsia="en-US"/>
        </w:rPr>
        <w:t>,</w:t>
      </w:r>
      <w:r w:rsidR="008F29FA" w:rsidRPr="00024D5A">
        <w:rPr>
          <w:rFonts w:ascii="Garamond" w:eastAsia="Times New Roman" w:hAnsi="Garamond"/>
          <w:b/>
          <w:bCs/>
          <w:lang w:eastAsia="en-US"/>
        </w:rPr>
        <w:t xml:space="preserve"> </w:t>
      </w:r>
      <w:r w:rsidR="0078161D" w:rsidRPr="00024D5A">
        <w:rPr>
          <w:rFonts w:ascii="Garamond" w:eastAsia="Times New Roman" w:hAnsi="Garamond"/>
          <w:lang w:eastAsia="en-US"/>
        </w:rPr>
        <w:t>“</w:t>
      </w:r>
      <w:r w:rsidRPr="00024D5A">
        <w:rPr>
          <w:rFonts w:ascii="Garamond" w:eastAsia="Times New Roman" w:hAnsi="Garamond"/>
          <w:lang w:eastAsia="en-US"/>
        </w:rPr>
        <w:t>Mbi respektimin e detyrimeve ligjore dhe nënligjore dhe marrjen e masave për transmetimet audiovizive për personat me nevoja të veçanta shoqërore</w:t>
      </w:r>
      <w:r w:rsidR="0078161D" w:rsidRPr="00024D5A">
        <w:rPr>
          <w:rFonts w:ascii="Garamond" w:eastAsia="Times New Roman" w:hAnsi="Garamond"/>
          <w:lang w:eastAsia="en-US"/>
        </w:rPr>
        <w:t>”</w:t>
      </w:r>
      <w:r w:rsidR="005C0FF5" w:rsidRPr="00024D5A">
        <w:rPr>
          <w:rFonts w:ascii="Garamond" w:eastAsia="Times New Roman" w:hAnsi="Garamond"/>
          <w:lang w:eastAsia="en-US"/>
        </w:rPr>
        <w:t>,</w:t>
      </w:r>
      <w:r w:rsidR="00F1289D" w:rsidRPr="00024D5A">
        <w:rPr>
          <w:rFonts w:ascii="Garamond" w:eastAsia="Times New Roman" w:hAnsi="Garamond"/>
          <w:lang w:eastAsia="en-US"/>
        </w:rPr>
        <w:t xml:space="preserve"> i AMA</w:t>
      </w:r>
      <w:r w:rsidR="005C0FF5" w:rsidRPr="00024D5A">
        <w:rPr>
          <w:rFonts w:ascii="Garamond" w:eastAsia="Times New Roman" w:hAnsi="Garamond"/>
          <w:lang w:eastAsia="en-US"/>
        </w:rPr>
        <w:t>-s</w:t>
      </w:r>
      <w:r w:rsidR="00F1289D" w:rsidRPr="00024D5A">
        <w:rPr>
          <w:rFonts w:ascii="Garamond" w:eastAsia="Times New Roman" w:hAnsi="Garamond"/>
          <w:lang w:eastAsia="en-US"/>
        </w:rPr>
        <w:t>.</w:t>
      </w:r>
    </w:p>
    <w:bookmarkEnd w:id="74"/>
    <w:p w14:paraId="00C57FD7" w14:textId="0404AE49" w:rsidR="003E1630" w:rsidRPr="00024D5A" w:rsidRDefault="005743A8" w:rsidP="00E755A6">
      <w:pPr>
        <w:ind w:firstLine="288"/>
        <w:jc w:val="both"/>
        <w:rPr>
          <w:rFonts w:ascii="Garamond" w:hAnsi="Garamond"/>
          <w:lang w:eastAsia="en-US"/>
        </w:rPr>
      </w:pPr>
      <w:r w:rsidRPr="00024D5A">
        <w:rPr>
          <w:rFonts w:ascii="Garamond" w:hAnsi="Garamond"/>
          <w:shd w:val="clear" w:color="auto" w:fill="FFFFFF"/>
          <w:lang w:eastAsia="en-US"/>
        </w:rPr>
        <w:t xml:space="preserve">VKM </w:t>
      </w:r>
      <w:r w:rsidR="00F1289D" w:rsidRPr="00024D5A">
        <w:rPr>
          <w:rFonts w:ascii="Garamond" w:hAnsi="Garamond"/>
          <w:shd w:val="clear" w:color="auto" w:fill="FFFFFF"/>
          <w:lang w:eastAsia="en-US"/>
        </w:rPr>
        <w:t>n</w:t>
      </w:r>
      <w:r w:rsidRPr="00024D5A">
        <w:rPr>
          <w:rFonts w:ascii="Garamond" w:hAnsi="Garamond"/>
          <w:shd w:val="clear" w:color="auto" w:fill="FFFFFF"/>
          <w:lang w:eastAsia="en-US"/>
        </w:rPr>
        <w:t>r. 837</w:t>
      </w:r>
      <w:r w:rsidR="00505C21" w:rsidRPr="00024D5A">
        <w:rPr>
          <w:rFonts w:ascii="Garamond" w:hAnsi="Garamond"/>
          <w:shd w:val="clear" w:color="auto" w:fill="FFFFFF"/>
          <w:lang w:eastAsia="en-US"/>
        </w:rPr>
        <w:t>,</w:t>
      </w:r>
      <w:r w:rsidRPr="00024D5A">
        <w:rPr>
          <w:rFonts w:ascii="Garamond" w:hAnsi="Garamond"/>
          <w:shd w:val="clear" w:color="auto" w:fill="FFFFFF"/>
          <w:lang w:eastAsia="en-US"/>
        </w:rPr>
        <w:t xml:space="preserve"> </w:t>
      </w:r>
      <w:r w:rsidR="00F1289D" w:rsidRPr="00024D5A">
        <w:rPr>
          <w:rFonts w:ascii="Garamond" w:hAnsi="Garamond"/>
          <w:shd w:val="clear" w:color="auto" w:fill="FFFFFF"/>
          <w:lang w:eastAsia="en-US"/>
        </w:rPr>
        <w:t>d</w:t>
      </w:r>
      <w:r w:rsidRPr="00024D5A">
        <w:rPr>
          <w:rFonts w:ascii="Garamond" w:hAnsi="Garamond"/>
          <w:shd w:val="clear" w:color="auto" w:fill="FFFFFF"/>
          <w:lang w:eastAsia="en-US"/>
        </w:rPr>
        <w:t>atë 3.12.2014</w:t>
      </w:r>
      <w:r w:rsidR="00505C21" w:rsidRPr="00024D5A">
        <w:rPr>
          <w:rFonts w:ascii="Garamond" w:hAnsi="Garamond"/>
          <w:shd w:val="clear" w:color="auto" w:fill="FFFFFF"/>
          <w:lang w:eastAsia="en-US"/>
        </w:rPr>
        <w:t>,</w:t>
      </w:r>
      <w:r w:rsidRPr="00024D5A">
        <w:rPr>
          <w:rFonts w:ascii="Garamond" w:hAnsi="Garamond"/>
          <w:shd w:val="clear" w:color="auto" w:fill="FFFFFF"/>
          <w:lang w:eastAsia="en-US"/>
        </w:rPr>
        <w:t xml:space="preserve"> </w:t>
      </w:r>
      <w:r w:rsidR="0078161D" w:rsidRPr="00024D5A">
        <w:rPr>
          <w:rFonts w:ascii="Garamond" w:hAnsi="Garamond"/>
          <w:shd w:val="clear" w:color="auto" w:fill="FFFFFF"/>
          <w:lang w:eastAsia="en-US"/>
        </w:rPr>
        <w:t>“</w:t>
      </w:r>
      <w:r w:rsidRPr="00024D5A">
        <w:rPr>
          <w:rFonts w:ascii="Garamond" w:hAnsi="Garamond"/>
          <w:shd w:val="clear" w:color="auto" w:fill="FFFFFF"/>
          <w:lang w:eastAsia="en-US"/>
        </w:rPr>
        <w:t>Për njohjen e gjuhës së shenjave në Republikën e Shqipërisë</w:t>
      </w:r>
      <w:r w:rsidR="0078161D" w:rsidRPr="00024D5A">
        <w:rPr>
          <w:rFonts w:ascii="Garamond" w:hAnsi="Garamond"/>
          <w:shd w:val="clear" w:color="auto" w:fill="FFFFFF"/>
          <w:lang w:eastAsia="en-US"/>
        </w:rPr>
        <w:t>”</w:t>
      </w:r>
      <w:r w:rsidRPr="00024D5A">
        <w:rPr>
          <w:rFonts w:ascii="Garamond" w:hAnsi="Garamond"/>
          <w:lang w:eastAsia="en-US"/>
        </w:rPr>
        <w:t>.</w:t>
      </w:r>
    </w:p>
    <w:p w14:paraId="33C61A32" w14:textId="5B776560" w:rsidR="003E1630" w:rsidRPr="00024D5A" w:rsidRDefault="005743A8" w:rsidP="00E755A6">
      <w:pPr>
        <w:ind w:firstLine="288"/>
        <w:jc w:val="both"/>
        <w:rPr>
          <w:rFonts w:ascii="Garamond" w:hAnsi="Garamond"/>
          <w:lang w:eastAsia="en-US"/>
        </w:rPr>
      </w:pPr>
      <w:r w:rsidRPr="00024D5A">
        <w:rPr>
          <w:rFonts w:ascii="Garamond" w:hAnsi="Garamond"/>
          <w:lang w:eastAsia="en-US"/>
        </w:rPr>
        <w:t xml:space="preserve">VKM </w:t>
      </w:r>
      <w:r w:rsidR="00F1289D" w:rsidRPr="00024D5A">
        <w:rPr>
          <w:rFonts w:ascii="Garamond" w:hAnsi="Garamond"/>
          <w:lang w:eastAsia="en-US"/>
        </w:rPr>
        <w:t>n</w:t>
      </w:r>
      <w:r w:rsidRPr="00024D5A">
        <w:rPr>
          <w:rFonts w:ascii="Garamond" w:hAnsi="Garamond"/>
          <w:lang w:eastAsia="en-US"/>
        </w:rPr>
        <w:t xml:space="preserve">r. 1074, datë 23.12.2015, </w:t>
      </w:r>
      <w:r w:rsidR="0078161D" w:rsidRPr="00024D5A">
        <w:rPr>
          <w:rFonts w:ascii="Garamond" w:hAnsi="Garamond"/>
          <w:lang w:eastAsia="en-US"/>
        </w:rPr>
        <w:t>“</w:t>
      </w:r>
      <w:r w:rsidRPr="00024D5A">
        <w:rPr>
          <w:rFonts w:ascii="Garamond" w:hAnsi="Garamond"/>
          <w:lang w:eastAsia="en-US"/>
        </w:rPr>
        <w:t>Për masat për heqjen e pengesave mjedisore dhe të infrastrukturës në ofrimin e shërbimeve publike</w:t>
      </w:r>
      <w:r w:rsidR="0078161D" w:rsidRPr="00024D5A">
        <w:rPr>
          <w:rFonts w:ascii="Garamond" w:hAnsi="Garamond"/>
          <w:lang w:eastAsia="en-US"/>
        </w:rPr>
        <w:t>”</w:t>
      </w:r>
      <w:r w:rsidRPr="00024D5A">
        <w:rPr>
          <w:rFonts w:ascii="Garamond" w:hAnsi="Garamond"/>
          <w:lang w:eastAsia="en-US"/>
        </w:rPr>
        <w:t>.</w:t>
      </w:r>
    </w:p>
    <w:p w14:paraId="51E7C7C1" w14:textId="6317AABB" w:rsidR="003E1630" w:rsidRPr="00024D5A" w:rsidRDefault="005743A8" w:rsidP="00E755A6">
      <w:pPr>
        <w:ind w:firstLine="288"/>
        <w:jc w:val="both"/>
        <w:rPr>
          <w:rFonts w:ascii="Garamond" w:hAnsi="Garamond"/>
          <w:lang w:eastAsia="en-US"/>
        </w:rPr>
      </w:pPr>
      <w:r w:rsidRPr="00024D5A">
        <w:rPr>
          <w:rFonts w:ascii="Garamond" w:hAnsi="Garamond"/>
          <w:lang w:eastAsia="en-US"/>
        </w:rPr>
        <w:t xml:space="preserve">VKM </w:t>
      </w:r>
      <w:r w:rsidR="00F1289D" w:rsidRPr="00024D5A">
        <w:rPr>
          <w:rFonts w:ascii="Garamond" w:hAnsi="Garamond"/>
          <w:lang w:eastAsia="en-US"/>
        </w:rPr>
        <w:t>n</w:t>
      </w:r>
      <w:r w:rsidRPr="00024D5A">
        <w:rPr>
          <w:rFonts w:ascii="Garamond" w:hAnsi="Garamond"/>
          <w:lang w:eastAsia="en-US"/>
        </w:rPr>
        <w:t xml:space="preserve">r. 411, </w:t>
      </w:r>
      <w:r w:rsidR="00F1289D" w:rsidRPr="00024D5A">
        <w:rPr>
          <w:rFonts w:ascii="Garamond" w:hAnsi="Garamond"/>
          <w:lang w:eastAsia="en-US"/>
        </w:rPr>
        <w:t>d</w:t>
      </w:r>
      <w:r w:rsidRPr="00024D5A">
        <w:rPr>
          <w:rFonts w:ascii="Garamond" w:hAnsi="Garamond"/>
          <w:lang w:eastAsia="en-US"/>
        </w:rPr>
        <w:t xml:space="preserve">atë 19.6.2019, </w:t>
      </w:r>
      <w:r w:rsidR="0078161D" w:rsidRPr="00024D5A">
        <w:rPr>
          <w:rFonts w:ascii="Garamond" w:hAnsi="Garamond"/>
          <w:lang w:eastAsia="en-US"/>
        </w:rPr>
        <w:t>“</w:t>
      </w:r>
      <w:r w:rsidRPr="00024D5A">
        <w:rPr>
          <w:rFonts w:ascii="Garamond" w:hAnsi="Garamond"/>
          <w:lang w:eastAsia="en-US"/>
        </w:rPr>
        <w:t xml:space="preserve">Për disa ndryshime në </w:t>
      </w:r>
      <w:r w:rsidR="009406B6" w:rsidRPr="00024D5A">
        <w:rPr>
          <w:rFonts w:ascii="Garamond" w:hAnsi="Garamond"/>
          <w:lang w:eastAsia="en-US"/>
        </w:rPr>
        <w:t xml:space="preserve">vendimin </w:t>
      </w:r>
      <w:r w:rsidRPr="00024D5A">
        <w:rPr>
          <w:rFonts w:ascii="Garamond" w:hAnsi="Garamond"/>
          <w:lang w:eastAsia="en-US"/>
        </w:rPr>
        <w:t xml:space="preserve">nr. 708, datë 26.8.2015, i Këshillit të Ministrave, </w:t>
      </w:r>
      <w:r w:rsidR="009406B6" w:rsidRPr="00024D5A">
        <w:rPr>
          <w:rFonts w:ascii="Garamond" w:hAnsi="Garamond"/>
          <w:lang w:eastAsia="en-US"/>
        </w:rPr>
        <w:t>‘</w:t>
      </w:r>
      <w:r w:rsidRPr="00024D5A">
        <w:rPr>
          <w:rFonts w:ascii="Garamond" w:hAnsi="Garamond"/>
          <w:lang w:eastAsia="en-US"/>
        </w:rPr>
        <w:t>Për llojet, periodicitetin dhe mënyrën e raportimit të të dhënave statistikore për aftësinë e kufizuar nga strukturat shtetërore përgjegjëse, në nivelin qendror dhe lokal</w:t>
      </w:r>
      <w:r w:rsidR="009406B6" w:rsidRPr="00024D5A">
        <w:rPr>
          <w:rFonts w:ascii="Garamond" w:hAnsi="Garamond"/>
          <w:lang w:eastAsia="en-US"/>
        </w:rPr>
        <w:t>’</w:t>
      </w:r>
      <w:r w:rsidR="0078161D" w:rsidRPr="00024D5A">
        <w:rPr>
          <w:rFonts w:ascii="Garamond" w:hAnsi="Garamond"/>
          <w:lang w:eastAsia="en-US"/>
        </w:rPr>
        <w:t>”</w:t>
      </w:r>
      <w:r w:rsidRPr="00024D5A">
        <w:rPr>
          <w:rFonts w:ascii="Garamond" w:hAnsi="Garamond"/>
          <w:lang w:eastAsia="en-US"/>
        </w:rPr>
        <w:t>.</w:t>
      </w:r>
    </w:p>
    <w:p w14:paraId="43E7296B" w14:textId="53DA2795" w:rsidR="003E1630" w:rsidRPr="00024D5A" w:rsidRDefault="005743A8" w:rsidP="00E755A6">
      <w:pPr>
        <w:ind w:firstLine="288"/>
        <w:jc w:val="both"/>
        <w:rPr>
          <w:rFonts w:ascii="Garamond" w:hAnsi="Garamond"/>
          <w:lang w:eastAsia="en-US"/>
        </w:rPr>
      </w:pPr>
      <w:r w:rsidRPr="00024D5A">
        <w:rPr>
          <w:rFonts w:ascii="Garamond" w:hAnsi="Garamond"/>
          <w:lang w:eastAsia="en-US"/>
        </w:rPr>
        <w:t xml:space="preserve">VKM </w:t>
      </w:r>
      <w:r w:rsidR="00F1289D" w:rsidRPr="00024D5A">
        <w:rPr>
          <w:rFonts w:ascii="Garamond" w:hAnsi="Garamond"/>
          <w:lang w:eastAsia="en-US"/>
        </w:rPr>
        <w:t>n</w:t>
      </w:r>
      <w:r w:rsidRPr="00024D5A">
        <w:rPr>
          <w:rFonts w:ascii="Garamond" w:hAnsi="Garamond"/>
          <w:lang w:eastAsia="en-US"/>
        </w:rPr>
        <w:t>r. 196, datë 4.4.2018</w:t>
      </w:r>
      <w:r w:rsidR="00505C21" w:rsidRPr="00024D5A">
        <w:rPr>
          <w:rFonts w:ascii="Garamond" w:hAnsi="Garamond"/>
          <w:lang w:eastAsia="en-US"/>
        </w:rPr>
        <w:t>,</w:t>
      </w:r>
      <w:r w:rsidRPr="00024D5A">
        <w:rPr>
          <w:rFonts w:ascii="Garamond" w:hAnsi="Garamond"/>
          <w:lang w:eastAsia="en-US"/>
        </w:rPr>
        <w:t xml:space="preserve"> </w:t>
      </w:r>
      <w:r w:rsidR="0078161D" w:rsidRPr="00024D5A">
        <w:rPr>
          <w:rFonts w:ascii="Garamond" w:hAnsi="Garamond"/>
          <w:lang w:eastAsia="en-US"/>
        </w:rPr>
        <w:t>“</w:t>
      </w:r>
      <w:r w:rsidR="00505C21" w:rsidRPr="00024D5A">
        <w:rPr>
          <w:rFonts w:ascii="Garamond" w:hAnsi="Garamond"/>
          <w:lang w:eastAsia="en-US"/>
        </w:rPr>
        <w:t>P</w:t>
      </w:r>
      <w:r w:rsidRPr="00024D5A">
        <w:rPr>
          <w:rFonts w:ascii="Garamond" w:hAnsi="Garamond"/>
          <w:lang w:eastAsia="en-US"/>
        </w:rPr>
        <w:t xml:space="preserve">ër një ndryshim në vendimin nr. 48, datë 21.1.2015, të Këshillit të Ministrave, </w:t>
      </w:r>
      <w:r w:rsidR="003E6F90" w:rsidRPr="00024D5A">
        <w:rPr>
          <w:rFonts w:ascii="Garamond" w:hAnsi="Garamond"/>
          <w:lang w:eastAsia="en-US"/>
        </w:rPr>
        <w:t>‘</w:t>
      </w:r>
      <w:r w:rsidRPr="00024D5A">
        <w:rPr>
          <w:rFonts w:ascii="Garamond" w:hAnsi="Garamond"/>
          <w:lang w:eastAsia="en-US"/>
        </w:rPr>
        <w:t xml:space="preserve">Për miratimin e rregullores për funksionimin e </w:t>
      </w:r>
      <w:r w:rsidR="009406B6" w:rsidRPr="00024D5A">
        <w:rPr>
          <w:rFonts w:ascii="Garamond" w:hAnsi="Garamond"/>
          <w:lang w:eastAsia="en-US"/>
        </w:rPr>
        <w:t xml:space="preserve">Këshillit Kombëtar </w:t>
      </w:r>
      <w:r w:rsidRPr="00024D5A">
        <w:rPr>
          <w:rFonts w:ascii="Garamond" w:hAnsi="Garamond"/>
          <w:lang w:eastAsia="en-US"/>
        </w:rPr>
        <w:t xml:space="preserve">për </w:t>
      </w:r>
      <w:r w:rsidR="009406B6" w:rsidRPr="00024D5A">
        <w:rPr>
          <w:rFonts w:ascii="Garamond" w:hAnsi="Garamond"/>
          <w:lang w:eastAsia="en-US"/>
        </w:rPr>
        <w:t xml:space="preserve">Aftësinë </w:t>
      </w:r>
      <w:r w:rsidRPr="00024D5A">
        <w:rPr>
          <w:rFonts w:ascii="Garamond" w:hAnsi="Garamond"/>
          <w:lang w:eastAsia="en-US"/>
        </w:rPr>
        <w:t xml:space="preserve">e </w:t>
      </w:r>
      <w:r w:rsidR="009406B6" w:rsidRPr="00024D5A">
        <w:rPr>
          <w:rFonts w:ascii="Garamond" w:hAnsi="Garamond"/>
          <w:lang w:eastAsia="en-US"/>
        </w:rPr>
        <w:t>Kufizuar’”</w:t>
      </w:r>
      <w:r w:rsidRPr="00024D5A">
        <w:rPr>
          <w:rFonts w:ascii="Garamond" w:hAnsi="Garamond"/>
          <w:lang w:eastAsia="en-US"/>
        </w:rPr>
        <w:t>.</w:t>
      </w:r>
    </w:p>
    <w:p w14:paraId="162CB80E" w14:textId="12FED1C4" w:rsidR="003E1630" w:rsidRPr="00024D5A" w:rsidRDefault="005743A8" w:rsidP="00E755A6">
      <w:pPr>
        <w:ind w:firstLine="288"/>
        <w:jc w:val="both"/>
        <w:rPr>
          <w:rFonts w:ascii="Garamond" w:hAnsi="Garamond"/>
          <w:lang w:eastAsia="en-US"/>
        </w:rPr>
      </w:pPr>
      <w:r w:rsidRPr="00024D5A">
        <w:rPr>
          <w:rFonts w:ascii="Garamond" w:hAnsi="Garamond"/>
          <w:lang w:eastAsia="en-US"/>
        </w:rPr>
        <w:t>VKM nr. 874, datë 24.12.2019</w:t>
      </w:r>
      <w:r w:rsidR="00505C21" w:rsidRPr="00024D5A">
        <w:rPr>
          <w:rFonts w:ascii="Garamond" w:hAnsi="Garamond"/>
          <w:lang w:eastAsia="en-US"/>
        </w:rPr>
        <w:t>,</w:t>
      </w:r>
      <w:r w:rsidRPr="00024D5A">
        <w:rPr>
          <w:rFonts w:ascii="Garamond" w:hAnsi="Garamond"/>
          <w:lang w:eastAsia="en-US"/>
        </w:rPr>
        <w:t xml:space="preserve"> </w:t>
      </w:r>
      <w:r w:rsidR="0078161D" w:rsidRPr="00024D5A">
        <w:rPr>
          <w:rFonts w:ascii="Garamond" w:hAnsi="Garamond"/>
          <w:lang w:eastAsia="en-US"/>
        </w:rPr>
        <w:t>“</w:t>
      </w:r>
      <w:r w:rsidRPr="00024D5A">
        <w:rPr>
          <w:rFonts w:ascii="Garamond" w:hAnsi="Garamond"/>
          <w:lang w:eastAsia="en-US"/>
        </w:rPr>
        <w:t>Për mënyrën e ofrimit të ndihmës personale dhe kriteret për zgjedhjen e ndihmësit personal</w:t>
      </w:r>
      <w:r w:rsidR="0078161D" w:rsidRPr="00024D5A">
        <w:rPr>
          <w:rFonts w:ascii="Garamond" w:hAnsi="Garamond"/>
          <w:lang w:eastAsia="en-US"/>
        </w:rPr>
        <w:t>”</w:t>
      </w:r>
      <w:r w:rsidRPr="00024D5A">
        <w:rPr>
          <w:rFonts w:ascii="Garamond" w:hAnsi="Garamond"/>
          <w:lang w:eastAsia="en-US"/>
        </w:rPr>
        <w:t>.</w:t>
      </w:r>
    </w:p>
    <w:p w14:paraId="4C9D9DD1" w14:textId="25FD12C6" w:rsidR="003E1630" w:rsidRPr="00024D5A" w:rsidRDefault="005743A8" w:rsidP="00E755A6">
      <w:pPr>
        <w:ind w:firstLine="288"/>
        <w:jc w:val="both"/>
        <w:rPr>
          <w:rFonts w:ascii="Garamond" w:hAnsi="Garamond"/>
          <w:lang w:eastAsia="en-US"/>
        </w:rPr>
      </w:pPr>
      <w:r w:rsidRPr="00024D5A">
        <w:rPr>
          <w:rFonts w:ascii="Garamond" w:hAnsi="Garamond"/>
          <w:lang w:eastAsia="en-US"/>
        </w:rPr>
        <w:t>VKM nr. 107, datë 17.2.2021</w:t>
      </w:r>
      <w:r w:rsidR="00505C21" w:rsidRPr="00024D5A">
        <w:rPr>
          <w:rFonts w:ascii="Garamond" w:hAnsi="Garamond"/>
          <w:lang w:eastAsia="en-US"/>
        </w:rPr>
        <w:t>,</w:t>
      </w:r>
      <w:r w:rsidRPr="00024D5A">
        <w:rPr>
          <w:rFonts w:ascii="Garamond" w:hAnsi="Garamond"/>
          <w:lang w:eastAsia="en-US"/>
        </w:rPr>
        <w:t xml:space="preserve"> </w:t>
      </w:r>
      <w:r w:rsidR="0078161D" w:rsidRPr="00024D5A">
        <w:rPr>
          <w:rFonts w:ascii="Garamond" w:hAnsi="Garamond"/>
          <w:lang w:eastAsia="en-US"/>
        </w:rPr>
        <w:t>“</w:t>
      </w:r>
      <w:r w:rsidRPr="00024D5A">
        <w:rPr>
          <w:rFonts w:ascii="Garamond" w:hAnsi="Garamond"/>
          <w:lang w:eastAsia="en-US"/>
        </w:rPr>
        <w:t xml:space="preserve">Për miratimin e Strategjisë Kombëtare për Kulturën </w:t>
      </w:r>
      <w:r w:rsidR="007247B2" w:rsidRPr="00024D5A">
        <w:rPr>
          <w:rFonts w:ascii="Garamond" w:hAnsi="Garamond"/>
          <w:lang w:eastAsia="en-US"/>
        </w:rPr>
        <w:t>2021–2025</w:t>
      </w:r>
      <w:r w:rsidRPr="00024D5A">
        <w:rPr>
          <w:rFonts w:ascii="Garamond" w:hAnsi="Garamond"/>
          <w:lang w:eastAsia="en-US"/>
        </w:rPr>
        <w:t xml:space="preserve"> dhe </w:t>
      </w:r>
      <w:r w:rsidR="003E6F90" w:rsidRPr="00024D5A">
        <w:rPr>
          <w:rFonts w:ascii="Garamond" w:hAnsi="Garamond"/>
          <w:lang w:eastAsia="en-US"/>
        </w:rPr>
        <w:t xml:space="preserve">planit të veprimit </w:t>
      </w:r>
      <w:r w:rsidRPr="00024D5A">
        <w:rPr>
          <w:rFonts w:ascii="Garamond" w:hAnsi="Garamond"/>
          <w:lang w:eastAsia="en-US"/>
        </w:rPr>
        <w:t>për zbatimin e saj</w:t>
      </w:r>
      <w:r w:rsidR="0078161D" w:rsidRPr="00024D5A">
        <w:rPr>
          <w:rFonts w:ascii="Garamond" w:hAnsi="Garamond"/>
          <w:lang w:eastAsia="en-US"/>
        </w:rPr>
        <w:t>”</w:t>
      </w:r>
      <w:r w:rsidRPr="00024D5A">
        <w:rPr>
          <w:rFonts w:ascii="Garamond" w:hAnsi="Garamond"/>
          <w:lang w:eastAsia="en-US"/>
        </w:rPr>
        <w:t>.</w:t>
      </w:r>
    </w:p>
    <w:p w14:paraId="55BC459F" w14:textId="47843342" w:rsidR="003E1630" w:rsidRPr="00024D5A" w:rsidRDefault="005743A8" w:rsidP="00E755A6">
      <w:pPr>
        <w:ind w:firstLine="288"/>
        <w:jc w:val="both"/>
        <w:rPr>
          <w:rFonts w:ascii="Garamond" w:hAnsi="Garamond"/>
          <w:lang w:eastAsia="en-US"/>
        </w:rPr>
      </w:pPr>
      <w:r w:rsidRPr="00024D5A">
        <w:rPr>
          <w:rFonts w:ascii="Garamond" w:hAnsi="Garamond"/>
          <w:lang w:eastAsia="en-US"/>
        </w:rPr>
        <w:t>VKM nr. 715, datë 24.11.2021</w:t>
      </w:r>
      <w:r w:rsidR="00505C21" w:rsidRPr="00024D5A">
        <w:rPr>
          <w:rFonts w:ascii="Garamond" w:hAnsi="Garamond"/>
          <w:lang w:eastAsia="en-US"/>
        </w:rPr>
        <w:t>,</w:t>
      </w:r>
      <w:r w:rsidRPr="00024D5A">
        <w:rPr>
          <w:rFonts w:ascii="Garamond" w:hAnsi="Garamond"/>
          <w:lang w:eastAsia="en-US"/>
        </w:rPr>
        <w:t xml:space="preserve"> </w:t>
      </w:r>
      <w:r w:rsidR="0078161D" w:rsidRPr="00024D5A">
        <w:rPr>
          <w:rFonts w:ascii="Garamond" w:hAnsi="Garamond"/>
          <w:lang w:eastAsia="en-US"/>
        </w:rPr>
        <w:t>“</w:t>
      </w:r>
      <w:r w:rsidRPr="00024D5A">
        <w:rPr>
          <w:rFonts w:ascii="Garamond" w:hAnsi="Garamond"/>
          <w:lang w:eastAsia="en-US"/>
        </w:rPr>
        <w:t xml:space="preserve">Për miratimin e Strategjisë Kombëtare të Sportit </w:t>
      </w:r>
      <w:r w:rsidR="007247B2" w:rsidRPr="00024D5A">
        <w:rPr>
          <w:rFonts w:ascii="Garamond" w:hAnsi="Garamond"/>
          <w:lang w:eastAsia="en-US"/>
        </w:rPr>
        <w:t>2021–2025</w:t>
      </w:r>
      <w:r w:rsidRPr="00024D5A">
        <w:rPr>
          <w:rFonts w:ascii="Garamond" w:hAnsi="Garamond"/>
          <w:lang w:eastAsia="en-US"/>
        </w:rPr>
        <w:t xml:space="preserve"> dhe </w:t>
      </w:r>
      <w:r w:rsidR="004E2D67" w:rsidRPr="00024D5A">
        <w:rPr>
          <w:rFonts w:ascii="Garamond" w:hAnsi="Garamond"/>
          <w:lang w:eastAsia="en-US"/>
        </w:rPr>
        <w:t xml:space="preserve">planit të veprimit </w:t>
      </w:r>
      <w:r w:rsidRPr="00024D5A">
        <w:rPr>
          <w:rFonts w:ascii="Garamond" w:hAnsi="Garamond"/>
          <w:lang w:eastAsia="en-US"/>
        </w:rPr>
        <w:t>për zbatimin e saj</w:t>
      </w:r>
      <w:r w:rsidR="0078161D" w:rsidRPr="00024D5A">
        <w:rPr>
          <w:rFonts w:ascii="Garamond" w:hAnsi="Garamond"/>
          <w:lang w:eastAsia="en-US"/>
        </w:rPr>
        <w:t>”</w:t>
      </w:r>
      <w:r w:rsidRPr="00024D5A">
        <w:rPr>
          <w:rFonts w:ascii="Garamond" w:hAnsi="Garamond"/>
          <w:lang w:eastAsia="en-US"/>
        </w:rPr>
        <w:t>.</w:t>
      </w:r>
    </w:p>
    <w:p w14:paraId="356FF92F" w14:textId="62484741" w:rsidR="003E1630" w:rsidRPr="00024D5A" w:rsidRDefault="005743A8" w:rsidP="00E755A6">
      <w:pPr>
        <w:ind w:firstLine="288"/>
        <w:jc w:val="both"/>
        <w:rPr>
          <w:rFonts w:ascii="Garamond" w:hAnsi="Garamond"/>
          <w:b/>
          <w:bCs/>
          <w:i/>
          <w:iCs/>
          <w:lang w:eastAsia="en-US"/>
        </w:rPr>
      </w:pPr>
      <w:r w:rsidRPr="00024D5A">
        <w:rPr>
          <w:rFonts w:ascii="Garamond" w:hAnsi="Garamond"/>
          <w:b/>
          <w:bCs/>
          <w:i/>
          <w:iCs/>
          <w:lang w:eastAsia="en-US"/>
        </w:rPr>
        <w:t xml:space="preserve">II. Të </w:t>
      </w:r>
      <w:r w:rsidR="00E755A6" w:rsidRPr="00024D5A">
        <w:rPr>
          <w:rFonts w:ascii="Garamond" w:hAnsi="Garamond"/>
          <w:b/>
          <w:bCs/>
          <w:i/>
          <w:iCs/>
          <w:lang w:eastAsia="en-US"/>
        </w:rPr>
        <w:t>drejtat dhe barazia</w:t>
      </w:r>
    </w:p>
    <w:p w14:paraId="23B74C34" w14:textId="04CF02DD" w:rsidR="003E1630" w:rsidRPr="00024D5A" w:rsidRDefault="005743A8" w:rsidP="00E755A6">
      <w:pPr>
        <w:ind w:firstLine="288"/>
        <w:jc w:val="both"/>
        <w:rPr>
          <w:rFonts w:ascii="Garamond" w:hAnsi="Garamond"/>
          <w:lang w:eastAsia="en-US"/>
        </w:rPr>
      </w:pPr>
      <w:r w:rsidRPr="00024D5A">
        <w:rPr>
          <w:rFonts w:ascii="Garamond" w:hAnsi="Garamond"/>
          <w:lang w:eastAsia="en-US"/>
        </w:rPr>
        <w:t>Ligji nr. 108/2012</w:t>
      </w:r>
      <w:r w:rsidR="00505C21" w:rsidRPr="00024D5A">
        <w:rPr>
          <w:rFonts w:ascii="Garamond" w:hAnsi="Garamond"/>
          <w:lang w:eastAsia="en-US"/>
        </w:rPr>
        <w:t>,</w:t>
      </w:r>
      <w:r w:rsidRPr="00024D5A">
        <w:rPr>
          <w:rFonts w:ascii="Garamond" w:hAnsi="Garamond"/>
          <w:lang w:eastAsia="en-US"/>
        </w:rPr>
        <w:t xml:space="preserve"> datë 15.11.2012</w:t>
      </w:r>
      <w:r w:rsidR="00505C21" w:rsidRPr="00024D5A">
        <w:rPr>
          <w:rFonts w:ascii="Garamond" w:hAnsi="Garamond"/>
          <w:lang w:eastAsia="en-US"/>
        </w:rPr>
        <w:t>,</w:t>
      </w:r>
      <w:r w:rsidRPr="00024D5A">
        <w:rPr>
          <w:rFonts w:ascii="Garamond" w:hAnsi="Garamond"/>
          <w:lang w:eastAsia="en-US"/>
        </w:rPr>
        <w:t xml:space="preserve"> </w:t>
      </w:r>
      <w:r w:rsidR="0078161D" w:rsidRPr="00024D5A">
        <w:rPr>
          <w:rFonts w:ascii="Garamond" w:hAnsi="Garamond"/>
          <w:lang w:eastAsia="en-US"/>
        </w:rPr>
        <w:t>“</w:t>
      </w:r>
      <w:r w:rsidRPr="00024D5A">
        <w:rPr>
          <w:rFonts w:ascii="Garamond" w:hAnsi="Garamond"/>
          <w:lang w:eastAsia="en-US"/>
        </w:rPr>
        <w:t xml:space="preserve">Për ratifikimin e Konventës së OKB-së </w:t>
      </w:r>
      <w:r w:rsidR="004E2D67" w:rsidRPr="00024D5A">
        <w:rPr>
          <w:rFonts w:ascii="Garamond" w:hAnsi="Garamond"/>
          <w:lang w:eastAsia="en-US"/>
        </w:rPr>
        <w:t>‘</w:t>
      </w:r>
      <w:r w:rsidRPr="00024D5A">
        <w:rPr>
          <w:rFonts w:ascii="Garamond" w:hAnsi="Garamond"/>
          <w:lang w:eastAsia="en-US"/>
        </w:rPr>
        <w:t>Për të drejtat e personave me aftësi të kufizuara</w:t>
      </w:r>
      <w:r w:rsidR="004E2D67" w:rsidRPr="00024D5A">
        <w:rPr>
          <w:rFonts w:ascii="Garamond" w:hAnsi="Garamond"/>
          <w:lang w:eastAsia="en-US"/>
        </w:rPr>
        <w:t>’</w:t>
      </w:r>
      <w:r w:rsidR="0078161D" w:rsidRPr="00024D5A">
        <w:rPr>
          <w:rFonts w:ascii="Garamond" w:hAnsi="Garamond"/>
          <w:lang w:eastAsia="en-US"/>
        </w:rPr>
        <w:t>”</w:t>
      </w:r>
      <w:r w:rsidR="004E2D67" w:rsidRPr="00024D5A">
        <w:rPr>
          <w:rFonts w:ascii="Garamond" w:hAnsi="Garamond"/>
          <w:lang w:eastAsia="en-US"/>
        </w:rPr>
        <w:t>.</w:t>
      </w:r>
    </w:p>
    <w:p w14:paraId="49F32F59" w14:textId="14AD9CFF" w:rsidR="003E1630" w:rsidRPr="00024D5A" w:rsidRDefault="005743A8" w:rsidP="00E755A6">
      <w:pPr>
        <w:ind w:firstLine="288"/>
        <w:jc w:val="both"/>
        <w:rPr>
          <w:rFonts w:ascii="Garamond" w:hAnsi="Garamond"/>
          <w:lang w:eastAsia="en-US"/>
        </w:rPr>
      </w:pPr>
      <w:r w:rsidRPr="00024D5A">
        <w:rPr>
          <w:rFonts w:ascii="Garamond" w:hAnsi="Garamond"/>
          <w:lang w:eastAsia="en-US"/>
        </w:rPr>
        <w:t>Ligji nr. 93/2014, datë 24.7.2014</w:t>
      </w:r>
      <w:r w:rsidR="00505C21" w:rsidRPr="00024D5A">
        <w:rPr>
          <w:rFonts w:ascii="Garamond" w:hAnsi="Garamond"/>
          <w:lang w:eastAsia="en-US"/>
        </w:rPr>
        <w:t>,</w:t>
      </w:r>
      <w:r w:rsidRPr="00024D5A">
        <w:rPr>
          <w:rFonts w:ascii="Garamond" w:hAnsi="Garamond"/>
          <w:lang w:eastAsia="en-US"/>
        </w:rPr>
        <w:t xml:space="preserve"> </w:t>
      </w:r>
      <w:r w:rsidR="0078161D" w:rsidRPr="00024D5A">
        <w:rPr>
          <w:rFonts w:ascii="Garamond" w:hAnsi="Garamond"/>
          <w:lang w:eastAsia="en-US"/>
        </w:rPr>
        <w:t>“</w:t>
      </w:r>
      <w:r w:rsidRPr="00024D5A">
        <w:rPr>
          <w:rFonts w:ascii="Garamond" w:hAnsi="Garamond"/>
          <w:lang w:eastAsia="en-US"/>
        </w:rPr>
        <w:t>Për përfshirjen dhe aksesueshmërinë e personave me aftësi të kufizuara</w:t>
      </w:r>
      <w:r w:rsidR="0078161D" w:rsidRPr="00024D5A">
        <w:rPr>
          <w:rFonts w:ascii="Garamond" w:hAnsi="Garamond"/>
          <w:lang w:eastAsia="en-US"/>
        </w:rPr>
        <w:t>”</w:t>
      </w:r>
      <w:r w:rsidR="004E2D67" w:rsidRPr="00024D5A">
        <w:rPr>
          <w:rFonts w:ascii="Garamond" w:hAnsi="Garamond"/>
          <w:lang w:eastAsia="en-US"/>
        </w:rPr>
        <w:t>.</w:t>
      </w:r>
    </w:p>
    <w:p w14:paraId="116C359D" w14:textId="6F44C778" w:rsidR="003E1630" w:rsidRPr="00024D5A" w:rsidRDefault="005743A8" w:rsidP="00E755A6">
      <w:pPr>
        <w:ind w:firstLine="288"/>
        <w:jc w:val="both"/>
        <w:rPr>
          <w:rFonts w:ascii="Garamond" w:hAnsi="Garamond"/>
          <w:lang w:eastAsia="en-US"/>
        </w:rPr>
      </w:pPr>
      <w:r w:rsidRPr="00024D5A">
        <w:rPr>
          <w:rFonts w:ascii="Garamond" w:hAnsi="Garamond"/>
          <w:lang w:eastAsia="en-US"/>
        </w:rPr>
        <w:t xml:space="preserve">Ligji </w:t>
      </w:r>
      <w:r w:rsidR="00505C21" w:rsidRPr="00024D5A">
        <w:rPr>
          <w:rFonts w:ascii="Garamond" w:hAnsi="Garamond"/>
          <w:lang w:eastAsia="en-US"/>
        </w:rPr>
        <w:t>n</w:t>
      </w:r>
      <w:r w:rsidRPr="00024D5A">
        <w:rPr>
          <w:rFonts w:ascii="Garamond" w:hAnsi="Garamond"/>
          <w:lang w:eastAsia="en-US"/>
        </w:rPr>
        <w:t>r. 10221/2010</w:t>
      </w:r>
      <w:r w:rsidR="00505C21" w:rsidRPr="00024D5A">
        <w:rPr>
          <w:rFonts w:ascii="Garamond" w:hAnsi="Garamond"/>
          <w:lang w:eastAsia="en-US"/>
        </w:rPr>
        <w:t>,</w:t>
      </w:r>
      <w:r w:rsidRPr="00024D5A">
        <w:rPr>
          <w:rFonts w:ascii="Garamond" w:hAnsi="Garamond"/>
          <w:lang w:eastAsia="en-US"/>
        </w:rPr>
        <w:t xml:space="preserve"> </w:t>
      </w:r>
      <w:r w:rsidR="0078161D" w:rsidRPr="00024D5A">
        <w:rPr>
          <w:rFonts w:ascii="Garamond" w:hAnsi="Garamond"/>
          <w:lang w:eastAsia="en-US"/>
        </w:rPr>
        <w:t>“</w:t>
      </w:r>
      <w:r w:rsidRPr="00024D5A">
        <w:rPr>
          <w:rFonts w:ascii="Garamond" w:hAnsi="Garamond"/>
          <w:lang w:eastAsia="en-US"/>
        </w:rPr>
        <w:t>Për mbrojtjen nga diskriminimi</w:t>
      </w:r>
      <w:r w:rsidR="0078161D" w:rsidRPr="00024D5A">
        <w:rPr>
          <w:rFonts w:ascii="Garamond" w:hAnsi="Garamond"/>
          <w:lang w:eastAsia="en-US"/>
        </w:rPr>
        <w:t>”</w:t>
      </w:r>
      <w:r w:rsidR="00505C21" w:rsidRPr="00024D5A">
        <w:rPr>
          <w:rFonts w:ascii="Garamond" w:hAnsi="Garamond"/>
          <w:lang w:eastAsia="en-US"/>
        </w:rPr>
        <w:t xml:space="preserve">, </w:t>
      </w:r>
      <w:r w:rsidRPr="00024D5A">
        <w:rPr>
          <w:rFonts w:ascii="Garamond" w:hAnsi="Garamond"/>
          <w:lang w:eastAsia="en-US"/>
        </w:rPr>
        <w:t>i ndryshuar</w:t>
      </w:r>
      <w:r w:rsidR="00505C21" w:rsidRPr="00024D5A">
        <w:rPr>
          <w:rFonts w:ascii="Garamond" w:hAnsi="Garamond"/>
          <w:lang w:eastAsia="en-US"/>
        </w:rPr>
        <w:t>.</w:t>
      </w:r>
    </w:p>
    <w:p w14:paraId="7F517810" w14:textId="72C30CE6" w:rsidR="003E1630" w:rsidRPr="00024D5A" w:rsidRDefault="005743A8" w:rsidP="00E755A6">
      <w:pPr>
        <w:ind w:firstLine="288"/>
        <w:jc w:val="both"/>
        <w:rPr>
          <w:rFonts w:ascii="Garamond" w:hAnsi="Garamond"/>
          <w:lang w:eastAsia="en-US"/>
        </w:rPr>
      </w:pPr>
      <w:r w:rsidRPr="00024D5A">
        <w:rPr>
          <w:rFonts w:ascii="Garamond" w:hAnsi="Garamond"/>
          <w:lang w:eastAsia="en-US"/>
        </w:rPr>
        <w:t xml:space="preserve">Ligji </w:t>
      </w:r>
      <w:r w:rsidR="00505C21" w:rsidRPr="00024D5A">
        <w:rPr>
          <w:rFonts w:ascii="Garamond" w:hAnsi="Garamond"/>
          <w:lang w:eastAsia="en-US"/>
        </w:rPr>
        <w:t>n</w:t>
      </w:r>
      <w:r w:rsidRPr="00024D5A">
        <w:rPr>
          <w:rFonts w:ascii="Garamond" w:hAnsi="Garamond"/>
          <w:lang w:eastAsia="en-US"/>
        </w:rPr>
        <w:t>r. 111/2017</w:t>
      </w:r>
      <w:r w:rsidR="00505C21" w:rsidRPr="00024D5A">
        <w:rPr>
          <w:rFonts w:ascii="Garamond" w:hAnsi="Garamond"/>
          <w:lang w:eastAsia="en-US"/>
        </w:rPr>
        <w:t>,</w:t>
      </w:r>
      <w:r w:rsidRPr="00024D5A">
        <w:rPr>
          <w:rFonts w:ascii="Garamond" w:hAnsi="Garamond"/>
          <w:lang w:eastAsia="en-US"/>
        </w:rPr>
        <w:t xml:space="preserve"> </w:t>
      </w:r>
      <w:r w:rsidR="0078161D" w:rsidRPr="00024D5A">
        <w:rPr>
          <w:rFonts w:ascii="Garamond" w:hAnsi="Garamond"/>
          <w:lang w:eastAsia="en-US"/>
        </w:rPr>
        <w:t>“</w:t>
      </w:r>
      <w:r w:rsidRPr="00024D5A">
        <w:rPr>
          <w:rFonts w:ascii="Garamond" w:hAnsi="Garamond"/>
          <w:lang w:eastAsia="en-US"/>
        </w:rPr>
        <w:t>Për ndihmën juridike të garantuar nga shteti</w:t>
      </w:r>
      <w:r w:rsidR="0078161D" w:rsidRPr="00024D5A">
        <w:rPr>
          <w:rFonts w:ascii="Garamond" w:hAnsi="Garamond"/>
          <w:lang w:eastAsia="en-US"/>
        </w:rPr>
        <w:t>”</w:t>
      </w:r>
      <w:r w:rsidRPr="00024D5A">
        <w:rPr>
          <w:rFonts w:ascii="Garamond" w:hAnsi="Garamond"/>
          <w:lang w:eastAsia="en-US"/>
        </w:rPr>
        <w:t>.</w:t>
      </w:r>
    </w:p>
    <w:p w14:paraId="7377E835" w14:textId="77777777" w:rsidR="003E1630" w:rsidRPr="00024D5A" w:rsidRDefault="005743A8" w:rsidP="00E755A6">
      <w:pPr>
        <w:ind w:firstLine="288"/>
        <w:jc w:val="both"/>
        <w:rPr>
          <w:rFonts w:ascii="Garamond" w:hAnsi="Garamond"/>
          <w:b/>
          <w:bCs/>
          <w:i/>
          <w:iCs/>
          <w:lang w:eastAsia="en-US"/>
        </w:rPr>
      </w:pPr>
      <w:r w:rsidRPr="00024D5A">
        <w:rPr>
          <w:rFonts w:ascii="Garamond" w:hAnsi="Garamond"/>
          <w:b/>
          <w:bCs/>
          <w:i/>
          <w:iCs/>
          <w:lang w:eastAsia="en-US"/>
        </w:rPr>
        <w:t>III. Shëndetësia</w:t>
      </w:r>
    </w:p>
    <w:p w14:paraId="5A1436C2" w14:textId="5DCF75AB" w:rsidR="003E1630" w:rsidRPr="00024D5A" w:rsidRDefault="005743A8" w:rsidP="00E755A6">
      <w:pPr>
        <w:ind w:firstLine="288"/>
        <w:jc w:val="both"/>
        <w:rPr>
          <w:rFonts w:ascii="Garamond" w:hAnsi="Garamond"/>
          <w:lang w:eastAsia="en-US"/>
        </w:rPr>
      </w:pPr>
      <w:r w:rsidRPr="00024D5A">
        <w:rPr>
          <w:rFonts w:ascii="Garamond" w:hAnsi="Garamond"/>
          <w:lang w:eastAsia="en-US"/>
        </w:rPr>
        <w:t xml:space="preserve">Ligji </w:t>
      </w:r>
      <w:r w:rsidR="00505C21" w:rsidRPr="00024D5A">
        <w:rPr>
          <w:rFonts w:ascii="Garamond" w:hAnsi="Garamond"/>
          <w:lang w:eastAsia="en-US"/>
        </w:rPr>
        <w:t>n</w:t>
      </w:r>
      <w:r w:rsidRPr="00024D5A">
        <w:rPr>
          <w:rFonts w:ascii="Garamond" w:hAnsi="Garamond"/>
          <w:lang w:eastAsia="en-US"/>
        </w:rPr>
        <w:t xml:space="preserve">r. 10 107, </w:t>
      </w:r>
      <w:r w:rsidR="00505C21" w:rsidRPr="00024D5A">
        <w:rPr>
          <w:rFonts w:ascii="Garamond" w:hAnsi="Garamond"/>
          <w:lang w:eastAsia="en-US"/>
        </w:rPr>
        <w:t>d</w:t>
      </w:r>
      <w:r w:rsidRPr="00024D5A">
        <w:rPr>
          <w:rFonts w:ascii="Garamond" w:hAnsi="Garamond"/>
          <w:lang w:eastAsia="en-US"/>
        </w:rPr>
        <w:t>atë 30.3.2009</w:t>
      </w:r>
      <w:r w:rsidR="00505C21" w:rsidRPr="00024D5A">
        <w:rPr>
          <w:rFonts w:ascii="Garamond" w:hAnsi="Garamond"/>
          <w:lang w:eastAsia="en-US"/>
        </w:rPr>
        <w:t>,</w:t>
      </w:r>
      <w:r w:rsidRPr="00024D5A">
        <w:rPr>
          <w:rFonts w:ascii="Garamond" w:hAnsi="Garamond"/>
          <w:lang w:eastAsia="en-US"/>
        </w:rPr>
        <w:t xml:space="preserve"> </w:t>
      </w:r>
      <w:r w:rsidR="0078161D" w:rsidRPr="00024D5A">
        <w:rPr>
          <w:rFonts w:ascii="Garamond" w:hAnsi="Garamond"/>
          <w:lang w:eastAsia="en-US"/>
        </w:rPr>
        <w:t>“</w:t>
      </w:r>
      <w:r w:rsidRPr="00024D5A">
        <w:rPr>
          <w:rFonts w:ascii="Garamond" w:hAnsi="Garamond"/>
          <w:lang w:eastAsia="en-US"/>
        </w:rPr>
        <w:t>Për kujdesin shëndetësor në Republikën e Shqipërisë</w:t>
      </w:r>
      <w:r w:rsidR="0078161D" w:rsidRPr="00024D5A">
        <w:rPr>
          <w:rFonts w:ascii="Garamond" w:hAnsi="Garamond"/>
          <w:lang w:eastAsia="en-US"/>
        </w:rPr>
        <w:t>”</w:t>
      </w:r>
      <w:r w:rsidR="00505C21" w:rsidRPr="00024D5A">
        <w:rPr>
          <w:rFonts w:ascii="Garamond" w:hAnsi="Garamond"/>
          <w:lang w:eastAsia="en-US"/>
        </w:rPr>
        <w:t>.</w:t>
      </w:r>
    </w:p>
    <w:p w14:paraId="548593E8" w14:textId="745DBE90" w:rsidR="003E1630" w:rsidRPr="00024D5A" w:rsidRDefault="005743A8" w:rsidP="00E755A6">
      <w:pPr>
        <w:ind w:firstLine="288"/>
        <w:jc w:val="both"/>
        <w:rPr>
          <w:rFonts w:ascii="Garamond" w:hAnsi="Garamond"/>
          <w:lang w:eastAsia="en-US"/>
        </w:rPr>
      </w:pPr>
      <w:r w:rsidRPr="00024D5A">
        <w:rPr>
          <w:rFonts w:ascii="Garamond" w:hAnsi="Garamond"/>
          <w:lang w:eastAsia="en-US"/>
        </w:rPr>
        <w:t xml:space="preserve">Ligji </w:t>
      </w:r>
      <w:r w:rsidR="00505C21" w:rsidRPr="00024D5A">
        <w:rPr>
          <w:rFonts w:ascii="Garamond" w:hAnsi="Garamond"/>
          <w:lang w:eastAsia="en-US"/>
        </w:rPr>
        <w:t>n</w:t>
      </w:r>
      <w:r w:rsidRPr="00024D5A">
        <w:rPr>
          <w:rFonts w:ascii="Garamond" w:hAnsi="Garamond"/>
          <w:lang w:eastAsia="en-US"/>
        </w:rPr>
        <w:t>r. 10 383, datë 24.2.2011</w:t>
      </w:r>
      <w:r w:rsidR="00505C21" w:rsidRPr="00024D5A">
        <w:rPr>
          <w:rFonts w:ascii="Garamond" w:hAnsi="Garamond"/>
          <w:lang w:eastAsia="en-US"/>
        </w:rPr>
        <w:t>,</w:t>
      </w:r>
      <w:r w:rsidRPr="00024D5A">
        <w:rPr>
          <w:rFonts w:ascii="Garamond" w:hAnsi="Garamond"/>
          <w:lang w:eastAsia="en-US"/>
        </w:rPr>
        <w:t xml:space="preserve"> </w:t>
      </w:r>
      <w:r w:rsidR="0078161D" w:rsidRPr="00024D5A">
        <w:rPr>
          <w:rFonts w:ascii="Garamond" w:hAnsi="Garamond"/>
          <w:lang w:eastAsia="en-US"/>
        </w:rPr>
        <w:t>“</w:t>
      </w:r>
      <w:r w:rsidRPr="00024D5A">
        <w:rPr>
          <w:rFonts w:ascii="Garamond" w:hAnsi="Garamond"/>
          <w:lang w:eastAsia="en-US"/>
        </w:rPr>
        <w:t xml:space="preserve">Për </w:t>
      </w:r>
      <w:r w:rsidR="004E2D67" w:rsidRPr="00024D5A">
        <w:rPr>
          <w:rFonts w:ascii="Garamond" w:hAnsi="Garamond"/>
          <w:lang w:eastAsia="en-US"/>
        </w:rPr>
        <w:t>sigurimin e detyru</w:t>
      </w:r>
      <w:r w:rsidRPr="00024D5A">
        <w:rPr>
          <w:rFonts w:ascii="Garamond" w:hAnsi="Garamond"/>
          <w:lang w:eastAsia="en-US"/>
        </w:rPr>
        <w:t xml:space="preserve">eshëm të </w:t>
      </w:r>
      <w:r w:rsidR="004E2D67" w:rsidRPr="00024D5A">
        <w:rPr>
          <w:rFonts w:ascii="Garamond" w:hAnsi="Garamond"/>
          <w:lang w:eastAsia="en-US"/>
        </w:rPr>
        <w:t xml:space="preserve">kujdesit shëndetësor në </w:t>
      </w:r>
      <w:r w:rsidRPr="00024D5A">
        <w:rPr>
          <w:rFonts w:ascii="Garamond" w:hAnsi="Garamond"/>
          <w:lang w:eastAsia="en-US"/>
        </w:rPr>
        <w:t>Republikën e Shqipërisë</w:t>
      </w:r>
      <w:r w:rsidR="0078161D" w:rsidRPr="00024D5A">
        <w:rPr>
          <w:rFonts w:ascii="Garamond" w:hAnsi="Garamond"/>
          <w:lang w:eastAsia="en-US"/>
        </w:rPr>
        <w:t>”</w:t>
      </w:r>
      <w:r w:rsidRPr="00024D5A">
        <w:rPr>
          <w:rFonts w:ascii="Garamond" w:hAnsi="Garamond"/>
          <w:lang w:eastAsia="en-US"/>
        </w:rPr>
        <w:t xml:space="preserve">, </w:t>
      </w:r>
      <w:r w:rsidR="00505C21" w:rsidRPr="00024D5A">
        <w:rPr>
          <w:rFonts w:ascii="Garamond" w:hAnsi="Garamond"/>
          <w:lang w:eastAsia="en-US"/>
        </w:rPr>
        <w:t>i ndryshuar.</w:t>
      </w:r>
    </w:p>
    <w:p w14:paraId="2388068C" w14:textId="4962998E" w:rsidR="003E1630" w:rsidRPr="00024D5A" w:rsidRDefault="005743A8" w:rsidP="00E755A6">
      <w:pPr>
        <w:ind w:firstLine="288"/>
        <w:jc w:val="both"/>
        <w:rPr>
          <w:rFonts w:ascii="Garamond" w:hAnsi="Garamond"/>
          <w:lang w:eastAsia="en-US"/>
        </w:rPr>
      </w:pPr>
      <w:r w:rsidRPr="00024D5A">
        <w:rPr>
          <w:rFonts w:ascii="Garamond" w:hAnsi="Garamond"/>
          <w:lang w:eastAsia="en-US"/>
        </w:rPr>
        <w:t xml:space="preserve">Ligji </w:t>
      </w:r>
      <w:r w:rsidR="00505C21" w:rsidRPr="00024D5A">
        <w:rPr>
          <w:rFonts w:ascii="Garamond" w:hAnsi="Garamond"/>
          <w:lang w:eastAsia="en-US"/>
        </w:rPr>
        <w:t>n</w:t>
      </w:r>
      <w:r w:rsidRPr="00024D5A">
        <w:rPr>
          <w:rFonts w:ascii="Garamond" w:hAnsi="Garamond"/>
          <w:lang w:eastAsia="en-US"/>
        </w:rPr>
        <w:t>r. 44/2012</w:t>
      </w:r>
      <w:r w:rsidR="00505C21" w:rsidRPr="00024D5A">
        <w:rPr>
          <w:rFonts w:ascii="Garamond" w:hAnsi="Garamond"/>
          <w:lang w:eastAsia="en-US"/>
        </w:rPr>
        <w:t>,</w:t>
      </w:r>
      <w:r w:rsidRPr="00024D5A">
        <w:rPr>
          <w:rFonts w:ascii="Garamond" w:hAnsi="Garamond"/>
          <w:lang w:eastAsia="en-US"/>
        </w:rPr>
        <w:t xml:space="preserve"> </w:t>
      </w:r>
      <w:r w:rsidR="0078161D" w:rsidRPr="00024D5A">
        <w:rPr>
          <w:rFonts w:ascii="Garamond" w:hAnsi="Garamond"/>
          <w:lang w:eastAsia="en-US"/>
        </w:rPr>
        <w:t>“</w:t>
      </w:r>
      <w:r w:rsidRPr="00024D5A">
        <w:rPr>
          <w:rFonts w:ascii="Garamond" w:hAnsi="Garamond"/>
          <w:lang w:eastAsia="en-US"/>
        </w:rPr>
        <w:t xml:space="preserve">Për </w:t>
      </w:r>
      <w:r w:rsidR="004E2D67" w:rsidRPr="00024D5A">
        <w:rPr>
          <w:rFonts w:ascii="Garamond" w:hAnsi="Garamond"/>
          <w:lang w:eastAsia="en-US"/>
        </w:rPr>
        <w:t>shëndetin m</w:t>
      </w:r>
      <w:r w:rsidRPr="00024D5A">
        <w:rPr>
          <w:rFonts w:ascii="Garamond" w:hAnsi="Garamond"/>
          <w:lang w:eastAsia="en-US"/>
        </w:rPr>
        <w:t>endor</w:t>
      </w:r>
      <w:r w:rsidR="0078161D" w:rsidRPr="00024D5A">
        <w:rPr>
          <w:rFonts w:ascii="Garamond" w:hAnsi="Garamond"/>
          <w:lang w:eastAsia="en-US"/>
        </w:rPr>
        <w:t>”</w:t>
      </w:r>
      <w:r w:rsidRPr="00024D5A">
        <w:rPr>
          <w:rFonts w:ascii="Garamond" w:hAnsi="Garamond"/>
          <w:lang w:eastAsia="en-US"/>
        </w:rPr>
        <w:t xml:space="preserve">, </w:t>
      </w:r>
      <w:r w:rsidR="00505C21" w:rsidRPr="00024D5A">
        <w:rPr>
          <w:rFonts w:ascii="Garamond" w:hAnsi="Garamond"/>
          <w:lang w:eastAsia="en-US"/>
        </w:rPr>
        <w:t>i ndryshuar.</w:t>
      </w:r>
    </w:p>
    <w:p w14:paraId="346FE57A" w14:textId="05901B34" w:rsidR="003E1630" w:rsidRPr="00024D5A" w:rsidRDefault="005743A8" w:rsidP="00E755A6">
      <w:pPr>
        <w:ind w:firstLine="288"/>
        <w:jc w:val="both"/>
        <w:rPr>
          <w:rFonts w:ascii="Garamond" w:hAnsi="Garamond"/>
          <w:lang w:eastAsia="en-US"/>
        </w:rPr>
      </w:pPr>
      <w:r w:rsidRPr="00024D5A">
        <w:rPr>
          <w:rFonts w:ascii="Garamond" w:hAnsi="Garamond"/>
          <w:lang w:eastAsia="en-US"/>
        </w:rPr>
        <w:t xml:space="preserve">Ligji </w:t>
      </w:r>
      <w:r w:rsidR="00505C21" w:rsidRPr="00024D5A">
        <w:rPr>
          <w:rFonts w:ascii="Garamond" w:hAnsi="Garamond"/>
          <w:lang w:eastAsia="en-US"/>
        </w:rPr>
        <w:t>n</w:t>
      </w:r>
      <w:r w:rsidRPr="00024D5A">
        <w:rPr>
          <w:rFonts w:ascii="Garamond" w:hAnsi="Garamond"/>
          <w:lang w:eastAsia="en-US"/>
        </w:rPr>
        <w:t>r. 105/2014</w:t>
      </w:r>
      <w:r w:rsidR="00505C21" w:rsidRPr="00024D5A">
        <w:rPr>
          <w:rFonts w:ascii="Garamond" w:hAnsi="Garamond"/>
          <w:lang w:eastAsia="en-US"/>
        </w:rPr>
        <w:t>,</w:t>
      </w:r>
      <w:r w:rsidRPr="00024D5A">
        <w:rPr>
          <w:rFonts w:ascii="Garamond" w:hAnsi="Garamond"/>
          <w:lang w:eastAsia="en-US"/>
        </w:rPr>
        <w:t xml:space="preserve"> </w:t>
      </w:r>
      <w:r w:rsidR="0078161D" w:rsidRPr="00024D5A">
        <w:rPr>
          <w:rFonts w:ascii="Garamond" w:hAnsi="Garamond"/>
          <w:lang w:eastAsia="en-US"/>
        </w:rPr>
        <w:t>“</w:t>
      </w:r>
      <w:r w:rsidRPr="00024D5A">
        <w:rPr>
          <w:rFonts w:ascii="Garamond" w:hAnsi="Garamond"/>
          <w:lang w:eastAsia="en-US"/>
        </w:rPr>
        <w:t>Për barnat dhe shërbimin farmaceutik</w:t>
      </w:r>
      <w:r w:rsidR="0078161D" w:rsidRPr="00024D5A">
        <w:rPr>
          <w:rFonts w:ascii="Garamond" w:hAnsi="Garamond"/>
          <w:lang w:eastAsia="en-US"/>
        </w:rPr>
        <w:t>”</w:t>
      </w:r>
      <w:r w:rsidRPr="00024D5A">
        <w:rPr>
          <w:rFonts w:ascii="Garamond" w:hAnsi="Garamond"/>
          <w:lang w:eastAsia="en-US"/>
        </w:rPr>
        <w:t xml:space="preserve">, </w:t>
      </w:r>
      <w:r w:rsidR="00505C21" w:rsidRPr="00024D5A">
        <w:rPr>
          <w:rFonts w:ascii="Garamond" w:hAnsi="Garamond"/>
          <w:lang w:eastAsia="en-US"/>
        </w:rPr>
        <w:t>i ndryshuar.</w:t>
      </w:r>
    </w:p>
    <w:p w14:paraId="43C35123" w14:textId="17FEE2D1" w:rsidR="003E1630" w:rsidRPr="00024D5A" w:rsidRDefault="005743A8" w:rsidP="00E755A6">
      <w:pPr>
        <w:ind w:firstLine="288"/>
        <w:jc w:val="both"/>
        <w:rPr>
          <w:rFonts w:ascii="Garamond" w:hAnsi="Garamond"/>
          <w:lang w:eastAsia="en-US"/>
        </w:rPr>
      </w:pPr>
      <w:r w:rsidRPr="00024D5A">
        <w:rPr>
          <w:rFonts w:ascii="Garamond" w:hAnsi="Garamond"/>
          <w:lang w:eastAsia="en-US"/>
        </w:rPr>
        <w:t xml:space="preserve">Ligji </w:t>
      </w:r>
      <w:r w:rsidR="00505C21" w:rsidRPr="00024D5A">
        <w:rPr>
          <w:rFonts w:ascii="Garamond" w:hAnsi="Garamond"/>
          <w:lang w:eastAsia="en-US"/>
        </w:rPr>
        <w:t>n</w:t>
      </w:r>
      <w:r w:rsidRPr="00024D5A">
        <w:rPr>
          <w:rFonts w:ascii="Garamond" w:hAnsi="Garamond"/>
          <w:lang w:eastAsia="en-US"/>
        </w:rPr>
        <w:t>r. 9928, datë 9.6.2008</w:t>
      </w:r>
      <w:r w:rsidR="00505C21" w:rsidRPr="00024D5A">
        <w:rPr>
          <w:rFonts w:ascii="Garamond" w:hAnsi="Garamond"/>
          <w:lang w:eastAsia="en-US"/>
        </w:rPr>
        <w:t>,</w:t>
      </w:r>
      <w:r w:rsidRPr="00024D5A">
        <w:rPr>
          <w:rFonts w:ascii="Garamond" w:hAnsi="Garamond"/>
          <w:lang w:eastAsia="en-US"/>
        </w:rPr>
        <w:t xml:space="preserve"> </w:t>
      </w:r>
      <w:r w:rsidR="0078161D" w:rsidRPr="00024D5A">
        <w:rPr>
          <w:rFonts w:ascii="Garamond" w:hAnsi="Garamond"/>
          <w:lang w:eastAsia="en-US"/>
        </w:rPr>
        <w:t>“</w:t>
      </w:r>
      <w:r w:rsidRPr="00024D5A">
        <w:rPr>
          <w:rFonts w:ascii="Garamond" w:hAnsi="Garamond"/>
          <w:lang w:eastAsia="en-US"/>
        </w:rPr>
        <w:t>Për shërbimin shëndetësor stomatologjik në Republikën e Shqipërisë</w:t>
      </w:r>
      <w:r w:rsidR="0078161D" w:rsidRPr="00024D5A">
        <w:rPr>
          <w:rFonts w:ascii="Garamond" w:hAnsi="Garamond"/>
          <w:lang w:eastAsia="en-US"/>
        </w:rPr>
        <w:t>”</w:t>
      </w:r>
      <w:r w:rsidRPr="00024D5A">
        <w:rPr>
          <w:rFonts w:ascii="Garamond" w:hAnsi="Garamond"/>
          <w:lang w:eastAsia="en-US"/>
        </w:rPr>
        <w:t>.</w:t>
      </w:r>
    </w:p>
    <w:p w14:paraId="370C810F" w14:textId="08D456EE" w:rsidR="003E1630" w:rsidRPr="00024D5A" w:rsidRDefault="005743A8" w:rsidP="00E755A6">
      <w:pPr>
        <w:ind w:firstLine="288"/>
        <w:jc w:val="both"/>
        <w:rPr>
          <w:rFonts w:ascii="Garamond" w:hAnsi="Garamond"/>
          <w:lang w:eastAsia="en-US"/>
        </w:rPr>
      </w:pPr>
      <w:r w:rsidRPr="00024D5A">
        <w:rPr>
          <w:rFonts w:ascii="Garamond" w:hAnsi="Garamond"/>
          <w:lang w:eastAsia="en-US"/>
        </w:rPr>
        <w:t xml:space="preserve">VKM </w:t>
      </w:r>
      <w:r w:rsidR="00505C21" w:rsidRPr="00024D5A">
        <w:rPr>
          <w:rFonts w:ascii="Garamond" w:hAnsi="Garamond"/>
          <w:lang w:eastAsia="en-US"/>
        </w:rPr>
        <w:t>nr</w:t>
      </w:r>
      <w:r w:rsidRPr="00024D5A">
        <w:rPr>
          <w:rFonts w:ascii="Garamond" w:hAnsi="Garamond"/>
          <w:lang w:eastAsia="en-US"/>
        </w:rPr>
        <w:t>. 419, datë 4.7.2018</w:t>
      </w:r>
      <w:r w:rsidR="00505C21" w:rsidRPr="00024D5A">
        <w:rPr>
          <w:rFonts w:ascii="Garamond" w:hAnsi="Garamond"/>
          <w:lang w:eastAsia="en-US"/>
        </w:rPr>
        <w:t>,</w:t>
      </w:r>
      <w:r w:rsidRPr="00024D5A">
        <w:rPr>
          <w:rFonts w:ascii="Garamond" w:hAnsi="Garamond"/>
          <w:lang w:eastAsia="en-US"/>
        </w:rPr>
        <w:t xml:space="preserve"> </w:t>
      </w:r>
      <w:r w:rsidR="0078161D" w:rsidRPr="00024D5A">
        <w:rPr>
          <w:rFonts w:ascii="Garamond" w:hAnsi="Garamond"/>
          <w:lang w:eastAsia="en-US"/>
        </w:rPr>
        <w:t>“</w:t>
      </w:r>
      <w:r w:rsidRPr="00024D5A">
        <w:rPr>
          <w:rFonts w:ascii="Garamond" w:hAnsi="Garamond"/>
          <w:lang w:eastAsia="en-US"/>
        </w:rPr>
        <w:t>Për krijimin, mënyrën e organizimit dhe të funksionimit të Operatorit të Shërbimeve të Kujdesit Shëndetësor</w:t>
      </w:r>
      <w:r w:rsidR="0078161D" w:rsidRPr="00024D5A">
        <w:rPr>
          <w:rFonts w:ascii="Garamond" w:hAnsi="Garamond"/>
          <w:lang w:eastAsia="en-US"/>
        </w:rPr>
        <w:t>”</w:t>
      </w:r>
      <w:r w:rsidRPr="00024D5A">
        <w:rPr>
          <w:rFonts w:ascii="Garamond" w:hAnsi="Garamond"/>
          <w:lang w:eastAsia="en-US"/>
        </w:rPr>
        <w:t>.</w:t>
      </w:r>
    </w:p>
    <w:p w14:paraId="75BFF204" w14:textId="2E36C9DA" w:rsidR="003E1630" w:rsidRPr="00024D5A" w:rsidRDefault="005743A8" w:rsidP="00E755A6">
      <w:pPr>
        <w:ind w:firstLine="288"/>
        <w:jc w:val="both"/>
        <w:rPr>
          <w:rFonts w:ascii="Garamond" w:hAnsi="Garamond"/>
          <w:lang w:eastAsia="en-US"/>
        </w:rPr>
      </w:pPr>
      <w:r w:rsidRPr="00024D5A">
        <w:rPr>
          <w:rFonts w:ascii="Garamond" w:hAnsi="Garamond"/>
          <w:lang w:eastAsia="en-US"/>
        </w:rPr>
        <w:t xml:space="preserve">VKM </w:t>
      </w:r>
      <w:r w:rsidR="00505C21" w:rsidRPr="00024D5A">
        <w:rPr>
          <w:rFonts w:ascii="Garamond" w:hAnsi="Garamond"/>
          <w:lang w:eastAsia="en-US"/>
        </w:rPr>
        <w:t>n</w:t>
      </w:r>
      <w:r w:rsidRPr="00024D5A">
        <w:rPr>
          <w:rFonts w:ascii="Garamond" w:hAnsi="Garamond"/>
          <w:lang w:eastAsia="en-US"/>
        </w:rPr>
        <w:t>r. 101, datë 4.2.2015</w:t>
      </w:r>
      <w:r w:rsidR="00505C21" w:rsidRPr="00024D5A">
        <w:rPr>
          <w:rFonts w:ascii="Garamond" w:hAnsi="Garamond"/>
          <w:lang w:eastAsia="en-US"/>
        </w:rPr>
        <w:t>,</w:t>
      </w:r>
      <w:r w:rsidRPr="00024D5A">
        <w:rPr>
          <w:rFonts w:ascii="Garamond" w:hAnsi="Garamond"/>
          <w:lang w:eastAsia="en-US"/>
        </w:rPr>
        <w:t xml:space="preserve"> </w:t>
      </w:r>
      <w:r w:rsidR="0078161D" w:rsidRPr="00024D5A">
        <w:rPr>
          <w:rFonts w:ascii="Garamond" w:hAnsi="Garamond"/>
          <w:lang w:eastAsia="en-US"/>
        </w:rPr>
        <w:t>“</w:t>
      </w:r>
      <w:r w:rsidRPr="00024D5A">
        <w:rPr>
          <w:rFonts w:ascii="Garamond" w:hAnsi="Garamond"/>
          <w:lang w:eastAsia="en-US"/>
        </w:rPr>
        <w:t xml:space="preserve">Për miratimin e </w:t>
      </w:r>
      <w:r w:rsidR="004E2D67" w:rsidRPr="00024D5A">
        <w:rPr>
          <w:rFonts w:ascii="Garamond" w:hAnsi="Garamond"/>
          <w:lang w:eastAsia="en-US"/>
        </w:rPr>
        <w:t>paketës së shërbimeve shëndetësore</w:t>
      </w:r>
      <w:r w:rsidRPr="00024D5A">
        <w:rPr>
          <w:rFonts w:ascii="Garamond" w:hAnsi="Garamond"/>
          <w:lang w:eastAsia="en-US"/>
        </w:rPr>
        <w:t xml:space="preserve">, në kujdesin shëndetësor parësor publik, që financohet nga </w:t>
      </w:r>
      <w:r w:rsidR="004E2D67" w:rsidRPr="00024D5A">
        <w:rPr>
          <w:rFonts w:ascii="Garamond" w:hAnsi="Garamond"/>
          <w:lang w:eastAsia="en-US"/>
        </w:rPr>
        <w:t>fondi i sigurimit të detyrueshëm të kujdesit shëndetësor</w:t>
      </w:r>
      <w:r w:rsidR="0078161D" w:rsidRPr="00024D5A">
        <w:rPr>
          <w:rFonts w:ascii="Garamond" w:hAnsi="Garamond"/>
          <w:lang w:eastAsia="en-US"/>
        </w:rPr>
        <w:t>”</w:t>
      </w:r>
      <w:r w:rsidRPr="00024D5A">
        <w:rPr>
          <w:rFonts w:ascii="Garamond" w:hAnsi="Garamond"/>
          <w:lang w:eastAsia="en-US"/>
        </w:rPr>
        <w:t>, i ndryshuar me VKM</w:t>
      </w:r>
      <w:r w:rsidR="004E2D67" w:rsidRPr="00024D5A">
        <w:rPr>
          <w:rFonts w:ascii="Garamond" w:hAnsi="Garamond"/>
          <w:lang w:eastAsia="en-US"/>
        </w:rPr>
        <w:t>-në</w:t>
      </w:r>
      <w:r w:rsidRPr="00024D5A">
        <w:rPr>
          <w:rFonts w:ascii="Garamond" w:hAnsi="Garamond"/>
          <w:lang w:eastAsia="en-US"/>
        </w:rPr>
        <w:t xml:space="preserve"> nr. 352, datë 12.6.2018.</w:t>
      </w:r>
    </w:p>
    <w:p w14:paraId="5FB46DED" w14:textId="56AE6C99" w:rsidR="003E1630" w:rsidRPr="00024D5A" w:rsidRDefault="005743A8" w:rsidP="00E755A6">
      <w:pPr>
        <w:ind w:firstLine="288"/>
        <w:jc w:val="both"/>
        <w:rPr>
          <w:rFonts w:ascii="Garamond" w:hAnsi="Garamond"/>
          <w:lang w:eastAsia="en-US"/>
        </w:rPr>
      </w:pPr>
      <w:r w:rsidRPr="00024D5A">
        <w:rPr>
          <w:rFonts w:ascii="Garamond" w:hAnsi="Garamond"/>
          <w:lang w:eastAsia="en-US"/>
        </w:rPr>
        <w:t xml:space="preserve">VKM </w:t>
      </w:r>
      <w:r w:rsidR="00505C21" w:rsidRPr="00024D5A">
        <w:rPr>
          <w:rFonts w:ascii="Garamond" w:hAnsi="Garamond"/>
          <w:lang w:eastAsia="en-US"/>
        </w:rPr>
        <w:t>n</w:t>
      </w:r>
      <w:r w:rsidRPr="00024D5A">
        <w:rPr>
          <w:rFonts w:ascii="Garamond" w:hAnsi="Garamond"/>
          <w:lang w:eastAsia="en-US"/>
        </w:rPr>
        <w:t>r. 837</w:t>
      </w:r>
      <w:r w:rsidR="00505C21" w:rsidRPr="00024D5A">
        <w:rPr>
          <w:rFonts w:ascii="Garamond" w:hAnsi="Garamond"/>
          <w:lang w:eastAsia="en-US"/>
        </w:rPr>
        <w:t>,</w:t>
      </w:r>
      <w:r w:rsidRPr="00024D5A">
        <w:rPr>
          <w:rFonts w:ascii="Garamond" w:hAnsi="Garamond"/>
          <w:lang w:eastAsia="en-US"/>
        </w:rPr>
        <w:t xml:space="preserve"> </w:t>
      </w:r>
      <w:r w:rsidR="00505C21" w:rsidRPr="00024D5A">
        <w:rPr>
          <w:rFonts w:ascii="Garamond" w:hAnsi="Garamond"/>
          <w:lang w:eastAsia="en-US"/>
        </w:rPr>
        <w:t>d</w:t>
      </w:r>
      <w:r w:rsidRPr="00024D5A">
        <w:rPr>
          <w:rFonts w:ascii="Garamond" w:hAnsi="Garamond"/>
          <w:lang w:eastAsia="en-US"/>
        </w:rPr>
        <w:t>atë 3.12.2014</w:t>
      </w:r>
      <w:r w:rsidR="00505C21" w:rsidRPr="00024D5A">
        <w:rPr>
          <w:rFonts w:ascii="Garamond" w:hAnsi="Garamond"/>
          <w:lang w:eastAsia="en-US"/>
        </w:rPr>
        <w:t>,</w:t>
      </w:r>
      <w:r w:rsidRPr="00024D5A">
        <w:rPr>
          <w:rFonts w:ascii="Garamond" w:hAnsi="Garamond"/>
          <w:lang w:eastAsia="en-US"/>
        </w:rPr>
        <w:t xml:space="preserve"> </w:t>
      </w:r>
      <w:r w:rsidR="0078161D" w:rsidRPr="00024D5A">
        <w:rPr>
          <w:rFonts w:ascii="Garamond" w:hAnsi="Garamond"/>
          <w:lang w:eastAsia="en-US"/>
        </w:rPr>
        <w:t>“</w:t>
      </w:r>
      <w:r w:rsidRPr="00024D5A">
        <w:rPr>
          <w:rFonts w:ascii="Garamond" w:hAnsi="Garamond"/>
          <w:lang w:eastAsia="en-US"/>
        </w:rPr>
        <w:t>Për njohjen e gjuhës së shenjave në Republikën e Shqipërisë</w:t>
      </w:r>
      <w:r w:rsidR="0078161D" w:rsidRPr="00024D5A">
        <w:rPr>
          <w:rFonts w:ascii="Garamond" w:hAnsi="Garamond"/>
          <w:lang w:eastAsia="en-US"/>
        </w:rPr>
        <w:t>”</w:t>
      </w:r>
    </w:p>
    <w:p w14:paraId="27E9FB49" w14:textId="605A2753" w:rsidR="003E1630" w:rsidRPr="00024D5A" w:rsidRDefault="005743A8" w:rsidP="00E755A6">
      <w:pPr>
        <w:ind w:firstLine="288"/>
        <w:jc w:val="both"/>
        <w:rPr>
          <w:rFonts w:ascii="Garamond" w:hAnsi="Garamond"/>
          <w:lang w:eastAsia="en-US"/>
        </w:rPr>
      </w:pPr>
      <w:r w:rsidRPr="00024D5A">
        <w:rPr>
          <w:rFonts w:ascii="Garamond" w:hAnsi="Garamond"/>
          <w:lang w:eastAsia="en-US"/>
        </w:rPr>
        <w:t xml:space="preserve">VKM </w:t>
      </w:r>
      <w:r w:rsidR="00505C21" w:rsidRPr="00024D5A">
        <w:rPr>
          <w:rFonts w:ascii="Garamond" w:hAnsi="Garamond"/>
          <w:lang w:eastAsia="en-US"/>
        </w:rPr>
        <w:t>n</w:t>
      </w:r>
      <w:r w:rsidRPr="00024D5A">
        <w:rPr>
          <w:rFonts w:ascii="Garamond" w:hAnsi="Garamond"/>
          <w:lang w:eastAsia="en-US"/>
        </w:rPr>
        <w:t xml:space="preserve">r. 1074, datë 23.12.2015, </w:t>
      </w:r>
      <w:r w:rsidR="0078161D" w:rsidRPr="00024D5A">
        <w:rPr>
          <w:rFonts w:ascii="Garamond" w:hAnsi="Garamond"/>
          <w:lang w:eastAsia="en-US"/>
        </w:rPr>
        <w:t>“</w:t>
      </w:r>
      <w:r w:rsidRPr="00024D5A">
        <w:rPr>
          <w:rFonts w:ascii="Garamond" w:hAnsi="Garamond"/>
          <w:lang w:eastAsia="en-US"/>
        </w:rPr>
        <w:t>Për masat për heqjen e pengesave mjedisore dhe të infrastrukturës në ofrimin e shërbimeve publike</w:t>
      </w:r>
      <w:r w:rsidR="0078161D" w:rsidRPr="00024D5A">
        <w:rPr>
          <w:rFonts w:ascii="Garamond" w:hAnsi="Garamond"/>
          <w:lang w:eastAsia="en-US"/>
        </w:rPr>
        <w:t>”</w:t>
      </w:r>
      <w:r w:rsidRPr="00024D5A">
        <w:rPr>
          <w:rFonts w:ascii="Garamond" w:hAnsi="Garamond"/>
          <w:lang w:eastAsia="en-US"/>
        </w:rPr>
        <w:t>.</w:t>
      </w:r>
    </w:p>
    <w:p w14:paraId="5659DF5B" w14:textId="79793931" w:rsidR="003E1630" w:rsidRPr="00024D5A" w:rsidRDefault="005743A8" w:rsidP="00E755A6">
      <w:pPr>
        <w:ind w:firstLine="288"/>
        <w:jc w:val="both"/>
        <w:rPr>
          <w:rFonts w:ascii="Garamond" w:hAnsi="Garamond"/>
          <w:lang w:eastAsia="en-US"/>
        </w:rPr>
      </w:pPr>
      <w:r w:rsidRPr="00024D5A">
        <w:rPr>
          <w:rFonts w:ascii="Garamond" w:hAnsi="Garamond"/>
          <w:lang w:eastAsia="en-US"/>
        </w:rPr>
        <w:t xml:space="preserve">VKM </w:t>
      </w:r>
      <w:r w:rsidR="00505C21" w:rsidRPr="00024D5A">
        <w:rPr>
          <w:rFonts w:ascii="Garamond" w:hAnsi="Garamond"/>
          <w:lang w:eastAsia="en-US"/>
        </w:rPr>
        <w:t>n</w:t>
      </w:r>
      <w:r w:rsidRPr="00024D5A">
        <w:rPr>
          <w:rFonts w:ascii="Garamond" w:hAnsi="Garamond"/>
          <w:lang w:eastAsia="en-US"/>
        </w:rPr>
        <w:t xml:space="preserve">r. 411, </w:t>
      </w:r>
      <w:r w:rsidR="00505C21" w:rsidRPr="00024D5A">
        <w:rPr>
          <w:rFonts w:ascii="Garamond" w:hAnsi="Garamond"/>
          <w:lang w:eastAsia="en-US"/>
        </w:rPr>
        <w:t>d</w:t>
      </w:r>
      <w:r w:rsidRPr="00024D5A">
        <w:rPr>
          <w:rFonts w:ascii="Garamond" w:hAnsi="Garamond"/>
          <w:lang w:eastAsia="en-US"/>
        </w:rPr>
        <w:t xml:space="preserve">atë 19.6.2019, </w:t>
      </w:r>
      <w:r w:rsidR="0078161D" w:rsidRPr="00024D5A">
        <w:rPr>
          <w:rFonts w:ascii="Garamond" w:hAnsi="Garamond"/>
          <w:lang w:eastAsia="en-US"/>
        </w:rPr>
        <w:t>“</w:t>
      </w:r>
      <w:r w:rsidRPr="00024D5A">
        <w:rPr>
          <w:rFonts w:ascii="Garamond" w:hAnsi="Garamond"/>
          <w:lang w:eastAsia="en-US"/>
        </w:rPr>
        <w:t xml:space="preserve">Për disa ndryshime në </w:t>
      </w:r>
      <w:r w:rsidR="00D00D22" w:rsidRPr="00024D5A">
        <w:rPr>
          <w:rFonts w:ascii="Garamond" w:hAnsi="Garamond"/>
          <w:lang w:eastAsia="en-US"/>
        </w:rPr>
        <w:t xml:space="preserve">vendimin </w:t>
      </w:r>
      <w:r w:rsidRPr="00024D5A">
        <w:rPr>
          <w:rFonts w:ascii="Garamond" w:hAnsi="Garamond"/>
          <w:lang w:eastAsia="en-US"/>
        </w:rPr>
        <w:t xml:space="preserve">nr. 708, datë 26.8.2015, </w:t>
      </w:r>
      <w:r w:rsidR="00D00D22" w:rsidRPr="00024D5A">
        <w:rPr>
          <w:rFonts w:ascii="Garamond" w:hAnsi="Garamond"/>
          <w:lang w:eastAsia="en-US"/>
        </w:rPr>
        <w:t>të</w:t>
      </w:r>
      <w:r w:rsidRPr="00024D5A">
        <w:rPr>
          <w:rFonts w:ascii="Garamond" w:hAnsi="Garamond"/>
          <w:lang w:eastAsia="en-US"/>
        </w:rPr>
        <w:t xml:space="preserve"> Këshillit të Ministrave</w:t>
      </w:r>
      <w:r w:rsidR="00D00D22" w:rsidRPr="00024D5A">
        <w:rPr>
          <w:rFonts w:ascii="Garamond" w:hAnsi="Garamond"/>
          <w:lang w:eastAsia="en-US"/>
        </w:rPr>
        <w:t>, ‘</w:t>
      </w:r>
      <w:r w:rsidRPr="00024D5A">
        <w:rPr>
          <w:rFonts w:ascii="Garamond" w:hAnsi="Garamond"/>
          <w:lang w:eastAsia="en-US"/>
        </w:rPr>
        <w:t>Për llojet, periodicitetin dhe mënyrën e raportimit të të dhënave statistikore për aftësinë e kufizuar nga strukturat shtetërore përgjegjëse, në nivelin qendror dhe lokal</w:t>
      </w:r>
      <w:r w:rsidR="00D00D22" w:rsidRPr="00024D5A">
        <w:rPr>
          <w:rFonts w:ascii="Garamond" w:hAnsi="Garamond"/>
          <w:lang w:eastAsia="en-US"/>
        </w:rPr>
        <w:t>’</w:t>
      </w:r>
      <w:r w:rsidR="0078161D" w:rsidRPr="00024D5A">
        <w:rPr>
          <w:rFonts w:ascii="Garamond" w:hAnsi="Garamond"/>
          <w:lang w:eastAsia="en-US"/>
        </w:rPr>
        <w:t>”</w:t>
      </w:r>
      <w:r w:rsidRPr="00024D5A">
        <w:rPr>
          <w:rFonts w:ascii="Garamond" w:hAnsi="Garamond"/>
          <w:lang w:eastAsia="en-US"/>
        </w:rPr>
        <w:t>.</w:t>
      </w:r>
    </w:p>
    <w:p w14:paraId="6DC4BA0C" w14:textId="5D0E6DBF" w:rsidR="003E1630" w:rsidRPr="00024D5A" w:rsidRDefault="005743A8" w:rsidP="00D00D22">
      <w:pPr>
        <w:ind w:firstLine="288"/>
        <w:jc w:val="both"/>
        <w:rPr>
          <w:rFonts w:ascii="Garamond" w:hAnsi="Garamond"/>
          <w:lang w:eastAsia="en-US"/>
        </w:rPr>
      </w:pPr>
      <w:r w:rsidRPr="00024D5A">
        <w:rPr>
          <w:rFonts w:ascii="Garamond" w:hAnsi="Garamond"/>
          <w:lang w:eastAsia="en-US"/>
        </w:rPr>
        <w:t xml:space="preserve">VKM </w:t>
      </w:r>
      <w:r w:rsidR="00505C21" w:rsidRPr="00024D5A">
        <w:rPr>
          <w:rFonts w:ascii="Garamond" w:hAnsi="Garamond"/>
          <w:lang w:eastAsia="en-US"/>
        </w:rPr>
        <w:t>n</w:t>
      </w:r>
      <w:r w:rsidRPr="00024D5A">
        <w:rPr>
          <w:rFonts w:ascii="Garamond" w:hAnsi="Garamond"/>
          <w:lang w:eastAsia="en-US"/>
        </w:rPr>
        <w:t>r. 196, datë 4.4.2018</w:t>
      </w:r>
      <w:r w:rsidR="00505C21" w:rsidRPr="00024D5A">
        <w:rPr>
          <w:rFonts w:ascii="Garamond" w:hAnsi="Garamond"/>
          <w:lang w:eastAsia="en-US"/>
        </w:rPr>
        <w:t>,</w:t>
      </w:r>
      <w:r w:rsidRPr="00024D5A">
        <w:rPr>
          <w:rFonts w:ascii="Garamond" w:hAnsi="Garamond"/>
          <w:lang w:eastAsia="en-US"/>
        </w:rPr>
        <w:t xml:space="preserve"> </w:t>
      </w:r>
      <w:r w:rsidR="0078161D" w:rsidRPr="00024D5A">
        <w:rPr>
          <w:rFonts w:ascii="Garamond" w:hAnsi="Garamond"/>
          <w:lang w:eastAsia="en-US"/>
        </w:rPr>
        <w:t>“</w:t>
      </w:r>
      <w:r w:rsidR="00505C21" w:rsidRPr="00024D5A">
        <w:rPr>
          <w:rFonts w:ascii="Garamond" w:hAnsi="Garamond"/>
          <w:lang w:eastAsia="en-US"/>
        </w:rPr>
        <w:t>P</w:t>
      </w:r>
      <w:r w:rsidRPr="00024D5A">
        <w:rPr>
          <w:rFonts w:ascii="Garamond" w:hAnsi="Garamond"/>
          <w:lang w:eastAsia="en-US"/>
        </w:rPr>
        <w:t>ër një ndryshim në vendimin nr. 48, datë 21.1.2015, të Këshillit</w:t>
      </w:r>
      <w:r w:rsidR="00D00D22" w:rsidRPr="00024D5A">
        <w:rPr>
          <w:rFonts w:ascii="Garamond" w:hAnsi="Garamond"/>
          <w:lang w:eastAsia="en-US"/>
        </w:rPr>
        <w:t xml:space="preserve"> </w:t>
      </w:r>
      <w:r w:rsidRPr="00024D5A">
        <w:rPr>
          <w:rFonts w:ascii="Garamond" w:hAnsi="Garamond"/>
          <w:lang w:eastAsia="en-US"/>
        </w:rPr>
        <w:t xml:space="preserve">të Ministrave, </w:t>
      </w:r>
      <w:r w:rsidR="0078161D" w:rsidRPr="00024D5A">
        <w:rPr>
          <w:rFonts w:ascii="Garamond" w:hAnsi="Garamond"/>
          <w:lang w:eastAsia="en-US"/>
        </w:rPr>
        <w:t>“</w:t>
      </w:r>
      <w:r w:rsidRPr="00024D5A">
        <w:rPr>
          <w:rFonts w:ascii="Garamond" w:hAnsi="Garamond"/>
          <w:lang w:eastAsia="en-US"/>
        </w:rPr>
        <w:t>Për miratimin e rregullores për funksionimin e Këshillit Kombëtar për Aftësinë e Kufizuar</w:t>
      </w:r>
      <w:r w:rsidR="0078161D" w:rsidRPr="00024D5A">
        <w:rPr>
          <w:rFonts w:ascii="Garamond" w:hAnsi="Garamond"/>
          <w:lang w:eastAsia="en-US"/>
        </w:rPr>
        <w:t>”</w:t>
      </w:r>
      <w:r w:rsidRPr="00024D5A">
        <w:rPr>
          <w:rFonts w:ascii="Garamond" w:hAnsi="Garamond"/>
          <w:lang w:eastAsia="en-US"/>
        </w:rPr>
        <w:t>.</w:t>
      </w:r>
    </w:p>
    <w:p w14:paraId="5098F9D7" w14:textId="2D13D3C9" w:rsidR="003E1630" w:rsidRPr="00024D5A" w:rsidRDefault="005743A8" w:rsidP="00D00D22">
      <w:pPr>
        <w:ind w:firstLine="288"/>
        <w:jc w:val="both"/>
        <w:rPr>
          <w:rFonts w:ascii="Garamond" w:hAnsi="Garamond"/>
          <w:lang w:eastAsia="en-US"/>
        </w:rPr>
      </w:pPr>
      <w:r w:rsidRPr="00024D5A">
        <w:rPr>
          <w:rFonts w:ascii="Garamond" w:hAnsi="Garamond"/>
          <w:lang w:eastAsia="en-US"/>
        </w:rPr>
        <w:t>VKM nr. 874, datë 24.12.2019</w:t>
      </w:r>
      <w:r w:rsidR="00505C21" w:rsidRPr="00024D5A">
        <w:rPr>
          <w:rFonts w:ascii="Garamond" w:hAnsi="Garamond"/>
          <w:lang w:eastAsia="en-US"/>
        </w:rPr>
        <w:t>,</w:t>
      </w:r>
      <w:r w:rsidRPr="00024D5A">
        <w:rPr>
          <w:rFonts w:ascii="Garamond" w:hAnsi="Garamond"/>
          <w:lang w:eastAsia="en-US"/>
        </w:rPr>
        <w:t xml:space="preserve"> </w:t>
      </w:r>
      <w:r w:rsidR="0078161D" w:rsidRPr="00024D5A">
        <w:rPr>
          <w:rFonts w:ascii="Garamond" w:hAnsi="Garamond"/>
          <w:lang w:eastAsia="en-US"/>
        </w:rPr>
        <w:t>“</w:t>
      </w:r>
      <w:r w:rsidRPr="00024D5A">
        <w:rPr>
          <w:rFonts w:ascii="Garamond" w:hAnsi="Garamond"/>
          <w:lang w:eastAsia="en-US"/>
        </w:rPr>
        <w:t>Për mënyrën e ofrimit të ndihmës personale dhe kriteret për</w:t>
      </w:r>
      <w:r w:rsidR="00D00D22" w:rsidRPr="00024D5A">
        <w:rPr>
          <w:rFonts w:ascii="Garamond" w:hAnsi="Garamond"/>
          <w:lang w:eastAsia="en-US"/>
        </w:rPr>
        <w:t xml:space="preserve"> </w:t>
      </w:r>
      <w:r w:rsidRPr="00024D5A">
        <w:rPr>
          <w:rFonts w:ascii="Garamond" w:hAnsi="Garamond"/>
          <w:lang w:eastAsia="en-US"/>
        </w:rPr>
        <w:t>zgjedhjen e ndihmësit personal</w:t>
      </w:r>
      <w:r w:rsidR="0078161D" w:rsidRPr="00024D5A">
        <w:rPr>
          <w:rFonts w:ascii="Garamond" w:hAnsi="Garamond"/>
          <w:lang w:eastAsia="en-US"/>
        </w:rPr>
        <w:t>”</w:t>
      </w:r>
      <w:r w:rsidRPr="00024D5A">
        <w:rPr>
          <w:rFonts w:ascii="Garamond" w:hAnsi="Garamond"/>
          <w:lang w:eastAsia="en-US"/>
        </w:rPr>
        <w:t>.</w:t>
      </w:r>
    </w:p>
    <w:p w14:paraId="6251F1D6" w14:textId="7FECF7B2" w:rsidR="003E1630" w:rsidRPr="00024D5A" w:rsidRDefault="005743A8" w:rsidP="00E755A6">
      <w:pPr>
        <w:ind w:firstLine="288"/>
        <w:jc w:val="both"/>
        <w:rPr>
          <w:rFonts w:ascii="Garamond" w:hAnsi="Garamond"/>
          <w:b/>
          <w:bCs/>
          <w:i/>
          <w:iCs/>
          <w:lang w:eastAsia="en-US"/>
        </w:rPr>
      </w:pPr>
      <w:r w:rsidRPr="00024D5A">
        <w:rPr>
          <w:rFonts w:ascii="Garamond" w:hAnsi="Garamond"/>
          <w:b/>
          <w:bCs/>
          <w:i/>
          <w:iCs/>
          <w:lang w:eastAsia="en-US"/>
        </w:rPr>
        <w:t xml:space="preserve">IV. Mbrojtja </w:t>
      </w:r>
      <w:r w:rsidR="00E755A6" w:rsidRPr="00024D5A">
        <w:rPr>
          <w:rFonts w:ascii="Garamond" w:hAnsi="Garamond"/>
          <w:b/>
          <w:bCs/>
          <w:i/>
          <w:iCs/>
          <w:lang w:eastAsia="en-US"/>
        </w:rPr>
        <w:t>sociale</w:t>
      </w:r>
    </w:p>
    <w:p w14:paraId="7CB792CD" w14:textId="52D540E5" w:rsidR="003E1630" w:rsidRPr="00024D5A" w:rsidRDefault="005743A8" w:rsidP="00E755A6">
      <w:pPr>
        <w:ind w:firstLine="288"/>
        <w:jc w:val="both"/>
        <w:rPr>
          <w:rFonts w:ascii="Garamond" w:eastAsia="Times New Roman" w:hAnsi="Garamond"/>
          <w:lang w:eastAsia="en-US"/>
        </w:rPr>
      </w:pPr>
      <w:r w:rsidRPr="00024D5A">
        <w:rPr>
          <w:rFonts w:ascii="Garamond" w:eastAsia="Times New Roman" w:hAnsi="Garamond"/>
          <w:lang w:eastAsia="en-US"/>
        </w:rPr>
        <w:t xml:space="preserve">Ligji </w:t>
      </w:r>
      <w:r w:rsidR="00505C21" w:rsidRPr="00024D5A">
        <w:rPr>
          <w:rFonts w:ascii="Garamond" w:eastAsia="Times New Roman" w:hAnsi="Garamond"/>
          <w:lang w:eastAsia="en-US"/>
        </w:rPr>
        <w:t>n</w:t>
      </w:r>
      <w:r w:rsidRPr="00024D5A">
        <w:rPr>
          <w:rFonts w:ascii="Garamond" w:eastAsia="Times New Roman" w:hAnsi="Garamond"/>
          <w:lang w:eastAsia="en-US"/>
        </w:rPr>
        <w:t>r. 121/2016</w:t>
      </w:r>
      <w:r w:rsidR="00505C21" w:rsidRPr="00024D5A">
        <w:rPr>
          <w:rFonts w:ascii="Garamond" w:eastAsia="Times New Roman" w:hAnsi="Garamond"/>
          <w:lang w:eastAsia="en-US"/>
        </w:rPr>
        <w:t xml:space="preserve">, </w:t>
      </w:r>
      <w:r w:rsidR="0078161D" w:rsidRPr="00024D5A">
        <w:rPr>
          <w:rFonts w:ascii="Garamond" w:eastAsia="Times New Roman" w:hAnsi="Garamond"/>
          <w:lang w:eastAsia="en-US"/>
        </w:rPr>
        <w:t>“</w:t>
      </w:r>
      <w:r w:rsidRPr="00024D5A">
        <w:rPr>
          <w:rFonts w:ascii="Garamond" w:eastAsia="Times New Roman" w:hAnsi="Garamond"/>
          <w:lang w:eastAsia="en-US"/>
        </w:rPr>
        <w:t>Për shërbimet e kujdesit shoqëror në Republikën e Shqipërisë</w:t>
      </w:r>
      <w:r w:rsidR="0078161D" w:rsidRPr="00024D5A">
        <w:rPr>
          <w:rFonts w:ascii="Garamond" w:eastAsia="Times New Roman" w:hAnsi="Garamond"/>
          <w:lang w:eastAsia="en-US"/>
        </w:rPr>
        <w:t>”</w:t>
      </w:r>
      <w:r w:rsidR="00505C21" w:rsidRPr="00024D5A">
        <w:rPr>
          <w:rFonts w:ascii="Garamond" w:eastAsia="Times New Roman" w:hAnsi="Garamond"/>
          <w:lang w:eastAsia="en-US"/>
        </w:rPr>
        <w:t>.</w:t>
      </w:r>
    </w:p>
    <w:p w14:paraId="2987D08A" w14:textId="71A36A3D" w:rsidR="003E1630" w:rsidRPr="00024D5A" w:rsidRDefault="005743A8" w:rsidP="00E755A6">
      <w:pPr>
        <w:ind w:firstLine="288"/>
        <w:jc w:val="both"/>
        <w:rPr>
          <w:rFonts w:ascii="Garamond" w:eastAsia="Times New Roman" w:hAnsi="Garamond"/>
          <w:lang w:eastAsia="en-US"/>
        </w:rPr>
      </w:pPr>
      <w:r w:rsidRPr="00024D5A">
        <w:rPr>
          <w:rFonts w:ascii="Garamond" w:eastAsia="Times New Roman" w:hAnsi="Garamond"/>
          <w:lang w:eastAsia="en-US"/>
        </w:rPr>
        <w:t xml:space="preserve">Ligji </w:t>
      </w:r>
      <w:r w:rsidR="00505C21" w:rsidRPr="00024D5A">
        <w:rPr>
          <w:rFonts w:ascii="Garamond" w:eastAsia="Times New Roman" w:hAnsi="Garamond"/>
          <w:lang w:eastAsia="en-US"/>
        </w:rPr>
        <w:t>n</w:t>
      </w:r>
      <w:r w:rsidRPr="00024D5A">
        <w:rPr>
          <w:rFonts w:ascii="Garamond" w:eastAsia="Times New Roman" w:hAnsi="Garamond"/>
          <w:lang w:eastAsia="en-US"/>
        </w:rPr>
        <w:t>r. 92/2025</w:t>
      </w:r>
      <w:r w:rsidR="00505C21" w:rsidRPr="00024D5A">
        <w:rPr>
          <w:rFonts w:ascii="Garamond" w:eastAsia="Times New Roman" w:hAnsi="Garamond"/>
          <w:lang w:eastAsia="en-US"/>
        </w:rPr>
        <w:t>,</w:t>
      </w:r>
      <w:r w:rsidRPr="00024D5A">
        <w:rPr>
          <w:rFonts w:ascii="Garamond" w:eastAsia="Times New Roman" w:hAnsi="Garamond"/>
          <w:lang w:eastAsia="en-US"/>
        </w:rPr>
        <w:t xml:space="preserve"> </w:t>
      </w:r>
      <w:r w:rsidR="0078161D" w:rsidRPr="00024D5A">
        <w:rPr>
          <w:rFonts w:ascii="Garamond" w:eastAsia="Times New Roman" w:hAnsi="Garamond"/>
          <w:lang w:eastAsia="en-US"/>
        </w:rPr>
        <w:t>“</w:t>
      </w:r>
      <w:r w:rsidRPr="00024D5A">
        <w:rPr>
          <w:rFonts w:ascii="Garamond" w:eastAsia="Times New Roman" w:hAnsi="Garamond"/>
          <w:lang w:eastAsia="en-US"/>
        </w:rPr>
        <w:t>Për kujdesin alternativ në familje në Republikën e Shqipërisë</w:t>
      </w:r>
      <w:r w:rsidR="0078161D" w:rsidRPr="00024D5A">
        <w:rPr>
          <w:rFonts w:ascii="Garamond" w:eastAsia="Times New Roman" w:hAnsi="Garamond"/>
          <w:lang w:eastAsia="en-US"/>
        </w:rPr>
        <w:t>”</w:t>
      </w:r>
      <w:r w:rsidRPr="00024D5A">
        <w:rPr>
          <w:rFonts w:ascii="Garamond" w:eastAsia="Times New Roman" w:hAnsi="Garamond"/>
          <w:lang w:eastAsia="en-US"/>
        </w:rPr>
        <w:t>.</w:t>
      </w:r>
    </w:p>
    <w:p w14:paraId="5A580098" w14:textId="37F1CAC4" w:rsidR="003E1630" w:rsidRPr="00024D5A" w:rsidRDefault="005743A8" w:rsidP="00E755A6">
      <w:pPr>
        <w:ind w:firstLine="288"/>
        <w:jc w:val="both"/>
        <w:rPr>
          <w:rFonts w:ascii="Garamond" w:eastAsia="Times New Roman" w:hAnsi="Garamond"/>
          <w:lang w:eastAsia="en-US"/>
        </w:rPr>
      </w:pPr>
      <w:r w:rsidRPr="00024D5A">
        <w:rPr>
          <w:rFonts w:ascii="Garamond" w:eastAsia="Times New Roman" w:hAnsi="Garamond"/>
          <w:lang w:eastAsia="en-US"/>
        </w:rPr>
        <w:t xml:space="preserve">VKM </w:t>
      </w:r>
      <w:r w:rsidR="00505C21" w:rsidRPr="00024D5A">
        <w:rPr>
          <w:rFonts w:ascii="Garamond" w:eastAsia="Times New Roman" w:hAnsi="Garamond"/>
          <w:lang w:eastAsia="en-US"/>
        </w:rPr>
        <w:t>n</w:t>
      </w:r>
      <w:r w:rsidRPr="00024D5A">
        <w:rPr>
          <w:rFonts w:ascii="Garamond" w:eastAsia="Times New Roman" w:hAnsi="Garamond"/>
          <w:lang w:eastAsia="en-US"/>
        </w:rPr>
        <w:t>r. 637, datë 27.10.202</w:t>
      </w:r>
      <w:r w:rsidR="00505C21" w:rsidRPr="00024D5A">
        <w:rPr>
          <w:rFonts w:ascii="Garamond" w:eastAsia="Times New Roman" w:hAnsi="Garamond"/>
          <w:lang w:eastAsia="en-US"/>
        </w:rPr>
        <w:t>1,</w:t>
      </w:r>
      <w:r w:rsidR="00D00D22" w:rsidRPr="00024D5A">
        <w:rPr>
          <w:rFonts w:ascii="Garamond" w:eastAsia="Times New Roman" w:hAnsi="Garamond"/>
          <w:lang w:eastAsia="en-US"/>
        </w:rPr>
        <w:t xml:space="preserve"> “</w:t>
      </w:r>
      <w:r w:rsidRPr="00024D5A">
        <w:rPr>
          <w:rFonts w:ascii="Garamond" w:eastAsia="Times New Roman" w:hAnsi="Garamond"/>
          <w:lang w:eastAsia="en-US"/>
        </w:rPr>
        <w:t>Për krijimin dhe mënyrën e organizimit e të funksionimit të Agjencisë së Sigurimit të Cilësisë së Kujdesit Shëndetësor dhe Shoqëror</w:t>
      </w:r>
      <w:r w:rsidR="0078161D" w:rsidRPr="00024D5A">
        <w:rPr>
          <w:rFonts w:ascii="Garamond" w:eastAsia="Times New Roman" w:hAnsi="Garamond"/>
          <w:lang w:eastAsia="en-US"/>
        </w:rPr>
        <w:t>”</w:t>
      </w:r>
      <w:r w:rsidR="00505C21" w:rsidRPr="00024D5A">
        <w:rPr>
          <w:rFonts w:ascii="Garamond" w:eastAsia="Times New Roman" w:hAnsi="Garamond"/>
          <w:lang w:eastAsia="en-US"/>
        </w:rPr>
        <w:t>.</w:t>
      </w:r>
    </w:p>
    <w:p w14:paraId="7D1BA57A" w14:textId="1BC5C53E" w:rsidR="003E1630" w:rsidRPr="00024D5A" w:rsidRDefault="005743A8" w:rsidP="00E755A6">
      <w:pPr>
        <w:ind w:firstLine="288"/>
        <w:jc w:val="both"/>
        <w:rPr>
          <w:rFonts w:ascii="Garamond" w:eastAsia="Times New Roman" w:hAnsi="Garamond"/>
          <w:lang w:eastAsia="en-US"/>
        </w:rPr>
      </w:pPr>
      <w:r w:rsidRPr="00024D5A">
        <w:rPr>
          <w:rFonts w:ascii="Garamond" w:eastAsia="Times New Roman" w:hAnsi="Garamond"/>
          <w:lang w:eastAsia="en-US"/>
        </w:rPr>
        <w:t xml:space="preserve">VKM </w:t>
      </w:r>
      <w:r w:rsidR="00505C21" w:rsidRPr="00024D5A">
        <w:rPr>
          <w:rFonts w:ascii="Garamond" w:eastAsia="Times New Roman" w:hAnsi="Garamond"/>
          <w:lang w:eastAsia="en-US"/>
        </w:rPr>
        <w:t>n</w:t>
      </w:r>
      <w:r w:rsidRPr="00024D5A">
        <w:rPr>
          <w:rFonts w:ascii="Garamond" w:eastAsia="Times New Roman" w:hAnsi="Garamond"/>
          <w:lang w:eastAsia="en-US"/>
        </w:rPr>
        <w:t>r. 111, datë 23.2.2018</w:t>
      </w:r>
      <w:r w:rsidR="00505C21" w:rsidRPr="00024D5A">
        <w:rPr>
          <w:rFonts w:ascii="Garamond" w:eastAsia="Times New Roman" w:hAnsi="Garamond"/>
          <w:lang w:eastAsia="en-US"/>
        </w:rPr>
        <w:t>,</w:t>
      </w:r>
      <w:r w:rsidRPr="00024D5A">
        <w:rPr>
          <w:rFonts w:ascii="Garamond" w:eastAsia="Times New Roman" w:hAnsi="Garamond"/>
          <w:lang w:eastAsia="en-US"/>
        </w:rPr>
        <w:t xml:space="preserve"> </w:t>
      </w:r>
      <w:r w:rsidR="0078161D" w:rsidRPr="00024D5A">
        <w:rPr>
          <w:rFonts w:ascii="Garamond" w:eastAsia="Times New Roman" w:hAnsi="Garamond"/>
          <w:lang w:eastAsia="en-US"/>
        </w:rPr>
        <w:t>“</w:t>
      </w:r>
      <w:r w:rsidRPr="00024D5A">
        <w:rPr>
          <w:rFonts w:ascii="Garamond" w:eastAsia="Times New Roman" w:hAnsi="Garamond"/>
          <w:lang w:eastAsia="en-US"/>
        </w:rPr>
        <w:t xml:space="preserve">Për krijimin dhe funksionimin </w:t>
      </w:r>
      <w:r w:rsidR="00D00D22" w:rsidRPr="00024D5A">
        <w:rPr>
          <w:rFonts w:ascii="Garamond" w:eastAsia="Times New Roman" w:hAnsi="Garamond"/>
          <w:lang w:eastAsia="en-US"/>
        </w:rPr>
        <w:t>e fondit social</w:t>
      </w:r>
      <w:r w:rsidR="0078161D" w:rsidRPr="00024D5A">
        <w:rPr>
          <w:rFonts w:ascii="Garamond" w:eastAsia="Times New Roman" w:hAnsi="Garamond"/>
          <w:lang w:eastAsia="en-US"/>
        </w:rPr>
        <w:t>”</w:t>
      </w:r>
      <w:r w:rsidRPr="00024D5A">
        <w:rPr>
          <w:rFonts w:ascii="Garamond" w:eastAsia="Times New Roman" w:hAnsi="Garamond"/>
          <w:lang w:eastAsia="en-US"/>
        </w:rPr>
        <w:t xml:space="preserve"> (</w:t>
      </w:r>
      <w:r w:rsidR="00D00D22" w:rsidRPr="00024D5A">
        <w:rPr>
          <w:rFonts w:ascii="Garamond" w:eastAsia="Times New Roman" w:hAnsi="Garamond"/>
          <w:lang w:eastAsia="en-US"/>
        </w:rPr>
        <w:t xml:space="preserve">ndryshuar </w:t>
      </w:r>
      <w:r w:rsidRPr="00024D5A">
        <w:rPr>
          <w:rFonts w:ascii="Garamond" w:eastAsia="Times New Roman" w:hAnsi="Garamond"/>
          <w:lang w:eastAsia="en-US"/>
        </w:rPr>
        <w:t>me VKM</w:t>
      </w:r>
      <w:r w:rsidR="00D00D22" w:rsidRPr="00024D5A">
        <w:rPr>
          <w:rFonts w:ascii="Garamond" w:eastAsia="Times New Roman" w:hAnsi="Garamond"/>
          <w:lang w:eastAsia="en-US"/>
        </w:rPr>
        <w:t>-në</w:t>
      </w:r>
      <w:r w:rsidRPr="00024D5A">
        <w:rPr>
          <w:rFonts w:ascii="Garamond" w:eastAsia="Times New Roman" w:hAnsi="Garamond"/>
          <w:lang w:eastAsia="en-US"/>
        </w:rPr>
        <w:t xml:space="preserve"> </w:t>
      </w:r>
      <w:r w:rsidR="00505C21" w:rsidRPr="00024D5A">
        <w:rPr>
          <w:rFonts w:ascii="Garamond" w:eastAsia="Times New Roman" w:hAnsi="Garamond"/>
          <w:lang w:eastAsia="en-US"/>
        </w:rPr>
        <w:t>n</w:t>
      </w:r>
      <w:r w:rsidRPr="00024D5A">
        <w:rPr>
          <w:rFonts w:ascii="Garamond" w:eastAsia="Times New Roman" w:hAnsi="Garamond"/>
          <w:lang w:eastAsia="en-US"/>
        </w:rPr>
        <w:t>r. 613, datë 2.10.2024</w:t>
      </w:r>
      <w:r w:rsidR="00D00D22" w:rsidRPr="00024D5A">
        <w:rPr>
          <w:rFonts w:ascii="Garamond" w:eastAsia="Times New Roman" w:hAnsi="Garamond"/>
          <w:lang w:eastAsia="en-US"/>
        </w:rPr>
        <w:t>)</w:t>
      </w:r>
      <w:r w:rsidRPr="00024D5A">
        <w:rPr>
          <w:rFonts w:ascii="Garamond" w:eastAsia="Times New Roman" w:hAnsi="Garamond"/>
          <w:lang w:eastAsia="en-US"/>
        </w:rPr>
        <w:t>.</w:t>
      </w:r>
    </w:p>
    <w:p w14:paraId="28A8267E" w14:textId="456E758B" w:rsidR="003E1630" w:rsidRPr="00024D5A" w:rsidRDefault="005743A8" w:rsidP="00E755A6">
      <w:pPr>
        <w:ind w:firstLine="288"/>
        <w:jc w:val="both"/>
        <w:rPr>
          <w:rFonts w:ascii="Garamond" w:eastAsia="Times New Roman" w:hAnsi="Garamond"/>
          <w:lang w:eastAsia="en-US"/>
        </w:rPr>
      </w:pPr>
      <w:r w:rsidRPr="00024D5A">
        <w:rPr>
          <w:rFonts w:ascii="Garamond" w:eastAsia="Times New Roman" w:hAnsi="Garamond"/>
          <w:lang w:eastAsia="en-US"/>
        </w:rPr>
        <w:t xml:space="preserve">VKM </w:t>
      </w:r>
      <w:r w:rsidR="00505C21" w:rsidRPr="00024D5A">
        <w:rPr>
          <w:rFonts w:ascii="Garamond" w:eastAsia="Times New Roman" w:hAnsi="Garamond"/>
          <w:lang w:eastAsia="en-US"/>
        </w:rPr>
        <w:t>n</w:t>
      </w:r>
      <w:r w:rsidRPr="00024D5A">
        <w:rPr>
          <w:rFonts w:ascii="Garamond" w:eastAsia="Times New Roman" w:hAnsi="Garamond"/>
          <w:lang w:eastAsia="en-US"/>
        </w:rPr>
        <w:t>r. 224/2024</w:t>
      </w:r>
      <w:r w:rsidR="00505C21" w:rsidRPr="00024D5A">
        <w:rPr>
          <w:rFonts w:ascii="Garamond" w:eastAsia="Times New Roman" w:hAnsi="Garamond"/>
          <w:lang w:eastAsia="en-US"/>
        </w:rPr>
        <w:t>,</w:t>
      </w:r>
      <w:r w:rsidRPr="00024D5A">
        <w:rPr>
          <w:rFonts w:ascii="Garamond" w:eastAsia="Times New Roman" w:hAnsi="Garamond"/>
          <w:lang w:eastAsia="en-US"/>
        </w:rPr>
        <w:t xml:space="preserve"> </w:t>
      </w:r>
      <w:r w:rsidR="0078161D" w:rsidRPr="00024D5A">
        <w:rPr>
          <w:rFonts w:ascii="Garamond" w:eastAsia="Times New Roman" w:hAnsi="Garamond"/>
          <w:lang w:eastAsia="en-US"/>
        </w:rPr>
        <w:t>“</w:t>
      </w:r>
      <w:r w:rsidRPr="00024D5A">
        <w:rPr>
          <w:rFonts w:ascii="Garamond" w:eastAsia="Times New Roman" w:hAnsi="Garamond"/>
          <w:lang w:eastAsia="en-US"/>
        </w:rPr>
        <w:t>Për metodologjinë e llogaritjes së fondeve për financimin e shërbimeve të kujdesit shoqëror</w:t>
      </w:r>
      <w:r w:rsidR="0078161D" w:rsidRPr="00024D5A">
        <w:rPr>
          <w:rFonts w:ascii="Garamond" w:eastAsia="Times New Roman" w:hAnsi="Garamond"/>
          <w:lang w:eastAsia="en-US"/>
        </w:rPr>
        <w:t>”</w:t>
      </w:r>
      <w:r w:rsidRPr="00024D5A">
        <w:rPr>
          <w:rFonts w:ascii="Garamond" w:eastAsia="Times New Roman" w:hAnsi="Garamond"/>
          <w:lang w:eastAsia="en-US"/>
        </w:rPr>
        <w:t>.</w:t>
      </w:r>
    </w:p>
    <w:p w14:paraId="55D97C46" w14:textId="37F45FFB" w:rsidR="003E1630" w:rsidRPr="00024D5A" w:rsidRDefault="005743A8" w:rsidP="00E755A6">
      <w:pPr>
        <w:ind w:firstLine="288"/>
        <w:jc w:val="both"/>
        <w:rPr>
          <w:rFonts w:ascii="Garamond" w:eastAsia="Times New Roman" w:hAnsi="Garamond"/>
          <w:lang w:eastAsia="en-US"/>
        </w:rPr>
      </w:pPr>
      <w:r w:rsidRPr="00024D5A">
        <w:rPr>
          <w:rFonts w:ascii="Garamond" w:eastAsia="Times New Roman" w:hAnsi="Garamond"/>
          <w:lang w:eastAsia="en-US"/>
        </w:rPr>
        <w:t>VKM nr. 189, datë 27.3.2024</w:t>
      </w:r>
      <w:r w:rsidR="00505C21" w:rsidRPr="00024D5A">
        <w:rPr>
          <w:rFonts w:ascii="Garamond" w:eastAsia="Times New Roman" w:hAnsi="Garamond"/>
          <w:lang w:eastAsia="en-US"/>
        </w:rPr>
        <w:t>,</w:t>
      </w:r>
      <w:r w:rsidRPr="00024D5A">
        <w:rPr>
          <w:rFonts w:ascii="Garamond" w:eastAsia="Times New Roman" w:hAnsi="Garamond"/>
          <w:lang w:eastAsia="en-US"/>
        </w:rPr>
        <w:t xml:space="preserve"> </w:t>
      </w:r>
      <w:r w:rsidR="0078161D" w:rsidRPr="00024D5A">
        <w:rPr>
          <w:rFonts w:ascii="Garamond" w:eastAsia="Times New Roman" w:hAnsi="Garamond"/>
          <w:lang w:eastAsia="en-US"/>
        </w:rPr>
        <w:t>“</w:t>
      </w:r>
      <w:r w:rsidRPr="00024D5A">
        <w:rPr>
          <w:rFonts w:ascii="Garamond" w:eastAsia="Times New Roman" w:hAnsi="Garamond"/>
          <w:lang w:eastAsia="en-US"/>
        </w:rPr>
        <w:t>Për disa shtesa dhe ndryshime n</w:t>
      </w:r>
      <w:r w:rsidR="00505C21" w:rsidRPr="00024D5A">
        <w:rPr>
          <w:rFonts w:ascii="Garamond" w:eastAsia="Times New Roman" w:hAnsi="Garamond"/>
          <w:lang w:eastAsia="en-US"/>
        </w:rPr>
        <w:t>ë</w:t>
      </w:r>
      <w:r w:rsidRPr="00024D5A">
        <w:rPr>
          <w:rFonts w:ascii="Garamond" w:eastAsia="Times New Roman" w:hAnsi="Garamond"/>
          <w:lang w:eastAsia="en-US"/>
        </w:rPr>
        <w:t xml:space="preserve"> VKM nr. 182</w:t>
      </w:r>
      <w:r w:rsidR="00505C21" w:rsidRPr="00024D5A">
        <w:rPr>
          <w:rFonts w:ascii="Garamond" w:eastAsia="Times New Roman" w:hAnsi="Garamond"/>
          <w:lang w:eastAsia="en-US"/>
        </w:rPr>
        <w:t>/2020</w:t>
      </w:r>
      <w:r w:rsidRPr="00024D5A">
        <w:rPr>
          <w:rFonts w:ascii="Garamond" w:eastAsia="Times New Roman" w:hAnsi="Garamond"/>
          <w:lang w:eastAsia="en-US"/>
        </w:rPr>
        <w:t>,</w:t>
      </w:r>
      <w:r w:rsidR="00505C21" w:rsidRPr="00024D5A">
        <w:rPr>
          <w:rFonts w:ascii="Garamond" w:eastAsia="Times New Roman" w:hAnsi="Garamond"/>
          <w:lang w:eastAsia="en-US"/>
        </w:rPr>
        <w:t xml:space="preserve"> </w:t>
      </w:r>
      <w:r w:rsidR="00D00D22" w:rsidRPr="00024D5A">
        <w:rPr>
          <w:rFonts w:ascii="Garamond" w:eastAsia="Times New Roman" w:hAnsi="Garamond"/>
          <w:lang w:eastAsia="en-US"/>
        </w:rPr>
        <w:t>‘</w:t>
      </w:r>
      <w:r w:rsidRPr="00024D5A">
        <w:rPr>
          <w:rFonts w:ascii="Garamond" w:eastAsia="Times New Roman" w:hAnsi="Garamond"/>
          <w:lang w:eastAsia="en-US"/>
        </w:rPr>
        <w:t>Për përcaktimin e masës, të kritereve, procedurave e dokumentacionit për vlerësimin dhe përfitimin e pagesës për personat me aftësi të kufizuara, si dhe të ndihmësit personal</w:t>
      </w:r>
      <w:r w:rsidR="00D00D22" w:rsidRPr="00024D5A">
        <w:rPr>
          <w:rFonts w:ascii="Garamond" w:eastAsia="Times New Roman" w:hAnsi="Garamond"/>
          <w:lang w:eastAsia="en-US"/>
        </w:rPr>
        <w:t>’”</w:t>
      </w:r>
      <w:r w:rsidR="00505C21" w:rsidRPr="00024D5A">
        <w:rPr>
          <w:rFonts w:ascii="Garamond" w:eastAsia="Times New Roman" w:hAnsi="Garamond"/>
          <w:lang w:eastAsia="en-US"/>
        </w:rPr>
        <w:t>.</w:t>
      </w:r>
    </w:p>
    <w:p w14:paraId="138174BB" w14:textId="20CEF42A" w:rsidR="003E1630" w:rsidRPr="00024D5A" w:rsidRDefault="005743A8" w:rsidP="00E755A6">
      <w:pPr>
        <w:ind w:firstLine="288"/>
        <w:jc w:val="both"/>
        <w:rPr>
          <w:rFonts w:ascii="Garamond" w:eastAsia="Times New Roman" w:hAnsi="Garamond"/>
          <w:lang w:eastAsia="en-US"/>
        </w:rPr>
      </w:pPr>
      <w:r w:rsidRPr="00024D5A">
        <w:rPr>
          <w:rFonts w:ascii="Garamond" w:eastAsia="Times New Roman" w:hAnsi="Garamond"/>
          <w:lang w:eastAsia="en-US"/>
        </w:rPr>
        <w:t>VKM nr. 492, datë 24.7.2024</w:t>
      </w:r>
      <w:r w:rsidR="00505C21" w:rsidRPr="00024D5A">
        <w:rPr>
          <w:rFonts w:ascii="Garamond" w:eastAsia="Times New Roman" w:hAnsi="Garamond"/>
          <w:lang w:eastAsia="en-US"/>
        </w:rPr>
        <w:t>,</w:t>
      </w:r>
      <w:r w:rsidRPr="00024D5A">
        <w:rPr>
          <w:rFonts w:ascii="Garamond" w:eastAsia="Times New Roman" w:hAnsi="Garamond"/>
          <w:lang w:eastAsia="en-US"/>
        </w:rPr>
        <w:t xml:space="preserve"> </w:t>
      </w:r>
      <w:r w:rsidR="0078161D" w:rsidRPr="00024D5A">
        <w:rPr>
          <w:rFonts w:ascii="Garamond" w:eastAsia="Times New Roman" w:hAnsi="Garamond"/>
          <w:lang w:eastAsia="en-US"/>
        </w:rPr>
        <w:t>“</w:t>
      </w:r>
      <w:r w:rsidRPr="00024D5A">
        <w:rPr>
          <w:rFonts w:ascii="Garamond" w:eastAsia="Times New Roman" w:hAnsi="Garamond"/>
          <w:lang w:eastAsia="en-US"/>
        </w:rPr>
        <w:t>Për një ndryshim n</w:t>
      </w:r>
      <w:r w:rsidR="00505C21" w:rsidRPr="00024D5A">
        <w:rPr>
          <w:rFonts w:ascii="Garamond" w:eastAsia="Times New Roman" w:hAnsi="Garamond"/>
          <w:lang w:eastAsia="en-US"/>
        </w:rPr>
        <w:t>ë</w:t>
      </w:r>
      <w:r w:rsidRPr="00024D5A">
        <w:rPr>
          <w:rFonts w:ascii="Garamond" w:eastAsia="Times New Roman" w:hAnsi="Garamond"/>
          <w:lang w:eastAsia="en-US"/>
        </w:rPr>
        <w:t xml:space="preserve"> VKM nr. 61, dat</w:t>
      </w:r>
      <w:r w:rsidR="00505C21" w:rsidRPr="00024D5A">
        <w:rPr>
          <w:rFonts w:ascii="Garamond" w:eastAsia="Times New Roman" w:hAnsi="Garamond"/>
          <w:lang w:eastAsia="en-US"/>
        </w:rPr>
        <w:t>ë</w:t>
      </w:r>
      <w:r w:rsidRPr="00024D5A">
        <w:rPr>
          <w:rFonts w:ascii="Garamond" w:eastAsia="Times New Roman" w:hAnsi="Garamond"/>
          <w:lang w:eastAsia="en-US"/>
        </w:rPr>
        <w:t xml:space="preserve"> 3.2.2017, </w:t>
      </w:r>
      <w:r w:rsidR="00D00D22" w:rsidRPr="00024D5A">
        <w:rPr>
          <w:rFonts w:ascii="Garamond" w:eastAsia="Times New Roman" w:hAnsi="Garamond"/>
          <w:lang w:eastAsia="en-US"/>
        </w:rPr>
        <w:t>‘</w:t>
      </w:r>
      <w:r w:rsidRPr="00024D5A">
        <w:rPr>
          <w:rFonts w:ascii="Garamond" w:eastAsia="Times New Roman" w:hAnsi="Garamond"/>
          <w:lang w:eastAsia="en-US"/>
        </w:rPr>
        <w:t>Për miratimin e paketave të pajisjeve mjekësore të rimbursueshme të ndryshuar</w:t>
      </w:r>
      <w:r w:rsidR="00D00D22" w:rsidRPr="00024D5A">
        <w:rPr>
          <w:rFonts w:ascii="Garamond" w:eastAsia="Times New Roman" w:hAnsi="Garamond"/>
          <w:lang w:eastAsia="en-US"/>
        </w:rPr>
        <w:t>’”</w:t>
      </w:r>
      <w:r w:rsidR="00505C21" w:rsidRPr="00024D5A">
        <w:rPr>
          <w:rFonts w:ascii="Garamond" w:eastAsia="Times New Roman" w:hAnsi="Garamond"/>
          <w:lang w:eastAsia="en-US"/>
        </w:rPr>
        <w:t>.</w:t>
      </w:r>
    </w:p>
    <w:p w14:paraId="6867E19A" w14:textId="3E79AC8D" w:rsidR="003E1630" w:rsidRPr="00024D5A" w:rsidRDefault="005743A8" w:rsidP="00E755A6">
      <w:pPr>
        <w:ind w:firstLine="288"/>
        <w:jc w:val="both"/>
        <w:rPr>
          <w:rFonts w:ascii="Garamond" w:eastAsia="Times New Roman" w:hAnsi="Garamond"/>
          <w:lang w:eastAsia="en-US"/>
        </w:rPr>
      </w:pPr>
      <w:r w:rsidRPr="00024D5A">
        <w:rPr>
          <w:rFonts w:ascii="Garamond" w:eastAsia="Times New Roman" w:hAnsi="Garamond"/>
          <w:lang w:eastAsia="en-US"/>
        </w:rPr>
        <w:t>VKM nr. 744, datë 4.12.2024</w:t>
      </w:r>
      <w:r w:rsidR="00505C21" w:rsidRPr="00024D5A">
        <w:rPr>
          <w:rFonts w:ascii="Garamond" w:eastAsia="Times New Roman" w:hAnsi="Garamond"/>
          <w:lang w:eastAsia="en-US"/>
        </w:rPr>
        <w:t>,</w:t>
      </w:r>
      <w:r w:rsidRPr="00024D5A">
        <w:rPr>
          <w:rFonts w:ascii="Garamond" w:eastAsia="Times New Roman" w:hAnsi="Garamond"/>
          <w:lang w:eastAsia="en-US"/>
        </w:rPr>
        <w:t xml:space="preserve"> </w:t>
      </w:r>
      <w:r w:rsidR="0078161D" w:rsidRPr="00024D5A">
        <w:rPr>
          <w:rFonts w:ascii="Garamond" w:eastAsia="Times New Roman" w:hAnsi="Garamond"/>
          <w:lang w:eastAsia="en-US"/>
        </w:rPr>
        <w:t>“</w:t>
      </w:r>
      <w:r w:rsidRPr="00024D5A">
        <w:rPr>
          <w:rFonts w:ascii="Garamond" w:eastAsia="Times New Roman" w:hAnsi="Garamond"/>
          <w:lang w:eastAsia="en-US"/>
        </w:rPr>
        <w:t>Për disa ndryshime dhe shtesa n</w:t>
      </w:r>
      <w:r w:rsidR="00AD15A2" w:rsidRPr="00024D5A">
        <w:rPr>
          <w:rFonts w:ascii="Garamond" w:eastAsia="Times New Roman" w:hAnsi="Garamond"/>
          <w:lang w:eastAsia="en-US"/>
        </w:rPr>
        <w:t>ë</w:t>
      </w:r>
      <w:r w:rsidRPr="00024D5A">
        <w:rPr>
          <w:rFonts w:ascii="Garamond" w:eastAsia="Times New Roman" w:hAnsi="Garamond"/>
          <w:lang w:eastAsia="en-US"/>
        </w:rPr>
        <w:t xml:space="preserve"> VKM nr. 78</w:t>
      </w:r>
      <w:r w:rsidR="00AD15A2" w:rsidRPr="00024D5A">
        <w:rPr>
          <w:rFonts w:ascii="Garamond" w:eastAsia="Times New Roman" w:hAnsi="Garamond"/>
          <w:lang w:eastAsia="en-US"/>
        </w:rPr>
        <w:t>,</w:t>
      </w:r>
      <w:r w:rsidRPr="00024D5A">
        <w:rPr>
          <w:rFonts w:ascii="Garamond" w:eastAsia="Times New Roman" w:hAnsi="Garamond"/>
          <w:lang w:eastAsia="en-US"/>
        </w:rPr>
        <w:t xml:space="preserve"> datë 7.2.2007,</w:t>
      </w:r>
      <w:r w:rsidR="00AD15A2" w:rsidRPr="00024D5A">
        <w:rPr>
          <w:rFonts w:ascii="Garamond" w:eastAsia="Times New Roman" w:hAnsi="Garamond"/>
          <w:lang w:eastAsia="en-US"/>
        </w:rPr>
        <w:t xml:space="preserve"> ‘</w:t>
      </w:r>
      <w:r w:rsidRPr="00024D5A">
        <w:rPr>
          <w:rFonts w:ascii="Garamond" w:eastAsia="Times New Roman" w:hAnsi="Garamond"/>
          <w:lang w:eastAsia="en-US"/>
        </w:rPr>
        <w:t>Për masën, kriteret dhe procedurat e përfitimit të një pakete të veçante higj</w:t>
      </w:r>
      <w:r w:rsidR="00D00D22" w:rsidRPr="00024D5A">
        <w:rPr>
          <w:rFonts w:ascii="Garamond" w:eastAsia="Times New Roman" w:hAnsi="Garamond"/>
          <w:lang w:eastAsia="en-US"/>
        </w:rPr>
        <w:t>i</w:t>
      </w:r>
      <w:r w:rsidRPr="00024D5A">
        <w:rPr>
          <w:rFonts w:ascii="Garamond" w:eastAsia="Times New Roman" w:hAnsi="Garamond"/>
          <w:lang w:eastAsia="en-US"/>
        </w:rPr>
        <w:t>eno-sanitare për invalidët paraplegjik dhe tetraplegjik</w:t>
      </w:r>
      <w:r w:rsidR="00AD15A2" w:rsidRPr="00024D5A">
        <w:rPr>
          <w:rFonts w:ascii="Garamond" w:eastAsia="Times New Roman" w:hAnsi="Garamond"/>
          <w:lang w:eastAsia="en-US"/>
        </w:rPr>
        <w:t>’”</w:t>
      </w:r>
      <w:r w:rsidRPr="00024D5A">
        <w:rPr>
          <w:rFonts w:ascii="Garamond" w:eastAsia="Times New Roman" w:hAnsi="Garamond"/>
          <w:lang w:eastAsia="en-US"/>
        </w:rPr>
        <w:t>, të ndryshuar.</w:t>
      </w:r>
    </w:p>
    <w:p w14:paraId="7446CF92" w14:textId="679521BF" w:rsidR="003E1630" w:rsidRPr="00024D5A" w:rsidRDefault="005743A8" w:rsidP="00E755A6">
      <w:pPr>
        <w:ind w:firstLine="288"/>
        <w:jc w:val="both"/>
        <w:rPr>
          <w:rFonts w:ascii="Garamond" w:eastAsia="Times New Roman" w:hAnsi="Garamond"/>
          <w:lang w:eastAsia="en-US"/>
        </w:rPr>
      </w:pPr>
      <w:r w:rsidRPr="00024D5A">
        <w:rPr>
          <w:rFonts w:ascii="Garamond" w:eastAsia="Times New Roman" w:hAnsi="Garamond"/>
          <w:lang w:eastAsia="en-US"/>
        </w:rPr>
        <w:t>VKM nr. 772, datë 13.12.2024</w:t>
      </w:r>
      <w:r w:rsidR="00505C21" w:rsidRPr="00024D5A">
        <w:rPr>
          <w:rFonts w:ascii="Garamond" w:eastAsia="Times New Roman" w:hAnsi="Garamond"/>
          <w:lang w:eastAsia="en-US"/>
        </w:rPr>
        <w:t>,</w:t>
      </w:r>
      <w:r w:rsidRPr="00024D5A">
        <w:rPr>
          <w:rFonts w:ascii="Garamond" w:eastAsia="Times New Roman" w:hAnsi="Garamond"/>
          <w:lang w:eastAsia="en-US"/>
        </w:rPr>
        <w:t xml:space="preserve"> </w:t>
      </w:r>
      <w:r w:rsidR="0078161D" w:rsidRPr="00024D5A">
        <w:rPr>
          <w:rFonts w:ascii="Garamond" w:eastAsia="Times New Roman" w:hAnsi="Garamond"/>
          <w:lang w:eastAsia="en-US"/>
        </w:rPr>
        <w:t>“</w:t>
      </w:r>
      <w:r w:rsidRPr="00024D5A">
        <w:rPr>
          <w:rFonts w:ascii="Garamond" w:eastAsia="Times New Roman" w:hAnsi="Garamond"/>
          <w:lang w:eastAsia="en-US"/>
        </w:rPr>
        <w:t xml:space="preserve">Për disa shtesa dhe ndryshime në VKM nr. 869, datë 18.6.2008, </w:t>
      </w:r>
      <w:r w:rsidR="00AD15A2" w:rsidRPr="00024D5A">
        <w:rPr>
          <w:rFonts w:ascii="Garamond" w:eastAsia="Times New Roman" w:hAnsi="Garamond"/>
          <w:lang w:eastAsia="en-US"/>
        </w:rPr>
        <w:t>‘</w:t>
      </w:r>
      <w:r w:rsidRPr="00024D5A">
        <w:rPr>
          <w:rFonts w:ascii="Garamond" w:eastAsia="Times New Roman" w:hAnsi="Garamond"/>
          <w:lang w:eastAsia="en-US"/>
        </w:rPr>
        <w:t>Për zbatimin e ligjit nr. 7889, datë 14.12.1994, ‘Statusi i invalidit</w:t>
      </w:r>
      <w:r w:rsidR="00AD15A2" w:rsidRPr="00024D5A">
        <w:rPr>
          <w:rFonts w:ascii="Garamond" w:eastAsia="Times New Roman" w:hAnsi="Garamond"/>
          <w:lang w:eastAsia="en-US"/>
        </w:rPr>
        <w:t>”</w:t>
      </w:r>
      <w:r w:rsidR="0078161D" w:rsidRPr="00024D5A">
        <w:rPr>
          <w:rFonts w:ascii="Garamond" w:eastAsia="Times New Roman" w:hAnsi="Garamond"/>
          <w:lang w:eastAsia="en-US"/>
        </w:rPr>
        <w:t>”</w:t>
      </w:r>
      <w:r w:rsidRPr="00024D5A">
        <w:rPr>
          <w:rFonts w:ascii="Garamond" w:eastAsia="Times New Roman" w:hAnsi="Garamond"/>
          <w:lang w:eastAsia="en-US"/>
        </w:rPr>
        <w:t>, të ndryshuar.</w:t>
      </w:r>
    </w:p>
    <w:p w14:paraId="2A0AEB2C" w14:textId="77777777" w:rsidR="003E1630" w:rsidRPr="00024D5A" w:rsidRDefault="005743A8" w:rsidP="00E755A6">
      <w:pPr>
        <w:ind w:firstLine="288"/>
        <w:jc w:val="both"/>
        <w:rPr>
          <w:rFonts w:ascii="Garamond" w:hAnsi="Garamond"/>
          <w:b/>
          <w:bCs/>
          <w:i/>
          <w:iCs/>
          <w:lang w:eastAsia="en-US"/>
        </w:rPr>
      </w:pPr>
      <w:r w:rsidRPr="00024D5A">
        <w:rPr>
          <w:rFonts w:ascii="Garamond" w:hAnsi="Garamond"/>
          <w:b/>
          <w:bCs/>
          <w:i/>
          <w:iCs/>
          <w:lang w:eastAsia="en-US"/>
        </w:rPr>
        <w:t>V. Strehimi</w:t>
      </w:r>
    </w:p>
    <w:p w14:paraId="7FECBE16" w14:textId="73FB5CEA" w:rsidR="003E1630" w:rsidRPr="00024D5A" w:rsidRDefault="005743A8" w:rsidP="00E755A6">
      <w:pPr>
        <w:ind w:firstLine="288"/>
        <w:jc w:val="both"/>
        <w:rPr>
          <w:rFonts w:ascii="Garamond" w:hAnsi="Garamond"/>
        </w:rPr>
      </w:pPr>
      <w:r w:rsidRPr="00024D5A">
        <w:rPr>
          <w:rFonts w:ascii="Garamond" w:hAnsi="Garamond"/>
        </w:rPr>
        <w:t xml:space="preserve">Ligji </w:t>
      </w:r>
      <w:r w:rsidR="00505C21" w:rsidRPr="00024D5A">
        <w:rPr>
          <w:rFonts w:ascii="Garamond" w:hAnsi="Garamond"/>
        </w:rPr>
        <w:t xml:space="preserve">nr. </w:t>
      </w:r>
      <w:r w:rsidRPr="00024D5A">
        <w:rPr>
          <w:rFonts w:ascii="Garamond" w:hAnsi="Garamond"/>
        </w:rPr>
        <w:t>22/2018</w:t>
      </w:r>
      <w:r w:rsidR="00505C21" w:rsidRPr="00024D5A">
        <w:rPr>
          <w:rFonts w:ascii="Garamond" w:hAnsi="Garamond"/>
        </w:rPr>
        <w:t>,</w:t>
      </w:r>
      <w:r w:rsidRPr="00024D5A">
        <w:rPr>
          <w:rFonts w:ascii="Garamond" w:hAnsi="Garamond"/>
        </w:rPr>
        <w:t xml:space="preserve"> </w:t>
      </w:r>
      <w:r w:rsidR="0078161D" w:rsidRPr="00024D5A">
        <w:rPr>
          <w:rFonts w:ascii="Garamond" w:hAnsi="Garamond"/>
        </w:rPr>
        <w:t>“</w:t>
      </w:r>
      <w:r w:rsidRPr="00024D5A">
        <w:rPr>
          <w:rFonts w:ascii="Garamond" w:hAnsi="Garamond"/>
        </w:rPr>
        <w:t xml:space="preserve">Për strehimin </w:t>
      </w:r>
      <w:r w:rsidR="00AD15A2" w:rsidRPr="00024D5A">
        <w:rPr>
          <w:rFonts w:ascii="Garamond" w:hAnsi="Garamond"/>
        </w:rPr>
        <w:t>social</w:t>
      </w:r>
      <w:r w:rsidR="0078161D" w:rsidRPr="00024D5A">
        <w:rPr>
          <w:rFonts w:ascii="Garamond" w:hAnsi="Garamond"/>
        </w:rPr>
        <w:t>”</w:t>
      </w:r>
      <w:r w:rsidRPr="00024D5A">
        <w:rPr>
          <w:rFonts w:ascii="Garamond" w:hAnsi="Garamond"/>
        </w:rPr>
        <w:t>.</w:t>
      </w:r>
    </w:p>
    <w:p w14:paraId="384560A8" w14:textId="4AE98870" w:rsidR="003E1630" w:rsidRPr="00024D5A" w:rsidRDefault="005743A8" w:rsidP="00E755A6">
      <w:pPr>
        <w:ind w:firstLine="288"/>
        <w:jc w:val="both"/>
        <w:rPr>
          <w:rFonts w:ascii="Garamond" w:hAnsi="Garamond"/>
          <w:lang w:eastAsia="en-US"/>
        </w:rPr>
      </w:pPr>
      <w:r w:rsidRPr="00024D5A">
        <w:rPr>
          <w:rFonts w:ascii="Garamond" w:hAnsi="Garamond"/>
          <w:lang w:eastAsia="en-US"/>
        </w:rPr>
        <w:t>Ligji nr. 48/2023</w:t>
      </w:r>
      <w:r w:rsidR="00505C21" w:rsidRPr="00024D5A">
        <w:rPr>
          <w:rFonts w:ascii="Garamond" w:hAnsi="Garamond"/>
          <w:lang w:eastAsia="en-US"/>
        </w:rPr>
        <w:t>,</w:t>
      </w:r>
      <w:r w:rsidRPr="00024D5A">
        <w:rPr>
          <w:rFonts w:ascii="Garamond" w:hAnsi="Garamond"/>
          <w:lang w:eastAsia="en-US"/>
        </w:rPr>
        <w:t xml:space="preserve"> </w:t>
      </w:r>
      <w:r w:rsidR="0078161D" w:rsidRPr="00024D5A">
        <w:rPr>
          <w:rFonts w:ascii="Garamond" w:hAnsi="Garamond"/>
          <w:lang w:eastAsia="en-US"/>
        </w:rPr>
        <w:t>“</w:t>
      </w:r>
      <w:r w:rsidR="00505C21" w:rsidRPr="00024D5A">
        <w:rPr>
          <w:rFonts w:ascii="Garamond" w:hAnsi="Garamond"/>
          <w:lang w:eastAsia="en-US"/>
        </w:rPr>
        <w:t>P</w:t>
      </w:r>
      <w:r w:rsidRPr="00024D5A">
        <w:rPr>
          <w:rFonts w:ascii="Garamond" w:hAnsi="Garamond"/>
          <w:lang w:eastAsia="en-US"/>
        </w:rPr>
        <w:t xml:space="preserve">ër disa ndryshime dhe shtesa në </w:t>
      </w:r>
      <w:r w:rsidR="00AD15A2" w:rsidRPr="00024D5A">
        <w:rPr>
          <w:rFonts w:ascii="Garamond" w:hAnsi="Garamond"/>
          <w:lang w:eastAsia="en-US"/>
        </w:rPr>
        <w:t xml:space="preserve">ligjin </w:t>
      </w:r>
      <w:r w:rsidRPr="00024D5A">
        <w:rPr>
          <w:rFonts w:ascii="Garamond" w:hAnsi="Garamond"/>
          <w:lang w:eastAsia="en-US"/>
        </w:rPr>
        <w:t xml:space="preserve">nr. 22/2018 </w:t>
      </w:r>
      <w:r w:rsidR="00AD15A2" w:rsidRPr="00024D5A">
        <w:rPr>
          <w:rFonts w:ascii="Garamond" w:hAnsi="Garamond"/>
          <w:lang w:eastAsia="en-US"/>
        </w:rPr>
        <w:t>‘</w:t>
      </w:r>
      <w:r w:rsidR="00505C21" w:rsidRPr="00024D5A">
        <w:rPr>
          <w:rFonts w:ascii="Garamond" w:hAnsi="Garamond"/>
          <w:lang w:eastAsia="en-US"/>
        </w:rPr>
        <w:t>P</w:t>
      </w:r>
      <w:r w:rsidRPr="00024D5A">
        <w:rPr>
          <w:rFonts w:ascii="Garamond" w:hAnsi="Garamond"/>
          <w:lang w:eastAsia="en-US"/>
        </w:rPr>
        <w:t>ër strehimin social</w:t>
      </w:r>
      <w:r w:rsidR="00AD15A2" w:rsidRPr="00024D5A">
        <w:rPr>
          <w:rFonts w:ascii="Garamond" w:hAnsi="Garamond"/>
          <w:lang w:eastAsia="en-US"/>
        </w:rPr>
        <w:t>’</w:t>
      </w:r>
      <w:r w:rsidR="0078161D" w:rsidRPr="00024D5A">
        <w:rPr>
          <w:rFonts w:ascii="Garamond" w:hAnsi="Garamond"/>
          <w:lang w:eastAsia="en-US"/>
        </w:rPr>
        <w:t>”</w:t>
      </w:r>
      <w:r w:rsidRPr="00024D5A">
        <w:rPr>
          <w:rFonts w:ascii="Garamond" w:hAnsi="Garamond"/>
          <w:lang w:eastAsia="en-US"/>
        </w:rPr>
        <w:t>.</w:t>
      </w:r>
    </w:p>
    <w:p w14:paraId="5899E0E0" w14:textId="4BEA0385" w:rsidR="003E1630" w:rsidRPr="00024D5A" w:rsidRDefault="005743A8" w:rsidP="00E755A6">
      <w:pPr>
        <w:ind w:firstLine="288"/>
        <w:jc w:val="both"/>
        <w:rPr>
          <w:rFonts w:ascii="Garamond" w:hAnsi="Garamond"/>
          <w:lang w:eastAsia="en-US"/>
        </w:rPr>
      </w:pPr>
      <w:r w:rsidRPr="00024D5A">
        <w:rPr>
          <w:rFonts w:ascii="Garamond" w:hAnsi="Garamond"/>
          <w:lang w:eastAsia="en-US"/>
        </w:rPr>
        <w:t xml:space="preserve">VKM </w:t>
      </w:r>
      <w:r w:rsidR="00505C21" w:rsidRPr="00024D5A">
        <w:rPr>
          <w:rFonts w:ascii="Garamond" w:hAnsi="Garamond"/>
          <w:lang w:eastAsia="en-US"/>
        </w:rPr>
        <w:t>n</w:t>
      </w:r>
      <w:r w:rsidRPr="00024D5A">
        <w:rPr>
          <w:rFonts w:ascii="Garamond" w:hAnsi="Garamond"/>
          <w:lang w:eastAsia="en-US"/>
        </w:rPr>
        <w:t>r. 555</w:t>
      </w:r>
      <w:r w:rsidR="00505C21" w:rsidRPr="00024D5A">
        <w:rPr>
          <w:rFonts w:ascii="Garamond" w:hAnsi="Garamond"/>
          <w:lang w:eastAsia="en-US"/>
        </w:rPr>
        <w:t>,</w:t>
      </w:r>
      <w:r w:rsidRPr="00024D5A">
        <w:rPr>
          <w:rFonts w:ascii="Garamond" w:hAnsi="Garamond"/>
          <w:lang w:eastAsia="en-US"/>
        </w:rPr>
        <w:t xml:space="preserve"> datë 15</w:t>
      </w:r>
      <w:r w:rsidR="00D00D22" w:rsidRPr="00024D5A">
        <w:rPr>
          <w:rFonts w:ascii="Garamond" w:hAnsi="Garamond"/>
          <w:lang w:eastAsia="en-US"/>
        </w:rPr>
        <w:t>.</w:t>
      </w:r>
      <w:r w:rsidRPr="00024D5A">
        <w:rPr>
          <w:rFonts w:ascii="Garamond" w:hAnsi="Garamond"/>
          <w:lang w:eastAsia="en-US"/>
        </w:rPr>
        <w:t>7</w:t>
      </w:r>
      <w:r w:rsidR="00D00D22" w:rsidRPr="00024D5A">
        <w:rPr>
          <w:rFonts w:ascii="Garamond" w:hAnsi="Garamond"/>
          <w:lang w:eastAsia="en-US"/>
        </w:rPr>
        <w:t>.</w:t>
      </w:r>
      <w:r w:rsidRPr="00024D5A">
        <w:rPr>
          <w:rFonts w:ascii="Garamond" w:hAnsi="Garamond"/>
          <w:lang w:eastAsia="en-US"/>
        </w:rPr>
        <w:t>2020</w:t>
      </w:r>
      <w:r w:rsidR="00505C21" w:rsidRPr="00024D5A">
        <w:rPr>
          <w:rFonts w:ascii="Garamond" w:hAnsi="Garamond"/>
          <w:lang w:eastAsia="en-US"/>
        </w:rPr>
        <w:t>,</w:t>
      </w:r>
      <w:r w:rsidRPr="00024D5A">
        <w:rPr>
          <w:rFonts w:ascii="Garamond" w:hAnsi="Garamond"/>
          <w:lang w:eastAsia="en-US"/>
        </w:rPr>
        <w:t xml:space="preserve"> </w:t>
      </w:r>
      <w:r w:rsidR="0078161D" w:rsidRPr="00024D5A">
        <w:rPr>
          <w:rFonts w:ascii="Garamond" w:hAnsi="Garamond"/>
          <w:lang w:eastAsia="en-US"/>
        </w:rPr>
        <w:t>“</w:t>
      </w:r>
      <w:r w:rsidRPr="00024D5A">
        <w:rPr>
          <w:rFonts w:ascii="Garamond" w:hAnsi="Garamond"/>
          <w:lang w:eastAsia="en-US"/>
        </w:rPr>
        <w:t>Për procedurat, kriteret dhe përparësitë për akordimin e grantit të menjëhershëm për banesat me kosto të ulët nga buxheti i shtetit</w:t>
      </w:r>
      <w:r w:rsidR="0078161D" w:rsidRPr="00024D5A">
        <w:rPr>
          <w:rFonts w:ascii="Garamond" w:hAnsi="Garamond"/>
          <w:lang w:eastAsia="en-US"/>
        </w:rPr>
        <w:t>”</w:t>
      </w:r>
      <w:r w:rsidRPr="00024D5A">
        <w:rPr>
          <w:rFonts w:ascii="Garamond" w:hAnsi="Garamond"/>
          <w:lang w:eastAsia="en-US"/>
        </w:rPr>
        <w:t>.</w:t>
      </w:r>
    </w:p>
    <w:p w14:paraId="2254D508" w14:textId="6B95E9CB" w:rsidR="003E1630" w:rsidRPr="00024D5A" w:rsidRDefault="005743A8" w:rsidP="00E755A6">
      <w:pPr>
        <w:ind w:firstLine="288"/>
        <w:jc w:val="both"/>
        <w:rPr>
          <w:rFonts w:ascii="Garamond" w:hAnsi="Garamond"/>
          <w:lang w:eastAsia="en-US"/>
        </w:rPr>
      </w:pPr>
      <w:r w:rsidRPr="00024D5A">
        <w:rPr>
          <w:rFonts w:ascii="Garamond" w:hAnsi="Garamond"/>
          <w:lang w:eastAsia="en-US"/>
        </w:rPr>
        <w:t xml:space="preserve">VKM </w:t>
      </w:r>
      <w:r w:rsidR="00505C21" w:rsidRPr="00024D5A">
        <w:rPr>
          <w:rFonts w:ascii="Garamond" w:hAnsi="Garamond"/>
          <w:lang w:eastAsia="en-US"/>
        </w:rPr>
        <w:t>n</w:t>
      </w:r>
      <w:r w:rsidRPr="00024D5A">
        <w:rPr>
          <w:rFonts w:ascii="Garamond" w:hAnsi="Garamond"/>
          <w:lang w:eastAsia="en-US"/>
        </w:rPr>
        <w:t>r. 362, datë 29.5.2019</w:t>
      </w:r>
      <w:r w:rsidR="00505C21" w:rsidRPr="00024D5A">
        <w:rPr>
          <w:rFonts w:ascii="Garamond" w:hAnsi="Garamond"/>
          <w:lang w:eastAsia="en-US"/>
        </w:rPr>
        <w:t>,</w:t>
      </w:r>
      <w:r w:rsidRPr="00024D5A">
        <w:rPr>
          <w:rFonts w:ascii="Garamond" w:hAnsi="Garamond"/>
          <w:lang w:eastAsia="en-US"/>
        </w:rPr>
        <w:t xml:space="preserve"> </w:t>
      </w:r>
      <w:r w:rsidR="0078161D" w:rsidRPr="00024D5A">
        <w:rPr>
          <w:rFonts w:ascii="Garamond" w:hAnsi="Garamond"/>
          <w:lang w:eastAsia="en-US"/>
        </w:rPr>
        <w:t>“</w:t>
      </w:r>
      <w:r w:rsidRPr="00024D5A">
        <w:rPr>
          <w:rFonts w:ascii="Garamond" w:hAnsi="Garamond"/>
          <w:lang w:eastAsia="en-US"/>
        </w:rPr>
        <w:t>Për kriteret e dhënies së subvencionit të qirasë për kategoritë që gëzojnë përparësi në subvencionimin e qirasë në tregun e lirë</w:t>
      </w:r>
      <w:r w:rsidR="0078161D" w:rsidRPr="00024D5A">
        <w:rPr>
          <w:rFonts w:ascii="Garamond" w:hAnsi="Garamond"/>
          <w:lang w:eastAsia="en-US"/>
        </w:rPr>
        <w:t>”</w:t>
      </w:r>
      <w:r w:rsidRPr="00024D5A">
        <w:rPr>
          <w:rFonts w:ascii="Garamond" w:hAnsi="Garamond"/>
          <w:lang w:eastAsia="en-US"/>
        </w:rPr>
        <w:t>.</w:t>
      </w:r>
      <w:r w:rsidR="00505C21" w:rsidRPr="00024D5A">
        <w:rPr>
          <w:rFonts w:ascii="Garamond" w:hAnsi="Garamond"/>
          <w:lang w:eastAsia="en-US"/>
        </w:rPr>
        <w:t xml:space="preserve"> </w:t>
      </w:r>
    </w:p>
    <w:p w14:paraId="0380E5BD" w14:textId="662807C1" w:rsidR="003E1630" w:rsidRPr="00024D5A" w:rsidRDefault="005743A8" w:rsidP="00E755A6">
      <w:pPr>
        <w:ind w:firstLine="288"/>
        <w:jc w:val="both"/>
        <w:rPr>
          <w:rFonts w:ascii="Garamond" w:hAnsi="Garamond"/>
          <w:lang w:eastAsia="en-US"/>
        </w:rPr>
      </w:pPr>
      <w:r w:rsidRPr="00024D5A">
        <w:rPr>
          <w:rFonts w:ascii="Garamond" w:hAnsi="Garamond"/>
          <w:lang w:eastAsia="en-US"/>
        </w:rPr>
        <w:t xml:space="preserve">VKM </w:t>
      </w:r>
      <w:r w:rsidR="00505C21" w:rsidRPr="00024D5A">
        <w:rPr>
          <w:rFonts w:ascii="Garamond" w:hAnsi="Garamond"/>
          <w:lang w:eastAsia="en-US"/>
        </w:rPr>
        <w:t>n</w:t>
      </w:r>
      <w:r w:rsidRPr="00024D5A">
        <w:rPr>
          <w:rFonts w:ascii="Garamond" w:hAnsi="Garamond"/>
          <w:lang w:eastAsia="en-US"/>
        </w:rPr>
        <w:t>r. 454, dat</w:t>
      </w:r>
      <w:r w:rsidR="00505C21" w:rsidRPr="00024D5A">
        <w:rPr>
          <w:rFonts w:ascii="Garamond" w:hAnsi="Garamond"/>
          <w:lang w:eastAsia="en-US"/>
        </w:rPr>
        <w:t>ë</w:t>
      </w:r>
      <w:r w:rsidRPr="00024D5A">
        <w:rPr>
          <w:rFonts w:ascii="Garamond" w:hAnsi="Garamond"/>
          <w:lang w:eastAsia="en-US"/>
        </w:rPr>
        <w:t xml:space="preserve"> 3.7.2019</w:t>
      </w:r>
      <w:r w:rsidR="00505C21" w:rsidRPr="00024D5A">
        <w:rPr>
          <w:rFonts w:ascii="Garamond" w:hAnsi="Garamond"/>
          <w:lang w:eastAsia="en-US"/>
        </w:rPr>
        <w:t>,</w:t>
      </w:r>
      <w:r w:rsidRPr="00024D5A">
        <w:rPr>
          <w:rFonts w:ascii="Garamond" w:hAnsi="Garamond"/>
          <w:lang w:eastAsia="en-US"/>
        </w:rPr>
        <w:t xml:space="preserve"> </w:t>
      </w:r>
      <w:r w:rsidR="0078161D" w:rsidRPr="00024D5A">
        <w:rPr>
          <w:rFonts w:ascii="Garamond" w:hAnsi="Garamond"/>
          <w:lang w:eastAsia="en-US"/>
        </w:rPr>
        <w:t>“</w:t>
      </w:r>
      <w:r w:rsidRPr="00024D5A">
        <w:rPr>
          <w:rFonts w:ascii="Garamond" w:hAnsi="Garamond"/>
          <w:lang w:eastAsia="en-US"/>
        </w:rPr>
        <w:t>Për kriteret dhe procedurat e përfitimit e të dhënies së granteve konkurruese për përmirësimin e kushteve të objekteve dhe banesave ekzistuese</w:t>
      </w:r>
      <w:r w:rsidR="0078161D" w:rsidRPr="00024D5A">
        <w:rPr>
          <w:rFonts w:ascii="Garamond" w:hAnsi="Garamond"/>
          <w:lang w:eastAsia="en-US"/>
        </w:rPr>
        <w:t>”</w:t>
      </w:r>
      <w:r w:rsidRPr="00024D5A">
        <w:rPr>
          <w:rFonts w:ascii="Garamond" w:hAnsi="Garamond"/>
          <w:lang w:eastAsia="en-US"/>
        </w:rPr>
        <w:t>.</w:t>
      </w:r>
    </w:p>
    <w:p w14:paraId="02FA363E" w14:textId="126B9624" w:rsidR="003E1630" w:rsidRPr="00024D5A" w:rsidRDefault="005743A8" w:rsidP="00E755A6">
      <w:pPr>
        <w:ind w:firstLine="288"/>
        <w:jc w:val="both"/>
        <w:rPr>
          <w:rFonts w:ascii="Garamond" w:hAnsi="Garamond"/>
          <w:lang w:eastAsia="en-US"/>
        </w:rPr>
      </w:pPr>
      <w:r w:rsidRPr="00024D5A">
        <w:rPr>
          <w:rFonts w:ascii="Garamond" w:hAnsi="Garamond"/>
          <w:lang w:eastAsia="en-US"/>
        </w:rPr>
        <w:t xml:space="preserve">VKM </w:t>
      </w:r>
      <w:r w:rsidR="00505C21" w:rsidRPr="00024D5A">
        <w:rPr>
          <w:rFonts w:ascii="Garamond" w:hAnsi="Garamond"/>
          <w:lang w:eastAsia="en-US"/>
        </w:rPr>
        <w:t>n</w:t>
      </w:r>
      <w:r w:rsidRPr="00024D5A">
        <w:rPr>
          <w:rFonts w:ascii="Garamond" w:hAnsi="Garamond"/>
          <w:lang w:eastAsia="en-US"/>
        </w:rPr>
        <w:t>r. 301, datë 15</w:t>
      </w:r>
      <w:r w:rsidR="00D00D22" w:rsidRPr="00024D5A">
        <w:rPr>
          <w:rFonts w:ascii="Garamond" w:hAnsi="Garamond"/>
          <w:lang w:eastAsia="en-US"/>
        </w:rPr>
        <w:t>.</w:t>
      </w:r>
      <w:r w:rsidRPr="00024D5A">
        <w:rPr>
          <w:rFonts w:ascii="Garamond" w:hAnsi="Garamond"/>
          <w:lang w:eastAsia="en-US"/>
        </w:rPr>
        <w:t>4</w:t>
      </w:r>
      <w:r w:rsidR="00D00D22" w:rsidRPr="00024D5A">
        <w:rPr>
          <w:rFonts w:ascii="Garamond" w:hAnsi="Garamond"/>
          <w:lang w:eastAsia="en-US"/>
        </w:rPr>
        <w:t>.</w:t>
      </w:r>
      <w:r w:rsidRPr="00024D5A">
        <w:rPr>
          <w:rFonts w:ascii="Garamond" w:hAnsi="Garamond"/>
          <w:lang w:eastAsia="en-US"/>
        </w:rPr>
        <w:t>2020</w:t>
      </w:r>
      <w:r w:rsidR="00505C21" w:rsidRPr="00024D5A">
        <w:rPr>
          <w:rFonts w:ascii="Garamond" w:hAnsi="Garamond"/>
          <w:lang w:eastAsia="en-US"/>
        </w:rPr>
        <w:t>,</w:t>
      </w:r>
      <w:r w:rsidRPr="00024D5A">
        <w:rPr>
          <w:rFonts w:ascii="Garamond" w:hAnsi="Garamond"/>
          <w:lang w:eastAsia="en-US"/>
        </w:rPr>
        <w:t xml:space="preserve"> </w:t>
      </w:r>
      <w:r w:rsidR="0078161D" w:rsidRPr="00024D5A">
        <w:rPr>
          <w:rFonts w:ascii="Garamond" w:hAnsi="Garamond"/>
          <w:lang w:eastAsia="en-US"/>
        </w:rPr>
        <w:t>“</w:t>
      </w:r>
      <w:r w:rsidRPr="00024D5A">
        <w:rPr>
          <w:rFonts w:ascii="Garamond" w:hAnsi="Garamond"/>
          <w:lang w:eastAsia="en-US"/>
        </w:rPr>
        <w:t>Për normat e strehimit, si dhe kushtet e standardet për banesat sociale me qira që blihen në treg dhe banesat me kosto të ulët</w:t>
      </w:r>
      <w:r w:rsidR="0078161D" w:rsidRPr="00024D5A">
        <w:rPr>
          <w:rFonts w:ascii="Garamond" w:hAnsi="Garamond"/>
          <w:lang w:eastAsia="en-US"/>
        </w:rPr>
        <w:t>”</w:t>
      </w:r>
      <w:r w:rsidRPr="00024D5A">
        <w:rPr>
          <w:rFonts w:ascii="Garamond" w:hAnsi="Garamond"/>
          <w:lang w:eastAsia="en-US"/>
        </w:rPr>
        <w:t>.</w:t>
      </w:r>
    </w:p>
    <w:p w14:paraId="53FF8CF0" w14:textId="6E8436DE" w:rsidR="003E1630" w:rsidRPr="00024D5A" w:rsidRDefault="005743A8" w:rsidP="00E755A6">
      <w:pPr>
        <w:ind w:firstLine="288"/>
        <w:jc w:val="both"/>
        <w:rPr>
          <w:rFonts w:ascii="Garamond" w:hAnsi="Garamond"/>
          <w:lang w:eastAsia="en-US"/>
        </w:rPr>
      </w:pPr>
      <w:r w:rsidRPr="00024D5A">
        <w:rPr>
          <w:rFonts w:ascii="Garamond" w:hAnsi="Garamond"/>
          <w:lang w:eastAsia="en-US"/>
        </w:rPr>
        <w:t xml:space="preserve">VKM </w:t>
      </w:r>
      <w:r w:rsidR="00505C21" w:rsidRPr="00024D5A">
        <w:rPr>
          <w:rFonts w:ascii="Garamond" w:hAnsi="Garamond"/>
          <w:lang w:eastAsia="en-US"/>
        </w:rPr>
        <w:t>n</w:t>
      </w:r>
      <w:r w:rsidRPr="00024D5A">
        <w:rPr>
          <w:rFonts w:ascii="Garamond" w:hAnsi="Garamond"/>
          <w:lang w:eastAsia="en-US"/>
        </w:rPr>
        <w:t xml:space="preserve">r. 468, datë 26.7.2023, </w:t>
      </w:r>
      <w:r w:rsidR="0078161D" w:rsidRPr="00024D5A">
        <w:rPr>
          <w:rFonts w:ascii="Garamond" w:hAnsi="Garamond"/>
          <w:lang w:eastAsia="en-US"/>
        </w:rPr>
        <w:t>“</w:t>
      </w:r>
      <w:r w:rsidRPr="00024D5A">
        <w:rPr>
          <w:rFonts w:ascii="Garamond" w:hAnsi="Garamond"/>
          <w:lang w:eastAsia="en-US"/>
        </w:rPr>
        <w:t>Për trajtimin me kredi të lehtësuar të të punësuarve në administratën</w:t>
      </w:r>
      <w:r w:rsidR="00D00D22" w:rsidRPr="00024D5A">
        <w:rPr>
          <w:rFonts w:ascii="Garamond" w:hAnsi="Garamond"/>
          <w:lang w:eastAsia="en-US"/>
        </w:rPr>
        <w:t xml:space="preserve"> </w:t>
      </w:r>
      <w:r w:rsidRPr="00024D5A">
        <w:rPr>
          <w:rFonts w:ascii="Garamond" w:hAnsi="Garamond"/>
          <w:lang w:eastAsia="en-US"/>
        </w:rPr>
        <w:t>publike për blerjen e banesës</w:t>
      </w:r>
      <w:r w:rsidR="0078161D" w:rsidRPr="00024D5A">
        <w:rPr>
          <w:rFonts w:ascii="Garamond" w:hAnsi="Garamond"/>
          <w:lang w:eastAsia="en-US"/>
        </w:rPr>
        <w:t>”</w:t>
      </w:r>
      <w:r w:rsidRPr="00024D5A">
        <w:rPr>
          <w:rFonts w:ascii="Garamond" w:hAnsi="Garamond"/>
          <w:lang w:eastAsia="en-US"/>
        </w:rPr>
        <w:t>.</w:t>
      </w:r>
    </w:p>
    <w:p w14:paraId="0DCEB7AC" w14:textId="70E65E09" w:rsidR="003E1630" w:rsidRPr="00024D5A" w:rsidRDefault="005743A8" w:rsidP="00E755A6">
      <w:pPr>
        <w:ind w:firstLine="288"/>
        <w:jc w:val="both"/>
        <w:rPr>
          <w:rFonts w:ascii="Garamond" w:eastAsia="Times New Roman" w:hAnsi="Garamond"/>
          <w:b/>
          <w:bCs/>
          <w:lang w:eastAsia="en-US"/>
        </w:rPr>
      </w:pPr>
      <w:r w:rsidRPr="00024D5A">
        <w:rPr>
          <w:rFonts w:ascii="Garamond" w:hAnsi="Garamond"/>
          <w:lang w:eastAsia="en-US"/>
        </w:rPr>
        <w:t xml:space="preserve">VKM </w:t>
      </w:r>
      <w:r w:rsidR="00505C21" w:rsidRPr="00024D5A">
        <w:rPr>
          <w:rFonts w:ascii="Garamond" w:hAnsi="Garamond"/>
          <w:lang w:eastAsia="en-US"/>
        </w:rPr>
        <w:t>n</w:t>
      </w:r>
      <w:r w:rsidRPr="00024D5A">
        <w:rPr>
          <w:rFonts w:ascii="Garamond" w:hAnsi="Garamond"/>
          <w:lang w:eastAsia="en-US"/>
        </w:rPr>
        <w:t>r. 456, datë 31.7.2025</w:t>
      </w:r>
      <w:r w:rsidR="00505C21" w:rsidRPr="00024D5A">
        <w:rPr>
          <w:rFonts w:ascii="Garamond" w:hAnsi="Garamond"/>
          <w:lang w:eastAsia="en-US"/>
        </w:rPr>
        <w:t>,</w:t>
      </w:r>
      <w:r w:rsidRPr="00024D5A">
        <w:rPr>
          <w:rFonts w:ascii="Garamond" w:hAnsi="Garamond"/>
          <w:lang w:eastAsia="en-US"/>
        </w:rPr>
        <w:t xml:space="preserve"> </w:t>
      </w:r>
      <w:r w:rsidR="0078161D" w:rsidRPr="00024D5A">
        <w:rPr>
          <w:rFonts w:ascii="Garamond" w:hAnsi="Garamond"/>
          <w:lang w:eastAsia="en-US"/>
        </w:rPr>
        <w:t>“</w:t>
      </w:r>
      <w:r w:rsidRPr="00024D5A">
        <w:rPr>
          <w:rFonts w:ascii="Garamond" w:hAnsi="Garamond"/>
          <w:lang w:eastAsia="en-US"/>
        </w:rPr>
        <w:t>Për përcaktimin e institucioneve përgjegjëse, të procedurave të miratimit dhe të dokumentacionit që duhet të plotësojnë familjet që përfitojnë kredi me interes të barabartë me 0%, të subvencionuar nga buxheti i shtetit, nëpërmjet entit kombëtar të banesave</w:t>
      </w:r>
      <w:r w:rsidR="0078161D" w:rsidRPr="00024D5A">
        <w:rPr>
          <w:rFonts w:ascii="Garamond" w:hAnsi="Garamond"/>
          <w:lang w:eastAsia="en-US"/>
        </w:rPr>
        <w:t>”</w:t>
      </w:r>
      <w:r w:rsidRPr="00024D5A">
        <w:rPr>
          <w:rFonts w:ascii="Garamond" w:hAnsi="Garamond"/>
          <w:lang w:eastAsia="en-US"/>
        </w:rPr>
        <w:t>.</w:t>
      </w:r>
    </w:p>
    <w:p w14:paraId="4E68FBDA" w14:textId="77777777" w:rsidR="003E1630" w:rsidRPr="00024D5A" w:rsidRDefault="005743A8" w:rsidP="00E755A6">
      <w:pPr>
        <w:ind w:firstLine="288"/>
        <w:jc w:val="both"/>
        <w:rPr>
          <w:rFonts w:ascii="Garamond" w:eastAsia="Times New Roman" w:hAnsi="Garamond"/>
          <w:b/>
          <w:bCs/>
          <w:i/>
          <w:iCs/>
          <w:lang w:eastAsia="en-US"/>
        </w:rPr>
      </w:pPr>
      <w:r w:rsidRPr="00024D5A">
        <w:rPr>
          <w:rFonts w:ascii="Garamond" w:eastAsia="Times New Roman" w:hAnsi="Garamond"/>
          <w:b/>
          <w:bCs/>
          <w:i/>
          <w:iCs/>
          <w:lang w:eastAsia="en-US"/>
        </w:rPr>
        <w:t>VI. Punësimi dhe aftësimi</w:t>
      </w:r>
    </w:p>
    <w:p w14:paraId="2C92C724" w14:textId="13DAD833" w:rsidR="003E1630" w:rsidRPr="00024D5A" w:rsidRDefault="005743A8" w:rsidP="00E755A6">
      <w:pPr>
        <w:ind w:firstLine="288"/>
        <w:jc w:val="both"/>
        <w:rPr>
          <w:rFonts w:ascii="Garamond" w:hAnsi="Garamond"/>
          <w:spacing w:val="5"/>
          <w:lang w:eastAsia="en-US"/>
        </w:rPr>
      </w:pPr>
      <w:r w:rsidRPr="00024D5A">
        <w:rPr>
          <w:rFonts w:ascii="Garamond" w:hAnsi="Garamond"/>
          <w:spacing w:val="5"/>
          <w:lang w:eastAsia="en-US"/>
        </w:rPr>
        <w:t>Ligj nr. 7961/1995</w:t>
      </w:r>
      <w:r w:rsidR="00505C21" w:rsidRPr="00024D5A">
        <w:rPr>
          <w:rFonts w:ascii="Garamond" w:hAnsi="Garamond"/>
          <w:spacing w:val="5"/>
          <w:lang w:eastAsia="en-US"/>
        </w:rPr>
        <w:t>,</w:t>
      </w:r>
      <w:r w:rsidRPr="00024D5A">
        <w:rPr>
          <w:rFonts w:ascii="Garamond" w:hAnsi="Garamond"/>
          <w:spacing w:val="5"/>
          <w:lang w:eastAsia="en-US"/>
        </w:rPr>
        <w:t xml:space="preserve"> </w:t>
      </w:r>
      <w:r w:rsidR="0078161D" w:rsidRPr="00024D5A">
        <w:rPr>
          <w:rFonts w:ascii="Garamond" w:hAnsi="Garamond"/>
          <w:spacing w:val="5"/>
          <w:lang w:eastAsia="en-US"/>
        </w:rPr>
        <w:t>“</w:t>
      </w:r>
      <w:r w:rsidRPr="00024D5A">
        <w:rPr>
          <w:rFonts w:ascii="Garamond" w:hAnsi="Garamond"/>
          <w:spacing w:val="5"/>
          <w:lang w:eastAsia="en-US"/>
        </w:rPr>
        <w:t xml:space="preserve">Kodi i </w:t>
      </w:r>
      <w:r w:rsidR="005F733C" w:rsidRPr="00024D5A">
        <w:rPr>
          <w:rFonts w:ascii="Garamond" w:hAnsi="Garamond"/>
          <w:spacing w:val="5"/>
          <w:lang w:eastAsia="en-US"/>
        </w:rPr>
        <w:t xml:space="preserve">Punës </w:t>
      </w:r>
      <w:r w:rsidRPr="00024D5A">
        <w:rPr>
          <w:rFonts w:ascii="Garamond" w:hAnsi="Garamond"/>
          <w:spacing w:val="5"/>
          <w:lang w:eastAsia="en-US"/>
        </w:rPr>
        <w:t>së Republikën e Shqipërisë</w:t>
      </w:r>
      <w:r w:rsidR="0078161D" w:rsidRPr="00024D5A">
        <w:rPr>
          <w:rFonts w:ascii="Garamond" w:hAnsi="Garamond"/>
          <w:spacing w:val="5"/>
          <w:lang w:eastAsia="en-US"/>
        </w:rPr>
        <w:t>”</w:t>
      </w:r>
      <w:r w:rsidRPr="00024D5A">
        <w:rPr>
          <w:rFonts w:ascii="Garamond" w:hAnsi="Garamond"/>
          <w:spacing w:val="5"/>
          <w:lang w:eastAsia="en-US"/>
        </w:rPr>
        <w:t>, i ndryshuar.</w:t>
      </w:r>
    </w:p>
    <w:p w14:paraId="15EE8DF7" w14:textId="504F6207" w:rsidR="003E1630" w:rsidRPr="00024D5A" w:rsidRDefault="005743A8" w:rsidP="00E755A6">
      <w:pPr>
        <w:ind w:firstLine="288"/>
        <w:jc w:val="both"/>
        <w:rPr>
          <w:rFonts w:ascii="Garamond" w:hAnsi="Garamond"/>
          <w:spacing w:val="5"/>
          <w:lang w:eastAsia="en-US"/>
        </w:rPr>
      </w:pPr>
      <w:r w:rsidRPr="00024D5A">
        <w:rPr>
          <w:rFonts w:ascii="Garamond" w:hAnsi="Garamond"/>
          <w:spacing w:val="5"/>
          <w:lang w:eastAsia="en-US"/>
        </w:rPr>
        <w:t>Ligj nr</w:t>
      </w:r>
      <w:r w:rsidR="00505C21" w:rsidRPr="00024D5A">
        <w:rPr>
          <w:rFonts w:ascii="Garamond" w:hAnsi="Garamond"/>
          <w:spacing w:val="5"/>
          <w:lang w:eastAsia="en-US"/>
        </w:rPr>
        <w:t>.</w:t>
      </w:r>
      <w:r w:rsidRPr="00024D5A">
        <w:rPr>
          <w:rFonts w:ascii="Garamond" w:hAnsi="Garamond"/>
          <w:spacing w:val="5"/>
          <w:lang w:eastAsia="en-US"/>
        </w:rPr>
        <w:t xml:space="preserve"> 15/2019</w:t>
      </w:r>
      <w:r w:rsidR="00505C21" w:rsidRPr="00024D5A">
        <w:rPr>
          <w:rFonts w:ascii="Garamond" w:hAnsi="Garamond"/>
          <w:spacing w:val="5"/>
          <w:lang w:eastAsia="en-US"/>
        </w:rPr>
        <w:t>,</w:t>
      </w:r>
      <w:r w:rsidRPr="00024D5A">
        <w:rPr>
          <w:rFonts w:ascii="Garamond" w:hAnsi="Garamond"/>
          <w:spacing w:val="5"/>
          <w:lang w:eastAsia="en-US"/>
        </w:rPr>
        <w:t xml:space="preserve"> </w:t>
      </w:r>
      <w:r w:rsidR="0078161D" w:rsidRPr="00024D5A">
        <w:rPr>
          <w:rFonts w:ascii="Garamond" w:hAnsi="Garamond"/>
          <w:spacing w:val="5"/>
          <w:lang w:eastAsia="en-US"/>
        </w:rPr>
        <w:t>“</w:t>
      </w:r>
      <w:r w:rsidRPr="00024D5A">
        <w:rPr>
          <w:rFonts w:ascii="Garamond" w:hAnsi="Garamond"/>
          <w:spacing w:val="5"/>
          <w:lang w:eastAsia="en-US"/>
        </w:rPr>
        <w:t xml:space="preserve">Për nxitjen e </w:t>
      </w:r>
      <w:r w:rsidR="00C45862" w:rsidRPr="00024D5A">
        <w:rPr>
          <w:rFonts w:ascii="Garamond" w:hAnsi="Garamond"/>
          <w:spacing w:val="5"/>
          <w:lang w:eastAsia="en-US"/>
        </w:rPr>
        <w:t>punësimit</w:t>
      </w:r>
      <w:r w:rsidR="0078161D" w:rsidRPr="00024D5A">
        <w:rPr>
          <w:rFonts w:ascii="Garamond" w:hAnsi="Garamond"/>
          <w:spacing w:val="5"/>
          <w:lang w:eastAsia="en-US"/>
        </w:rPr>
        <w:t>”</w:t>
      </w:r>
      <w:r w:rsidR="00505C21" w:rsidRPr="00024D5A">
        <w:rPr>
          <w:rFonts w:ascii="Garamond" w:hAnsi="Garamond"/>
          <w:spacing w:val="5"/>
          <w:lang w:eastAsia="en-US"/>
        </w:rPr>
        <w:t xml:space="preserve">, </w:t>
      </w:r>
      <w:r w:rsidRPr="00024D5A">
        <w:rPr>
          <w:rFonts w:ascii="Garamond" w:hAnsi="Garamond"/>
          <w:spacing w:val="5"/>
          <w:lang w:eastAsia="en-US"/>
        </w:rPr>
        <w:t>i ndryshuar.</w:t>
      </w:r>
    </w:p>
    <w:p w14:paraId="7BC9070E" w14:textId="7A8DDBED" w:rsidR="003E1630" w:rsidRPr="00024D5A" w:rsidRDefault="005743A8" w:rsidP="00E755A6">
      <w:pPr>
        <w:ind w:firstLine="288"/>
        <w:jc w:val="both"/>
        <w:rPr>
          <w:rFonts w:ascii="Garamond" w:hAnsi="Garamond"/>
          <w:spacing w:val="5"/>
          <w:lang w:eastAsia="en-US"/>
        </w:rPr>
      </w:pPr>
      <w:r w:rsidRPr="00024D5A">
        <w:rPr>
          <w:rFonts w:ascii="Garamond" w:hAnsi="Garamond"/>
          <w:spacing w:val="5"/>
          <w:lang w:eastAsia="en-US"/>
        </w:rPr>
        <w:t>Ligj nr. 15/2017</w:t>
      </w:r>
      <w:r w:rsidR="00505C21" w:rsidRPr="00024D5A">
        <w:rPr>
          <w:rFonts w:ascii="Garamond" w:hAnsi="Garamond"/>
          <w:spacing w:val="5"/>
          <w:lang w:eastAsia="en-US"/>
        </w:rPr>
        <w:t>,</w:t>
      </w:r>
      <w:r w:rsidRPr="00024D5A">
        <w:rPr>
          <w:rFonts w:ascii="Garamond" w:hAnsi="Garamond"/>
          <w:spacing w:val="5"/>
          <w:lang w:eastAsia="en-US"/>
        </w:rPr>
        <w:t xml:space="preserve"> </w:t>
      </w:r>
      <w:r w:rsidR="0078161D" w:rsidRPr="00024D5A">
        <w:rPr>
          <w:rFonts w:ascii="Garamond" w:hAnsi="Garamond"/>
          <w:spacing w:val="5"/>
          <w:lang w:eastAsia="en-US"/>
        </w:rPr>
        <w:t>“</w:t>
      </w:r>
      <w:r w:rsidRPr="00024D5A">
        <w:rPr>
          <w:rFonts w:ascii="Garamond" w:hAnsi="Garamond"/>
          <w:spacing w:val="5"/>
          <w:lang w:eastAsia="en-US"/>
        </w:rPr>
        <w:t>Për arsimin profesional në Republikën e Shqipërisë</w:t>
      </w:r>
      <w:r w:rsidR="0078161D" w:rsidRPr="00024D5A">
        <w:rPr>
          <w:rFonts w:ascii="Garamond" w:hAnsi="Garamond"/>
          <w:spacing w:val="5"/>
          <w:lang w:eastAsia="en-US"/>
        </w:rPr>
        <w:t>”</w:t>
      </w:r>
      <w:r w:rsidRPr="00024D5A">
        <w:rPr>
          <w:rFonts w:ascii="Garamond" w:hAnsi="Garamond"/>
          <w:spacing w:val="5"/>
          <w:lang w:eastAsia="en-US"/>
        </w:rPr>
        <w:t>.</w:t>
      </w:r>
    </w:p>
    <w:p w14:paraId="6A20AB7B" w14:textId="01644977" w:rsidR="003E1630" w:rsidRPr="00024D5A" w:rsidRDefault="005743A8" w:rsidP="00E755A6">
      <w:pPr>
        <w:ind w:firstLine="288"/>
        <w:jc w:val="both"/>
        <w:rPr>
          <w:rFonts w:ascii="Garamond" w:hAnsi="Garamond"/>
          <w:spacing w:val="5"/>
          <w:lang w:eastAsia="en-US"/>
        </w:rPr>
      </w:pPr>
      <w:r w:rsidRPr="00024D5A">
        <w:rPr>
          <w:rFonts w:ascii="Garamond" w:hAnsi="Garamond"/>
          <w:spacing w:val="5"/>
          <w:lang w:eastAsia="en-US"/>
        </w:rPr>
        <w:t xml:space="preserve">VKM </w:t>
      </w:r>
      <w:r w:rsidR="00505C21" w:rsidRPr="00024D5A">
        <w:rPr>
          <w:rFonts w:ascii="Garamond" w:hAnsi="Garamond"/>
          <w:spacing w:val="5"/>
          <w:lang w:eastAsia="en-US"/>
        </w:rPr>
        <w:t>n</w:t>
      </w:r>
      <w:r w:rsidRPr="00024D5A">
        <w:rPr>
          <w:rFonts w:ascii="Garamond" w:hAnsi="Garamond"/>
          <w:spacing w:val="5"/>
          <w:lang w:eastAsia="en-US"/>
        </w:rPr>
        <w:t>r. 177/2020</w:t>
      </w:r>
      <w:r w:rsidR="00505C21" w:rsidRPr="00024D5A">
        <w:rPr>
          <w:rFonts w:ascii="Garamond" w:hAnsi="Garamond"/>
          <w:spacing w:val="5"/>
          <w:lang w:eastAsia="en-US"/>
        </w:rPr>
        <w:t>,</w:t>
      </w:r>
      <w:r w:rsidRPr="00024D5A">
        <w:rPr>
          <w:rFonts w:ascii="Garamond" w:hAnsi="Garamond"/>
          <w:spacing w:val="5"/>
          <w:lang w:eastAsia="en-US"/>
        </w:rPr>
        <w:t xml:space="preserve"> </w:t>
      </w:r>
      <w:r w:rsidR="0078161D" w:rsidRPr="00024D5A">
        <w:rPr>
          <w:rFonts w:ascii="Garamond" w:hAnsi="Garamond"/>
          <w:spacing w:val="5"/>
          <w:lang w:eastAsia="en-US"/>
        </w:rPr>
        <w:t>“</w:t>
      </w:r>
      <w:r w:rsidRPr="00024D5A">
        <w:rPr>
          <w:rFonts w:ascii="Garamond" w:hAnsi="Garamond"/>
          <w:spacing w:val="5"/>
          <w:lang w:eastAsia="en-US"/>
        </w:rPr>
        <w:t>Për përbërjen, kriteret dhe detyrat e bordit të administrimit të fondit social të punësimit dhe mënyrat e përdorimit të tij</w:t>
      </w:r>
      <w:r w:rsidR="0078161D" w:rsidRPr="00024D5A">
        <w:rPr>
          <w:rFonts w:ascii="Garamond" w:hAnsi="Garamond"/>
          <w:spacing w:val="5"/>
          <w:lang w:eastAsia="en-US"/>
        </w:rPr>
        <w:t>”</w:t>
      </w:r>
      <w:r w:rsidRPr="00024D5A">
        <w:rPr>
          <w:rFonts w:ascii="Garamond" w:hAnsi="Garamond"/>
          <w:spacing w:val="5"/>
          <w:lang w:eastAsia="en-US"/>
        </w:rPr>
        <w:t>.</w:t>
      </w:r>
    </w:p>
    <w:p w14:paraId="025F7038" w14:textId="54D6BF30" w:rsidR="003E1630" w:rsidRPr="00024D5A" w:rsidRDefault="005743A8" w:rsidP="00E755A6">
      <w:pPr>
        <w:ind w:firstLine="288"/>
        <w:jc w:val="both"/>
        <w:rPr>
          <w:rFonts w:ascii="Garamond" w:hAnsi="Garamond"/>
          <w:spacing w:val="5"/>
          <w:lang w:eastAsia="en-US"/>
        </w:rPr>
      </w:pPr>
      <w:r w:rsidRPr="00024D5A">
        <w:rPr>
          <w:rFonts w:ascii="Garamond" w:hAnsi="Garamond"/>
          <w:spacing w:val="5"/>
          <w:lang w:eastAsia="en-US"/>
        </w:rPr>
        <w:t>VKM </w:t>
      </w:r>
      <w:r w:rsidR="00505C21" w:rsidRPr="00024D5A">
        <w:rPr>
          <w:rFonts w:ascii="Garamond" w:hAnsi="Garamond"/>
          <w:spacing w:val="5"/>
          <w:lang w:eastAsia="en-US"/>
        </w:rPr>
        <w:t>n</w:t>
      </w:r>
      <w:r w:rsidRPr="00024D5A">
        <w:rPr>
          <w:rFonts w:ascii="Garamond" w:hAnsi="Garamond"/>
          <w:spacing w:val="5"/>
          <w:lang w:eastAsia="en-US"/>
        </w:rPr>
        <w:t>r. 17/2020</w:t>
      </w:r>
      <w:r w:rsidR="00505C21" w:rsidRPr="00024D5A">
        <w:rPr>
          <w:rFonts w:ascii="Garamond" w:hAnsi="Garamond"/>
          <w:spacing w:val="5"/>
          <w:lang w:eastAsia="en-US"/>
        </w:rPr>
        <w:t>,</w:t>
      </w:r>
      <w:r w:rsidRPr="00024D5A">
        <w:rPr>
          <w:rFonts w:ascii="Garamond" w:hAnsi="Garamond"/>
          <w:spacing w:val="5"/>
          <w:lang w:eastAsia="en-US"/>
        </w:rPr>
        <w:t> </w:t>
      </w:r>
      <w:r w:rsidR="00C45862" w:rsidRPr="00024D5A">
        <w:rPr>
          <w:rFonts w:ascii="Garamond" w:hAnsi="Garamond"/>
          <w:spacing w:val="5"/>
          <w:lang w:eastAsia="en-US"/>
        </w:rPr>
        <w:t>“</w:t>
      </w:r>
      <w:r w:rsidRPr="00024D5A">
        <w:rPr>
          <w:rFonts w:ascii="Garamond" w:hAnsi="Garamond"/>
          <w:spacing w:val="5"/>
          <w:lang w:eastAsia="en-US"/>
        </w:rPr>
        <w:t>Për procedurat, kriteret dhe rregullat për zbatimin e programeve të nxitjes së punësimit nëpërmjet punësimit, formimit në punë dhe praktikave profesionale</w:t>
      </w:r>
      <w:r w:rsidR="0078161D" w:rsidRPr="00024D5A">
        <w:rPr>
          <w:rFonts w:ascii="Garamond" w:hAnsi="Garamond"/>
          <w:spacing w:val="5"/>
          <w:lang w:eastAsia="en-US"/>
        </w:rPr>
        <w:t>”</w:t>
      </w:r>
      <w:r w:rsidRPr="00024D5A">
        <w:rPr>
          <w:rFonts w:ascii="Garamond" w:hAnsi="Garamond"/>
          <w:spacing w:val="5"/>
          <w:lang w:eastAsia="en-US"/>
        </w:rPr>
        <w:t>, i ndryshuar</w:t>
      </w:r>
      <w:r w:rsidR="00C45862" w:rsidRPr="00024D5A">
        <w:rPr>
          <w:rFonts w:ascii="Garamond" w:hAnsi="Garamond"/>
          <w:spacing w:val="5"/>
          <w:lang w:eastAsia="en-US"/>
        </w:rPr>
        <w:t>.</w:t>
      </w:r>
    </w:p>
    <w:p w14:paraId="2260C25A" w14:textId="04F52328" w:rsidR="003E1630" w:rsidRPr="00024D5A" w:rsidRDefault="005743A8" w:rsidP="00E755A6">
      <w:pPr>
        <w:ind w:firstLine="288"/>
        <w:jc w:val="both"/>
        <w:rPr>
          <w:rFonts w:ascii="Garamond" w:hAnsi="Garamond"/>
          <w:spacing w:val="5"/>
          <w:lang w:eastAsia="en-US"/>
        </w:rPr>
      </w:pPr>
      <w:r w:rsidRPr="00024D5A">
        <w:rPr>
          <w:rFonts w:ascii="Garamond" w:hAnsi="Garamond"/>
          <w:spacing w:val="5"/>
          <w:lang w:eastAsia="en-US"/>
        </w:rPr>
        <w:t>VKM </w:t>
      </w:r>
      <w:r w:rsidR="00505C21" w:rsidRPr="00024D5A">
        <w:rPr>
          <w:rFonts w:ascii="Garamond" w:hAnsi="Garamond"/>
          <w:spacing w:val="5"/>
          <w:lang w:eastAsia="en-US"/>
        </w:rPr>
        <w:t>n</w:t>
      </w:r>
      <w:r w:rsidRPr="00024D5A">
        <w:rPr>
          <w:rFonts w:ascii="Garamond" w:hAnsi="Garamond"/>
          <w:spacing w:val="5"/>
          <w:lang w:eastAsia="en-US"/>
        </w:rPr>
        <w:t>r. 348/2020</w:t>
      </w:r>
      <w:r w:rsidR="00505C21" w:rsidRPr="00024D5A">
        <w:rPr>
          <w:rFonts w:ascii="Garamond" w:hAnsi="Garamond"/>
          <w:spacing w:val="5"/>
          <w:lang w:eastAsia="en-US"/>
        </w:rPr>
        <w:t>,</w:t>
      </w:r>
      <w:r w:rsidRPr="00024D5A">
        <w:rPr>
          <w:rFonts w:ascii="Garamond" w:hAnsi="Garamond"/>
          <w:spacing w:val="5"/>
          <w:lang w:eastAsia="en-US"/>
        </w:rPr>
        <w:t xml:space="preserve"> </w:t>
      </w:r>
      <w:r w:rsidR="0078161D" w:rsidRPr="00024D5A">
        <w:rPr>
          <w:rFonts w:ascii="Garamond" w:hAnsi="Garamond"/>
          <w:spacing w:val="5"/>
          <w:lang w:eastAsia="en-US"/>
        </w:rPr>
        <w:t>“</w:t>
      </w:r>
      <w:r w:rsidRPr="00024D5A">
        <w:rPr>
          <w:rFonts w:ascii="Garamond" w:hAnsi="Garamond"/>
          <w:spacing w:val="5"/>
          <w:lang w:eastAsia="en-US"/>
        </w:rPr>
        <w:t>Për procedurat, kriteret dhe rregullat për zbatimin e programit të nxitjes nëpërmjet vetëpunësimit</w:t>
      </w:r>
      <w:r w:rsidR="0078161D" w:rsidRPr="00024D5A">
        <w:rPr>
          <w:rFonts w:ascii="Garamond" w:hAnsi="Garamond"/>
          <w:spacing w:val="5"/>
          <w:lang w:eastAsia="en-US"/>
        </w:rPr>
        <w:t>”</w:t>
      </w:r>
      <w:r w:rsidRPr="00024D5A">
        <w:rPr>
          <w:rFonts w:ascii="Garamond" w:hAnsi="Garamond"/>
          <w:spacing w:val="5"/>
          <w:lang w:eastAsia="en-US"/>
        </w:rPr>
        <w:t>, i ndryshuar.</w:t>
      </w:r>
    </w:p>
    <w:p w14:paraId="750CBE67" w14:textId="35BE266E" w:rsidR="003E1630" w:rsidRPr="00024D5A" w:rsidRDefault="005743A8" w:rsidP="00E755A6">
      <w:pPr>
        <w:ind w:firstLine="288"/>
        <w:jc w:val="both"/>
        <w:rPr>
          <w:rFonts w:ascii="Garamond" w:hAnsi="Garamond"/>
          <w:spacing w:val="5"/>
          <w:lang w:eastAsia="en-US"/>
        </w:rPr>
      </w:pPr>
      <w:r w:rsidRPr="00024D5A">
        <w:rPr>
          <w:rFonts w:ascii="Garamond" w:hAnsi="Garamond"/>
          <w:spacing w:val="5"/>
          <w:lang w:eastAsia="en-US"/>
        </w:rPr>
        <w:t>VKM </w:t>
      </w:r>
      <w:r w:rsidR="00505C21" w:rsidRPr="00024D5A">
        <w:rPr>
          <w:rFonts w:ascii="Garamond" w:hAnsi="Garamond"/>
          <w:spacing w:val="5"/>
          <w:lang w:eastAsia="en-US"/>
        </w:rPr>
        <w:t>n</w:t>
      </w:r>
      <w:r w:rsidRPr="00024D5A">
        <w:rPr>
          <w:rFonts w:ascii="Garamond" w:hAnsi="Garamond"/>
          <w:spacing w:val="5"/>
          <w:lang w:eastAsia="en-US"/>
        </w:rPr>
        <w:t>r. 535/2020</w:t>
      </w:r>
      <w:r w:rsidR="00505C21" w:rsidRPr="00024D5A">
        <w:rPr>
          <w:rFonts w:ascii="Garamond" w:hAnsi="Garamond"/>
          <w:spacing w:val="5"/>
          <w:lang w:eastAsia="en-US"/>
        </w:rPr>
        <w:t>,</w:t>
      </w:r>
      <w:r w:rsidRPr="00024D5A">
        <w:rPr>
          <w:rFonts w:ascii="Garamond" w:hAnsi="Garamond"/>
          <w:spacing w:val="5"/>
          <w:lang w:eastAsia="en-US"/>
        </w:rPr>
        <w:t xml:space="preserve"> </w:t>
      </w:r>
      <w:r w:rsidR="0078161D" w:rsidRPr="00024D5A">
        <w:rPr>
          <w:rFonts w:ascii="Garamond" w:hAnsi="Garamond"/>
          <w:spacing w:val="5"/>
          <w:lang w:eastAsia="en-US"/>
        </w:rPr>
        <w:t>“</w:t>
      </w:r>
      <w:r w:rsidRPr="00024D5A">
        <w:rPr>
          <w:rFonts w:ascii="Garamond" w:hAnsi="Garamond"/>
          <w:spacing w:val="5"/>
          <w:lang w:eastAsia="en-US"/>
        </w:rPr>
        <w:t>Për procedurat, kriteret dhe rregullat për zbatimin e programit të punëve publike në komunitet</w:t>
      </w:r>
      <w:r w:rsidR="0078161D" w:rsidRPr="00024D5A">
        <w:rPr>
          <w:rFonts w:ascii="Garamond" w:hAnsi="Garamond"/>
          <w:spacing w:val="5"/>
          <w:lang w:eastAsia="en-US"/>
        </w:rPr>
        <w:t>”</w:t>
      </w:r>
      <w:r w:rsidRPr="00024D5A">
        <w:rPr>
          <w:rFonts w:ascii="Garamond" w:hAnsi="Garamond"/>
          <w:spacing w:val="5"/>
          <w:lang w:eastAsia="en-US"/>
        </w:rPr>
        <w:t>, i ndryshuar.</w:t>
      </w:r>
    </w:p>
    <w:p w14:paraId="04F15FBF" w14:textId="5E41FCF1" w:rsidR="003E1630" w:rsidRPr="00024D5A" w:rsidRDefault="007C0500" w:rsidP="00E755A6">
      <w:pPr>
        <w:ind w:firstLine="288"/>
        <w:jc w:val="both"/>
        <w:rPr>
          <w:rFonts w:ascii="Garamond" w:hAnsi="Garamond"/>
          <w:spacing w:val="5"/>
          <w:lang w:eastAsia="en-US"/>
        </w:rPr>
      </w:pPr>
      <w:hyperlink r:id="rId18" w:history="1">
        <w:r w:rsidR="005743A8" w:rsidRPr="00024D5A">
          <w:rPr>
            <w:rFonts w:ascii="Garamond" w:hAnsi="Garamond"/>
            <w:spacing w:val="5"/>
            <w:lang w:eastAsia="en-US"/>
          </w:rPr>
          <w:t xml:space="preserve">VKM </w:t>
        </w:r>
        <w:r w:rsidR="00505C21" w:rsidRPr="00024D5A">
          <w:rPr>
            <w:rFonts w:ascii="Garamond" w:hAnsi="Garamond"/>
            <w:spacing w:val="5"/>
            <w:lang w:eastAsia="en-US"/>
          </w:rPr>
          <w:t>n</w:t>
        </w:r>
        <w:r w:rsidR="005743A8" w:rsidRPr="00024D5A">
          <w:rPr>
            <w:rFonts w:ascii="Garamond" w:hAnsi="Garamond"/>
            <w:spacing w:val="5"/>
            <w:lang w:eastAsia="en-US"/>
          </w:rPr>
          <w:t>r. 837</w:t>
        </w:r>
        <w:r w:rsidR="0078161D" w:rsidRPr="00024D5A">
          <w:rPr>
            <w:rFonts w:ascii="Garamond" w:hAnsi="Garamond"/>
            <w:spacing w:val="5"/>
            <w:lang w:eastAsia="en-US"/>
          </w:rPr>
          <w:t>/</w:t>
        </w:r>
        <w:r w:rsidR="005743A8" w:rsidRPr="00024D5A">
          <w:rPr>
            <w:rFonts w:ascii="Garamond" w:hAnsi="Garamond"/>
            <w:spacing w:val="5"/>
            <w:lang w:eastAsia="en-US"/>
          </w:rPr>
          <w:t>2020</w:t>
        </w:r>
        <w:r w:rsidR="0078161D" w:rsidRPr="00024D5A">
          <w:rPr>
            <w:rFonts w:ascii="Garamond" w:hAnsi="Garamond"/>
            <w:spacing w:val="5"/>
            <w:lang w:eastAsia="en-US"/>
          </w:rPr>
          <w:t>,</w:t>
        </w:r>
        <w:r w:rsidR="005743A8" w:rsidRPr="00024D5A">
          <w:rPr>
            <w:rFonts w:ascii="Garamond" w:hAnsi="Garamond"/>
            <w:spacing w:val="5"/>
            <w:lang w:eastAsia="en-US"/>
          </w:rPr>
          <w:t xml:space="preserve"> </w:t>
        </w:r>
        <w:r w:rsidR="0078161D" w:rsidRPr="00024D5A">
          <w:rPr>
            <w:rFonts w:ascii="Garamond" w:hAnsi="Garamond"/>
            <w:spacing w:val="5"/>
            <w:lang w:eastAsia="en-US"/>
          </w:rPr>
          <w:t>“</w:t>
        </w:r>
        <w:r w:rsidR="005743A8" w:rsidRPr="00024D5A">
          <w:rPr>
            <w:rFonts w:ascii="Garamond" w:hAnsi="Garamond"/>
            <w:spacing w:val="5"/>
            <w:lang w:eastAsia="en-US"/>
          </w:rPr>
          <w:t>Procedurat, Kri</w:t>
        </w:r>
        <w:r w:rsidR="006C7A0A" w:rsidRPr="00024D5A">
          <w:rPr>
            <w:rFonts w:ascii="Garamond" w:hAnsi="Garamond"/>
            <w:spacing w:val="5"/>
            <w:lang w:eastAsia="en-US"/>
          </w:rPr>
          <w:t>teret e rregullat për ofrimin e shërbim</w:t>
        </w:r>
        <w:r w:rsidR="005743A8" w:rsidRPr="00024D5A">
          <w:rPr>
            <w:rFonts w:ascii="Garamond" w:hAnsi="Garamond"/>
            <w:spacing w:val="5"/>
            <w:lang w:eastAsia="en-US"/>
          </w:rPr>
          <w:t xml:space="preserve">eve të </w:t>
        </w:r>
        <w:r w:rsidR="006C7A0A" w:rsidRPr="00024D5A">
          <w:rPr>
            <w:rFonts w:ascii="Garamond" w:hAnsi="Garamond"/>
            <w:spacing w:val="5"/>
            <w:lang w:eastAsia="en-US"/>
          </w:rPr>
          <w:t>punësimit</w:t>
        </w:r>
        <w:r w:rsidR="0078161D" w:rsidRPr="00024D5A">
          <w:rPr>
            <w:rFonts w:ascii="Garamond" w:hAnsi="Garamond"/>
            <w:spacing w:val="5"/>
            <w:lang w:eastAsia="en-US"/>
          </w:rPr>
          <w:t>”</w:t>
        </w:r>
        <w:r w:rsidR="005743A8" w:rsidRPr="00024D5A">
          <w:rPr>
            <w:rFonts w:ascii="Garamond" w:hAnsi="Garamond"/>
            <w:spacing w:val="5"/>
            <w:lang w:eastAsia="en-US"/>
          </w:rPr>
          <w:t>,</w:t>
        </w:r>
        <w:r w:rsidR="0078161D" w:rsidRPr="00024D5A">
          <w:rPr>
            <w:rFonts w:ascii="Garamond" w:hAnsi="Garamond"/>
            <w:spacing w:val="5"/>
            <w:lang w:eastAsia="en-US"/>
          </w:rPr>
          <w:t xml:space="preserve"> </w:t>
        </w:r>
        <w:r w:rsidR="005743A8" w:rsidRPr="00024D5A">
          <w:rPr>
            <w:rFonts w:ascii="Garamond" w:hAnsi="Garamond"/>
            <w:spacing w:val="5"/>
            <w:lang w:eastAsia="en-US"/>
          </w:rPr>
          <w:t>i ndryshuar</w:t>
        </w:r>
      </w:hyperlink>
      <w:r w:rsidR="005743A8" w:rsidRPr="00024D5A">
        <w:rPr>
          <w:rFonts w:ascii="Garamond" w:hAnsi="Garamond"/>
          <w:spacing w:val="5"/>
          <w:lang w:eastAsia="en-US"/>
        </w:rPr>
        <w:t>.</w:t>
      </w:r>
    </w:p>
    <w:p w14:paraId="3AF2CC46" w14:textId="53DDA037" w:rsidR="003E1630" w:rsidRPr="00024D5A" w:rsidRDefault="005743A8" w:rsidP="00E755A6">
      <w:pPr>
        <w:ind w:firstLine="288"/>
        <w:jc w:val="both"/>
        <w:rPr>
          <w:rFonts w:ascii="Garamond" w:hAnsi="Garamond"/>
          <w:spacing w:val="5"/>
          <w:lang w:eastAsia="en-US"/>
        </w:rPr>
      </w:pPr>
      <w:r w:rsidRPr="00024D5A">
        <w:rPr>
          <w:rFonts w:ascii="Garamond" w:hAnsi="Garamond"/>
          <w:spacing w:val="5"/>
          <w:lang w:eastAsia="en-US"/>
        </w:rPr>
        <w:t>VKM </w:t>
      </w:r>
      <w:r w:rsidR="0078161D" w:rsidRPr="00024D5A">
        <w:rPr>
          <w:rFonts w:ascii="Garamond" w:hAnsi="Garamond"/>
          <w:spacing w:val="5"/>
          <w:lang w:eastAsia="en-US"/>
        </w:rPr>
        <w:t>n</w:t>
      </w:r>
      <w:r w:rsidRPr="00024D5A">
        <w:rPr>
          <w:rFonts w:ascii="Garamond" w:hAnsi="Garamond"/>
          <w:spacing w:val="5"/>
          <w:lang w:eastAsia="en-US"/>
        </w:rPr>
        <w:t>r. 264</w:t>
      </w:r>
      <w:r w:rsidR="0078161D" w:rsidRPr="00024D5A">
        <w:rPr>
          <w:rFonts w:ascii="Garamond" w:hAnsi="Garamond"/>
          <w:spacing w:val="5"/>
          <w:lang w:eastAsia="en-US"/>
        </w:rPr>
        <w:t>/</w:t>
      </w:r>
      <w:r w:rsidRPr="00024D5A">
        <w:rPr>
          <w:rFonts w:ascii="Garamond" w:hAnsi="Garamond"/>
          <w:spacing w:val="5"/>
          <w:lang w:eastAsia="en-US"/>
        </w:rPr>
        <w:t>2023</w:t>
      </w:r>
      <w:r w:rsidR="0078161D" w:rsidRPr="00024D5A">
        <w:rPr>
          <w:rFonts w:ascii="Garamond" w:hAnsi="Garamond"/>
          <w:spacing w:val="5"/>
          <w:lang w:eastAsia="en-US"/>
        </w:rPr>
        <w:t>,</w:t>
      </w:r>
      <w:r w:rsidRPr="00024D5A">
        <w:rPr>
          <w:rFonts w:ascii="Garamond" w:hAnsi="Garamond"/>
          <w:spacing w:val="5"/>
          <w:lang w:eastAsia="en-US"/>
        </w:rPr>
        <w:t xml:space="preserve"> </w:t>
      </w:r>
      <w:r w:rsidR="0078161D" w:rsidRPr="00024D5A">
        <w:rPr>
          <w:rFonts w:ascii="Garamond" w:hAnsi="Garamond"/>
          <w:spacing w:val="5"/>
          <w:lang w:eastAsia="en-US"/>
        </w:rPr>
        <w:t>“</w:t>
      </w:r>
      <w:r w:rsidRPr="00024D5A">
        <w:rPr>
          <w:rFonts w:ascii="Garamond" w:hAnsi="Garamond"/>
          <w:spacing w:val="5"/>
          <w:lang w:eastAsia="en-US"/>
        </w:rPr>
        <w:t>Për miratimin e procedurave, kritereve dhe rregullave për zbatimin e programit të nxitjes së punësimit, sipas skemës së garancisë rinore nëpërmjet të nxënit në vendin e punës</w:t>
      </w:r>
      <w:r w:rsidR="0078161D" w:rsidRPr="00024D5A">
        <w:rPr>
          <w:rFonts w:ascii="Garamond" w:hAnsi="Garamond"/>
          <w:spacing w:val="5"/>
          <w:lang w:eastAsia="en-US"/>
        </w:rPr>
        <w:t>”</w:t>
      </w:r>
      <w:r w:rsidRPr="00024D5A">
        <w:rPr>
          <w:rFonts w:ascii="Garamond" w:hAnsi="Garamond"/>
          <w:spacing w:val="5"/>
          <w:lang w:eastAsia="en-US"/>
        </w:rPr>
        <w:t>.</w:t>
      </w:r>
    </w:p>
    <w:p w14:paraId="0F936184" w14:textId="043B0BBD" w:rsidR="003E1630" w:rsidRPr="00024D5A" w:rsidRDefault="005743A8" w:rsidP="00E755A6">
      <w:pPr>
        <w:ind w:firstLine="288"/>
        <w:jc w:val="both"/>
        <w:rPr>
          <w:rFonts w:ascii="Garamond" w:hAnsi="Garamond"/>
          <w:spacing w:val="5"/>
          <w:lang w:eastAsia="en-US"/>
        </w:rPr>
      </w:pPr>
      <w:r w:rsidRPr="00024D5A">
        <w:rPr>
          <w:rFonts w:ascii="Garamond" w:hAnsi="Garamond"/>
          <w:spacing w:val="5"/>
          <w:lang w:eastAsia="en-US"/>
        </w:rPr>
        <w:t xml:space="preserve">VKM </w:t>
      </w:r>
      <w:r w:rsidR="0078161D" w:rsidRPr="00024D5A">
        <w:rPr>
          <w:rFonts w:ascii="Garamond" w:hAnsi="Garamond"/>
          <w:spacing w:val="5"/>
          <w:lang w:eastAsia="en-US"/>
        </w:rPr>
        <w:t>n</w:t>
      </w:r>
      <w:r w:rsidRPr="00024D5A">
        <w:rPr>
          <w:rFonts w:ascii="Garamond" w:hAnsi="Garamond"/>
          <w:spacing w:val="5"/>
          <w:lang w:eastAsia="en-US"/>
        </w:rPr>
        <w:t>r. 401</w:t>
      </w:r>
      <w:r w:rsidR="0078161D" w:rsidRPr="00024D5A">
        <w:rPr>
          <w:rFonts w:ascii="Garamond" w:hAnsi="Garamond"/>
          <w:spacing w:val="5"/>
          <w:lang w:eastAsia="en-US"/>
        </w:rPr>
        <w:t>/</w:t>
      </w:r>
      <w:r w:rsidRPr="00024D5A">
        <w:rPr>
          <w:rFonts w:ascii="Garamond" w:hAnsi="Garamond"/>
          <w:spacing w:val="5"/>
          <w:lang w:eastAsia="en-US"/>
        </w:rPr>
        <w:t>2024</w:t>
      </w:r>
      <w:r w:rsidR="0078161D" w:rsidRPr="00024D5A">
        <w:rPr>
          <w:rFonts w:ascii="Garamond" w:hAnsi="Garamond"/>
          <w:spacing w:val="5"/>
          <w:lang w:eastAsia="en-US"/>
        </w:rPr>
        <w:t>,</w:t>
      </w:r>
      <w:r w:rsidRPr="00024D5A">
        <w:rPr>
          <w:rFonts w:ascii="Garamond" w:hAnsi="Garamond"/>
          <w:spacing w:val="5"/>
          <w:lang w:eastAsia="en-US"/>
        </w:rPr>
        <w:t xml:space="preserve"> </w:t>
      </w:r>
      <w:r w:rsidR="0078161D" w:rsidRPr="00024D5A">
        <w:rPr>
          <w:rFonts w:ascii="Garamond" w:hAnsi="Garamond"/>
          <w:spacing w:val="5"/>
          <w:lang w:eastAsia="en-US"/>
        </w:rPr>
        <w:t>“</w:t>
      </w:r>
      <w:r w:rsidRPr="00024D5A">
        <w:rPr>
          <w:rFonts w:ascii="Garamond" w:hAnsi="Garamond"/>
          <w:spacing w:val="5"/>
          <w:lang w:eastAsia="en-US"/>
        </w:rPr>
        <w:t>Për përcaktimin e procedurave, kritereve dhe rregullave për zbatimin e programit të nxitjes së punësimit nëpërmjet riintegrimit social</w:t>
      </w:r>
      <w:r w:rsidR="0078161D" w:rsidRPr="00024D5A">
        <w:rPr>
          <w:rFonts w:ascii="Garamond" w:hAnsi="Garamond"/>
          <w:spacing w:val="5"/>
          <w:lang w:eastAsia="en-US"/>
        </w:rPr>
        <w:t>”</w:t>
      </w:r>
      <w:r w:rsidRPr="00024D5A">
        <w:rPr>
          <w:rFonts w:ascii="Garamond" w:hAnsi="Garamond"/>
          <w:spacing w:val="5"/>
          <w:lang w:eastAsia="en-US"/>
        </w:rPr>
        <w:t>.</w:t>
      </w:r>
    </w:p>
    <w:p w14:paraId="2410AE64" w14:textId="7A2AE4C8" w:rsidR="003E1630" w:rsidRPr="00024D5A" w:rsidRDefault="007C0500" w:rsidP="00E755A6">
      <w:pPr>
        <w:ind w:firstLine="288"/>
        <w:jc w:val="both"/>
        <w:rPr>
          <w:rFonts w:ascii="Garamond" w:hAnsi="Garamond"/>
          <w:spacing w:val="5"/>
          <w:lang w:eastAsia="en-US"/>
        </w:rPr>
      </w:pPr>
      <w:hyperlink r:id="rId19" w:tgtFrame="_blank" w:history="1">
        <w:r w:rsidR="005743A8" w:rsidRPr="00024D5A">
          <w:rPr>
            <w:rFonts w:ascii="Garamond" w:hAnsi="Garamond"/>
            <w:spacing w:val="5"/>
            <w:lang w:eastAsia="en-US"/>
          </w:rPr>
          <w:t xml:space="preserve">VKM </w:t>
        </w:r>
        <w:r w:rsidR="0078161D" w:rsidRPr="00024D5A">
          <w:rPr>
            <w:rFonts w:ascii="Garamond" w:hAnsi="Garamond"/>
            <w:spacing w:val="5"/>
            <w:lang w:eastAsia="en-US"/>
          </w:rPr>
          <w:t>n</w:t>
        </w:r>
        <w:r w:rsidR="005743A8" w:rsidRPr="00024D5A">
          <w:rPr>
            <w:rFonts w:ascii="Garamond" w:hAnsi="Garamond"/>
            <w:spacing w:val="5"/>
            <w:lang w:eastAsia="en-US"/>
          </w:rPr>
          <w:t>r. 646, datë 5.10.2022</w:t>
        </w:r>
        <w:r w:rsidR="0078161D" w:rsidRPr="00024D5A">
          <w:rPr>
            <w:rFonts w:ascii="Garamond" w:hAnsi="Garamond"/>
            <w:spacing w:val="5"/>
            <w:lang w:eastAsia="en-US"/>
          </w:rPr>
          <w:t>,</w:t>
        </w:r>
        <w:r w:rsidR="005743A8" w:rsidRPr="00024D5A">
          <w:rPr>
            <w:rFonts w:ascii="Garamond" w:hAnsi="Garamond"/>
            <w:spacing w:val="5"/>
            <w:lang w:eastAsia="en-US"/>
          </w:rPr>
          <w:t xml:space="preserve"> </w:t>
        </w:r>
        <w:r w:rsidR="0078161D" w:rsidRPr="00024D5A">
          <w:rPr>
            <w:rFonts w:ascii="Garamond" w:hAnsi="Garamond"/>
            <w:spacing w:val="5"/>
            <w:lang w:eastAsia="en-US"/>
          </w:rPr>
          <w:t>“</w:t>
        </w:r>
        <w:r w:rsidR="005743A8" w:rsidRPr="00024D5A">
          <w:rPr>
            <w:rFonts w:ascii="Garamond" w:hAnsi="Garamond"/>
            <w:spacing w:val="5"/>
            <w:lang w:eastAsia="en-US"/>
          </w:rPr>
          <w:t>Për procedurat, kriteret dhe rregullat për zbatimin e programeve të formimit profesional nëpërmjet mbështetjes financiare të ofruar, sipas procedurave të konkurrimit, për kurset e formimit profesional të organizuara nga institucionet e formimit profesional, publike apo privatë</w:t>
        </w:r>
      </w:hyperlink>
      <w:r w:rsidR="0078161D" w:rsidRPr="00024D5A">
        <w:rPr>
          <w:rFonts w:ascii="Garamond" w:hAnsi="Garamond"/>
        </w:rPr>
        <w:t>”</w:t>
      </w:r>
      <w:r w:rsidR="005743A8" w:rsidRPr="00024D5A">
        <w:rPr>
          <w:rFonts w:ascii="Garamond" w:hAnsi="Garamond"/>
          <w:spacing w:val="5"/>
          <w:lang w:eastAsia="en-US"/>
        </w:rPr>
        <w:t>.</w:t>
      </w:r>
    </w:p>
    <w:p w14:paraId="065523E5" w14:textId="77777777" w:rsidR="003E1630" w:rsidRPr="00024D5A" w:rsidRDefault="005743A8" w:rsidP="00E755A6">
      <w:pPr>
        <w:ind w:firstLine="288"/>
        <w:jc w:val="both"/>
        <w:rPr>
          <w:rFonts w:ascii="Garamond" w:hAnsi="Garamond"/>
          <w:b/>
          <w:bCs/>
          <w:i/>
          <w:iCs/>
          <w:lang w:eastAsia="en-US"/>
        </w:rPr>
      </w:pPr>
      <w:r w:rsidRPr="00024D5A">
        <w:rPr>
          <w:rFonts w:ascii="Garamond" w:hAnsi="Garamond"/>
          <w:b/>
          <w:bCs/>
          <w:i/>
          <w:iCs/>
          <w:lang w:eastAsia="en-US"/>
        </w:rPr>
        <w:t xml:space="preserve">VII. Arsimi </w:t>
      </w:r>
    </w:p>
    <w:p w14:paraId="0B4ECA95" w14:textId="0A08A35D" w:rsidR="003E1630" w:rsidRPr="00024D5A" w:rsidRDefault="005743A8" w:rsidP="00E755A6">
      <w:pPr>
        <w:ind w:firstLine="288"/>
        <w:jc w:val="both"/>
        <w:rPr>
          <w:rFonts w:ascii="Garamond" w:hAnsi="Garamond"/>
          <w:lang w:eastAsia="en-US"/>
        </w:rPr>
      </w:pPr>
      <w:r w:rsidRPr="00024D5A">
        <w:rPr>
          <w:rFonts w:ascii="Garamond" w:hAnsi="Garamond"/>
          <w:lang w:eastAsia="en-US"/>
        </w:rPr>
        <w:t xml:space="preserve">Ligji </w:t>
      </w:r>
      <w:r w:rsidR="0078161D" w:rsidRPr="00024D5A">
        <w:rPr>
          <w:rFonts w:ascii="Garamond" w:hAnsi="Garamond"/>
          <w:lang w:eastAsia="en-US"/>
        </w:rPr>
        <w:t xml:space="preserve">nr. </w:t>
      </w:r>
      <w:r w:rsidRPr="00024D5A">
        <w:rPr>
          <w:rFonts w:ascii="Garamond" w:hAnsi="Garamond"/>
          <w:lang w:eastAsia="en-US"/>
        </w:rPr>
        <w:t>69/2012</w:t>
      </w:r>
      <w:r w:rsidR="0078161D" w:rsidRPr="00024D5A">
        <w:rPr>
          <w:rFonts w:ascii="Garamond" w:hAnsi="Garamond"/>
          <w:lang w:eastAsia="en-US"/>
        </w:rPr>
        <w:t>,</w:t>
      </w:r>
      <w:r w:rsidRPr="00024D5A">
        <w:rPr>
          <w:rFonts w:ascii="Garamond" w:hAnsi="Garamond"/>
          <w:lang w:eastAsia="en-US"/>
        </w:rPr>
        <w:t xml:space="preserve"> </w:t>
      </w:r>
      <w:r w:rsidR="0078161D" w:rsidRPr="00024D5A">
        <w:rPr>
          <w:rFonts w:ascii="Garamond" w:hAnsi="Garamond"/>
          <w:lang w:eastAsia="en-US"/>
        </w:rPr>
        <w:t>“</w:t>
      </w:r>
      <w:r w:rsidRPr="00024D5A">
        <w:rPr>
          <w:rFonts w:ascii="Garamond" w:hAnsi="Garamond"/>
          <w:lang w:eastAsia="en-US"/>
        </w:rPr>
        <w:t>Për sistemin arsimor parauniversitar në Republikën e Shqipërisë</w:t>
      </w:r>
      <w:r w:rsidR="0078161D" w:rsidRPr="00024D5A">
        <w:rPr>
          <w:rFonts w:ascii="Garamond" w:hAnsi="Garamond"/>
          <w:lang w:eastAsia="en-US"/>
        </w:rPr>
        <w:t>”</w:t>
      </w:r>
      <w:r w:rsidRPr="00024D5A">
        <w:rPr>
          <w:rFonts w:ascii="Garamond" w:hAnsi="Garamond"/>
          <w:lang w:eastAsia="en-US"/>
        </w:rPr>
        <w:t>, i ndryshuar.</w:t>
      </w:r>
    </w:p>
    <w:p w14:paraId="68BE670E" w14:textId="00AEDF5F" w:rsidR="003E1630" w:rsidRPr="00024D5A" w:rsidRDefault="005743A8" w:rsidP="00E755A6">
      <w:pPr>
        <w:ind w:firstLine="288"/>
        <w:jc w:val="both"/>
        <w:rPr>
          <w:rFonts w:ascii="Garamond" w:hAnsi="Garamond"/>
          <w:lang w:eastAsia="en-US"/>
        </w:rPr>
      </w:pPr>
      <w:r w:rsidRPr="00024D5A">
        <w:rPr>
          <w:rFonts w:ascii="Garamond" w:hAnsi="Garamond"/>
          <w:lang w:eastAsia="en-US"/>
        </w:rPr>
        <w:t xml:space="preserve">VKM </w:t>
      </w:r>
      <w:r w:rsidR="0078161D" w:rsidRPr="00024D5A">
        <w:rPr>
          <w:rFonts w:ascii="Garamond" w:hAnsi="Garamond"/>
          <w:lang w:eastAsia="en-US"/>
        </w:rPr>
        <w:t>n</w:t>
      </w:r>
      <w:r w:rsidRPr="00024D5A">
        <w:rPr>
          <w:rFonts w:ascii="Garamond" w:hAnsi="Garamond"/>
          <w:lang w:eastAsia="en-US"/>
        </w:rPr>
        <w:t>r. 269</w:t>
      </w:r>
      <w:r w:rsidR="0078161D" w:rsidRPr="00024D5A">
        <w:rPr>
          <w:rFonts w:ascii="Garamond" w:hAnsi="Garamond"/>
          <w:lang w:eastAsia="en-US"/>
        </w:rPr>
        <w:t>/</w:t>
      </w:r>
      <w:r w:rsidRPr="00024D5A">
        <w:rPr>
          <w:rFonts w:ascii="Garamond" w:hAnsi="Garamond"/>
          <w:lang w:eastAsia="en-US"/>
        </w:rPr>
        <w:t>2017</w:t>
      </w:r>
      <w:r w:rsidR="006C7A0A" w:rsidRPr="00024D5A">
        <w:rPr>
          <w:rFonts w:ascii="Garamond" w:hAnsi="Garamond"/>
          <w:lang w:eastAsia="en-US"/>
        </w:rPr>
        <w:t>,</w:t>
      </w:r>
      <w:r w:rsidRPr="00024D5A">
        <w:rPr>
          <w:rFonts w:ascii="Garamond" w:hAnsi="Garamond"/>
          <w:lang w:eastAsia="en-US"/>
        </w:rPr>
        <w:t xml:space="preserve"> </w:t>
      </w:r>
      <w:r w:rsidR="0078161D" w:rsidRPr="00024D5A">
        <w:rPr>
          <w:rFonts w:ascii="Garamond" w:hAnsi="Garamond"/>
          <w:lang w:eastAsia="en-US"/>
        </w:rPr>
        <w:t>“P</w:t>
      </w:r>
      <w:r w:rsidRPr="00024D5A">
        <w:rPr>
          <w:rFonts w:ascii="Garamond" w:hAnsi="Garamond"/>
          <w:lang w:eastAsia="en-US"/>
        </w:rPr>
        <w:t>ër përcaktimin e kategorive të individëve që plotësojnë kriteret e pranimit në një program të ciklit të parë të studimeve, në një program të integruar të studimeve ose në një program të studimeve profesionale që përjashtohen nga tarifa vjetore e shkollimit</w:t>
      </w:r>
      <w:r w:rsidR="0078161D" w:rsidRPr="00024D5A">
        <w:rPr>
          <w:rFonts w:ascii="Garamond" w:hAnsi="Garamond"/>
          <w:lang w:eastAsia="en-US"/>
        </w:rPr>
        <w:t>,</w:t>
      </w:r>
      <w:r w:rsidRPr="00024D5A">
        <w:rPr>
          <w:rFonts w:ascii="Garamond" w:hAnsi="Garamond"/>
          <w:lang w:eastAsia="en-US"/>
        </w:rPr>
        <w:t xml:space="preserve"> ndryshuar me VKM</w:t>
      </w:r>
      <w:r w:rsidR="0078161D" w:rsidRPr="00024D5A">
        <w:rPr>
          <w:rFonts w:ascii="Garamond" w:hAnsi="Garamond"/>
          <w:lang w:eastAsia="en-US"/>
        </w:rPr>
        <w:t xml:space="preserve"> n</w:t>
      </w:r>
      <w:r w:rsidRPr="00024D5A">
        <w:rPr>
          <w:rFonts w:ascii="Garamond" w:hAnsi="Garamond"/>
          <w:lang w:eastAsia="en-US"/>
        </w:rPr>
        <w:t>r. 40</w:t>
      </w:r>
      <w:r w:rsidR="0078161D" w:rsidRPr="00024D5A">
        <w:rPr>
          <w:rFonts w:ascii="Garamond" w:hAnsi="Garamond"/>
          <w:lang w:eastAsia="en-US"/>
        </w:rPr>
        <w:t>,</w:t>
      </w:r>
      <w:r w:rsidRPr="00024D5A">
        <w:rPr>
          <w:rFonts w:ascii="Garamond" w:hAnsi="Garamond"/>
          <w:lang w:eastAsia="en-US"/>
        </w:rPr>
        <w:t xml:space="preserve"> datë 23.1.2019 dhe VKM </w:t>
      </w:r>
      <w:r w:rsidR="0078161D" w:rsidRPr="00024D5A">
        <w:rPr>
          <w:rFonts w:ascii="Garamond" w:hAnsi="Garamond"/>
          <w:lang w:eastAsia="en-US"/>
        </w:rPr>
        <w:t>n</w:t>
      </w:r>
      <w:r w:rsidRPr="00024D5A">
        <w:rPr>
          <w:rFonts w:ascii="Garamond" w:hAnsi="Garamond"/>
          <w:lang w:eastAsia="en-US"/>
        </w:rPr>
        <w:t>r. 251</w:t>
      </w:r>
      <w:r w:rsidR="0078161D" w:rsidRPr="00024D5A">
        <w:rPr>
          <w:rFonts w:ascii="Garamond" w:hAnsi="Garamond"/>
          <w:lang w:eastAsia="en-US"/>
        </w:rPr>
        <w:t>,</w:t>
      </w:r>
      <w:r w:rsidRPr="00024D5A">
        <w:rPr>
          <w:rFonts w:ascii="Garamond" w:hAnsi="Garamond"/>
          <w:lang w:eastAsia="en-US"/>
        </w:rPr>
        <w:t xml:space="preserve"> datë 27.3.2020.</w:t>
      </w:r>
    </w:p>
    <w:p w14:paraId="6B847560" w14:textId="52D91A46" w:rsidR="003E1630" w:rsidRPr="00024D5A" w:rsidRDefault="005743A8" w:rsidP="00E755A6">
      <w:pPr>
        <w:ind w:firstLine="288"/>
        <w:jc w:val="both"/>
        <w:rPr>
          <w:rFonts w:ascii="Garamond" w:hAnsi="Garamond"/>
          <w:lang w:eastAsia="en-US"/>
        </w:rPr>
      </w:pPr>
      <w:r w:rsidRPr="00024D5A">
        <w:rPr>
          <w:rFonts w:ascii="Garamond" w:hAnsi="Garamond"/>
          <w:lang w:eastAsia="en-US"/>
        </w:rPr>
        <w:t>VKM nr. 148</w:t>
      </w:r>
      <w:r w:rsidR="0078161D" w:rsidRPr="00024D5A">
        <w:rPr>
          <w:rFonts w:ascii="Garamond" w:hAnsi="Garamond"/>
          <w:lang w:eastAsia="en-US"/>
        </w:rPr>
        <w:t>/</w:t>
      </w:r>
      <w:r w:rsidRPr="00024D5A">
        <w:rPr>
          <w:rFonts w:ascii="Garamond" w:hAnsi="Garamond"/>
          <w:lang w:eastAsia="en-US"/>
        </w:rPr>
        <w:t>2024</w:t>
      </w:r>
      <w:r w:rsidR="0078161D" w:rsidRPr="00024D5A">
        <w:rPr>
          <w:rFonts w:ascii="Garamond" w:hAnsi="Garamond"/>
          <w:lang w:eastAsia="en-US"/>
        </w:rPr>
        <w:t>,</w:t>
      </w:r>
      <w:r w:rsidRPr="00024D5A">
        <w:rPr>
          <w:rFonts w:ascii="Garamond" w:hAnsi="Garamond"/>
          <w:lang w:eastAsia="en-US"/>
        </w:rPr>
        <w:t xml:space="preserve"> </w:t>
      </w:r>
      <w:r w:rsidR="0078161D" w:rsidRPr="00024D5A">
        <w:rPr>
          <w:rFonts w:ascii="Garamond" w:hAnsi="Garamond"/>
          <w:lang w:eastAsia="en-US"/>
        </w:rPr>
        <w:t>“</w:t>
      </w:r>
      <w:r w:rsidRPr="00024D5A">
        <w:rPr>
          <w:rFonts w:ascii="Garamond" w:hAnsi="Garamond"/>
          <w:lang w:eastAsia="en-US"/>
        </w:rPr>
        <w:t>Për kriteret dhe procedurat për hapjen, mbylljen dhe riorganizimin e institucioneve të arsimit special në qendra burimore, si dhe për mënyrën e organizimit e të funksionimit të tyre</w:t>
      </w:r>
      <w:r w:rsidR="0078161D" w:rsidRPr="00024D5A">
        <w:rPr>
          <w:rFonts w:ascii="Garamond" w:hAnsi="Garamond"/>
          <w:lang w:eastAsia="en-US"/>
        </w:rPr>
        <w:t>”</w:t>
      </w:r>
      <w:r w:rsidRPr="00024D5A">
        <w:rPr>
          <w:rFonts w:ascii="Garamond" w:hAnsi="Garamond"/>
          <w:lang w:eastAsia="en-US"/>
        </w:rPr>
        <w:t>.</w:t>
      </w:r>
    </w:p>
    <w:p w14:paraId="5397D64A" w14:textId="29350525" w:rsidR="003E1630" w:rsidRPr="00024D5A" w:rsidRDefault="005743A8" w:rsidP="00E755A6">
      <w:pPr>
        <w:ind w:firstLine="288"/>
        <w:jc w:val="both"/>
        <w:rPr>
          <w:rFonts w:ascii="Garamond" w:hAnsi="Garamond"/>
          <w:lang w:eastAsia="en-US"/>
        </w:rPr>
      </w:pPr>
      <w:r w:rsidRPr="00024D5A">
        <w:rPr>
          <w:rFonts w:ascii="Garamond" w:hAnsi="Garamond"/>
          <w:lang w:eastAsia="en-US"/>
        </w:rPr>
        <w:t xml:space="preserve">VKM </w:t>
      </w:r>
      <w:r w:rsidR="0078161D" w:rsidRPr="00024D5A">
        <w:rPr>
          <w:rFonts w:ascii="Garamond" w:hAnsi="Garamond"/>
          <w:lang w:eastAsia="en-US"/>
        </w:rPr>
        <w:t>n</w:t>
      </w:r>
      <w:r w:rsidRPr="00024D5A">
        <w:rPr>
          <w:rFonts w:ascii="Garamond" w:hAnsi="Garamond"/>
          <w:lang w:eastAsia="en-US"/>
        </w:rPr>
        <w:t>r. 511</w:t>
      </w:r>
      <w:r w:rsidR="0078161D" w:rsidRPr="00024D5A">
        <w:rPr>
          <w:rFonts w:ascii="Garamond" w:hAnsi="Garamond"/>
          <w:lang w:eastAsia="en-US"/>
        </w:rPr>
        <w:t>/</w:t>
      </w:r>
      <w:r w:rsidRPr="00024D5A">
        <w:rPr>
          <w:rFonts w:ascii="Garamond" w:hAnsi="Garamond"/>
          <w:lang w:eastAsia="en-US"/>
        </w:rPr>
        <w:t>2022</w:t>
      </w:r>
      <w:r w:rsidR="0078161D" w:rsidRPr="00024D5A">
        <w:rPr>
          <w:rFonts w:ascii="Garamond" w:hAnsi="Garamond"/>
          <w:lang w:eastAsia="en-US"/>
        </w:rPr>
        <w:t>,</w:t>
      </w:r>
      <w:r w:rsidRPr="00024D5A">
        <w:rPr>
          <w:rFonts w:ascii="Garamond" w:hAnsi="Garamond"/>
          <w:lang w:eastAsia="en-US"/>
        </w:rPr>
        <w:t xml:space="preserve"> </w:t>
      </w:r>
      <w:r w:rsidR="0078161D" w:rsidRPr="00024D5A">
        <w:rPr>
          <w:rFonts w:ascii="Garamond" w:hAnsi="Garamond"/>
          <w:lang w:eastAsia="en-US"/>
        </w:rPr>
        <w:t>“</w:t>
      </w:r>
      <w:r w:rsidRPr="00024D5A">
        <w:rPr>
          <w:rFonts w:ascii="Garamond" w:hAnsi="Garamond"/>
          <w:lang w:eastAsia="en-US"/>
        </w:rPr>
        <w:t xml:space="preserve">Për disa ndryshime dhe shtesa në </w:t>
      </w:r>
      <w:r w:rsidR="0078161D" w:rsidRPr="00024D5A">
        <w:rPr>
          <w:rFonts w:ascii="Garamond" w:hAnsi="Garamond"/>
          <w:lang w:eastAsia="en-US"/>
        </w:rPr>
        <w:t>VKM</w:t>
      </w:r>
      <w:r w:rsidRPr="00024D5A">
        <w:rPr>
          <w:rFonts w:ascii="Garamond" w:hAnsi="Garamond"/>
          <w:lang w:eastAsia="en-US"/>
        </w:rPr>
        <w:t xml:space="preserve"> nr. 666, datë 10.10.2019, </w:t>
      </w:r>
      <w:r w:rsidR="006C7A0A" w:rsidRPr="00024D5A">
        <w:rPr>
          <w:rFonts w:ascii="Garamond" w:hAnsi="Garamond"/>
          <w:lang w:eastAsia="en-US"/>
        </w:rPr>
        <w:t>‘</w:t>
      </w:r>
      <w:r w:rsidRPr="00024D5A">
        <w:rPr>
          <w:rFonts w:ascii="Garamond" w:hAnsi="Garamond"/>
          <w:lang w:eastAsia="en-US"/>
        </w:rPr>
        <w:t>Për kuotat financiare të ushqimit në mensa e konvikte dhe përcaktimin e kritereve për përfitimin e bursave e të pagesave për nxënësit e arsimit parauniversitar në institucionet arsimore publike</w:t>
      </w:r>
      <w:r w:rsidR="006C7A0A" w:rsidRPr="00024D5A">
        <w:rPr>
          <w:rFonts w:ascii="Garamond" w:hAnsi="Garamond"/>
          <w:lang w:eastAsia="en-US"/>
        </w:rPr>
        <w:t>’</w:t>
      </w:r>
      <w:r w:rsidR="0078161D" w:rsidRPr="00024D5A">
        <w:rPr>
          <w:rFonts w:ascii="Garamond" w:hAnsi="Garamond"/>
          <w:lang w:eastAsia="en-US"/>
        </w:rPr>
        <w:t>”</w:t>
      </w:r>
      <w:r w:rsidRPr="00024D5A">
        <w:rPr>
          <w:rFonts w:ascii="Garamond" w:hAnsi="Garamond"/>
          <w:lang w:eastAsia="en-US"/>
        </w:rPr>
        <w:t>, të ndryshuar.</w:t>
      </w:r>
    </w:p>
    <w:p w14:paraId="0304BCD0" w14:textId="7EA1C696" w:rsidR="003E1630" w:rsidRPr="00024D5A" w:rsidRDefault="005743A8" w:rsidP="00E755A6">
      <w:pPr>
        <w:ind w:firstLine="288"/>
        <w:jc w:val="both"/>
        <w:rPr>
          <w:rFonts w:ascii="Garamond" w:hAnsi="Garamond"/>
          <w:lang w:eastAsia="en-US"/>
        </w:rPr>
      </w:pPr>
      <w:r w:rsidRPr="00024D5A">
        <w:rPr>
          <w:rFonts w:ascii="Garamond" w:hAnsi="Garamond"/>
          <w:lang w:eastAsia="en-US"/>
        </w:rPr>
        <w:t xml:space="preserve">VKM </w:t>
      </w:r>
      <w:r w:rsidR="0078161D" w:rsidRPr="00024D5A">
        <w:rPr>
          <w:rFonts w:ascii="Garamond" w:hAnsi="Garamond"/>
          <w:lang w:eastAsia="en-US"/>
        </w:rPr>
        <w:t>n</w:t>
      </w:r>
      <w:r w:rsidRPr="00024D5A">
        <w:rPr>
          <w:rFonts w:ascii="Garamond" w:hAnsi="Garamond"/>
          <w:lang w:eastAsia="en-US"/>
        </w:rPr>
        <w:t>r. 682</w:t>
      </w:r>
      <w:r w:rsidR="0078161D" w:rsidRPr="00024D5A">
        <w:rPr>
          <w:rFonts w:ascii="Garamond" w:hAnsi="Garamond"/>
          <w:lang w:eastAsia="en-US"/>
        </w:rPr>
        <w:t>/</w:t>
      </w:r>
      <w:r w:rsidRPr="00024D5A">
        <w:rPr>
          <w:rFonts w:ascii="Garamond" w:hAnsi="Garamond"/>
          <w:lang w:eastAsia="en-US"/>
        </w:rPr>
        <w:t>2015</w:t>
      </w:r>
      <w:r w:rsidR="0078161D" w:rsidRPr="00024D5A">
        <w:rPr>
          <w:rFonts w:ascii="Garamond" w:hAnsi="Garamond"/>
          <w:lang w:eastAsia="en-US"/>
        </w:rPr>
        <w:t>,</w:t>
      </w:r>
      <w:r w:rsidRPr="00024D5A">
        <w:rPr>
          <w:rFonts w:ascii="Garamond" w:hAnsi="Garamond"/>
          <w:lang w:eastAsia="en-US"/>
        </w:rPr>
        <w:t xml:space="preserve"> </w:t>
      </w:r>
      <w:r w:rsidR="0078161D" w:rsidRPr="00024D5A">
        <w:rPr>
          <w:rFonts w:ascii="Garamond" w:hAnsi="Garamond"/>
          <w:lang w:eastAsia="en-US"/>
        </w:rPr>
        <w:t>“</w:t>
      </w:r>
      <w:r w:rsidRPr="00024D5A">
        <w:rPr>
          <w:rFonts w:ascii="Garamond" w:hAnsi="Garamond"/>
          <w:lang w:eastAsia="en-US"/>
        </w:rPr>
        <w:t>Për përdorimin e fondeve publike për transportimin e punonjësve arsimorë që punojnë dhe të nxënësve që mësojnë jashtë vendbanimit</w:t>
      </w:r>
      <w:r w:rsidR="0078161D" w:rsidRPr="00024D5A">
        <w:rPr>
          <w:rFonts w:ascii="Garamond" w:hAnsi="Garamond"/>
          <w:lang w:eastAsia="en-US"/>
        </w:rPr>
        <w:t>”</w:t>
      </w:r>
      <w:r w:rsidRPr="00024D5A">
        <w:rPr>
          <w:rFonts w:ascii="Garamond" w:hAnsi="Garamond"/>
          <w:lang w:eastAsia="en-US"/>
        </w:rPr>
        <w:t>, i ndryshuar.</w:t>
      </w:r>
    </w:p>
    <w:p w14:paraId="1C2515CE" w14:textId="77777777" w:rsidR="003E1630" w:rsidRPr="00024D5A" w:rsidRDefault="005743A8" w:rsidP="00E755A6">
      <w:pPr>
        <w:ind w:firstLine="288"/>
        <w:jc w:val="both"/>
        <w:rPr>
          <w:rFonts w:ascii="Garamond" w:hAnsi="Garamond"/>
          <w:b/>
          <w:bCs/>
          <w:i/>
          <w:iCs/>
        </w:rPr>
      </w:pPr>
      <w:r w:rsidRPr="00024D5A">
        <w:rPr>
          <w:rFonts w:ascii="Garamond" w:hAnsi="Garamond"/>
          <w:b/>
          <w:bCs/>
          <w:i/>
          <w:iCs/>
        </w:rPr>
        <w:t>VIII. Kultura</w:t>
      </w:r>
    </w:p>
    <w:p w14:paraId="55C24C43" w14:textId="0BE92B43" w:rsidR="003E1630" w:rsidRPr="00024D5A" w:rsidRDefault="005743A8" w:rsidP="00E755A6">
      <w:pPr>
        <w:ind w:firstLine="288"/>
        <w:jc w:val="both"/>
        <w:rPr>
          <w:rFonts w:ascii="Garamond" w:hAnsi="Garamond"/>
        </w:rPr>
      </w:pPr>
      <w:r w:rsidRPr="00024D5A">
        <w:rPr>
          <w:rFonts w:ascii="Garamond" w:hAnsi="Garamond"/>
        </w:rPr>
        <w:t>Ligjin nr. 27/2018</w:t>
      </w:r>
      <w:r w:rsidR="0078161D" w:rsidRPr="00024D5A">
        <w:rPr>
          <w:rFonts w:ascii="Garamond" w:hAnsi="Garamond"/>
        </w:rPr>
        <w:t>,</w:t>
      </w:r>
      <w:r w:rsidRPr="00024D5A">
        <w:rPr>
          <w:rFonts w:ascii="Garamond" w:hAnsi="Garamond"/>
        </w:rPr>
        <w:t xml:space="preserve"> </w:t>
      </w:r>
      <w:r w:rsidR="0078161D" w:rsidRPr="00024D5A">
        <w:rPr>
          <w:rFonts w:ascii="Garamond" w:hAnsi="Garamond"/>
        </w:rPr>
        <w:t>“</w:t>
      </w:r>
      <w:r w:rsidRPr="00024D5A">
        <w:rPr>
          <w:rFonts w:ascii="Garamond" w:hAnsi="Garamond"/>
        </w:rPr>
        <w:t xml:space="preserve">Për </w:t>
      </w:r>
      <w:r w:rsidR="006C7A0A" w:rsidRPr="00024D5A">
        <w:rPr>
          <w:rFonts w:ascii="Garamond" w:hAnsi="Garamond"/>
        </w:rPr>
        <w:t>trashëgiminë kulturore dhe muzetë</w:t>
      </w:r>
      <w:r w:rsidR="0078161D" w:rsidRPr="00024D5A">
        <w:rPr>
          <w:rFonts w:ascii="Garamond" w:hAnsi="Garamond"/>
        </w:rPr>
        <w:t>”</w:t>
      </w:r>
      <w:r w:rsidRPr="00024D5A">
        <w:rPr>
          <w:rFonts w:ascii="Garamond" w:hAnsi="Garamond"/>
        </w:rPr>
        <w:t>.</w:t>
      </w:r>
    </w:p>
    <w:p w14:paraId="19F48AAC" w14:textId="3F10BB5A" w:rsidR="003E1630" w:rsidRPr="00024D5A" w:rsidRDefault="005743A8" w:rsidP="00E755A6">
      <w:pPr>
        <w:ind w:firstLine="288"/>
        <w:jc w:val="both"/>
        <w:rPr>
          <w:rFonts w:ascii="Garamond" w:hAnsi="Garamond"/>
        </w:rPr>
      </w:pPr>
      <w:r w:rsidRPr="00024D5A">
        <w:rPr>
          <w:rFonts w:ascii="Garamond" w:hAnsi="Garamond"/>
        </w:rPr>
        <w:t xml:space="preserve">Ligjin </w:t>
      </w:r>
      <w:r w:rsidR="0078161D" w:rsidRPr="00024D5A">
        <w:rPr>
          <w:rFonts w:ascii="Garamond" w:hAnsi="Garamond"/>
        </w:rPr>
        <w:t>n</w:t>
      </w:r>
      <w:r w:rsidRPr="00024D5A">
        <w:rPr>
          <w:rFonts w:ascii="Garamond" w:hAnsi="Garamond"/>
        </w:rPr>
        <w:t>r. 10 352</w:t>
      </w:r>
      <w:r w:rsidR="0078161D" w:rsidRPr="00024D5A">
        <w:rPr>
          <w:rFonts w:ascii="Garamond" w:hAnsi="Garamond"/>
        </w:rPr>
        <w:t>/</w:t>
      </w:r>
      <w:r w:rsidRPr="00024D5A">
        <w:rPr>
          <w:rFonts w:ascii="Garamond" w:hAnsi="Garamond"/>
        </w:rPr>
        <w:t>2010</w:t>
      </w:r>
      <w:r w:rsidR="0078161D" w:rsidRPr="00024D5A">
        <w:rPr>
          <w:rFonts w:ascii="Garamond" w:hAnsi="Garamond"/>
        </w:rPr>
        <w:t>,</w:t>
      </w:r>
      <w:r w:rsidRPr="00024D5A">
        <w:rPr>
          <w:rFonts w:ascii="Garamond" w:hAnsi="Garamond"/>
        </w:rPr>
        <w:t xml:space="preserve"> </w:t>
      </w:r>
      <w:r w:rsidR="0078161D" w:rsidRPr="00024D5A">
        <w:rPr>
          <w:rFonts w:ascii="Garamond" w:hAnsi="Garamond"/>
        </w:rPr>
        <w:t>“</w:t>
      </w:r>
      <w:r w:rsidRPr="00024D5A">
        <w:rPr>
          <w:rFonts w:ascii="Garamond" w:hAnsi="Garamond"/>
        </w:rPr>
        <w:t xml:space="preserve">Për </w:t>
      </w:r>
      <w:r w:rsidR="006C7A0A" w:rsidRPr="00024D5A">
        <w:rPr>
          <w:rFonts w:ascii="Garamond" w:hAnsi="Garamond"/>
        </w:rPr>
        <w:t>artin dhe kultur</w:t>
      </w:r>
      <w:r w:rsidRPr="00024D5A">
        <w:rPr>
          <w:rFonts w:ascii="Garamond" w:hAnsi="Garamond"/>
        </w:rPr>
        <w:t>ën</w:t>
      </w:r>
      <w:r w:rsidR="0078161D" w:rsidRPr="00024D5A">
        <w:rPr>
          <w:rFonts w:ascii="Garamond" w:hAnsi="Garamond"/>
        </w:rPr>
        <w:t>”,</w:t>
      </w:r>
      <w:r w:rsidRPr="00024D5A">
        <w:rPr>
          <w:rFonts w:ascii="Garamond" w:hAnsi="Garamond"/>
        </w:rPr>
        <w:t xml:space="preserve"> i ndryshuar.</w:t>
      </w:r>
    </w:p>
    <w:p w14:paraId="5578A447" w14:textId="00BBA360" w:rsidR="003E1630" w:rsidRPr="00024D5A" w:rsidRDefault="005743A8" w:rsidP="00E755A6">
      <w:pPr>
        <w:ind w:firstLine="288"/>
        <w:jc w:val="both"/>
        <w:rPr>
          <w:rFonts w:ascii="Garamond" w:hAnsi="Garamond"/>
        </w:rPr>
      </w:pPr>
      <w:r w:rsidRPr="00024D5A">
        <w:rPr>
          <w:rFonts w:ascii="Garamond" w:hAnsi="Garamond"/>
        </w:rPr>
        <w:t xml:space="preserve">Ligji </w:t>
      </w:r>
      <w:r w:rsidR="0078161D" w:rsidRPr="00024D5A">
        <w:rPr>
          <w:rFonts w:ascii="Garamond" w:hAnsi="Garamond"/>
        </w:rPr>
        <w:t>n</w:t>
      </w:r>
      <w:r w:rsidRPr="00024D5A">
        <w:rPr>
          <w:rFonts w:ascii="Garamond" w:hAnsi="Garamond"/>
        </w:rPr>
        <w:t>r. 35/2016</w:t>
      </w:r>
      <w:r w:rsidR="0078161D" w:rsidRPr="00024D5A">
        <w:rPr>
          <w:rFonts w:ascii="Garamond" w:hAnsi="Garamond"/>
        </w:rPr>
        <w:t>,</w:t>
      </w:r>
      <w:r w:rsidRPr="00024D5A">
        <w:rPr>
          <w:rFonts w:ascii="Garamond" w:hAnsi="Garamond"/>
        </w:rPr>
        <w:t xml:space="preserve"> </w:t>
      </w:r>
      <w:r w:rsidR="0078161D" w:rsidRPr="00024D5A">
        <w:rPr>
          <w:rFonts w:ascii="Garamond" w:hAnsi="Garamond"/>
        </w:rPr>
        <w:t>“</w:t>
      </w:r>
      <w:r w:rsidRPr="00024D5A">
        <w:rPr>
          <w:rFonts w:ascii="Garamond" w:hAnsi="Garamond"/>
        </w:rPr>
        <w:t>Për të drejtat e autorit dhe të drejtat e ngjashme</w:t>
      </w:r>
      <w:r w:rsidR="0078161D" w:rsidRPr="00024D5A">
        <w:rPr>
          <w:rFonts w:ascii="Garamond" w:hAnsi="Garamond"/>
        </w:rPr>
        <w:t>”</w:t>
      </w:r>
      <w:r w:rsidRPr="00024D5A">
        <w:rPr>
          <w:rFonts w:ascii="Garamond" w:hAnsi="Garamond"/>
        </w:rPr>
        <w:t>.</w:t>
      </w:r>
    </w:p>
    <w:p w14:paraId="10430FB0" w14:textId="3125D942" w:rsidR="003E1630" w:rsidRPr="00024D5A" w:rsidRDefault="005743A8" w:rsidP="00E755A6">
      <w:pPr>
        <w:ind w:firstLine="288"/>
        <w:jc w:val="both"/>
        <w:rPr>
          <w:rFonts w:ascii="Garamond" w:hAnsi="Garamond"/>
          <w:lang w:eastAsia="en-US"/>
        </w:rPr>
      </w:pPr>
      <w:r w:rsidRPr="00024D5A">
        <w:rPr>
          <w:rFonts w:ascii="Garamond" w:hAnsi="Garamond"/>
        </w:rPr>
        <w:t>VKM nr. 776</w:t>
      </w:r>
      <w:r w:rsidR="0078161D" w:rsidRPr="00024D5A">
        <w:rPr>
          <w:rFonts w:ascii="Garamond" w:hAnsi="Garamond"/>
        </w:rPr>
        <w:t>/</w:t>
      </w:r>
      <w:r w:rsidRPr="00024D5A">
        <w:rPr>
          <w:rFonts w:ascii="Garamond" w:hAnsi="Garamond"/>
        </w:rPr>
        <w:t xml:space="preserve">2005, </w:t>
      </w:r>
      <w:r w:rsidR="0078161D" w:rsidRPr="00024D5A">
        <w:rPr>
          <w:rFonts w:ascii="Garamond" w:hAnsi="Garamond"/>
        </w:rPr>
        <w:t>“</w:t>
      </w:r>
      <w:r w:rsidRPr="00024D5A">
        <w:rPr>
          <w:rFonts w:ascii="Garamond" w:hAnsi="Garamond"/>
        </w:rPr>
        <w:t>Për vendosjen e çmimeve të reduktuara të biletave të muzeve publike për kategori të caktuara shoqërore</w:t>
      </w:r>
      <w:r w:rsidR="0078161D" w:rsidRPr="00024D5A">
        <w:rPr>
          <w:rFonts w:ascii="Garamond" w:hAnsi="Garamond"/>
        </w:rPr>
        <w:t>”</w:t>
      </w:r>
      <w:r w:rsidRPr="00024D5A">
        <w:rPr>
          <w:rFonts w:ascii="Garamond" w:hAnsi="Garamond"/>
        </w:rPr>
        <w:t xml:space="preserve">, </w:t>
      </w:r>
      <w:r w:rsidR="0078161D" w:rsidRPr="00024D5A">
        <w:rPr>
          <w:rFonts w:ascii="Garamond" w:hAnsi="Garamond"/>
        </w:rPr>
        <w:t>i</w:t>
      </w:r>
      <w:r w:rsidRPr="00024D5A">
        <w:rPr>
          <w:rFonts w:ascii="Garamond" w:hAnsi="Garamond"/>
        </w:rPr>
        <w:t xml:space="preserve"> ndryshuar. </w:t>
      </w:r>
    </w:p>
    <w:p w14:paraId="77BD88E2" w14:textId="0DDC7B1B" w:rsidR="003E1630" w:rsidRPr="00024D5A" w:rsidRDefault="005743A8" w:rsidP="00E755A6">
      <w:pPr>
        <w:pStyle w:val="NoSpacing"/>
        <w:ind w:firstLine="288"/>
        <w:jc w:val="both"/>
        <w:rPr>
          <w:rFonts w:ascii="Garamond" w:hAnsi="Garamond"/>
          <w:b/>
          <w:bCs/>
          <w:i/>
          <w:iCs/>
          <w:sz w:val="24"/>
          <w:szCs w:val="24"/>
          <w:lang w:val="sq-AL"/>
        </w:rPr>
      </w:pPr>
      <w:r w:rsidRPr="00024D5A">
        <w:rPr>
          <w:rFonts w:ascii="Garamond" w:hAnsi="Garamond"/>
          <w:b/>
          <w:bCs/>
          <w:i/>
          <w:iCs/>
          <w:sz w:val="24"/>
          <w:szCs w:val="24"/>
          <w:lang w:val="sq-AL"/>
        </w:rPr>
        <w:t xml:space="preserve">IX. Kuadri ligjor </w:t>
      </w:r>
      <w:r w:rsidR="0007249E" w:rsidRPr="00024D5A">
        <w:rPr>
          <w:rFonts w:ascii="Garamond" w:hAnsi="Garamond"/>
          <w:b/>
          <w:bCs/>
          <w:i/>
          <w:iCs/>
          <w:sz w:val="24"/>
          <w:szCs w:val="24"/>
          <w:lang w:val="sq-AL"/>
        </w:rPr>
        <w:t xml:space="preserve">pjesëmarrja në jetën </w:t>
      </w:r>
      <w:r w:rsidRPr="00024D5A">
        <w:rPr>
          <w:rFonts w:ascii="Garamond" w:hAnsi="Garamond"/>
          <w:b/>
          <w:bCs/>
          <w:i/>
          <w:iCs/>
          <w:sz w:val="24"/>
          <w:szCs w:val="24"/>
          <w:lang w:val="sq-AL"/>
        </w:rPr>
        <w:t>publike e politike</w:t>
      </w:r>
    </w:p>
    <w:p w14:paraId="3D393DEA" w14:textId="45C638C7" w:rsidR="003E1630" w:rsidRPr="00024D5A" w:rsidRDefault="005743A8" w:rsidP="00E755A6">
      <w:pPr>
        <w:pStyle w:val="NoSpacing"/>
        <w:ind w:firstLine="288"/>
        <w:jc w:val="both"/>
        <w:rPr>
          <w:rFonts w:ascii="Garamond" w:hAnsi="Garamond"/>
          <w:sz w:val="24"/>
          <w:szCs w:val="24"/>
          <w:lang w:val="sq-AL"/>
        </w:rPr>
      </w:pPr>
      <w:r w:rsidRPr="00024D5A">
        <w:rPr>
          <w:rFonts w:ascii="Garamond" w:hAnsi="Garamond"/>
          <w:sz w:val="24"/>
          <w:szCs w:val="24"/>
          <w:lang w:val="sq-AL"/>
        </w:rPr>
        <w:t>Ligji nr. 10019</w:t>
      </w:r>
      <w:r w:rsidR="0078161D" w:rsidRPr="00024D5A">
        <w:rPr>
          <w:rFonts w:ascii="Garamond" w:hAnsi="Garamond"/>
          <w:sz w:val="24"/>
          <w:szCs w:val="24"/>
          <w:lang w:val="sq-AL"/>
        </w:rPr>
        <w:t>/</w:t>
      </w:r>
      <w:r w:rsidRPr="00024D5A">
        <w:rPr>
          <w:rFonts w:ascii="Garamond" w:hAnsi="Garamond"/>
          <w:sz w:val="24"/>
          <w:szCs w:val="24"/>
          <w:lang w:val="sq-AL"/>
        </w:rPr>
        <w:t>2008</w:t>
      </w:r>
      <w:r w:rsidR="0078161D" w:rsidRPr="00024D5A">
        <w:rPr>
          <w:rFonts w:ascii="Garamond" w:hAnsi="Garamond"/>
          <w:sz w:val="24"/>
          <w:szCs w:val="24"/>
          <w:lang w:val="sq-AL"/>
        </w:rPr>
        <w:t>,</w:t>
      </w:r>
      <w:r w:rsidRPr="00024D5A">
        <w:rPr>
          <w:rFonts w:ascii="Garamond" w:hAnsi="Garamond"/>
          <w:sz w:val="24"/>
          <w:szCs w:val="24"/>
          <w:lang w:val="sq-AL"/>
        </w:rPr>
        <w:t xml:space="preserve"> </w:t>
      </w:r>
      <w:r w:rsidR="0078161D" w:rsidRPr="00024D5A">
        <w:rPr>
          <w:rFonts w:ascii="Garamond" w:hAnsi="Garamond"/>
          <w:sz w:val="24"/>
          <w:szCs w:val="24"/>
          <w:lang w:val="sq-AL"/>
        </w:rPr>
        <w:t>“</w:t>
      </w:r>
      <w:r w:rsidRPr="00024D5A">
        <w:rPr>
          <w:rFonts w:ascii="Garamond" w:hAnsi="Garamond"/>
          <w:sz w:val="24"/>
          <w:szCs w:val="24"/>
          <w:lang w:val="sq-AL"/>
        </w:rPr>
        <w:t>Për Kodin Zgjedhor të Republikës së Shqipërisë</w:t>
      </w:r>
      <w:r w:rsidR="0078161D" w:rsidRPr="00024D5A">
        <w:rPr>
          <w:rFonts w:ascii="Garamond" w:hAnsi="Garamond"/>
          <w:sz w:val="24"/>
          <w:szCs w:val="24"/>
          <w:lang w:val="sq-AL"/>
        </w:rPr>
        <w:t>”</w:t>
      </w:r>
      <w:r w:rsidRPr="00024D5A">
        <w:rPr>
          <w:rFonts w:ascii="Garamond" w:hAnsi="Garamond"/>
          <w:sz w:val="24"/>
          <w:szCs w:val="24"/>
          <w:lang w:val="sq-AL"/>
        </w:rPr>
        <w:t xml:space="preserve">, i ndryshuar me </w:t>
      </w:r>
      <w:r w:rsidR="0007249E" w:rsidRPr="00024D5A">
        <w:rPr>
          <w:rFonts w:ascii="Garamond" w:hAnsi="Garamond"/>
          <w:sz w:val="24"/>
          <w:szCs w:val="24"/>
          <w:lang w:val="sq-AL"/>
        </w:rPr>
        <w:t xml:space="preserve">ligji </w:t>
      </w:r>
      <w:r w:rsidRPr="00024D5A">
        <w:rPr>
          <w:rFonts w:ascii="Garamond" w:hAnsi="Garamond"/>
          <w:sz w:val="24"/>
          <w:szCs w:val="24"/>
          <w:lang w:val="sq-AL"/>
        </w:rPr>
        <w:t>nr. 118/2020</w:t>
      </w:r>
      <w:r w:rsidR="0078161D" w:rsidRPr="00024D5A">
        <w:rPr>
          <w:rFonts w:ascii="Garamond" w:hAnsi="Garamond"/>
          <w:sz w:val="24"/>
          <w:szCs w:val="24"/>
          <w:lang w:val="sq-AL"/>
        </w:rPr>
        <w:t>.</w:t>
      </w:r>
    </w:p>
    <w:p w14:paraId="5808FE91" w14:textId="16E14C2A" w:rsidR="003E1630" w:rsidRPr="00024D5A" w:rsidRDefault="005743A8" w:rsidP="00E755A6">
      <w:pPr>
        <w:pStyle w:val="NoSpacing"/>
        <w:ind w:firstLine="288"/>
        <w:jc w:val="both"/>
        <w:rPr>
          <w:rFonts w:ascii="Garamond" w:hAnsi="Garamond"/>
          <w:sz w:val="24"/>
          <w:szCs w:val="24"/>
          <w:lang w:val="sq-AL"/>
        </w:rPr>
      </w:pPr>
      <w:r w:rsidRPr="00024D5A">
        <w:rPr>
          <w:rFonts w:ascii="Garamond" w:hAnsi="Garamond"/>
          <w:sz w:val="24"/>
          <w:szCs w:val="24"/>
          <w:lang w:val="sq-AL"/>
        </w:rPr>
        <w:t>Ligji nr. 25/2014</w:t>
      </w:r>
      <w:r w:rsidR="0078161D" w:rsidRPr="00024D5A">
        <w:rPr>
          <w:rFonts w:ascii="Garamond" w:hAnsi="Garamond"/>
          <w:sz w:val="24"/>
          <w:szCs w:val="24"/>
          <w:lang w:val="sq-AL"/>
        </w:rPr>
        <w:t>,</w:t>
      </w:r>
      <w:r w:rsidRPr="00024D5A">
        <w:rPr>
          <w:rFonts w:ascii="Garamond" w:hAnsi="Garamond"/>
          <w:sz w:val="24"/>
          <w:szCs w:val="24"/>
          <w:lang w:val="sq-AL"/>
        </w:rPr>
        <w:t xml:space="preserve"> </w:t>
      </w:r>
      <w:r w:rsidR="0078161D" w:rsidRPr="00024D5A">
        <w:rPr>
          <w:rFonts w:ascii="Garamond" w:hAnsi="Garamond"/>
          <w:sz w:val="24"/>
          <w:szCs w:val="24"/>
          <w:lang w:val="sq-AL"/>
        </w:rPr>
        <w:t>“</w:t>
      </w:r>
      <w:r w:rsidRPr="00024D5A">
        <w:rPr>
          <w:rFonts w:ascii="Garamond" w:hAnsi="Garamond"/>
          <w:sz w:val="24"/>
          <w:szCs w:val="24"/>
          <w:lang w:val="sq-AL"/>
        </w:rPr>
        <w:t xml:space="preserve">Për disa ndryshime dhe shtesa në </w:t>
      </w:r>
      <w:r w:rsidR="0007249E" w:rsidRPr="00024D5A">
        <w:rPr>
          <w:rFonts w:ascii="Garamond" w:hAnsi="Garamond"/>
          <w:sz w:val="24"/>
          <w:szCs w:val="24"/>
          <w:lang w:val="sq-AL"/>
        </w:rPr>
        <w:t xml:space="preserve">ligjin </w:t>
      </w:r>
      <w:r w:rsidRPr="00024D5A">
        <w:rPr>
          <w:rFonts w:ascii="Garamond" w:hAnsi="Garamond"/>
          <w:sz w:val="24"/>
          <w:szCs w:val="24"/>
          <w:lang w:val="sq-AL"/>
        </w:rPr>
        <w:t>nr. 10 352</w:t>
      </w:r>
      <w:r w:rsidR="0078161D" w:rsidRPr="00024D5A">
        <w:rPr>
          <w:rFonts w:ascii="Garamond" w:hAnsi="Garamond"/>
          <w:sz w:val="24"/>
          <w:szCs w:val="24"/>
          <w:lang w:val="sq-AL"/>
        </w:rPr>
        <w:t>/</w:t>
      </w:r>
      <w:r w:rsidRPr="00024D5A">
        <w:rPr>
          <w:rFonts w:ascii="Garamond" w:hAnsi="Garamond"/>
          <w:sz w:val="24"/>
          <w:szCs w:val="24"/>
          <w:lang w:val="sq-AL"/>
        </w:rPr>
        <w:t xml:space="preserve">2010, </w:t>
      </w:r>
      <w:r w:rsidR="0007249E" w:rsidRPr="00024D5A">
        <w:rPr>
          <w:rFonts w:ascii="Garamond" w:hAnsi="Garamond"/>
          <w:sz w:val="24"/>
          <w:szCs w:val="24"/>
          <w:lang w:val="sq-AL"/>
        </w:rPr>
        <w:t>‘</w:t>
      </w:r>
      <w:r w:rsidRPr="00024D5A">
        <w:rPr>
          <w:rFonts w:ascii="Garamond" w:hAnsi="Garamond"/>
          <w:sz w:val="24"/>
          <w:szCs w:val="24"/>
          <w:lang w:val="sq-AL"/>
        </w:rPr>
        <w:t xml:space="preserve">Për </w:t>
      </w:r>
      <w:r w:rsidR="0007249E" w:rsidRPr="00024D5A">
        <w:rPr>
          <w:rFonts w:ascii="Garamond" w:hAnsi="Garamond"/>
          <w:sz w:val="24"/>
          <w:szCs w:val="24"/>
          <w:lang w:val="sq-AL"/>
        </w:rPr>
        <w:t xml:space="preserve">artin </w:t>
      </w:r>
      <w:r w:rsidRPr="00024D5A">
        <w:rPr>
          <w:rFonts w:ascii="Garamond" w:hAnsi="Garamond"/>
          <w:sz w:val="24"/>
          <w:szCs w:val="24"/>
          <w:lang w:val="sq-AL"/>
        </w:rPr>
        <w:t xml:space="preserve">dhe </w:t>
      </w:r>
      <w:r w:rsidR="0007249E" w:rsidRPr="00024D5A">
        <w:rPr>
          <w:rFonts w:ascii="Garamond" w:hAnsi="Garamond"/>
          <w:sz w:val="24"/>
          <w:szCs w:val="24"/>
          <w:lang w:val="sq-AL"/>
        </w:rPr>
        <w:t>kulturën’</w:t>
      </w:r>
      <w:r w:rsidR="0078161D" w:rsidRPr="00024D5A">
        <w:rPr>
          <w:rFonts w:ascii="Garamond" w:hAnsi="Garamond"/>
          <w:sz w:val="24"/>
          <w:szCs w:val="24"/>
          <w:lang w:val="sq-AL"/>
        </w:rPr>
        <w:t>”</w:t>
      </w:r>
      <w:r w:rsidRPr="00024D5A">
        <w:rPr>
          <w:rFonts w:ascii="Garamond" w:hAnsi="Garamond"/>
          <w:sz w:val="24"/>
          <w:szCs w:val="24"/>
          <w:lang w:val="sq-AL"/>
        </w:rPr>
        <w:t xml:space="preserve">. </w:t>
      </w:r>
    </w:p>
    <w:p w14:paraId="5E65DE4E" w14:textId="3148EB25" w:rsidR="003E1630" w:rsidRPr="00024D5A" w:rsidRDefault="005743A8" w:rsidP="00E755A6">
      <w:pPr>
        <w:pStyle w:val="NoSpacing"/>
        <w:ind w:firstLine="288"/>
        <w:jc w:val="both"/>
        <w:rPr>
          <w:rFonts w:ascii="Garamond" w:hAnsi="Garamond"/>
          <w:sz w:val="24"/>
          <w:szCs w:val="24"/>
          <w:lang w:val="sq-AL"/>
        </w:rPr>
      </w:pPr>
      <w:r w:rsidRPr="00024D5A">
        <w:rPr>
          <w:rFonts w:ascii="Garamond" w:hAnsi="Garamond"/>
          <w:sz w:val="24"/>
          <w:szCs w:val="24"/>
          <w:lang w:val="sq-AL"/>
        </w:rPr>
        <w:t>L</w:t>
      </w:r>
      <w:r w:rsidR="00F1289D" w:rsidRPr="00024D5A">
        <w:rPr>
          <w:rFonts w:ascii="Garamond" w:hAnsi="Garamond"/>
          <w:sz w:val="24"/>
          <w:szCs w:val="24"/>
          <w:lang w:val="sq-AL"/>
        </w:rPr>
        <w:t>igj</w:t>
      </w:r>
      <w:r w:rsidRPr="00024D5A">
        <w:rPr>
          <w:rFonts w:ascii="Garamond" w:hAnsi="Garamond"/>
          <w:sz w:val="24"/>
          <w:szCs w:val="24"/>
          <w:lang w:val="sq-AL"/>
        </w:rPr>
        <w:t xml:space="preserve"> </w:t>
      </w:r>
      <w:r w:rsidR="0078161D" w:rsidRPr="00024D5A">
        <w:rPr>
          <w:rFonts w:ascii="Garamond" w:hAnsi="Garamond"/>
          <w:sz w:val="24"/>
          <w:szCs w:val="24"/>
          <w:lang w:val="sq-AL"/>
        </w:rPr>
        <w:t>n</w:t>
      </w:r>
      <w:r w:rsidRPr="00024D5A">
        <w:rPr>
          <w:rFonts w:ascii="Garamond" w:hAnsi="Garamond"/>
          <w:sz w:val="24"/>
          <w:szCs w:val="24"/>
          <w:lang w:val="sq-AL"/>
        </w:rPr>
        <w:t>r. 79/2017</w:t>
      </w:r>
      <w:r w:rsidR="0078161D" w:rsidRPr="00024D5A">
        <w:rPr>
          <w:rFonts w:ascii="Garamond" w:hAnsi="Garamond"/>
          <w:sz w:val="24"/>
          <w:szCs w:val="24"/>
          <w:lang w:val="sq-AL"/>
        </w:rPr>
        <w:t>,</w:t>
      </w:r>
      <w:r w:rsidRPr="00024D5A">
        <w:rPr>
          <w:rFonts w:ascii="Garamond" w:hAnsi="Garamond"/>
          <w:sz w:val="24"/>
          <w:szCs w:val="24"/>
          <w:lang w:val="sq-AL"/>
        </w:rPr>
        <w:t xml:space="preserve"> </w:t>
      </w:r>
      <w:r w:rsidR="0078161D" w:rsidRPr="00024D5A">
        <w:rPr>
          <w:rFonts w:ascii="Garamond" w:hAnsi="Garamond"/>
          <w:sz w:val="24"/>
          <w:szCs w:val="24"/>
          <w:lang w:val="sq-AL"/>
        </w:rPr>
        <w:t>“Për sportin”, i ndryshuar.</w:t>
      </w:r>
    </w:p>
    <w:p w14:paraId="050E2D55" w14:textId="5348A877" w:rsidR="003E1630" w:rsidRPr="00024D5A" w:rsidRDefault="005743A8" w:rsidP="00E755A6">
      <w:pPr>
        <w:pStyle w:val="NoSpacing"/>
        <w:ind w:firstLine="288"/>
        <w:jc w:val="both"/>
        <w:rPr>
          <w:rFonts w:ascii="Garamond" w:hAnsi="Garamond"/>
          <w:sz w:val="24"/>
          <w:szCs w:val="24"/>
          <w:lang w:val="sq-AL"/>
        </w:rPr>
      </w:pPr>
      <w:r w:rsidRPr="00024D5A">
        <w:rPr>
          <w:rFonts w:ascii="Garamond" w:hAnsi="Garamond"/>
          <w:sz w:val="24"/>
          <w:szCs w:val="24"/>
          <w:lang w:val="sq-AL"/>
        </w:rPr>
        <w:t xml:space="preserve">VKM </w:t>
      </w:r>
      <w:r w:rsidR="0078161D" w:rsidRPr="00024D5A">
        <w:rPr>
          <w:rFonts w:ascii="Garamond" w:hAnsi="Garamond"/>
          <w:sz w:val="24"/>
          <w:szCs w:val="24"/>
          <w:lang w:val="sq-AL"/>
        </w:rPr>
        <w:t>n</w:t>
      </w:r>
      <w:r w:rsidRPr="00024D5A">
        <w:rPr>
          <w:rFonts w:ascii="Garamond" w:hAnsi="Garamond"/>
          <w:sz w:val="24"/>
          <w:szCs w:val="24"/>
          <w:lang w:val="sq-AL"/>
        </w:rPr>
        <w:t>r. 411</w:t>
      </w:r>
      <w:r w:rsidR="0078161D" w:rsidRPr="00024D5A">
        <w:rPr>
          <w:rFonts w:ascii="Garamond" w:hAnsi="Garamond"/>
          <w:sz w:val="24"/>
          <w:szCs w:val="24"/>
          <w:lang w:val="sq-AL"/>
        </w:rPr>
        <w:t>/</w:t>
      </w:r>
      <w:r w:rsidRPr="00024D5A">
        <w:rPr>
          <w:rFonts w:ascii="Garamond" w:hAnsi="Garamond"/>
          <w:sz w:val="24"/>
          <w:szCs w:val="24"/>
          <w:lang w:val="sq-AL"/>
        </w:rPr>
        <w:t xml:space="preserve">2019, </w:t>
      </w:r>
      <w:r w:rsidR="0078161D" w:rsidRPr="00024D5A">
        <w:rPr>
          <w:rFonts w:ascii="Garamond" w:hAnsi="Garamond"/>
          <w:sz w:val="24"/>
          <w:szCs w:val="24"/>
          <w:lang w:val="sq-AL"/>
        </w:rPr>
        <w:t>“</w:t>
      </w:r>
      <w:r w:rsidRPr="00024D5A">
        <w:rPr>
          <w:rFonts w:ascii="Garamond" w:hAnsi="Garamond"/>
          <w:sz w:val="24"/>
          <w:szCs w:val="24"/>
          <w:lang w:val="sq-AL"/>
        </w:rPr>
        <w:t xml:space="preserve">Për disa ndryshime në </w:t>
      </w:r>
      <w:r w:rsidR="0078161D" w:rsidRPr="00024D5A">
        <w:rPr>
          <w:rFonts w:ascii="Garamond" w:hAnsi="Garamond"/>
          <w:sz w:val="24"/>
          <w:szCs w:val="24"/>
          <w:lang w:val="sq-AL"/>
        </w:rPr>
        <w:t>VKM</w:t>
      </w:r>
      <w:r w:rsidRPr="00024D5A">
        <w:rPr>
          <w:rFonts w:ascii="Garamond" w:hAnsi="Garamond"/>
          <w:sz w:val="24"/>
          <w:szCs w:val="24"/>
          <w:lang w:val="sq-AL"/>
        </w:rPr>
        <w:t xml:space="preserve"> nr. 708</w:t>
      </w:r>
      <w:r w:rsidR="0078161D" w:rsidRPr="00024D5A">
        <w:rPr>
          <w:rFonts w:ascii="Garamond" w:hAnsi="Garamond"/>
          <w:sz w:val="24"/>
          <w:szCs w:val="24"/>
          <w:lang w:val="sq-AL"/>
        </w:rPr>
        <w:t>/</w:t>
      </w:r>
      <w:r w:rsidRPr="00024D5A">
        <w:rPr>
          <w:rFonts w:ascii="Garamond" w:hAnsi="Garamond"/>
          <w:sz w:val="24"/>
          <w:szCs w:val="24"/>
          <w:lang w:val="sq-AL"/>
        </w:rPr>
        <w:t xml:space="preserve">2015, </w:t>
      </w:r>
      <w:r w:rsidR="0007249E" w:rsidRPr="00024D5A">
        <w:rPr>
          <w:rFonts w:ascii="Garamond" w:hAnsi="Garamond"/>
          <w:sz w:val="24"/>
          <w:szCs w:val="24"/>
          <w:lang w:val="sq-AL"/>
        </w:rPr>
        <w:t>‘</w:t>
      </w:r>
      <w:r w:rsidRPr="00024D5A">
        <w:rPr>
          <w:rFonts w:ascii="Garamond" w:hAnsi="Garamond"/>
          <w:sz w:val="24"/>
          <w:szCs w:val="24"/>
          <w:lang w:val="sq-AL"/>
        </w:rPr>
        <w:t>Për llojet, periodicitetin dhe mënyrën e raportimit të të dhënave statistikore për aftësinë e kufizuar nga strukturat shtetërore përgjegjëse, në nivelin qendror dhe lokal</w:t>
      </w:r>
      <w:r w:rsidR="0007249E" w:rsidRPr="00024D5A">
        <w:rPr>
          <w:rFonts w:ascii="Garamond" w:hAnsi="Garamond"/>
          <w:sz w:val="24"/>
          <w:szCs w:val="24"/>
          <w:lang w:val="sq-AL"/>
        </w:rPr>
        <w:t>’</w:t>
      </w:r>
      <w:r w:rsidR="0078161D" w:rsidRPr="00024D5A">
        <w:rPr>
          <w:rFonts w:ascii="Garamond" w:hAnsi="Garamond"/>
          <w:sz w:val="24"/>
          <w:szCs w:val="24"/>
          <w:lang w:val="sq-AL"/>
        </w:rPr>
        <w:t>”</w:t>
      </w:r>
      <w:r w:rsidRPr="00024D5A">
        <w:rPr>
          <w:rFonts w:ascii="Garamond" w:hAnsi="Garamond"/>
          <w:sz w:val="24"/>
          <w:szCs w:val="24"/>
          <w:lang w:val="sq-AL"/>
        </w:rPr>
        <w:t>.</w:t>
      </w:r>
    </w:p>
    <w:p w14:paraId="0BEDC4F0" w14:textId="1DC64FCB" w:rsidR="003E1630" w:rsidRPr="00024D5A" w:rsidRDefault="005743A8" w:rsidP="00E755A6">
      <w:pPr>
        <w:pStyle w:val="NoSpacing"/>
        <w:ind w:firstLine="288"/>
        <w:jc w:val="both"/>
        <w:rPr>
          <w:rFonts w:ascii="Garamond" w:hAnsi="Garamond"/>
          <w:sz w:val="24"/>
          <w:szCs w:val="24"/>
          <w:lang w:val="sq-AL"/>
        </w:rPr>
      </w:pPr>
      <w:r w:rsidRPr="00024D5A">
        <w:rPr>
          <w:rFonts w:ascii="Garamond" w:hAnsi="Garamond"/>
          <w:sz w:val="24"/>
          <w:szCs w:val="24"/>
          <w:lang w:val="sq-AL"/>
        </w:rPr>
        <w:t xml:space="preserve">VKM </w:t>
      </w:r>
      <w:r w:rsidR="0078161D" w:rsidRPr="00024D5A">
        <w:rPr>
          <w:rFonts w:ascii="Garamond" w:hAnsi="Garamond"/>
          <w:sz w:val="24"/>
          <w:szCs w:val="24"/>
          <w:lang w:val="sq-AL"/>
        </w:rPr>
        <w:t>n</w:t>
      </w:r>
      <w:r w:rsidRPr="00024D5A">
        <w:rPr>
          <w:rFonts w:ascii="Garamond" w:hAnsi="Garamond"/>
          <w:sz w:val="24"/>
          <w:szCs w:val="24"/>
          <w:lang w:val="sq-AL"/>
        </w:rPr>
        <w:t>r. 196</w:t>
      </w:r>
      <w:r w:rsidR="0078161D" w:rsidRPr="00024D5A">
        <w:rPr>
          <w:rFonts w:ascii="Garamond" w:hAnsi="Garamond"/>
          <w:sz w:val="24"/>
          <w:szCs w:val="24"/>
          <w:lang w:val="sq-AL"/>
        </w:rPr>
        <w:t>/</w:t>
      </w:r>
      <w:r w:rsidRPr="00024D5A">
        <w:rPr>
          <w:rFonts w:ascii="Garamond" w:hAnsi="Garamond"/>
          <w:sz w:val="24"/>
          <w:szCs w:val="24"/>
          <w:lang w:val="sq-AL"/>
        </w:rPr>
        <w:t>2018</w:t>
      </w:r>
      <w:r w:rsidR="0078161D" w:rsidRPr="00024D5A">
        <w:rPr>
          <w:rFonts w:ascii="Garamond" w:hAnsi="Garamond"/>
          <w:sz w:val="24"/>
          <w:szCs w:val="24"/>
          <w:lang w:val="sq-AL"/>
        </w:rPr>
        <w:t>,</w:t>
      </w:r>
      <w:r w:rsidRPr="00024D5A">
        <w:rPr>
          <w:rFonts w:ascii="Garamond" w:hAnsi="Garamond"/>
          <w:sz w:val="24"/>
          <w:szCs w:val="24"/>
          <w:lang w:val="sq-AL"/>
        </w:rPr>
        <w:t xml:space="preserve"> </w:t>
      </w:r>
      <w:r w:rsidR="0007249E" w:rsidRPr="00024D5A">
        <w:rPr>
          <w:rFonts w:ascii="Garamond" w:hAnsi="Garamond"/>
          <w:sz w:val="24"/>
          <w:szCs w:val="24"/>
          <w:lang w:val="sq-AL"/>
        </w:rPr>
        <w:t>“</w:t>
      </w:r>
      <w:r w:rsidRPr="00024D5A">
        <w:rPr>
          <w:rFonts w:ascii="Garamond" w:hAnsi="Garamond"/>
          <w:sz w:val="24"/>
          <w:szCs w:val="24"/>
          <w:lang w:val="sq-AL"/>
        </w:rPr>
        <w:t xml:space="preserve">Për një ndryshim në vendimin nr. 48, datë 21.1.2015, të Këshillit të Ministrave, </w:t>
      </w:r>
      <w:r w:rsidR="0007249E" w:rsidRPr="00024D5A">
        <w:rPr>
          <w:rFonts w:ascii="Garamond" w:hAnsi="Garamond"/>
          <w:sz w:val="24"/>
          <w:szCs w:val="24"/>
          <w:lang w:val="sq-AL"/>
        </w:rPr>
        <w:t>‘</w:t>
      </w:r>
      <w:r w:rsidRPr="00024D5A">
        <w:rPr>
          <w:rFonts w:ascii="Garamond" w:hAnsi="Garamond"/>
          <w:sz w:val="24"/>
          <w:szCs w:val="24"/>
          <w:lang w:val="sq-AL"/>
        </w:rPr>
        <w:t xml:space="preserve">Për miratimin e rregullores për funksionimin e </w:t>
      </w:r>
      <w:r w:rsidR="0007249E" w:rsidRPr="00024D5A">
        <w:rPr>
          <w:rFonts w:ascii="Garamond" w:hAnsi="Garamond"/>
          <w:sz w:val="24"/>
          <w:szCs w:val="24"/>
          <w:lang w:val="sq-AL"/>
        </w:rPr>
        <w:t xml:space="preserve">Këshillit Kombëtar </w:t>
      </w:r>
      <w:r w:rsidRPr="00024D5A">
        <w:rPr>
          <w:rFonts w:ascii="Garamond" w:hAnsi="Garamond"/>
          <w:sz w:val="24"/>
          <w:szCs w:val="24"/>
          <w:lang w:val="sq-AL"/>
        </w:rPr>
        <w:t xml:space="preserve">për </w:t>
      </w:r>
      <w:r w:rsidR="0007249E" w:rsidRPr="00024D5A">
        <w:rPr>
          <w:rFonts w:ascii="Garamond" w:hAnsi="Garamond"/>
          <w:sz w:val="24"/>
          <w:szCs w:val="24"/>
          <w:lang w:val="sq-AL"/>
        </w:rPr>
        <w:t xml:space="preserve">Aftësinë </w:t>
      </w:r>
      <w:r w:rsidRPr="00024D5A">
        <w:rPr>
          <w:rFonts w:ascii="Garamond" w:hAnsi="Garamond"/>
          <w:sz w:val="24"/>
          <w:szCs w:val="24"/>
          <w:lang w:val="sq-AL"/>
        </w:rPr>
        <w:t xml:space="preserve">e </w:t>
      </w:r>
      <w:r w:rsidR="0007249E" w:rsidRPr="00024D5A">
        <w:rPr>
          <w:rFonts w:ascii="Garamond" w:hAnsi="Garamond"/>
          <w:sz w:val="24"/>
          <w:szCs w:val="24"/>
          <w:lang w:val="sq-AL"/>
        </w:rPr>
        <w:t>Kufizuar</w:t>
      </w:r>
      <w:r w:rsidR="0078161D" w:rsidRPr="00024D5A">
        <w:rPr>
          <w:rFonts w:ascii="Garamond" w:hAnsi="Garamond"/>
          <w:sz w:val="24"/>
          <w:szCs w:val="24"/>
          <w:lang w:val="sq-AL"/>
        </w:rPr>
        <w:t>”</w:t>
      </w:r>
      <w:r w:rsidR="0007249E" w:rsidRPr="00024D5A">
        <w:rPr>
          <w:rFonts w:ascii="Garamond" w:hAnsi="Garamond"/>
          <w:sz w:val="24"/>
          <w:szCs w:val="24"/>
          <w:lang w:val="sq-AL"/>
        </w:rPr>
        <w:t>.</w:t>
      </w:r>
    </w:p>
    <w:p w14:paraId="3BA8E15C" w14:textId="41E3005F" w:rsidR="003E1630" w:rsidRPr="00024D5A" w:rsidRDefault="005743A8" w:rsidP="00E755A6">
      <w:pPr>
        <w:pStyle w:val="NoSpacing"/>
        <w:ind w:firstLine="288"/>
        <w:jc w:val="both"/>
        <w:rPr>
          <w:rFonts w:ascii="Garamond" w:hAnsi="Garamond"/>
          <w:sz w:val="24"/>
          <w:szCs w:val="24"/>
          <w:lang w:val="sq-AL"/>
        </w:rPr>
      </w:pPr>
      <w:r w:rsidRPr="00024D5A">
        <w:rPr>
          <w:rFonts w:ascii="Garamond" w:hAnsi="Garamond"/>
          <w:sz w:val="24"/>
          <w:szCs w:val="24"/>
          <w:lang w:val="sq-AL"/>
        </w:rPr>
        <w:t>VKM nr. 107</w:t>
      </w:r>
      <w:r w:rsidR="0078161D" w:rsidRPr="00024D5A">
        <w:rPr>
          <w:rFonts w:ascii="Garamond" w:hAnsi="Garamond"/>
          <w:sz w:val="24"/>
          <w:szCs w:val="24"/>
          <w:lang w:val="sq-AL"/>
        </w:rPr>
        <w:t>/</w:t>
      </w:r>
      <w:r w:rsidRPr="00024D5A">
        <w:rPr>
          <w:rFonts w:ascii="Garamond" w:hAnsi="Garamond"/>
          <w:sz w:val="24"/>
          <w:szCs w:val="24"/>
          <w:lang w:val="sq-AL"/>
        </w:rPr>
        <w:t>2021</w:t>
      </w:r>
      <w:r w:rsidR="0078161D" w:rsidRPr="00024D5A">
        <w:rPr>
          <w:rFonts w:ascii="Garamond" w:hAnsi="Garamond"/>
          <w:sz w:val="24"/>
          <w:szCs w:val="24"/>
          <w:lang w:val="sq-AL"/>
        </w:rPr>
        <w:t>,</w:t>
      </w:r>
      <w:r w:rsidRPr="00024D5A">
        <w:rPr>
          <w:rFonts w:ascii="Garamond" w:hAnsi="Garamond"/>
          <w:sz w:val="24"/>
          <w:szCs w:val="24"/>
          <w:lang w:val="sq-AL"/>
        </w:rPr>
        <w:t xml:space="preserve"> </w:t>
      </w:r>
      <w:r w:rsidR="0078161D" w:rsidRPr="00024D5A">
        <w:rPr>
          <w:rFonts w:ascii="Garamond" w:hAnsi="Garamond"/>
          <w:sz w:val="24"/>
          <w:szCs w:val="24"/>
          <w:lang w:val="sq-AL"/>
        </w:rPr>
        <w:t>“</w:t>
      </w:r>
      <w:r w:rsidRPr="00024D5A">
        <w:rPr>
          <w:rFonts w:ascii="Garamond" w:hAnsi="Garamond"/>
          <w:sz w:val="24"/>
          <w:szCs w:val="24"/>
          <w:lang w:val="sq-AL"/>
        </w:rPr>
        <w:t xml:space="preserve">Për miratimin e Strategjisë Kombëtare për Kulturën </w:t>
      </w:r>
      <w:r w:rsidR="007247B2" w:rsidRPr="00024D5A">
        <w:rPr>
          <w:rFonts w:ascii="Garamond" w:hAnsi="Garamond"/>
          <w:sz w:val="24"/>
          <w:szCs w:val="24"/>
          <w:lang w:val="sq-AL"/>
        </w:rPr>
        <w:t>2021–2025</w:t>
      </w:r>
      <w:r w:rsidRPr="00024D5A">
        <w:rPr>
          <w:rFonts w:ascii="Garamond" w:hAnsi="Garamond"/>
          <w:sz w:val="24"/>
          <w:szCs w:val="24"/>
          <w:lang w:val="sq-AL"/>
        </w:rPr>
        <w:t xml:space="preserve"> dhe </w:t>
      </w:r>
      <w:r w:rsidR="002B321E" w:rsidRPr="00024D5A">
        <w:rPr>
          <w:rFonts w:ascii="Garamond" w:hAnsi="Garamond"/>
          <w:sz w:val="24"/>
          <w:szCs w:val="24"/>
          <w:lang w:val="sq-AL"/>
        </w:rPr>
        <w:t>planit të vepri</w:t>
      </w:r>
      <w:r w:rsidRPr="00024D5A">
        <w:rPr>
          <w:rFonts w:ascii="Garamond" w:hAnsi="Garamond"/>
          <w:sz w:val="24"/>
          <w:szCs w:val="24"/>
          <w:lang w:val="sq-AL"/>
        </w:rPr>
        <w:t>mit për zbatimin e saj</w:t>
      </w:r>
      <w:r w:rsidR="0078161D" w:rsidRPr="00024D5A">
        <w:rPr>
          <w:rFonts w:ascii="Garamond" w:hAnsi="Garamond"/>
          <w:sz w:val="24"/>
          <w:szCs w:val="24"/>
          <w:lang w:val="sq-AL"/>
        </w:rPr>
        <w:t>”</w:t>
      </w:r>
      <w:r w:rsidRPr="00024D5A">
        <w:rPr>
          <w:rFonts w:ascii="Garamond" w:hAnsi="Garamond"/>
          <w:sz w:val="24"/>
          <w:szCs w:val="24"/>
          <w:lang w:val="sq-AL"/>
        </w:rPr>
        <w:t>.</w:t>
      </w:r>
    </w:p>
    <w:p w14:paraId="58DA6CC6" w14:textId="4D21508A" w:rsidR="003E1630" w:rsidRPr="00024D5A" w:rsidRDefault="005743A8" w:rsidP="00E755A6">
      <w:pPr>
        <w:pStyle w:val="NoSpacing"/>
        <w:ind w:firstLine="288"/>
        <w:jc w:val="both"/>
        <w:rPr>
          <w:rFonts w:ascii="Garamond" w:hAnsi="Garamond"/>
          <w:sz w:val="24"/>
          <w:szCs w:val="24"/>
          <w:lang w:val="sq-AL"/>
        </w:rPr>
      </w:pPr>
      <w:r w:rsidRPr="00024D5A">
        <w:rPr>
          <w:rFonts w:ascii="Garamond" w:hAnsi="Garamond"/>
          <w:sz w:val="24"/>
          <w:szCs w:val="24"/>
          <w:lang w:val="sq-AL"/>
        </w:rPr>
        <w:t>VKM nr. 715</w:t>
      </w:r>
      <w:r w:rsidR="0078161D" w:rsidRPr="00024D5A">
        <w:rPr>
          <w:rFonts w:ascii="Garamond" w:hAnsi="Garamond"/>
          <w:sz w:val="24"/>
          <w:szCs w:val="24"/>
          <w:lang w:val="sq-AL"/>
        </w:rPr>
        <w:t>/</w:t>
      </w:r>
      <w:r w:rsidRPr="00024D5A">
        <w:rPr>
          <w:rFonts w:ascii="Garamond" w:hAnsi="Garamond"/>
          <w:sz w:val="24"/>
          <w:szCs w:val="24"/>
          <w:lang w:val="sq-AL"/>
        </w:rPr>
        <w:t>2021</w:t>
      </w:r>
      <w:r w:rsidR="0078161D" w:rsidRPr="00024D5A">
        <w:rPr>
          <w:rFonts w:ascii="Garamond" w:hAnsi="Garamond"/>
          <w:sz w:val="24"/>
          <w:szCs w:val="24"/>
          <w:lang w:val="sq-AL"/>
        </w:rPr>
        <w:t>,</w:t>
      </w:r>
      <w:r w:rsidRPr="00024D5A">
        <w:rPr>
          <w:rFonts w:ascii="Garamond" w:hAnsi="Garamond"/>
          <w:sz w:val="24"/>
          <w:szCs w:val="24"/>
          <w:lang w:val="sq-AL"/>
        </w:rPr>
        <w:t xml:space="preserve"> </w:t>
      </w:r>
      <w:r w:rsidR="0078161D" w:rsidRPr="00024D5A">
        <w:rPr>
          <w:rFonts w:ascii="Garamond" w:hAnsi="Garamond"/>
          <w:sz w:val="24"/>
          <w:szCs w:val="24"/>
          <w:lang w:val="sq-AL"/>
        </w:rPr>
        <w:t>“</w:t>
      </w:r>
      <w:r w:rsidRPr="00024D5A">
        <w:rPr>
          <w:rFonts w:ascii="Garamond" w:hAnsi="Garamond"/>
          <w:sz w:val="24"/>
          <w:szCs w:val="24"/>
          <w:lang w:val="sq-AL"/>
        </w:rPr>
        <w:t xml:space="preserve">Për miratimin e Strategjisë Kombëtare të Sportit </w:t>
      </w:r>
      <w:r w:rsidR="007247B2" w:rsidRPr="00024D5A">
        <w:rPr>
          <w:rFonts w:ascii="Garamond" w:hAnsi="Garamond"/>
          <w:sz w:val="24"/>
          <w:szCs w:val="24"/>
          <w:lang w:val="sq-AL"/>
        </w:rPr>
        <w:t>2021–2025</w:t>
      </w:r>
      <w:r w:rsidRPr="00024D5A">
        <w:rPr>
          <w:rFonts w:ascii="Garamond" w:hAnsi="Garamond"/>
          <w:sz w:val="24"/>
          <w:szCs w:val="24"/>
          <w:lang w:val="sq-AL"/>
        </w:rPr>
        <w:t xml:space="preserve"> dhe </w:t>
      </w:r>
      <w:r w:rsidR="002B321E" w:rsidRPr="00024D5A">
        <w:rPr>
          <w:rFonts w:ascii="Garamond" w:hAnsi="Garamond"/>
          <w:sz w:val="24"/>
          <w:szCs w:val="24"/>
          <w:lang w:val="sq-AL"/>
        </w:rPr>
        <w:t xml:space="preserve">planit të veprimit për zbatimin </w:t>
      </w:r>
      <w:r w:rsidRPr="00024D5A">
        <w:rPr>
          <w:rFonts w:ascii="Garamond" w:hAnsi="Garamond"/>
          <w:sz w:val="24"/>
          <w:szCs w:val="24"/>
          <w:lang w:val="sq-AL"/>
        </w:rPr>
        <w:t>e saj</w:t>
      </w:r>
      <w:r w:rsidR="0078161D" w:rsidRPr="00024D5A">
        <w:rPr>
          <w:rFonts w:ascii="Garamond" w:hAnsi="Garamond"/>
          <w:sz w:val="24"/>
          <w:szCs w:val="24"/>
          <w:lang w:val="sq-AL"/>
        </w:rPr>
        <w:t>”</w:t>
      </w:r>
      <w:r w:rsidRPr="00024D5A">
        <w:rPr>
          <w:rFonts w:ascii="Garamond" w:hAnsi="Garamond"/>
          <w:sz w:val="24"/>
          <w:szCs w:val="24"/>
          <w:lang w:val="sq-AL"/>
        </w:rPr>
        <w:t>.</w:t>
      </w:r>
    </w:p>
    <w:p w14:paraId="4E8BC66A" w14:textId="121B8F0F" w:rsidR="003E1630" w:rsidRPr="00024D5A" w:rsidRDefault="0078161D" w:rsidP="00E755A6">
      <w:pPr>
        <w:pStyle w:val="NoSpacing"/>
        <w:ind w:firstLine="288"/>
        <w:jc w:val="both"/>
        <w:rPr>
          <w:rFonts w:ascii="Garamond" w:hAnsi="Garamond"/>
          <w:sz w:val="24"/>
          <w:szCs w:val="24"/>
          <w:lang w:val="sq-AL"/>
        </w:rPr>
      </w:pPr>
      <w:r w:rsidRPr="00024D5A">
        <w:rPr>
          <w:rFonts w:ascii="Garamond" w:hAnsi="Garamond"/>
          <w:sz w:val="24"/>
          <w:szCs w:val="24"/>
          <w:lang w:val="sq-AL"/>
        </w:rPr>
        <w:t>VKM</w:t>
      </w:r>
      <w:r w:rsidR="005743A8" w:rsidRPr="00024D5A">
        <w:rPr>
          <w:rFonts w:ascii="Garamond" w:hAnsi="Garamond"/>
          <w:sz w:val="24"/>
          <w:szCs w:val="24"/>
          <w:lang w:val="sq-AL"/>
        </w:rPr>
        <w:t xml:space="preserve"> nr. 789</w:t>
      </w:r>
      <w:r w:rsidRPr="00024D5A">
        <w:rPr>
          <w:rFonts w:ascii="Garamond" w:hAnsi="Garamond"/>
          <w:sz w:val="24"/>
          <w:szCs w:val="24"/>
          <w:lang w:val="sq-AL"/>
        </w:rPr>
        <w:t>/</w:t>
      </w:r>
      <w:r w:rsidR="005743A8" w:rsidRPr="00024D5A">
        <w:rPr>
          <w:rFonts w:ascii="Garamond" w:hAnsi="Garamond"/>
          <w:sz w:val="24"/>
          <w:szCs w:val="24"/>
          <w:lang w:val="sq-AL"/>
        </w:rPr>
        <w:t>2021</w:t>
      </w:r>
      <w:r w:rsidRPr="00024D5A">
        <w:rPr>
          <w:rFonts w:ascii="Garamond" w:hAnsi="Garamond"/>
          <w:sz w:val="24"/>
          <w:szCs w:val="24"/>
          <w:lang w:val="sq-AL"/>
        </w:rPr>
        <w:t>, “P</w:t>
      </w:r>
      <w:r w:rsidR="005743A8" w:rsidRPr="00024D5A">
        <w:rPr>
          <w:rFonts w:ascii="Garamond" w:hAnsi="Garamond"/>
          <w:sz w:val="24"/>
          <w:szCs w:val="24"/>
          <w:lang w:val="sq-AL"/>
        </w:rPr>
        <w:t>ër kriteret, mënyrën e shpërblimit dhe trajtimin e</w:t>
      </w:r>
      <w:r w:rsidR="002B321E" w:rsidRPr="00024D5A">
        <w:rPr>
          <w:rFonts w:ascii="Garamond" w:hAnsi="Garamond"/>
          <w:sz w:val="24"/>
          <w:szCs w:val="24"/>
          <w:lang w:val="sq-AL"/>
        </w:rPr>
        <w:t xml:space="preserve"> </w:t>
      </w:r>
      <w:r w:rsidR="005743A8" w:rsidRPr="00024D5A">
        <w:rPr>
          <w:rFonts w:ascii="Garamond" w:hAnsi="Garamond"/>
          <w:sz w:val="24"/>
          <w:szCs w:val="24"/>
          <w:lang w:val="sq-AL"/>
        </w:rPr>
        <w:t>sportistëve, që përfitojnë statusin e nivelit të lartë, dhe trajnerëve të tyre</w:t>
      </w:r>
      <w:r w:rsidRPr="00024D5A">
        <w:rPr>
          <w:rFonts w:ascii="Garamond" w:hAnsi="Garamond"/>
          <w:sz w:val="24"/>
          <w:szCs w:val="24"/>
          <w:lang w:val="sq-AL"/>
        </w:rPr>
        <w:t>”, i ndryshuar.</w:t>
      </w:r>
    </w:p>
    <w:p w14:paraId="6347AC38" w14:textId="77777777" w:rsidR="003E1630" w:rsidRPr="00024D5A" w:rsidRDefault="005743A8" w:rsidP="00E755A6">
      <w:pPr>
        <w:ind w:firstLine="288"/>
        <w:jc w:val="both"/>
        <w:rPr>
          <w:rFonts w:ascii="Garamond" w:hAnsi="Garamond"/>
          <w:b/>
          <w:bCs/>
          <w:i/>
          <w:iCs/>
          <w:lang w:eastAsia="en-US"/>
        </w:rPr>
      </w:pPr>
      <w:r w:rsidRPr="00024D5A">
        <w:rPr>
          <w:rFonts w:ascii="Garamond" w:hAnsi="Garamond"/>
          <w:b/>
          <w:bCs/>
          <w:i/>
          <w:iCs/>
          <w:lang w:eastAsia="en-US"/>
        </w:rPr>
        <w:t>X. Bashkëpunimi dhe koordinimi</w:t>
      </w:r>
    </w:p>
    <w:p w14:paraId="4FA6C6C5" w14:textId="41DC7313" w:rsidR="003E1630" w:rsidRPr="00024D5A" w:rsidRDefault="0078161D" w:rsidP="00E755A6">
      <w:pPr>
        <w:pStyle w:val="NoSpacing"/>
        <w:ind w:firstLine="288"/>
        <w:jc w:val="both"/>
        <w:rPr>
          <w:rFonts w:ascii="Garamond" w:hAnsi="Garamond"/>
          <w:sz w:val="24"/>
          <w:szCs w:val="24"/>
          <w:shd w:val="clear" w:color="auto" w:fill="FFFFFF"/>
          <w:lang w:val="sq-AL"/>
        </w:rPr>
      </w:pPr>
      <w:r w:rsidRPr="00024D5A">
        <w:rPr>
          <w:rFonts w:ascii="Garamond" w:hAnsi="Garamond"/>
          <w:sz w:val="24"/>
          <w:szCs w:val="24"/>
          <w:shd w:val="clear" w:color="auto" w:fill="FFFFFF"/>
          <w:lang w:val="sq-AL"/>
        </w:rPr>
        <w:t>Ligji</w:t>
      </w:r>
      <w:r w:rsidR="00A331D2" w:rsidRPr="00024D5A">
        <w:rPr>
          <w:rFonts w:ascii="Garamond" w:hAnsi="Garamond"/>
          <w:sz w:val="24"/>
          <w:szCs w:val="24"/>
          <w:shd w:val="clear" w:color="auto" w:fill="FFFFFF"/>
          <w:lang w:val="sq-AL"/>
        </w:rPr>
        <w:t xml:space="preserve"> n</w:t>
      </w:r>
      <w:r w:rsidR="005743A8" w:rsidRPr="00024D5A">
        <w:rPr>
          <w:rFonts w:ascii="Garamond" w:hAnsi="Garamond"/>
          <w:sz w:val="24"/>
          <w:szCs w:val="24"/>
          <w:shd w:val="clear" w:color="auto" w:fill="FFFFFF"/>
          <w:lang w:val="sq-AL"/>
        </w:rPr>
        <w:t>r. 139/2015</w:t>
      </w:r>
      <w:r w:rsidR="00A331D2" w:rsidRPr="00024D5A">
        <w:rPr>
          <w:rFonts w:ascii="Garamond" w:hAnsi="Garamond"/>
          <w:sz w:val="24"/>
          <w:szCs w:val="24"/>
          <w:shd w:val="clear" w:color="auto" w:fill="FFFFFF"/>
          <w:lang w:val="sq-AL"/>
        </w:rPr>
        <w:t xml:space="preserve"> “</w:t>
      </w:r>
      <w:r w:rsidR="005743A8" w:rsidRPr="00024D5A">
        <w:rPr>
          <w:rFonts w:ascii="Garamond" w:hAnsi="Garamond"/>
          <w:sz w:val="24"/>
          <w:szCs w:val="24"/>
          <w:shd w:val="clear" w:color="auto" w:fill="FFFFFF"/>
          <w:lang w:val="sq-AL"/>
        </w:rPr>
        <w:t xml:space="preserve">Për </w:t>
      </w:r>
      <w:r w:rsidR="002B321E" w:rsidRPr="00024D5A">
        <w:rPr>
          <w:rFonts w:ascii="Garamond" w:hAnsi="Garamond"/>
          <w:sz w:val="24"/>
          <w:szCs w:val="24"/>
          <w:shd w:val="clear" w:color="auto" w:fill="FFFFFF"/>
          <w:lang w:val="sq-AL"/>
        </w:rPr>
        <w:t>vetëqeverisjen vendore</w:t>
      </w:r>
      <w:r w:rsidR="00A331D2" w:rsidRPr="00024D5A">
        <w:rPr>
          <w:rFonts w:ascii="Garamond" w:hAnsi="Garamond"/>
          <w:sz w:val="24"/>
          <w:szCs w:val="24"/>
          <w:shd w:val="clear" w:color="auto" w:fill="FFFFFF"/>
          <w:lang w:val="sq-AL"/>
        </w:rPr>
        <w:t>”</w:t>
      </w:r>
      <w:r w:rsidR="005743A8" w:rsidRPr="00024D5A">
        <w:rPr>
          <w:rFonts w:ascii="Garamond" w:hAnsi="Garamond"/>
          <w:sz w:val="24"/>
          <w:szCs w:val="24"/>
          <w:shd w:val="clear" w:color="auto" w:fill="FFFFFF"/>
          <w:lang w:val="sq-AL"/>
        </w:rPr>
        <w:t>.</w:t>
      </w:r>
    </w:p>
    <w:bookmarkStart w:id="75" w:name="_Hlk223027059"/>
    <w:p w14:paraId="4C245905" w14:textId="4CABE3F2" w:rsidR="003E1630" w:rsidRPr="00024D5A" w:rsidRDefault="005743A8" w:rsidP="00E755A6">
      <w:pPr>
        <w:pStyle w:val="NoSpacing"/>
        <w:ind w:firstLine="288"/>
        <w:jc w:val="both"/>
        <w:rPr>
          <w:rFonts w:ascii="Garamond" w:hAnsi="Garamond"/>
          <w:sz w:val="24"/>
          <w:szCs w:val="24"/>
          <w:lang w:val="sq-AL"/>
        </w:rPr>
      </w:pPr>
      <w:r w:rsidRPr="00024D5A">
        <w:rPr>
          <w:rFonts w:ascii="Garamond" w:hAnsi="Garamond"/>
          <w:sz w:val="24"/>
          <w:szCs w:val="24"/>
          <w:lang w:val="sq-AL"/>
        </w:rPr>
        <w:fldChar w:fldCharType="begin"/>
      </w:r>
      <w:r w:rsidRPr="00024D5A">
        <w:rPr>
          <w:rFonts w:ascii="Garamond" w:hAnsi="Garamond"/>
          <w:sz w:val="24"/>
          <w:szCs w:val="24"/>
          <w:lang w:val="sq-AL"/>
        </w:rPr>
        <w:instrText xml:space="preserve"> HYPERLINK "https://www.instat.gov.al/media/3973/ligj-nr-17-dt-542018_per-statistikat-zyrtare.pdf" </w:instrText>
      </w:r>
      <w:r w:rsidRPr="00024D5A">
        <w:rPr>
          <w:rFonts w:ascii="Garamond" w:hAnsi="Garamond"/>
          <w:sz w:val="24"/>
          <w:szCs w:val="24"/>
          <w:lang w:val="sq-AL"/>
        </w:rPr>
        <w:fldChar w:fldCharType="separate"/>
      </w:r>
      <w:r w:rsidRPr="00024D5A">
        <w:rPr>
          <w:rFonts w:ascii="Garamond" w:hAnsi="Garamond"/>
          <w:sz w:val="24"/>
          <w:szCs w:val="24"/>
          <w:lang w:val="sq-AL"/>
        </w:rPr>
        <w:t xml:space="preserve">Ligji nr. 17/2018 </w:t>
      </w:r>
      <w:r w:rsidR="00A331D2" w:rsidRPr="00024D5A">
        <w:rPr>
          <w:rFonts w:ascii="Garamond" w:hAnsi="Garamond"/>
          <w:sz w:val="24"/>
          <w:szCs w:val="24"/>
          <w:lang w:val="sq-AL"/>
        </w:rPr>
        <w:t>“P</w:t>
      </w:r>
      <w:r w:rsidRPr="00024D5A">
        <w:rPr>
          <w:rFonts w:ascii="Garamond" w:hAnsi="Garamond"/>
          <w:sz w:val="24"/>
          <w:szCs w:val="24"/>
          <w:lang w:val="sq-AL"/>
        </w:rPr>
        <w:t xml:space="preserve">ër </w:t>
      </w:r>
      <w:r w:rsidR="002B321E" w:rsidRPr="00024D5A">
        <w:rPr>
          <w:rFonts w:ascii="Garamond" w:hAnsi="Garamond"/>
          <w:sz w:val="24"/>
          <w:szCs w:val="24"/>
          <w:lang w:val="sq-AL"/>
        </w:rPr>
        <w:t>statistikat zyrt</w:t>
      </w:r>
      <w:r w:rsidRPr="00024D5A">
        <w:rPr>
          <w:rFonts w:ascii="Garamond" w:hAnsi="Garamond"/>
          <w:sz w:val="24"/>
          <w:szCs w:val="24"/>
          <w:lang w:val="sq-AL"/>
        </w:rPr>
        <w:t>are</w:t>
      </w:r>
      <w:r w:rsidRPr="00024D5A">
        <w:rPr>
          <w:rFonts w:ascii="Garamond" w:hAnsi="Garamond"/>
          <w:sz w:val="24"/>
          <w:szCs w:val="24"/>
          <w:lang w:val="sq-AL"/>
        </w:rPr>
        <w:fldChar w:fldCharType="end"/>
      </w:r>
      <w:r w:rsidR="00A331D2" w:rsidRPr="00024D5A">
        <w:rPr>
          <w:rFonts w:ascii="Garamond" w:hAnsi="Garamond"/>
          <w:sz w:val="24"/>
          <w:szCs w:val="24"/>
          <w:lang w:val="sq-AL"/>
        </w:rPr>
        <w:t>”.</w:t>
      </w:r>
    </w:p>
    <w:bookmarkEnd w:id="75"/>
    <w:p w14:paraId="2977EC69" w14:textId="202DD5CE" w:rsidR="003E1630" w:rsidRPr="00024D5A" w:rsidRDefault="005743A8" w:rsidP="00E755A6">
      <w:pPr>
        <w:pStyle w:val="NoSpacing"/>
        <w:ind w:firstLine="288"/>
        <w:jc w:val="both"/>
        <w:rPr>
          <w:rFonts w:ascii="Garamond" w:hAnsi="Garamond"/>
          <w:sz w:val="24"/>
          <w:szCs w:val="24"/>
          <w:lang w:val="sq-AL"/>
        </w:rPr>
      </w:pPr>
      <w:r w:rsidRPr="00024D5A">
        <w:rPr>
          <w:rFonts w:ascii="Garamond" w:hAnsi="Garamond"/>
          <w:sz w:val="24"/>
          <w:szCs w:val="24"/>
          <w:lang w:val="sq-AL"/>
        </w:rPr>
        <w:fldChar w:fldCharType="begin"/>
      </w:r>
      <w:r w:rsidRPr="00024D5A">
        <w:rPr>
          <w:rFonts w:ascii="Garamond" w:hAnsi="Garamond"/>
          <w:sz w:val="24"/>
          <w:szCs w:val="24"/>
          <w:lang w:val="sq-AL"/>
        </w:rPr>
        <w:instrText xml:space="preserve"> HYPERLINK "https://www.instat.gov.al/media/vnsfi1nx/fz-2025-61.pdf" \o "FZ 2025 61" </w:instrText>
      </w:r>
      <w:r w:rsidRPr="00024D5A">
        <w:rPr>
          <w:rFonts w:ascii="Garamond" w:hAnsi="Garamond"/>
          <w:sz w:val="24"/>
          <w:szCs w:val="24"/>
          <w:lang w:val="sq-AL"/>
        </w:rPr>
        <w:fldChar w:fldCharType="separate"/>
      </w:r>
      <w:r w:rsidRPr="00024D5A">
        <w:rPr>
          <w:rFonts w:ascii="Garamond" w:hAnsi="Garamond"/>
          <w:sz w:val="24"/>
          <w:szCs w:val="24"/>
          <w:shd w:val="clear" w:color="auto" w:fill="FFFFFF"/>
          <w:lang w:val="sq-AL"/>
        </w:rPr>
        <w:t xml:space="preserve">Vendim i Kuvendit </w:t>
      </w:r>
      <w:r w:rsidR="00A331D2" w:rsidRPr="00024D5A">
        <w:rPr>
          <w:rFonts w:ascii="Garamond" w:hAnsi="Garamond"/>
          <w:sz w:val="24"/>
          <w:szCs w:val="24"/>
          <w:shd w:val="clear" w:color="auto" w:fill="FFFFFF"/>
          <w:lang w:val="sq-AL"/>
        </w:rPr>
        <w:t>n</w:t>
      </w:r>
      <w:r w:rsidRPr="00024D5A">
        <w:rPr>
          <w:rFonts w:ascii="Garamond" w:hAnsi="Garamond"/>
          <w:sz w:val="24"/>
          <w:szCs w:val="24"/>
          <w:shd w:val="clear" w:color="auto" w:fill="FFFFFF"/>
          <w:lang w:val="sq-AL"/>
        </w:rPr>
        <w:t>r. 29/2025,</w:t>
      </w:r>
      <w:r w:rsidR="00A331D2" w:rsidRPr="00024D5A">
        <w:rPr>
          <w:rFonts w:ascii="Garamond" w:hAnsi="Garamond"/>
          <w:sz w:val="24"/>
          <w:szCs w:val="24"/>
          <w:shd w:val="clear" w:color="auto" w:fill="FFFFFF"/>
          <w:lang w:val="sq-AL"/>
        </w:rPr>
        <w:t xml:space="preserve"> </w:t>
      </w:r>
      <w:r w:rsidR="0078161D" w:rsidRPr="00024D5A">
        <w:rPr>
          <w:rFonts w:ascii="Garamond" w:hAnsi="Garamond"/>
          <w:sz w:val="24"/>
          <w:szCs w:val="24"/>
          <w:shd w:val="clear" w:color="auto" w:fill="FFFFFF"/>
          <w:lang w:val="sq-AL"/>
        </w:rPr>
        <w:t>“</w:t>
      </w:r>
      <w:r w:rsidRPr="00024D5A">
        <w:rPr>
          <w:rFonts w:ascii="Garamond" w:hAnsi="Garamond"/>
          <w:sz w:val="24"/>
          <w:szCs w:val="24"/>
          <w:shd w:val="clear" w:color="auto" w:fill="FFFFFF"/>
          <w:lang w:val="sq-AL"/>
        </w:rPr>
        <w:t>Për miratimin e Pl</w:t>
      </w:r>
      <w:r w:rsidR="002B321E" w:rsidRPr="00024D5A">
        <w:rPr>
          <w:rFonts w:ascii="Garamond" w:hAnsi="Garamond"/>
          <w:sz w:val="24"/>
          <w:szCs w:val="24"/>
          <w:shd w:val="clear" w:color="auto" w:fill="FFFFFF"/>
          <w:lang w:val="sq-AL"/>
        </w:rPr>
        <w:t>anit vjet</w:t>
      </w:r>
      <w:r w:rsidRPr="00024D5A">
        <w:rPr>
          <w:rFonts w:ascii="Garamond" w:hAnsi="Garamond"/>
          <w:sz w:val="24"/>
          <w:szCs w:val="24"/>
          <w:shd w:val="clear" w:color="auto" w:fill="FFFFFF"/>
          <w:lang w:val="sq-AL"/>
        </w:rPr>
        <w:t>or 2025 për zbatimin e Programit të Statistikave Zyrtare 2022</w:t>
      </w:r>
      <w:r w:rsidR="000C2D3A" w:rsidRPr="00024D5A">
        <w:rPr>
          <w:rFonts w:ascii="Garamond" w:hAnsi="Garamond"/>
          <w:sz w:val="24"/>
          <w:szCs w:val="24"/>
          <w:shd w:val="clear" w:color="auto" w:fill="FFFFFF"/>
          <w:lang w:val="sq-AL"/>
        </w:rPr>
        <w:t>–</w:t>
      </w:r>
      <w:r w:rsidRPr="00024D5A">
        <w:rPr>
          <w:rFonts w:ascii="Garamond" w:hAnsi="Garamond"/>
          <w:sz w:val="24"/>
          <w:szCs w:val="24"/>
          <w:shd w:val="clear" w:color="auto" w:fill="FFFFFF"/>
          <w:lang w:val="sq-AL"/>
        </w:rPr>
        <w:t>2026</w:t>
      </w:r>
      <w:r w:rsidR="0078161D" w:rsidRPr="00024D5A">
        <w:rPr>
          <w:rFonts w:ascii="Garamond" w:hAnsi="Garamond"/>
          <w:sz w:val="24"/>
          <w:szCs w:val="24"/>
          <w:shd w:val="clear" w:color="auto" w:fill="FFFFFF"/>
          <w:lang w:val="sq-AL"/>
        </w:rPr>
        <w:t>”</w:t>
      </w:r>
      <w:r w:rsidRPr="00024D5A">
        <w:rPr>
          <w:rFonts w:ascii="Garamond" w:hAnsi="Garamond"/>
          <w:sz w:val="24"/>
          <w:szCs w:val="24"/>
          <w:lang w:val="sq-AL"/>
        </w:rPr>
        <w:fldChar w:fldCharType="end"/>
      </w:r>
      <w:r w:rsidR="00A331D2" w:rsidRPr="00024D5A">
        <w:rPr>
          <w:rFonts w:ascii="Garamond" w:hAnsi="Garamond"/>
          <w:sz w:val="24"/>
          <w:szCs w:val="24"/>
          <w:lang w:val="sq-AL"/>
        </w:rPr>
        <w:t>.</w:t>
      </w:r>
    </w:p>
    <w:p w14:paraId="78B53894" w14:textId="2CC2AC28" w:rsidR="003E1630" w:rsidRPr="00024D5A" w:rsidRDefault="005743A8" w:rsidP="00E755A6">
      <w:pPr>
        <w:pStyle w:val="NoSpacing"/>
        <w:ind w:firstLine="288"/>
        <w:jc w:val="both"/>
        <w:rPr>
          <w:rFonts w:ascii="Garamond" w:hAnsi="Garamond"/>
          <w:sz w:val="24"/>
          <w:szCs w:val="24"/>
          <w:lang w:val="sq-AL"/>
        </w:rPr>
      </w:pPr>
      <w:r w:rsidRPr="00024D5A">
        <w:rPr>
          <w:rFonts w:ascii="Garamond" w:hAnsi="Garamond"/>
          <w:sz w:val="24"/>
          <w:szCs w:val="24"/>
          <w:lang w:val="sq-AL"/>
        </w:rPr>
        <w:t xml:space="preserve">VKM </w:t>
      </w:r>
      <w:r w:rsidR="00A331D2" w:rsidRPr="00024D5A">
        <w:rPr>
          <w:rFonts w:ascii="Garamond" w:hAnsi="Garamond"/>
          <w:sz w:val="24"/>
          <w:szCs w:val="24"/>
          <w:lang w:val="sq-AL"/>
        </w:rPr>
        <w:t>n</w:t>
      </w:r>
      <w:r w:rsidRPr="00024D5A">
        <w:rPr>
          <w:rFonts w:ascii="Garamond" w:hAnsi="Garamond"/>
          <w:sz w:val="24"/>
          <w:szCs w:val="24"/>
          <w:lang w:val="sq-AL"/>
        </w:rPr>
        <w:t>r. 411</w:t>
      </w:r>
      <w:r w:rsidR="00A331D2" w:rsidRPr="00024D5A">
        <w:rPr>
          <w:rFonts w:ascii="Garamond" w:hAnsi="Garamond"/>
          <w:sz w:val="24"/>
          <w:szCs w:val="24"/>
          <w:lang w:val="sq-AL"/>
        </w:rPr>
        <w:t>/</w:t>
      </w:r>
      <w:r w:rsidRPr="00024D5A">
        <w:rPr>
          <w:rFonts w:ascii="Garamond" w:hAnsi="Garamond"/>
          <w:sz w:val="24"/>
          <w:szCs w:val="24"/>
          <w:lang w:val="sq-AL"/>
        </w:rPr>
        <w:t xml:space="preserve">2019, </w:t>
      </w:r>
      <w:r w:rsidR="00A331D2" w:rsidRPr="00024D5A">
        <w:rPr>
          <w:rFonts w:ascii="Garamond" w:hAnsi="Garamond"/>
          <w:sz w:val="24"/>
          <w:szCs w:val="24"/>
          <w:lang w:val="sq-AL"/>
        </w:rPr>
        <w:t>“</w:t>
      </w:r>
      <w:r w:rsidRPr="00024D5A">
        <w:rPr>
          <w:rFonts w:ascii="Garamond" w:hAnsi="Garamond"/>
          <w:sz w:val="24"/>
          <w:szCs w:val="24"/>
          <w:lang w:val="sq-AL"/>
        </w:rPr>
        <w:t xml:space="preserve">Për disa ndryshime në </w:t>
      </w:r>
      <w:r w:rsidR="00A331D2" w:rsidRPr="00024D5A">
        <w:rPr>
          <w:rFonts w:ascii="Garamond" w:hAnsi="Garamond"/>
          <w:sz w:val="24"/>
          <w:szCs w:val="24"/>
          <w:lang w:val="sq-AL"/>
        </w:rPr>
        <w:t>VKM</w:t>
      </w:r>
      <w:r w:rsidR="002B321E" w:rsidRPr="00024D5A">
        <w:rPr>
          <w:rFonts w:ascii="Garamond" w:hAnsi="Garamond"/>
          <w:sz w:val="24"/>
          <w:szCs w:val="24"/>
          <w:lang w:val="sq-AL"/>
        </w:rPr>
        <w:t>-në</w:t>
      </w:r>
      <w:r w:rsidRPr="00024D5A">
        <w:rPr>
          <w:rFonts w:ascii="Garamond" w:hAnsi="Garamond"/>
          <w:sz w:val="24"/>
          <w:szCs w:val="24"/>
          <w:lang w:val="sq-AL"/>
        </w:rPr>
        <w:t xml:space="preserve"> nr. 708, datë 26.8.2015</w:t>
      </w:r>
      <w:r w:rsidR="00A331D2" w:rsidRPr="00024D5A">
        <w:rPr>
          <w:rFonts w:ascii="Garamond" w:hAnsi="Garamond"/>
          <w:sz w:val="24"/>
          <w:szCs w:val="24"/>
          <w:lang w:val="sq-AL"/>
        </w:rPr>
        <w:t>,</w:t>
      </w:r>
      <w:r w:rsidRPr="00024D5A">
        <w:rPr>
          <w:rFonts w:ascii="Garamond" w:hAnsi="Garamond"/>
          <w:sz w:val="24"/>
          <w:szCs w:val="24"/>
          <w:lang w:val="sq-AL"/>
        </w:rPr>
        <w:t xml:space="preserve"> </w:t>
      </w:r>
      <w:r w:rsidR="002B321E" w:rsidRPr="00024D5A">
        <w:rPr>
          <w:rFonts w:ascii="Garamond" w:hAnsi="Garamond"/>
          <w:sz w:val="24"/>
          <w:szCs w:val="24"/>
          <w:lang w:val="sq-AL"/>
        </w:rPr>
        <w:t>‘</w:t>
      </w:r>
      <w:r w:rsidRPr="00024D5A">
        <w:rPr>
          <w:rFonts w:ascii="Garamond" w:hAnsi="Garamond"/>
          <w:sz w:val="24"/>
          <w:szCs w:val="24"/>
          <w:lang w:val="sq-AL"/>
        </w:rPr>
        <w:t>Për llojet, periodicitetin dhe mënyrën e raportimit të të dhënave statistikore për aftësinë e kufizuar nga strukturat shtetërore përgjegjëse, në nivelin qendror dhe lokal</w:t>
      </w:r>
      <w:r w:rsidR="002B321E" w:rsidRPr="00024D5A">
        <w:rPr>
          <w:rFonts w:ascii="Garamond" w:hAnsi="Garamond"/>
          <w:sz w:val="24"/>
          <w:szCs w:val="24"/>
          <w:lang w:val="sq-AL"/>
        </w:rPr>
        <w:t>’</w:t>
      </w:r>
      <w:r w:rsidR="00A331D2" w:rsidRPr="00024D5A">
        <w:rPr>
          <w:rFonts w:ascii="Garamond" w:hAnsi="Garamond"/>
          <w:sz w:val="24"/>
          <w:szCs w:val="24"/>
          <w:lang w:val="sq-AL"/>
        </w:rPr>
        <w:t>”.</w:t>
      </w:r>
    </w:p>
    <w:p w14:paraId="5B488E0F" w14:textId="2CD09A4F" w:rsidR="003E1630" w:rsidRPr="00024D5A" w:rsidRDefault="005743A8" w:rsidP="00E755A6">
      <w:pPr>
        <w:pStyle w:val="NoSpacing"/>
        <w:ind w:firstLine="288"/>
        <w:jc w:val="both"/>
        <w:rPr>
          <w:rFonts w:ascii="Garamond" w:hAnsi="Garamond"/>
          <w:b/>
          <w:bCs/>
          <w:sz w:val="24"/>
          <w:szCs w:val="24"/>
          <w:lang w:val="sq-AL"/>
        </w:rPr>
      </w:pPr>
      <w:r w:rsidRPr="00024D5A">
        <w:rPr>
          <w:rFonts w:ascii="Garamond" w:hAnsi="Garamond"/>
          <w:sz w:val="24"/>
          <w:szCs w:val="24"/>
          <w:lang w:val="sq-AL"/>
        </w:rPr>
        <w:t xml:space="preserve">VKM </w:t>
      </w:r>
      <w:r w:rsidR="00A331D2" w:rsidRPr="00024D5A">
        <w:rPr>
          <w:rFonts w:ascii="Garamond" w:hAnsi="Garamond"/>
          <w:sz w:val="24"/>
          <w:szCs w:val="24"/>
          <w:lang w:val="sq-AL"/>
        </w:rPr>
        <w:t>n</w:t>
      </w:r>
      <w:r w:rsidRPr="00024D5A">
        <w:rPr>
          <w:rFonts w:ascii="Garamond" w:hAnsi="Garamond"/>
          <w:sz w:val="24"/>
          <w:szCs w:val="24"/>
          <w:lang w:val="sq-AL"/>
        </w:rPr>
        <w:t>r. 196</w:t>
      </w:r>
      <w:r w:rsidR="00A331D2" w:rsidRPr="00024D5A">
        <w:rPr>
          <w:rFonts w:ascii="Garamond" w:hAnsi="Garamond"/>
          <w:sz w:val="24"/>
          <w:szCs w:val="24"/>
          <w:lang w:val="sq-AL"/>
        </w:rPr>
        <w:t>/</w:t>
      </w:r>
      <w:r w:rsidRPr="00024D5A">
        <w:rPr>
          <w:rFonts w:ascii="Garamond" w:hAnsi="Garamond"/>
          <w:sz w:val="24"/>
          <w:szCs w:val="24"/>
          <w:lang w:val="sq-AL"/>
        </w:rPr>
        <w:t>2018</w:t>
      </w:r>
      <w:r w:rsidR="00A331D2" w:rsidRPr="00024D5A">
        <w:rPr>
          <w:rFonts w:ascii="Garamond" w:hAnsi="Garamond"/>
          <w:sz w:val="24"/>
          <w:szCs w:val="24"/>
          <w:lang w:val="sq-AL"/>
        </w:rPr>
        <w:t>,</w:t>
      </w:r>
      <w:r w:rsidRPr="00024D5A">
        <w:rPr>
          <w:rFonts w:ascii="Garamond" w:hAnsi="Garamond"/>
          <w:sz w:val="24"/>
          <w:szCs w:val="24"/>
          <w:lang w:val="sq-AL"/>
        </w:rPr>
        <w:t xml:space="preserve"> </w:t>
      </w:r>
      <w:r w:rsidR="0078161D" w:rsidRPr="00024D5A">
        <w:rPr>
          <w:rFonts w:ascii="Garamond" w:hAnsi="Garamond"/>
          <w:sz w:val="24"/>
          <w:szCs w:val="24"/>
          <w:lang w:val="sq-AL"/>
        </w:rPr>
        <w:t>“</w:t>
      </w:r>
      <w:r w:rsidRPr="00024D5A">
        <w:rPr>
          <w:rFonts w:ascii="Garamond" w:hAnsi="Garamond"/>
          <w:sz w:val="24"/>
          <w:szCs w:val="24"/>
          <w:lang w:val="sq-AL"/>
        </w:rPr>
        <w:t xml:space="preserve">Për një ndryshim në </w:t>
      </w:r>
      <w:bookmarkStart w:id="76" w:name="_Hlk223026861"/>
      <w:r w:rsidR="00A331D2" w:rsidRPr="00024D5A">
        <w:rPr>
          <w:rFonts w:ascii="Garamond" w:hAnsi="Garamond"/>
          <w:sz w:val="24"/>
          <w:szCs w:val="24"/>
          <w:lang w:val="sq-AL"/>
        </w:rPr>
        <w:t>VKM</w:t>
      </w:r>
      <w:r w:rsidRPr="00024D5A">
        <w:rPr>
          <w:rFonts w:ascii="Garamond" w:hAnsi="Garamond"/>
          <w:sz w:val="24"/>
          <w:szCs w:val="24"/>
          <w:lang w:val="sq-AL"/>
        </w:rPr>
        <w:t xml:space="preserve"> nr. 48, datë 21.1.2015,</w:t>
      </w:r>
      <w:r w:rsidR="00A331D2" w:rsidRPr="00024D5A">
        <w:rPr>
          <w:rFonts w:ascii="Garamond" w:hAnsi="Garamond"/>
          <w:sz w:val="24"/>
          <w:szCs w:val="24"/>
          <w:lang w:val="sq-AL"/>
        </w:rPr>
        <w:t xml:space="preserve"> </w:t>
      </w:r>
      <w:r w:rsidR="002B321E" w:rsidRPr="00024D5A">
        <w:rPr>
          <w:rFonts w:ascii="Garamond" w:hAnsi="Garamond"/>
          <w:sz w:val="24"/>
          <w:szCs w:val="24"/>
          <w:lang w:val="sq-AL"/>
        </w:rPr>
        <w:t>‘</w:t>
      </w:r>
      <w:r w:rsidRPr="00024D5A">
        <w:rPr>
          <w:rFonts w:ascii="Garamond" w:hAnsi="Garamond"/>
          <w:sz w:val="24"/>
          <w:szCs w:val="24"/>
          <w:lang w:val="sq-AL"/>
        </w:rPr>
        <w:t xml:space="preserve">Për miratimin e rregullores për funksionimin e </w:t>
      </w:r>
      <w:r w:rsidR="002B321E" w:rsidRPr="00024D5A">
        <w:rPr>
          <w:rFonts w:ascii="Garamond" w:hAnsi="Garamond"/>
          <w:sz w:val="24"/>
          <w:szCs w:val="24"/>
          <w:lang w:val="sq-AL"/>
        </w:rPr>
        <w:t xml:space="preserve">Këshillit Kombëtar </w:t>
      </w:r>
      <w:r w:rsidRPr="00024D5A">
        <w:rPr>
          <w:rFonts w:ascii="Garamond" w:hAnsi="Garamond"/>
          <w:sz w:val="24"/>
          <w:szCs w:val="24"/>
          <w:lang w:val="sq-AL"/>
        </w:rPr>
        <w:t xml:space="preserve">për </w:t>
      </w:r>
      <w:r w:rsidR="002B321E" w:rsidRPr="00024D5A">
        <w:rPr>
          <w:rFonts w:ascii="Garamond" w:hAnsi="Garamond"/>
          <w:sz w:val="24"/>
          <w:szCs w:val="24"/>
          <w:lang w:val="sq-AL"/>
        </w:rPr>
        <w:t xml:space="preserve">Aftësinë </w:t>
      </w:r>
      <w:r w:rsidRPr="00024D5A">
        <w:rPr>
          <w:rFonts w:ascii="Garamond" w:hAnsi="Garamond"/>
          <w:sz w:val="24"/>
          <w:szCs w:val="24"/>
          <w:lang w:val="sq-AL"/>
        </w:rPr>
        <w:t xml:space="preserve">e </w:t>
      </w:r>
      <w:r w:rsidR="002B321E" w:rsidRPr="00024D5A">
        <w:rPr>
          <w:rFonts w:ascii="Garamond" w:hAnsi="Garamond"/>
          <w:sz w:val="24"/>
          <w:szCs w:val="24"/>
          <w:lang w:val="sq-AL"/>
        </w:rPr>
        <w:t>Kufizuar</w:t>
      </w:r>
      <w:r w:rsidR="00A331D2" w:rsidRPr="00024D5A">
        <w:rPr>
          <w:rFonts w:ascii="Garamond" w:hAnsi="Garamond"/>
          <w:sz w:val="24"/>
          <w:szCs w:val="24"/>
          <w:lang w:val="sq-AL"/>
        </w:rPr>
        <w:t>”</w:t>
      </w:r>
      <w:r w:rsidR="0078161D" w:rsidRPr="00024D5A">
        <w:rPr>
          <w:rFonts w:ascii="Garamond" w:hAnsi="Garamond"/>
          <w:sz w:val="24"/>
          <w:szCs w:val="24"/>
          <w:lang w:val="sq-AL"/>
        </w:rPr>
        <w:t>”</w:t>
      </w:r>
      <w:r w:rsidRPr="00024D5A">
        <w:rPr>
          <w:rFonts w:ascii="Garamond" w:hAnsi="Garamond"/>
          <w:sz w:val="24"/>
          <w:szCs w:val="24"/>
          <w:lang w:val="sq-AL"/>
        </w:rPr>
        <w:t xml:space="preserve">. </w:t>
      </w:r>
    </w:p>
    <w:p w14:paraId="097EBEE1" w14:textId="74B85E6F" w:rsidR="003E1630" w:rsidRPr="00024D5A" w:rsidRDefault="00B27B08" w:rsidP="00E755A6">
      <w:pPr>
        <w:pStyle w:val="Heading2"/>
        <w:spacing w:before="0"/>
        <w:ind w:firstLine="288"/>
        <w:rPr>
          <w:rFonts w:ascii="Garamond" w:eastAsia="Times New Roman" w:hAnsi="Garamond"/>
          <w:color w:val="auto"/>
          <w:sz w:val="24"/>
          <w:szCs w:val="24"/>
        </w:rPr>
      </w:pPr>
      <w:bookmarkStart w:id="77" w:name="_Toc231489668"/>
      <w:r w:rsidRPr="00024D5A">
        <w:rPr>
          <w:rFonts w:ascii="Garamond" w:hAnsi="Garamond"/>
          <w:color w:val="auto"/>
          <w:sz w:val="24"/>
          <w:szCs w:val="24"/>
        </w:rPr>
        <w:t>7</w:t>
      </w:r>
      <w:r w:rsidR="005743A8" w:rsidRPr="00024D5A">
        <w:rPr>
          <w:rFonts w:ascii="Garamond" w:hAnsi="Garamond"/>
          <w:color w:val="auto"/>
          <w:sz w:val="24"/>
          <w:szCs w:val="24"/>
        </w:rPr>
        <w:t>.2. Strategjitë Sektoriale</w:t>
      </w:r>
      <w:bookmarkEnd w:id="76"/>
      <w:bookmarkEnd w:id="77"/>
    </w:p>
    <w:p w14:paraId="5E6D60A7" w14:textId="67C29C0E" w:rsidR="003E1630" w:rsidRPr="00024D5A" w:rsidRDefault="005743A8" w:rsidP="00E755A6">
      <w:pPr>
        <w:pStyle w:val="NoSpacing"/>
        <w:ind w:firstLine="288"/>
        <w:jc w:val="both"/>
        <w:rPr>
          <w:rFonts w:ascii="Garamond" w:hAnsi="Garamond"/>
          <w:sz w:val="24"/>
          <w:szCs w:val="24"/>
          <w:lang w:val="sq-AL"/>
        </w:rPr>
      </w:pPr>
      <w:bookmarkStart w:id="78" w:name="_Hlk223088928"/>
      <w:r w:rsidRPr="00024D5A">
        <w:rPr>
          <w:rFonts w:ascii="Garamond" w:hAnsi="Garamond"/>
          <w:sz w:val="24"/>
          <w:szCs w:val="24"/>
          <w:lang w:val="sq-AL"/>
        </w:rPr>
        <w:t xml:space="preserve">Strategjia Ndërsektoriale e Drejtësisë </w:t>
      </w:r>
      <w:r w:rsidR="00657405" w:rsidRPr="00024D5A">
        <w:rPr>
          <w:rFonts w:ascii="Garamond" w:hAnsi="Garamond"/>
          <w:sz w:val="24"/>
          <w:szCs w:val="24"/>
          <w:lang w:val="sq-AL"/>
        </w:rPr>
        <w:t>2026–2030</w:t>
      </w:r>
      <w:r w:rsidRPr="00024D5A">
        <w:rPr>
          <w:rFonts w:ascii="Garamond" w:hAnsi="Garamond"/>
          <w:sz w:val="24"/>
          <w:szCs w:val="24"/>
          <w:lang w:val="sq-AL"/>
        </w:rPr>
        <w:t xml:space="preserve">. </w:t>
      </w:r>
    </w:p>
    <w:p w14:paraId="2521D93C" w14:textId="017A6A20" w:rsidR="003E1630" w:rsidRPr="00024D5A" w:rsidRDefault="005743A8" w:rsidP="00E755A6">
      <w:pPr>
        <w:pStyle w:val="NoSpacing"/>
        <w:ind w:firstLine="288"/>
        <w:jc w:val="both"/>
        <w:rPr>
          <w:rFonts w:ascii="Garamond" w:hAnsi="Garamond"/>
          <w:sz w:val="24"/>
          <w:szCs w:val="24"/>
          <w:lang w:val="sq-AL"/>
        </w:rPr>
      </w:pPr>
      <w:bookmarkStart w:id="79" w:name="_Hlk223088947"/>
      <w:bookmarkEnd w:id="78"/>
      <w:r w:rsidRPr="00024D5A">
        <w:rPr>
          <w:rFonts w:ascii="Garamond" w:hAnsi="Garamond"/>
          <w:sz w:val="24"/>
          <w:szCs w:val="24"/>
          <w:lang w:val="sq-AL"/>
        </w:rPr>
        <w:t>Strategjia Ndërsektoriale për Mbrojtjen e Viktimave të Krimit 2024</w:t>
      </w:r>
      <w:r w:rsidR="00E755A6" w:rsidRPr="00024D5A">
        <w:rPr>
          <w:rFonts w:ascii="Garamond" w:hAnsi="Garamond"/>
          <w:sz w:val="24"/>
          <w:szCs w:val="24"/>
          <w:lang w:val="sq-AL"/>
        </w:rPr>
        <w:t>–</w:t>
      </w:r>
      <w:r w:rsidRPr="00024D5A">
        <w:rPr>
          <w:rFonts w:ascii="Garamond" w:hAnsi="Garamond"/>
          <w:sz w:val="24"/>
          <w:szCs w:val="24"/>
          <w:lang w:val="sq-AL"/>
        </w:rPr>
        <w:t xml:space="preserve">2030. </w:t>
      </w:r>
    </w:p>
    <w:p w14:paraId="1E97A239" w14:textId="2E326CE3" w:rsidR="003E1630" w:rsidRPr="00024D5A" w:rsidRDefault="005743A8" w:rsidP="00E755A6">
      <w:pPr>
        <w:pStyle w:val="NoSpacing"/>
        <w:ind w:firstLine="288"/>
        <w:jc w:val="both"/>
        <w:rPr>
          <w:rFonts w:ascii="Garamond" w:hAnsi="Garamond"/>
          <w:sz w:val="24"/>
          <w:szCs w:val="24"/>
          <w:lang w:val="sq-AL"/>
        </w:rPr>
      </w:pPr>
      <w:bookmarkStart w:id="80" w:name="_Hlk223088965"/>
      <w:bookmarkEnd w:id="79"/>
      <w:r w:rsidRPr="00024D5A">
        <w:rPr>
          <w:rFonts w:ascii="Garamond" w:hAnsi="Garamond"/>
          <w:sz w:val="24"/>
          <w:szCs w:val="24"/>
          <w:lang w:val="sq-AL"/>
        </w:rPr>
        <w:t>Strategjia Ndërsektoriale e Drejtësisë për të Mitur 2022</w:t>
      </w:r>
      <w:r w:rsidR="00E755A6" w:rsidRPr="00024D5A">
        <w:rPr>
          <w:rFonts w:ascii="Garamond" w:hAnsi="Garamond"/>
          <w:sz w:val="24"/>
          <w:szCs w:val="24"/>
          <w:lang w:val="sq-AL"/>
        </w:rPr>
        <w:t>–</w:t>
      </w:r>
      <w:r w:rsidRPr="00024D5A">
        <w:rPr>
          <w:rFonts w:ascii="Garamond" w:hAnsi="Garamond"/>
          <w:sz w:val="24"/>
          <w:szCs w:val="24"/>
          <w:lang w:val="sq-AL"/>
        </w:rPr>
        <w:t xml:space="preserve">2026. </w:t>
      </w:r>
    </w:p>
    <w:p w14:paraId="3A372CDD" w14:textId="5DF6CE07" w:rsidR="003E1630" w:rsidRPr="00024D5A" w:rsidRDefault="005743A8" w:rsidP="00E755A6">
      <w:pPr>
        <w:pStyle w:val="NoSpacing"/>
        <w:ind w:firstLine="288"/>
        <w:jc w:val="both"/>
        <w:rPr>
          <w:rFonts w:ascii="Garamond" w:hAnsi="Garamond"/>
          <w:sz w:val="24"/>
          <w:szCs w:val="24"/>
          <w:lang w:val="sq-AL"/>
        </w:rPr>
      </w:pPr>
      <w:bookmarkStart w:id="81" w:name="_Hlk223088991"/>
      <w:bookmarkEnd w:id="80"/>
      <w:r w:rsidRPr="00024D5A">
        <w:rPr>
          <w:rFonts w:ascii="Garamond" w:hAnsi="Garamond"/>
          <w:sz w:val="24"/>
          <w:szCs w:val="24"/>
          <w:lang w:val="sq-AL"/>
        </w:rPr>
        <w:t>Strategjia Kombëtare për Punësim dhe Aftësi 2023</w:t>
      </w:r>
      <w:r w:rsidR="00E755A6" w:rsidRPr="00024D5A">
        <w:rPr>
          <w:rFonts w:ascii="Garamond" w:hAnsi="Garamond"/>
          <w:sz w:val="24"/>
          <w:szCs w:val="24"/>
          <w:lang w:val="sq-AL"/>
        </w:rPr>
        <w:t>–</w:t>
      </w:r>
      <w:r w:rsidRPr="00024D5A">
        <w:rPr>
          <w:rFonts w:ascii="Garamond" w:hAnsi="Garamond"/>
          <w:sz w:val="24"/>
          <w:szCs w:val="24"/>
          <w:lang w:val="sq-AL"/>
        </w:rPr>
        <w:t xml:space="preserve">2030. </w:t>
      </w:r>
    </w:p>
    <w:p w14:paraId="71C0F10D" w14:textId="68A80E68" w:rsidR="003E1630" w:rsidRPr="00024D5A" w:rsidRDefault="005743A8" w:rsidP="00E755A6">
      <w:pPr>
        <w:pStyle w:val="NoSpacing"/>
        <w:ind w:firstLine="288"/>
        <w:jc w:val="both"/>
        <w:rPr>
          <w:rFonts w:ascii="Garamond" w:hAnsi="Garamond"/>
          <w:sz w:val="24"/>
          <w:szCs w:val="24"/>
          <w:lang w:val="sq-AL"/>
        </w:rPr>
      </w:pPr>
      <w:bookmarkStart w:id="82" w:name="_Hlk223089020"/>
      <w:bookmarkEnd w:id="81"/>
      <w:r w:rsidRPr="00024D5A">
        <w:rPr>
          <w:rFonts w:ascii="Garamond" w:hAnsi="Garamond"/>
          <w:sz w:val="24"/>
          <w:szCs w:val="24"/>
          <w:lang w:val="sq-AL"/>
        </w:rPr>
        <w:t>Strategjia Kombëtare për Arsimin 2021</w:t>
      </w:r>
      <w:r w:rsidR="00E755A6" w:rsidRPr="00024D5A">
        <w:rPr>
          <w:rFonts w:ascii="Garamond" w:hAnsi="Garamond"/>
          <w:sz w:val="24"/>
          <w:szCs w:val="24"/>
          <w:lang w:val="sq-AL"/>
        </w:rPr>
        <w:t>–</w:t>
      </w:r>
      <w:r w:rsidRPr="00024D5A">
        <w:rPr>
          <w:rFonts w:ascii="Garamond" w:hAnsi="Garamond"/>
          <w:sz w:val="24"/>
          <w:szCs w:val="24"/>
          <w:lang w:val="sq-AL"/>
        </w:rPr>
        <w:t>2026.</w:t>
      </w:r>
    </w:p>
    <w:p w14:paraId="11EC669A" w14:textId="36BF2AE4" w:rsidR="003E1630" w:rsidRPr="00024D5A" w:rsidRDefault="005743A8" w:rsidP="00E755A6">
      <w:pPr>
        <w:pStyle w:val="NoSpacing"/>
        <w:ind w:firstLine="288"/>
        <w:jc w:val="both"/>
        <w:rPr>
          <w:rFonts w:ascii="Garamond" w:hAnsi="Garamond"/>
          <w:sz w:val="24"/>
          <w:szCs w:val="24"/>
          <w:lang w:val="sq-AL"/>
        </w:rPr>
      </w:pPr>
      <w:bookmarkStart w:id="83" w:name="_Hlk223089042"/>
      <w:bookmarkEnd w:id="82"/>
      <w:r w:rsidRPr="00024D5A">
        <w:rPr>
          <w:rFonts w:ascii="Garamond" w:hAnsi="Garamond"/>
          <w:sz w:val="24"/>
          <w:szCs w:val="24"/>
          <w:lang w:val="sq-AL"/>
        </w:rPr>
        <w:t>Strategjia Kombëtare për Mbrojtjen Sociale 2024</w:t>
      </w:r>
      <w:r w:rsidR="00E755A6" w:rsidRPr="00024D5A">
        <w:rPr>
          <w:rFonts w:ascii="Garamond" w:hAnsi="Garamond"/>
          <w:sz w:val="24"/>
          <w:szCs w:val="24"/>
          <w:lang w:val="sq-AL"/>
        </w:rPr>
        <w:t>–</w:t>
      </w:r>
      <w:r w:rsidRPr="00024D5A">
        <w:rPr>
          <w:rFonts w:ascii="Garamond" w:hAnsi="Garamond"/>
          <w:sz w:val="24"/>
          <w:szCs w:val="24"/>
          <w:lang w:val="sq-AL"/>
        </w:rPr>
        <w:t xml:space="preserve">2030 dhe plani i veprimit. </w:t>
      </w:r>
    </w:p>
    <w:p w14:paraId="3528E48F" w14:textId="414D954A" w:rsidR="003E1630" w:rsidRPr="00024D5A" w:rsidRDefault="005743A8" w:rsidP="00E755A6">
      <w:pPr>
        <w:pStyle w:val="NoSpacing"/>
        <w:ind w:firstLine="288"/>
        <w:jc w:val="both"/>
        <w:rPr>
          <w:rFonts w:ascii="Garamond" w:hAnsi="Garamond"/>
          <w:sz w:val="24"/>
          <w:szCs w:val="24"/>
          <w:lang w:val="sq-AL"/>
        </w:rPr>
      </w:pPr>
      <w:bookmarkStart w:id="84" w:name="_Hlk223089085"/>
      <w:bookmarkEnd w:id="83"/>
      <w:r w:rsidRPr="00024D5A">
        <w:rPr>
          <w:rFonts w:ascii="Garamond" w:hAnsi="Garamond"/>
          <w:sz w:val="24"/>
          <w:szCs w:val="24"/>
          <w:lang w:val="sq-AL"/>
        </w:rPr>
        <w:t>Dokumenti i Politikave të Përfshirjes Sociale 2024</w:t>
      </w:r>
      <w:r w:rsidR="00E755A6" w:rsidRPr="00024D5A">
        <w:rPr>
          <w:rFonts w:ascii="Garamond" w:hAnsi="Garamond"/>
          <w:sz w:val="24"/>
          <w:szCs w:val="24"/>
          <w:lang w:val="sq-AL"/>
        </w:rPr>
        <w:t>–</w:t>
      </w:r>
      <w:r w:rsidRPr="00024D5A">
        <w:rPr>
          <w:rFonts w:ascii="Garamond" w:hAnsi="Garamond"/>
          <w:sz w:val="24"/>
          <w:szCs w:val="24"/>
          <w:lang w:val="sq-AL"/>
        </w:rPr>
        <w:t>2028</w:t>
      </w:r>
      <w:r w:rsidR="00A331D2" w:rsidRPr="00024D5A">
        <w:rPr>
          <w:rFonts w:ascii="Garamond" w:hAnsi="Garamond"/>
          <w:sz w:val="24"/>
          <w:szCs w:val="24"/>
          <w:lang w:val="sq-AL"/>
        </w:rPr>
        <w:t>.</w:t>
      </w:r>
    </w:p>
    <w:p w14:paraId="7CD507C7" w14:textId="63D71DCB" w:rsidR="003E1630" w:rsidRPr="00024D5A" w:rsidRDefault="005743A8" w:rsidP="00E755A6">
      <w:pPr>
        <w:pStyle w:val="NoSpacing"/>
        <w:ind w:firstLine="288"/>
        <w:jc w:val="both"/>
        <w:rPr>
          <w:rFonts w:ascii="Garamond" w:hAnsi="Garamond"/>
          <w:sz w:val="24"/>
          <w:szCs w:val="24"/>
          <w:lang w:val="sq-AL"/>
        </w:rPr>
      </w:pPr>
      <w:bookmarkStart w:id="85" w:name="_Hlk223089128"/>
      <w:bookmarkEnd w:id="84"/>
      <w:r w:rsidRPr="00024D5A">
        <w:rPr>
          <w:rFonts w:ascii="Garamond" w:hAnsi="Garamond"/>
          <w:sz w:val="24"/>
          <w:szCs w:val="24"/>
          <w:lang w:val="sq-AL"/>
        </w:rPr>
        <w:t>Strategjia Kombëtare e Shëndetësisë 2021</w:t>
      </w:r>
      <w:r w:rsidR="00E755A6" w:rsidRPr="00024D5A">
        <w:rPr>
          <w:rFonts w:ascii="Garamond" w:hAnsi="Garamond"/>
          <w:sz w:val="24"/>
          <w:szCs w:val="24"/>
          <w:lang w:val="sq-AL"/>
        </w:rPr>
        <w:t>–</w:t>
      </w:r>
      <w:r w:rsidRPr="00024D5A">
        <w:rPr>
          <w:rFonts w:ascii="Garamond" w:hAnsi="Garamond"/>
          <w:sz w:val="24"/>
          <w:szCs w:val="24"/>
          <w:lang w:val="sq-AL"/>
        </w:rPr>
        <w:t xml:space="preserve">2030. </w:t>
      </w:r>
    </w:p>
    <w:p w14:paraId="13986896" w14:textId="0E20A3F7" w:rsidR="003E1630" w:rsidRPr="00024D5A" w:rsidRDefault="005743A8" w:rsidP="00E755A6">
      <w:pPr>
        <w:pStyle w:val="NoSpacing"/>
        <w:ind w:firstLine="288"/>
        <w:jc w:val="both"/>
        <w:rPr>
          <w:rFonts w:ascii="Garamond" w:hAnsi="Garamond"/>
          <w:sz w:val="24"/>
          <w:szCs w:val="24"/>
          <w:lang w:val="sq-AL"/>
        </w:rPr>
      </w:pPr>
      <w:bookmarkStart w:id="86" w:name="_Hlk223089170"/>
      <w:bookmarkEnd w:id="85"/>
      <w:r w:rsidRPr="00024D5A">
        <w:rPr>
          <w:rFonts w:ascii="Garamond" w:hAnsi="Garamond"/>
          <w:sz w:val="24"/>
          <w:szCs w:val="24"/>
          <w:lang w:val="sq-AL"/>
        </w:rPr>
        <w:t>Strategjia e Zhvillimit të Shërbimeve të Kujdesit Shëndetësor Parësor në Shqipëri 2020</w:t>
      </w:r>
      <w:r w:rsidR="002B321E" w:rsidRPr="00024D5A">
        <w:rPr>
          <w:rFonts w:ascii="Garamond" w:hAnsi="Garamond"/>
          <w:sz w:val="24"/>
          <w:szCs w:val="24"/>
          <w:lang w:val="sq-AL"/>
        </w:rPr>
        <w:t>–</w:t>
      </w:r>
      <w:r w:rsidRPr="00024D5A">
        <w:rPr>
          <w:rFonts w:ascii="Garamond" w:hAnsi="Garamond"/>
          <w:sz w:val="24"/>
          <w:szCs w:val="24"/>
          <w:lang w:val="sq-AL"/>
        </w:rPr>
        <w:t>2025.</w:t>
      </w:r>
      <w:bookmarkEnd w:id="86"/>
    </w:p>
    <w:p w14:paraId="58F10FBE" w14:textId="34E488EE" w:rsidR="003E1630" w:rsidRPr="00024D5A" w:rsidRDefault="005743A8" w:rsidP="00E755A6">
      <w:pPr>
        <w:pStyle w:val="NoSpacing"/>
        <w:ind w:firstLine="288"/>
        <w:jc w:val="both"/>
        <w:rPr>
          <w:rFonts w:ascii="Garamond" w:hAnsi="Garamond"/>
          <w:sz w:val="24"/>
          <w:szCs w:val="24"/>
          <w:lang w:val="sq-AL"/>
        </w:rPr>
      </w:pPr>
      <w:bookmarkStart w:id="87" w:name="_Hlk223089606"/>
      <w:r w:rsidRPr="00024D5A">
        <w:rPr>
          <w:rFonts w:ascii="Garamond" w:hAnsi="Garamond"/>
          <w:sz w:val="24"/>
          <w:szCs w:val="24"/>
          <w:lang w:val="sq-AL"/>
        </w:rPr>
        <w:t>Strategjia Kombëtare e Turizmit 2024</w:t>
      </w:r>
      <w:r w:rsidR="00E755A6" w:rsidRPr="00024D5A">
        <w:rPr>
          <w:rFonts w:ascii="Garamond" w:hAnsi="Garamond"/>
          <w:sz w:val="24"/>
          <w:szCs w:val="24"/>
          <w:lang w:val="sq-AL"/>
        </w:rPr>
        <w:t>–</w:t>
      </w:r>
      <w:r w:rsidRPr="00024D5A">
        <w:rPr>
          <w:rFonts w:ascii="Garamond" w:hAnsi="Garamond"/>
          <w:sz w:val="24"/>
          <w:szCs w:val="24"/>
          <w:lang w:val="sq-AL"/>
        </w:rPr>
        <w:t xml:space="preserve">2030. </w:t>
      </w:r>
    </w:p>
    <w:p w14:paraId="32F5D047" w14:textId="4FE5ADF5" w:rsidR="003E1630" w:rsidRPr="00024D5A" w:rsidRDefault="005743A8" w:rsidP="00E755A6">
      <w:pPr>
        <w:pStyle w:val="NoSpacing"/>
        <w:ind w:firstLine="288"/>
        <w:jc w:val="both"/>
        <w:rPr>
          <w:rFonts w:ascii="Garamond" w:hAnsi="Garamond"/>
          <w:sz w:val="24"/>
          <w:szCs w:val="24"/>
          <w:lang w:val="sq-AL"/>
        </w:rPr>
      </w:pPr>
      <w:bookmarkStart w:id="88" w:name="_Hlk223089586"/>
      <w:bookmarkEnd w:id="87"/>
      <w:r w:rsidRPr="00024D5A">
        <w:rPr>
          <w:rFonts w:ascii="Garamond" w:hAnsi="Garamond"/>
          <w:sz w:val="24"/>
          <w:szCs w:val="24"/>
          <w:lang w:val="sq-AL"/>
        </w:rPr>
        <w:t>Strategjia Kombëtare për Kulturën 2019</w:t>
      </w:r>
      <w:r w:rsidR="00E755A6" w:rsidRPr="00024D5A">
        <w:rPr>
          <w:rFonts w:ascii="Garamond" w:hAnsi="Garamond"/>
          <w:sz w:val="24"/>
          <w:szCs w:val="24"/>
          <w:lang w:val="sq-AL"/>
        </w:rPr>
        <w:t>–</w:t>
      </w:r>
      <w:r w:rsidRPr="00024D5A">
        <w:rPr>
          <w:rFonts w:ascii="Garamond" w:hAnsi="Garamond"/>
          <w:sz w:val="24"/>
          <w:szCs w:val="24"/>
          <w:lang w:val="sq-AL"/>
        </w:rPr>
        <w:t xml:space="preserve">2025. </w:t>
      </w:r>
    </w:p>
    <w:bookmarkEnd w:id="88"/>
    <w:p w14:paraId="1B440EFC" w14:textId="5C8119D9" w:rsidR="003E1630" w:rsidRPr="00024D5A" w:rsidRDefault="005743A8" w:rsidP="00E755A6">
      <w:pPr>
        <w:pStyle w:val="NoSpacing"/>
        <w:ind w:firstLine="288"/>
        <w:jc w:val="both"/>
        <w:rPr>
          <w:rFonts w:ascii="Garamond" w:hAnsi="Garamond"/>
          <w:sz w:val="24"/>
          <w:szCs w:val="24"/>
          <w:lang w:val="sq-AL"/>
        </w:rPr>
      </w:pPr>
      <w:r w:rsidRPr="00024D5A">
        <w:rPr>
          <w:rFonts w:ascii="Garamond" w:hAnsi="Garamond"/>
          <w:sz w:val="24"/>
          <w:szCs w:val="24"/>
          <w:lang w:val="sq-AL"/>
        </w:rPr>
        <w:t>Strategjia Kombëtare për Sportin 2025</w:t>
      </w:r>
      <w:r w:rsidR="00E755A6" w:rsidRPr="00024D5A">
        <w:rPr>
          <w:rFonts w:ascii="Garamond" w:hAnsi="Garamond"/>
          <w:sz w:val="24"/>
          <w:szCs w:val="24"/>
          <w:lang w:val="sq-AL"/>
        </w:rPr>
        <w:t>–</w:t>
      </w:r>
      <w:r w:rsidRPr="00024D5A">
        <w:rPr>
          <w:rFonts w:ascii="Garamond" w:hAnsi="Garamond"/>
          <w:sz w:val="24"/>
          <w:szCs w:val="24"/>
          <w:lang w:val="sq-AL"/>
        </w:rPr>
        <w:t xml:space="preserve">2030. </w:t>
      </w:r>
    </w:p>
    <w:p w14:paraId="3B21A5C6" w14:textId="77777777" w:rsidR="00180DF3" w:rsidRPr="00024D5A" w:rsidRDefault="00180DF3" w:rsidP="00E755A6">
      <w:pPr>
        <w:pStyle w:val="NoSpacing"/>
        <w:ind w:firstLine="288"/>
        <w:jc w:val="both"/>
        <w:rPr>
          <w:rFonts w:ascii="Garamond" w:hAnsi="Garamond"/>
          <w:sz w:val="24"/>
          <w:szCs w:val="24"/>
          <w:lang w:val="sq-AL"/>
        </w:rPr>
        <w:sectPr w:rsidR="00180DF3" w:rsidRPr="00024D5A" w:rsidSect="00387E5A">
          <w:pgSz w:w="12240" w:h="15840"/>
          <w:pgMar w:top="1440" w:right="1440" w:bottom="1440" w:left="1440" w:header="720" w:footer="720" w:gutter="0"/>
          <w:cols w:space="720"/>
          <w:docGrid w:linePitch="360"/>
        </w:sectPr>
      </w:pPr>
    </w:p>
    <w:p w14:paraId="3BC24998" w14:textId="77777777" w:rsidR="002B321E" w:rsidRPr="00024D5A" w:rsidRDefault="00B27B08" w:rsidP="002B321E">
      <w:pPr>
        <w:jc w:val="center"/>
        <w:rPr>
          <w:rFonts w:ascii="Garamond" w:hAnsi="Garamond"/>
        </w:rPr>
      </w:pPr>
      <w:bookmarkStart w:id="89" w:name="_Toc231489669"/>
      <w:r w:rsidRPr="00024D5A">
        <w:rPr>
          <w:rFonts w:ascii="Garamond" w:hAnsi="Garamond"/>
        </w:rPr>
        <w:t>8</w:t>
      </w:r>
      <w:r w:rsidR="005743A8" w:rsidRPr="00024D5A">
        <w:rPr>
          <w:rFonts w:ascii="Garamond" w:hAnsi="Garamond"/>
        </w:rPr>
        <w:t>. LOGJIKA E NDËRHYRJES SIPAS</w:t>
      </w:r>
      <w:r w:rsidR="00180DF3" w:rsidRPr="00024D5A">
        <w:rPr>
          <w:rFonts w:ascii="Garamond" w:hAnsi="Garamond"/>
        </w:rPr>
        <w:t xml:space="preserve"> </w:t>
      </w:r>
      <w:r w:rsidR="005743A8" w:rsidRPr="00024D5A">
        <w:rPr>
          <w:rFonts w:ascii="Garamond" w:hAnsi="Garamond"/>
        </w:rPr>
        <w:t>FUSHAVE,</w:t>
      </w:r>
      <w:r w:rsidR="00180DF3" w:rsidRPr="00024D5A">
        <w:rPr>
          <w:rFonts w:ascii="Garamond" w:hAnsi="Garamond"/>
        </w:rPr>
        <w:t xml:space="preserve"> </w:t>
      </w:r>
      <w:r w:rsidR="005743A8" w:rsidRPr="00024D5A">
        <w:rPr>
          <w:rFonts w:ascii="Garamond" w:hAnsi="Garamond"/>
        </w:rPr>
        <w:t>OBJEKTIVAVE,</w:t>
      </w:r>
      <w:r w:rsidR="00180DF3" w:rsidRPr="00024D5A">
        <w:rPr>
          <w:rFonts w:ascii="Garamond" w:hAnsi="Garamond"/>
        </w:rPr>
        <w:t xml:space="preserve"> </w:t>
      </w:r>
      <w:r w:rsidR="005743A8" w:rsidRPr="00024D5A">
        <w:rPr>
          <w:rFonts w:ascii="Garamond" w:hAnsi="Garamond"/>
        </w:rPr>
        <w:t>MASAVE,</w:t>
      </w:r>
      <w:r w:rsidR="00180DF3" w:rsidRPr="00024D5A">
        <w:rPr>
          <w:rFonts w:ascii="Garamond" w:hAnsi="Garamond"/>
        </w:rPr>
        <w:t xml:space="preserve"> </w:t>
      </w:r>
      <w:r w:rsidR="005743A8" w:rsidRPr="00024D5A">
        <w:rPr>
          <w:rFonts w:ascii="Garamond" w:hAnsi="Garamond"/>
        </w:rPr>
        <w:t>AKTIVITETEVE P</w:t>
      </w:r>
      <w:r w:rsidR="004D2BF5" w:rsidRPr="00024D5A">
        <w:rPr>
          <w:rFonts w:ascii="Garamond" w:hAnsi="Garamond"/>
        </w:rPr>
        <w:t>Ë</w:t>
      </w:r>
      <w:r w:rsidR="005743A8" w:rsidRPr="00024D5A">
        <w:rPr>
          <w:rFonts w:ascii="Garamond" w:hAnsi="Garamond"/>
        </w:rPr>
        <w:t>R PK</w:t>
      </w:r>
      <w:r w:rsidR="00F1289D" w:rsidRPr="00024D5A">
        <w:rPr>
          <w:rFonts w:ascii="Garamond" w:hAnsi="Garamond"/>
        </w:rPr>
        <w:t>V</w:t>
      </w:r>
      <w:r w:rsidR="005743A8" w:rsidRPr="00024D5A">
        <w:rPr>
          <w:rFonts w:ascii="Garamond" w:hAnsi="Garamond"/>
        </w:rPr>
        <w:t>PAK</w:t>
      </w:r>
      <w:r w:rsidR="002B321E" w:rsidRPr="00024D5A">
        <w:rPr>
          <w:rFonts w:ascii="Garamond" w:hAnsi="Garamond"/>
        </w:rPr>
        <w:t>-në</w:t>
      </w:r>
      <w:r w:rsidR="005743A8" w:rsidRPr="00024D5A">
        <w:rPr>
          <w:rFonts w:ascii="Garamond" w:hAnsi="Garamond"/>
        </w:rPr>
        <w:t xml:space="preserve"> </w:t>
      </w:r>
    </w:p>
    <w:p w14:paraId="60D8E1D5" w14:textId="133D8FCC" w:rsidR="003E1630" w:rsidRPr="00024D5A" w:rsidRDefault="005743A8" w:rsidP="002B321E">
      <w:pPr>
        <w:jc w:val="center"/>
        <w:rPr>
          <w:rFonts w:ascii="Garamond" w:hAnsi="Garamond"/>
        </w:rPr>
      </w:pPr>
      <w:r w:rsidRPr="00024D5A">
        <w:rPr>
          <w:rFonts w:ascii="Garamond" w:hAnsi="Garamond"/>
        </w:rPr>
        <w:t xml:space="preserve">VITI </w:t>
      </w:r>
      <w:r w:rsidR="00657405" w:rsidRPr="00024D5A">
        <w:rPr>
          <w:rFonts w:ascii="Garamond" w:hAnsi="Garamond"/>
        </w:rPr>
        <w:t>2026–2030</w:t>
      </w:r>
      <w:bookmarkEnd w:id="89"/>
    </w:p>
    <w:tbl>
      <w:tblPr>
        <w:tblW w:w="0" w:type="auto"/>
        <w:tblLayout w:type="fixed"/>
        <w:tblLook w:val="04A0" w:firstRow="1" w:lastRow="0" w:firstColumn="1" w:lastColumn="0" w:noHBand="0" w:noVBand="1"/>
      </w:tblPr>
      <w:tblGrid>
        <w:gridCol w:w="4673"/>
        <w:gridCol w:w="567"/>
        <w:gridCol w:w="567"/>
        <w:gridCol w:w="1134"/>
        <w:gridCol w:w="1418"/>
        <w:gridCol w:w="708"/>
        <w:gridCol w:w="567"/>
        <w:gridCol w:w="567"/>
        <w:gridCol w:w="1134"/>
        <w:gridCol w:w="1615"/>
      </w:tblGrid>
      <w:tr w:rsidR="00B807EE" w:rsidRPr="00024D5A" w14:paraId="4FAFDA35" w14:textId="77777777" w:rsidTr="002B321E">
        <w:trPr>
          <w:trHeight w:val="20"/>
        </w:trPr>
        <w:tc>
          <w:tcPr>
            <w:tcW w:w="4673" w:type="dxa"/>
            <w:vMerge w:val="restart"/>
            <w:tcBorders>
              <w:top w:val="single" w:sz="4" w:space="0" w:color="auto"/>
              <w:left w:val="single" w:sz="4" w:space="0" w:color="auto"/>
              <w:bottom w:val="single" w:sz="8" w:space="0" w:color="000000"/>
              <w:right w:val="single" w:sz="4" w:space="0" w:color="auto"/>
            </w:tcBorders>
            <w:vAlign w:val="center"/>
            <w:hideMark/>
          </w:tcPr>
          <w:p w14:paraId="4C1CBA7A" w14:textId="77777777" w:rsidR="00700D7D" w:rsidRPr="00024D5A" w:rsidRDefault="00700D7D" w:rsidP="00E755A6">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FUSHAT</w:t>
            </w:r>
          </w:p>
        </w:tc>
        <w:tc>
          <w:tcPr>
            <w:tcW w:w="1134" w:type="dxa"/>
            <w:gridSpan w:val="2"/>
            <w:tcBorders>
              <w:top w:val="single" w:sz="4" w:space="0" w:color="auto"/>
              <w:left w:val="nil"/>
              <w:bottom w:val="single" w:sz="4" w:space="0" w:color="auto"/>
              <w:right w:val="single" w:sz="4" w:space="0" w:color="000000"/>
            </w:tcBorders>
            <w:shd w:val="clear" w:color="000000" w:fill="C2D69B"/>
            <w:vAlign w:val="center"/>
            <w:hideMark/>
          </w:tcPr>
          <w:p w14:paraId="052AAEEB" w14:textId="77777777" w:rsidR="00700D7D" w:rsidRPr="00024D5A" w:rsidRDefault="00700D7D" w:rsidP="00E755A6">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AFATI ZBATIMIT</w:t>
            </w:r>
          </w:p>
        </w:tc>
        <w:tc>
          <w:tcPr>
            <w:tcW w:w="2552" w:type="dxa"/>
            <w:gridSpan w:val="2"/>
            <w:tcBorders>
              <w:top w:val="single" w:sz="4" w:space="0" w:color="auto"/>
              <w:left w:val="nil"/>
              <w:bottom w:val="single" w:sz="4" w:space="0" w:color="auto"/>
              <w:right w:val="single" w:sz="4" w:space="0" w:color="000000"/>
            </w:tcBorders>
            <w:shd w:val="clear" w:color="000000" w:fill="C2D69B"/>
            <w:vAlign w:val="center"/>
            <w:hideMark/>
          </w:tcPr>
          <w:p w14:paraId="5185239E" w14:textId="77777777" w:rsidR="00700D7D" w:rsidRPr="00024D5A" w:rsidRDefault="00700D7D" w:rsidP="00E755A6">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INSTITUCIONI PËRGJEGJËS</w:t>
            </w:r>
          </w:p>
        </w:tc>
        <w:tc>
          <w:tcPr>
            <w:tcW w:w="4591" w:type="dxa"/>
            <w:gridSpan w:val="5"/>
            <w:tcBorders>
              <w:top w:val="single" w:sz="4" w:space="0" w:color="auto"/>
              <w:left w:val="nil"/>
              <w:bottom w:val="single" w:sz="4" w:space="0" w:color="auto"/>
              <w:right w:val="single" w:sz="4" w:space="0" w:color="000000"/>
            </w:tcBorders>
            <w:shd w:val="clear" w:color="000000" w:fill="C2D69B"/>
            <w:vAlign w:val="center"/>
            <w:hideMark/>
          </w:tcPr>
          <w:p w14:paraId="7BB451B7" w14:textId="77777777" w:rsidR="00700D7D" w:rsidRPr="00024D5A" w:rsidRDefault="00700D7D" w:rsidP="00E755A6">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Vitet</w:t>
            </w:r>
          </w:p>
        </w:tc>
      </w:tr>
      <w:tr w:rsidR="00B807EE" w:rsidRPr="00024D5A" w14:paraId="33322FBC" w14:textId="77777777" w:rsidTr="002B321E">
        <w:trPr>
          <w:cantSplit/>
          <w:trHeight w:val="439"/>
        </w:trPr>
        <w:tc>
          <w:tcPr>
            <w:tcW w:w="4673" w:type="dxa"/>
            <w:vMerge/>
            <w:tcBorders>
              <w:top w:val="single" w:sz="4" w:space="0" w:color="auto"/>
              <w:left w:val="single" w:sz="4" w:space="0" w:color="auto"/>
              <w:bottom w:val="single" w:sz="8" w:space="0" w:color="000000"/>
              <w:right w:val="single" w:sz="4" w:space="0" w:color="auto"/>
            </w:tcBorders>
            <w:vAlign w:val="center"/>
            <w:hideMark/>
          </w:tcPr>
          <w:p w14:paraId="2852FF58" w14:textId="77777777" w:rsidR="00700D7D" w:rsidRPr="00024D5A" w:rsidRDefault="00700D7D" w:rsidP="00E755A6">
            <w:pPr>
              <w:jc w:val="center"/>
              <w:rPr>
                <w:rFonts w:ascii="Garamond" w:eastAsia="Times New Roman" w:hAnsi="Garamond"/>
                <w:b/>
                <w:bCs/>
                <w:sz w:val="6"/>
                <w:szCs w:val="16"/>
                <w:lang w:eastAsia="en-US"/>
              </w:rPr>
            </w:pPr>
          </w:p>
        </w:tc>
        <w:tc>
          <w:tcPr>
            <w:tcW w:w="567" w:type="dxa"/>
            <w:tcBorders>
              <w:top w:val="nil"/>
              <w:left w:val="nil"/>
              <w:bottom w:val="single" w:sz="4" w:space="0" w:color="auto"/>
              <w:right w:val="single" w:sz="4" w:space="0" w:color="auto"/>
            </w:tcBorders>
            <w:shd w:val="clear" w:color="000000" w:fill="C2D69B"/>
            <w:textDirection w:val="btLr"/>
            <w:vAlign w:val="center"/>
            <w:hideMark/>
          </w:tcPr>
          <w:p w14:paraId="131A8F84" w14:textId="77777777" w:rsidR="00700D7D" w:rsidRPr="00024D5A" w:rsidRDefault="00700D7D" w:rsidP="00E755A6">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AFATI I FILLIMIT</w:t>
            </w:r>
          </w:p>
        </w:tc>
        <w:tc>
          <w:tcPr>
            <w:tcW w:w="567" w:type="dxa"/>
            <w:tcBorders>
              <w:top w:val="nil"/>
              <w:left w:val="nil"/>
              <w:bottom w:val="single" w:sz="4" w:space="0" w:color="auto"/>
              <w:right w:val="single" w:sz="4" w:space="0" w:color="auto"/>
            </w:tcBorders>
            <w:shd w:val="clear" w:color="000000" w:fill="C2D69B"/>
            <w:textDirection w:val="btLr"/>
            <w:vAlign w:val="center"/>
            <w:hideMark/>
          </w:tcPr>
          <w:p w14:paraId="7D00656F" w14:textId="77777777" w:rsidR="00700D7D" w:rsidRPr="00024D5A" w:rsidRDefault="00700D7D" w:rsidP="00E755A6">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AFATI I MBARIMIT</w:t>
            </w:r>
          </w:p>
        </w:tc>
        <w:tc>
          <w:tcPr>
            <w:tcW w:w="1134" w:type="dxa"/>
            <w:tcBorders>
              <w:top w:val="nil"/>
              <w:left w:val="nil"/>
              <w:bottom w:val="single" w:sz="4" w:space="0" w:color="auto"/>
              <w:right w:val="single" w:sz="4" w:space="0" w:color="auto"/>
            </w:tcBorders>
            <w:shd w:val="clear" w:color="000000" w:fill="C2D69B"/>
            <w:vAlign w:val="center"/>
            <w:hideMark/>
          </w:tcPr>
          <w:p w14:paraId="13405328" w14:textId="77777777" w:rsidR="00700D7D" w:rsidRPr="00024D5A" w:rsidRDefault="00700D7D" w:rsidP="00E755A6">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INSTITUCIONI PËRGJEGJËS</w:t>
            </w:r>
          </w:p>
        </w:tc>
        <w:tc>
          <w:tcPr>
            <w:tcW w:w="1418" w:type="dxa"/>
            <w:tcBorders>
              <w:top w:val="nil"/>
              <w:left w:val="nil"/>
              <w:bottom w:val="single" w:sz="4" w:space="0" w:color="auto"/>
              <w:right w:val="single" w:sz="4" w:space="0" w:color="auto"/>
            </w:tcBorders>
            <w:shd w:val="clear" w:color="000000" w:fill="C2D69B"/>
            <w:vAlign w:val="center"/>
            <w:hideMark/>
          </w:tcPr>
          <w:p w14:paraId="25C2D45D" w14:textId="77777777" w:rsidR="00700D7D" w:rsidRPr="00024D5A" w:rsidRDefault="00700D7D" w:rsidP="00E755A6">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INSTITUCIONET KONTRIBUESE</w:t>
            </w:r>
          </w:p>
        </w:tc>
        <w:tc>
          <w:tcPr>
            <w:tcW w:w="708" w:type="dxa"/>
            <w:tcBorders>
              <w:top w:val="nil"/>
              <w:left w:val="nil"/>
              <w:bottom w:val="single" w:sz="4" w:space="0" w:color="auto"/>
              <w:right w:val="single" w:sz="4" w:space="0" w:color="auto"/>
            </w:tcBorders>
            <w:shd w:val="clear" w:color="000000" w:fill="C2D69B"/>
            <w:vAlign w:val="center"/>
            <w:hideMark/>
          </w:tcPr>
          <w:p w14:paraId="3E59BB6B" w14:textId="77777777" w:rsidR="00700D7D" w:rsidRPr="00024D5A" w:rsidRDefault="00700D7D" w:rsidP="00E755A6">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shd w:val="clear" w:color="000000" w:fill="C2D69B"/>
            <w:vAlign w:val="center"/>
            <w:hideMark/>
          </w:tcPr>
          <w:p w14:paraId="1377C43A" w14:textId="77777777" w:rsidR="00700D7D" w:rsidRPr="00024D5A" w:rsidRDefault="00700D7D" w:rsidP="00E755A6">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567" w:type="dxa"/>
            <w:tcBorders>
              <w:top w:val="nil"/>
              <w:left w:val="nil"/>
              <w:bottom w:val="single" w:sz="4" w:space="0" w:color="auto"/>
              <w:right w:val="single" w:sz="4" w:space="0" w:color="auto"/>
            </w:tcBorders>
            <w:shd w:val="clear" w:color="000000" w:fill="C2D69B"/>
            <w:vAlign w:val="center"/>
            <w:hideMark/>
          </w:tcPr>
          <w:p w14:paraId="74AF9C11" w14:textId="77777777" w:rsidR="00700D7D" w:rsidRPr="00024D5A" w:rsidRDefault="00700D7D" w:rsidP="00E755A6">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2028</w:t>
            </w:r>
          </w:p>
        </w:tc>
        <w:tc>
          <w:tcPr>
            <w:tcW w:w="1134" w:type="dxa"/>
            <w:tcBorders>
              <w:top w:val="nil"/>
              <w:left w:val="nil"/>
              <w:bottom w:val="single" w:sz="4" w:space="0" w:color="auto"/>
              <w:right w:val="single" w:sz="4" w:space="0" w:color="auto"/>
            </w:tcBorders>
            <w:shd w:val="clear" w:color="000000" w:fill="C2D69B"/>
            <w:vAlign w:val="center"/>
            <w:hideMark/>
          </w:tcPr>
          <w:p w14:paraId="10031E75" w14:textId="77777777" w:rsidR="00700D7D" w:rsidRPr="00024D5A" w:rsidRDefault="00700D7D" w:rsidP="00E755A6">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2029</w:t>
            </w:r>
          </w:p>
        </w:tc>
        <w:tc>
          <w:tcPr>
            <w:tcW w:w="1615" w:type="dxa"/>
            <w:tcBorders>
              <w:top w:val="nil"/>
              <w:left w:val="nil"/>
              <w:bottom w:val="single" w:sz="4" w:space="0" w:color="auto"/>
              <w:right w:val="single" w:sz="4" w:space="0" w:color="auto"/>
            </w:tcBorders>
            <w:shd w:val="clear" w:color="000000" w:fill="C2D69B"/>
            <w:vAlign w:val="center"/>
            <w:hideMark/>
          </w:tcPr>
          <w:p w14:paraId="62B41FBB" w14:textId="77777777" w:rsidR="00700D7D" w:rsidRPr="00024D5A" w:rsidRDefault="00700D7D" w:rsidP="00E755A6">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r>
      <w:tr w:rsidR="00B807EE" w:rsidRPr="00024D5A" w14:paraId="52D5B00F" w14:textId="77777777" w:rsidTr="002B321E">
        <w:trPr>
          <w:trHeight w:val="20"/>
        </w:trPr>
        <w:tc>
          <w:tcPr>
            <w:tcW w:w="4673" w:type="dxa"/>
            <w:tcBorders>
              <w:top w:val="nil"/>
              <w:left w:val="nil"/>
              <w:bottom w:val="single" w:sz="8" w:space="0" w:color="auto"/>
              <w:right w:val="single" w:sz="4" w:space="0" w:color="auto"/>
            </w:tcBorders>
            <w:vAlign w:val="center"/>
            <w:hideMark/>
          </w:tcPr>
          <w:p w14:paraId="275E213B" w14:textId="50460ED0" w:rsidR="00700D7D" w:rsidRPr="00024D5A" w:rsidRDefault="00700D7D" w:rsidP="00E755A6">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TOTALI</w:t>
            </w:r>
          </w:p>
        </w:tc>
        <w:tc>
          <w:tcPr>
            <w:tcW w:w="567" w:type="dxa"/>
            <w:tcBorders>
              <w:top w:val="nil"/>
              <w:left w:val="nil"/>
              <w:bottom w:val="nil"/>
              <w:right w:val="single" w:sz="4" w:space="0" w:color="auto"/>
            </w:tcBorders>
            <w:shd w:val="clear" w:color="000000" w:fill="C2D69B"/>
            <w:vAlign w:val="center"/>
            <w:hideMark/>
          </w:tcPr>
          <w:p w14:paraId="612D976B" w14:textId="2AB31C74" w:rsidR="00700D7D" w:rsidRPr="00024D5A" w:rsidRDefault="00700D7D" w:rsidP="00E755A6">
            <w:pPr>
              <w:jc w:val="center"/>
              <w:rPr>
                <w:rFonts w:ascii="Garamond" w:eastAsia="Times New Roman" w:hAnsi="Garamond"/>
                <w:b/>
                <w:bCs/>
                <w:sz w:val="6"/>
                <w:szCs w:val="16"/>
                <w:lang w:eastAsia="en-US"/>
              </w:rPr>
            </w:pPr>
          </w:p>
        </w:tc>
        <w:tc>
          <w:tcPr>
            <w:tcW w:w="567" w:type="dxa"/>
            <w:tcBorders>
              <w:top w:val="nil"/>
              <w:left w:val="nil"/>
              <w:bottom w:val="nil"/>
              <w:right w:val="single" w:sz="4" w:space="0" w:color="auto"/>
            </w:tcBorders>
            <w:shd w:val="clear" w:color="000000" w:fill="C2D69B"/>
            <w:vAlign w:val="center"/>
            <w:hideMark/>
          </w:tcPr>
          <w:p w14:paraId="2D16CC8C" w14:textId="345759BF" w:rsidR="00700D7D" w:rsidRPr="00024D5A" w:rsidRDefault="00700D7D" w:rsidP="00E755A6">
            <w:pPr>
              <w:jc w:val="center"/>
              <w:rPr>
                <w:rFonts w:ascii="Garamond" w:eastAsia="Times New Roman" w:hAnsi="Garamond"/>
                <w:b/>
                <w:bCs/>
                <w:sz w:val="6"/>
                <w:szCs w:val="16"/>
                <w:lang w:eastAsia="en-US"/>
              </w:rPr>
            </w:pPr>
          </w:p>
        </w:tc>
        <w:tc>
          <w:tcPr>
            <w:tcW w:w="1134" w:type="dxa"/>
            <w:tcBorders>
              <w:top w:val="nil"/>
              <w:left w:val="nil"/>
              <w:bottom w:val="nil"/>
              <w:right w:val="single" w:sz="4" w:space="0" w:color="auto"/>
            </w:tcBorders>
            <w:shd w:val="clear" w:color="000000" w:fill="C2D69B"/>
            <w:vAlign w:val="center"/>
            <w:hideMark/>
          </w:tcPr>
          <w:p w14:paraId="5EB1E72E" w14:textId="161AB26E" w:rsidR="00700D7D" w:rsidRPr="00024D5A" w:rsidRDefault="00700D7D" w:rsidP="00E755A6">
            <w:pPr>
              <w:jc w:val="center"/>
              <w:rPr>
                <w:rFonts w:ascii="Garamond" w:eastAsia="Times New Roman" w:hAnsi="Garamond"/>
                <w:b/>
                <w:bCs/>
                <w:sz w:val="6"/>
                <w:szCs w:val="16"/>
                <w:lang w:eastAsia="en-US"/>
              </w:rPr>
            </w:pPr>
          </w:p>
        </w:tc>
        <w:tc>
          <w:tcPr>
            <w:tcW w:w="1418" w:type="dxa"/>
            <w:tcBorders>
              <w:top w:val="nil"/>
              <w:left w:val="nil"/>
              <w:bottom w:val="nil"/>
              <w:right w:val="single" w:sz="4" w:space="0" w:color="auto"/>
            </w:tcBorders>
            <w:shd w:val="clear" w:color="000000" w:fill="C2D69B"/>
            <w:vAlign w:val="center"/>
            <w:hideMark/>
          </w:tcPr>
          <w:p w14:paraId="69FEC51F" w14:textId="193BE8BA" w:rsidR="00700D7D" w:rsidRPr="00024D5A" w:rsidRDefault="00700D7D" w:rsidP="00E755A6">
            <w:pPr>
              <w:jc w:val="center"/>
              <w:rPr>
                <w:rFonts w:ascii="Garamond" w:eastAsia="Times New Roman" w:hAnsi="Garamond"/>
                <w:b/>
                <w:bCs/>
                <w:sz w:val="6"/>
                <w:szCs w:val="16"/>
                <w:lang w:eastAsia="en-US"/>
              </w:rPr>
            </w:pPr>
          </w:p>
        </w:tc>
        <w:tc>
          <w:tcPr>
            <w:tcW w:w="708" w:type="dxa"/>
            <w:tcBorders>
              <w:top w:val="nil"/>
              <w:left w:val="nil"/>
              <w:bottom w:val="nil"/>
              <w:right w:val="single" w:sz="4" w:space="0" w:color="auto"/>
            </w:tcBorders>
            <w:shd w:val="clear" w:color="000000" w:fill="C2D69B"/>
            <w:vAlign w:val="center"/>
            <w:hideMark/>
          </w:tcPr>
          <w:p w14:paraId="6DDD284D" w14:textId="46D60718" w:rsidR="00700D7D" w:rsidRPr="00024D5A" w:rsidRDefault="00700D7D" w:rsidP="00E755A6">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1,176,526</w:t>
            </w:r>
          </w:p>
        </w:tc>
        <w:tc>
          <w:tcPr>
            <w:tcW w:w="567" w:type="dxa"/>
            <w:tcBorders>
              <w:top w:val="nil"/>
              <w:left w:val="nil"/>
              <w:bottom w:val="nil"/>
              <w:right w:val="single" w:sz="4" w:space="0" w:color="auto"/>
            </w:tcBorders>
            <w:shd w:val="clear" w:color="000000" w:fill="C2D69B"/>
            <w:vAlign w:val="center"/>
            <w:hideMark/>
          </w:tcPr>
          <w:p w14:paraId="585FFD58" w14:textId="3B6F066C" w:rsidR="00700D7D" w:rsidRPr="00024D5A" w:rsidRDefault="00700D7D" w:rsidP="00E755A6">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1,628,430</w:t>
            </w:r>
          </w:p>
        </w:tc>
        <w:tc>
          <w:tcPr>
            <w:tcW w:w="567" w:type="dxa"/>
            <w:tcBorders>
              <w:top w:val="nil"/>
              <w:left w:val="nil"/>
              <w:bottom w:val="nil"/>
              <w:right w:val="single" w:sz="4" w:space="0" w:color="auto"/>
            </w:tcBorders>
            <w:shd w:val="clear" w:color="000000" w:fill="C2D69B"/>
            <w:vAlign w:val="center"/>
            <w:hideMark/>
          </w:tcPr>
          <w:p w14:paraId="7586FE0B" w14:textId="607A3AD7" w:rsidR="00700D7D" w:rsidRPr="00024D5A" w:rsidRDefault="00700D7D" w:rsidP="00E755A6">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1,500,972</w:t>
            </w:r>
          </w:p>
        </w:tc>
        <w:tc>
          <w:tcPr>
            <w:tcW w:w="1134" w:type="dxa"/>
            <w:tcBorders>
              <w:top w:val="nil"/>
              <w:left w:val="nil"/>
              <w:bottom w:val="nil"/>
              <w:right w:val="single" w:sz="4" w:space="0" w:color="auto"/>
            </w:tcBorders>
            <w:shd w:val="clear" w:color="000000" w:fill="C2D69B"/>
            <w:vAlign w:val="center"/>
            <w:hideMark/>
          </w:tcPr>
          <w:p w14:paraId="56CCED79" w14:textId="6E4A27CC" w:rsidR="00700D7D" w:rsidRPr="00024D5A" w:rsidRDefault="00700D7D" w:rsidP="00E755A6">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1,562,884</w:t>
            </w:r>
          </w:p>
        </w:tc>
        <w:tc>
          <w:tcPr>
            <w:tcW w:w="1615" w:type="dxa"/>
            <w:tcBorders>
              <w:top w:val="nil"/>
              <w:left w:val="nil"/>
              <w:bottom w:val="nil"/>
              <w:right w:val="single" w:sz="4" w:space="0" w:color="auto"/>
            </w:tcBorders>
            <w:shd w:val="clear" w:color="000000" w:fill="C2D69B"/>
            <w:vAlign w:val="center"/>
            <w:hideMark/>
          </w:tcPr>
          <w:p w14:paraId="0EBF1001" w14:textId="61B096D4" w:rsidR="00700D7D" w:rsidRPr="00024D5A" w:rsidRDefault="00700D7D" w:rsidP="00E755A6">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1,724,861</w:t>
            </w:r>
          </w:p>
        </w:tc>
      </w:tr>
      <w:tr w:rsidR="00B807EE" w:rsidRPr="00024D5A" w14:paraId="2FF11568" w14:textId="77777777" w:rsidTr="002B321E">
        <w:trPr>
          <w:trHeight w:val="20"/>
        </w:trPr>
        <w:tc>
          <w:tcPr>
            <w:tcW w:w="4673" w:type="dxa"/>
            <w:tcBorders>
              <w:top w:val="single" w:sz="4" w:space="0" w:color="auto"/>
              <w:left w:val="single" w:sz="4" w:space="0" w:color="auto"/>
              <w:bottom w:val="single" w:sz="4" w:space="0" w:color="auto"/>
              <w:right w:val="single" w:sz="4" w:space="0" w:color="auto"/>
            </w:tcBorders>
            <w:shd w:val="clear" w:color="000000" w:fill="F276AB"/>
            <w:hideMark/>
          </w:tcPr>
          <w:p w14:paraId="6AD0040A" w14:textId="77777777" w:rsidR="00700D7D" w:rsidRPr="00024D5A" w:rsidRDefault="00700D7D" w:rsidP="00180DF3">
            <w:pPr>
              <w:rPr>
                <w:rFonts w:ascii="Garamond" w:eastAsia="Times New Roman" w:hAnsi="Garamond"/>
                <w:b/>
                <w:bCs/>
                <w:sz w:val="6"/>
                <w:szCs w:val="16"/>
                <w:lang w:eastAsia="en-US"/>
              </w:rPr>
            </w:pPr>
            <w:r w:rsidRPr="00024D5A">
              <w:rPr>
                <w:rFonts w:ascii="Garamond" w:eastAsia="Times New Roman" w:hAnsi="Garamond"/>
                <w:b/>
                <w:bCs/>
                <w:sz w:val="6"/>
                <w:szCs w:val="16"/>
                <w:lang w:eastAsia="en-US"/>
              </w:rPr>
              <w:t>I. AKSESUESHMËRIA</w:t>
            </w:r>
          </w:p>
        </w:tc>
        <w:tc>
          <w:tcPr>
            <w:tcW w:w="567" w:type="dxa"/>
            <w:tcBorders>
              <w:top w:val="single" w:sz="4" w:space="0" w:color="auto"/>
              <w:left w:val="nil"/>
              <w:bottom w:val="single" w:sz="4" w:space="0" w:color="auto"/>
              <w:right w:val="single" w:sz="4" w:space="0" w:color="auto"/>
            </w:tcBorders>
            <w:shd w:val="clear" w:color="000000" w:fill="F276AB"/>
            <w:hideMark/>
          </w:tcPr>
          <w:p w14:paraId="4937F69B" w14:textId="77777777" w:rsidR="00700D7D" w:rsidRPr="00024D5A" w:rsidRDefault="00700D7D" w:rsidP="00180DF3">
            <w:pPr>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single" w:sz="4" w:space="0" w:color="auto"/>
              <w:left w:val="nil"/>
              <w:bottom w:val="single" w:sz="4" w:space="0" w:color="auto"/>
              <w:right w:val="single" w:sz="4" w:space="0" w:color="auto"/>
            </w:tcBorders>
            <w:shd w:val="clear" w:color="000000" w:fill="F276AB"/>
            <w:hideMark/>
          </w:tcPr>
          <w:p w14:paraId="02FC85A2" w14:textId="77777777" w:rsidR="00700D7D" w:rsidRPr="00024D5A" w:rsidRDefault="00700D7D" w:rsidP="00180DF3">
            <w:pPr>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single" w:sz="4" w:space="0" w:color="auto"/>
              <w:left w:val="nil"/>
              <w:bottom w:val="single" w:sz="4" w:space="0" w:color="auto"/>
              <w:right w:val="single" w:sz="4" w:space="0" w:color="auto"/>
            </w:tcBorders>
            <w:shd w:val="clear" w:color="000000" w:fill="F276AB"/>
            <w:hideMark/>
          </w:tcPr>
          <w:p w14:paraId="2C9F4BDA" w14:textId="77777777" w:rsidR="00700D7D" w:rsidRPr="00024D5A" w:rsidRDefault="00700D7D" w:rsidP="00180DF3">
            <w:pPr>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1418" w:type="dxa"/>
            <w:tcBorders>
              <w:top w:val="single" w:sz="4" w:space="0" w:color="auto"/>
              <w:left w:val="nil"/>
              <w:bottom w:val="single" w:sz="4" w:space="0" w:color="auto"/>
              <w:right w:val="single" w:sz="4" w:space="0" w:color="auto"/>
            </w:tcBorders>
            <w:shd w:val="clear" w:color="000000" w:fill="F276AB"/>
            <w:hideMark/>
          </w:tcPr>
          <w:p w14:paraId="762DC648" w14:textId="77777777" w:rsidR="00700D7D" w:rsidRPr="00024D5A" w:rsidRDefault="00700D7D" w:rsidP="00180DF3">
            <w:pPr>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708" w:type="dxa"/>
            <w:tcBorders>
              <w:top w:val="single" w:sz="4" w:space="0" w:color="auto"/>
              <w:left w:val="nil"/>
              <w:bottom w:val="single" w:sz="4" w:space="0" w:color="auto"/>
              <w:right w:val="single" w:sz="4" w:space="0" w:color="auto"/>
            </w:tcBorders>
            <w:shd w:val="clear" w:color="000000" w:fill="F276AB"/>
            <w:hideMark/>
          </w:tcPr>
          <w:p w14:paraId="551CB210" w14:textId="17969F96"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63,591</w:t>
            </w:r>
          </w:p>
        </w:tc>
        <w:tc>
          <w:tcPr>
            <w:tcW w:w="567" w:type="dxa"/>
            <w:tcBorders>
              <w:top w:val="single" w:sz="4" w:space="0" w:color="auto"/>
              <w:left w:val="nil"/>
              <w:bottom w:val="single" w:sz="4" w:space="0" w:color="auto"/>
              <w:right w:val="single" w:sz="4" w:space="0" w:color="auto"/>
            </w:tcBorders>
            <w:shd w:val="clear" w:color="000000" w:fill="F276AB"/>
            <w:hideMark/>
          </w:tcPr>
          <w:p w14:paraId="48E7FE08" w14:textId="093ECC6A"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92,190</w:t>
            </w:r>
          </w:p>
        </w:tc>
        <w:tc>
          <w:tcPr>
            <w:tcW w:w="567" w:type="dxa"/>
            <w:tcBorders>
              <w:top w:val="single" w:sz="4" w:space="0" w:color="auto"/>
              <w:left w:val="nil"/>
              <w:bottom w:val="single" w:sz="4" w:space="0" w:color="auto"/>
              <w:right w:val="single" w:sz="4" w:space="0" w:color="auto"/>
            </w:tcBorders>
            <w:shd w:val="clear" w:color="000000" w:fill="F276AB"/>
            <w:hideMark/>
          </w:tcPr>
          <w:p w14:paraId="07095A2B" w14:textId="08A21F6F"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56,370</w:t>
            </w:r>
          </w:p>
        </w:tc>
        <w:tc>
          <w:tcPr>
            <w:tcW w:w="1134" w:type="dxa"/>
            <w:tcBorders>
              <w:top w:val="single" w:sz="4" w:space="0" w:color="auto"/>
              <w:left w:val="nil"/>
              <w:bottom w:val="single" w:sz="4" w:space="0" w:color="auto"/>
              <w:right w:val="single" w:sz="4" w:space="0" w:color="auto"/>
            </w:tcBorders>
            <w:shd w:val="clear" w:color="000000" w:fill="F276AB"/>
            <w:hideMark/>
          </w:tcPr>
          <w:p w14:paraId="0CD4CE42" w14:textId="6925DC10"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53,651</w:t>
            </w:r>
          </w:p>
        </w:tc>
        <w:tc>
          <w:tcPr>
            <w:tcW w:w="1615" w:type="dxa"/>
            <w:tcBorders>
              <w:top w:val="single" w:sz="4" w:space="0" w:color="auto"/>
              <w:left w:val="nil"/>
              <w:bottom w:val="single" w:sz="4" w:space="0" w:color="auto"/>
              <w:right w:val="nil"/>
            </w:tcBorders>
            <w:shd w:val="clear" w:color="000000" w:fill="F276AB"/>
            <w:hideMark/>
          </w:tcPr>
          <w:p w14:paraId="5AF97B03" w14:textId="5E961922"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46,265</w:t>
            </w:r>
          </w:p>
        </w:tc>
      </w:tr>
      <w:tr w:rsidR="00B807EE" w:rsidRPr="00024D5A" w14:paraId="044A7084"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FDE9D9"/>
            <w:hideMark/>
          </w:tcPr>
          <w:p w14:paraId="4ECEFF29" w14:textId="1654935A"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Objektivi specifik 1</w:t>
            </w:r>
            <w:r w:rsidR="003526AF">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Aksesueshmëria në mjedisin ndërtimor, infrastrukturë dhe në produkte e shërbime</w:t>
            </w:r>
            <w:r w:rsidR="00C702E7" w:rsidRPr="00024D5A">
              <w:rPr>
                <w:rFonts w:ascii="Garamond" w:eastAsia="Times New Roman" w:hAnsi="Garamond"/>
                <w:b/>
                <w:bCs/>
                <w:sz w:val="6"/>
                <w:szCs w:val="16"/>
                <w:lang w:eastAsia="en-US"/>
              </w:rPr>
              <w:t>.</w:t>
            </w:r>
          </w:p>
        </w:tc>
        <w:tc>
          <w:tcPr>
            <w:tcW w:w="567" w:type="dxa"/>
            <w:tcBorders>
              <w:top w:val="nil"/>
              <w:left w:val="nil"/>
              <w:bottom w:val="single" w:sz="4" w:space="0" w:color="auto"/>
              <w:right w:val="single" w:sz="4" w:space="0" w:color="auto"/>
            </w:tcBorders>
            <w:shd w:val="clear" w:color="000000" w:fill="FDE9D9"/>
            <w:hideMark/>
          </w:tcPr>
          <w:p w14:paraId="761FB390"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nil"/>
            </w:tcBorders>
            <w:shd w:val="clear" w:color="000000" w:fill="FDE9D9"/>
            <w:hideMark/>
          </w:tcPr>
          <w:p w14:paraId="39389C31"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single" w:sz="8" w:space="0" w:color="auto"/>
              <w:left w:val="single" w:sz="8" w:space="0" w:color="auto"/>
              <w:bottom w:val="single" w:sz="4" w:space="0" w:color="auto"/>
              <w:right w:val="single" w:sz="4" w:space="0" w:color="auto"/>
            </w:tcBorders>
            <w:shd w:val="clear" w:color="000000" w:fill="FDE9D9"/>
            <w:hideMark/>
          </w:tcPr>
          <w:p w14:paraId="4BCCC776" w14:textId="7484FB66"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MSHMS </w:t>
            </w:r>
          </w:p>
        </w:tc>
        <w:tc>
          <w:tcPr>
            <w:tcW w:w="1418" w:type="dxa"/>
            <w:tcBorders>
              <w:top w:val="single" w:sz="8" w:space="0" w:color="auto"/>
              <w:left w:val="nil"/>
              <w:bottom w:val="single" w:sz="4" w:space="0" w:color="auto"/>
              <w:right w:val="nil"/>
            </w:tcBorders>
            <w:shd w:val="clear" w:color="000000" w:fill="FDE9D9"/>
            <w:hideMark/>
          </w:tcPr>
          <w:p w14:paraId="0A0CD489" w14:textId="408F4179"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T</w:t>
            </w:r>
            <w:r w:rsidR="007675EC" w:rsidRPr="00024D5A">
              <w:rPr>
                <w:rFonts w:ascii="Garamond" w:eastAsia="Times New Roman" w:hAnsi="Garamond"/>
                <w:b/>
                <w:bCs/>
                <w:sz w:val="6"/>
                <w:szCs w:val="16"/>
                <w:lang w:eastAsia="en-US"/>
              </w:rPr>
              <w:t>ë</w:t>
            </w:r>
            <w:r w:rsidRPr="00024D5A">
              <w:rPr>
                <w:rFonts w:ascii="Garamond" w:eastAsia="Times New Roman" w:hAnsi="Garamond"/>
                <w:b/>
                <w:bCs/>
                <w:sz w:val="6"/>
                <w:szCs w:val="16"/>
                <w:lang w:eastAsia="en-US"/>
              </w:rPr>
              <w:t xml:space="preserve"> gjith</w:t>
            </w:r>
            <w:r w:rsidR="007675EC" w:rsidRPr="00024D5A">
              <w:rPr>
                <w:rFonts w:ascii="Garamond" w:eastAsia="Times New Roman" w:hAnsi="Garamond"/>
                <w:b/>
                <w:bCs/>
                <w:sz w:val="6"/>
                <w:szCs w:val="16"/>
                <w:lang w:eastAsia="en-US"/>
              </w:rPr>
              <w:t>a</w:t>
            </w:r>
            <w:r w:rsidRPr="00024D5A">
              <w:rPr>
                <w:rFonts w:ascii="Garamond" w:eastAsia="Times New Roman" w:hAnsi="Garamond"/>
                <w:b/>
                <w:bCs/>
                <w:sz w:val="6"/>
                <w:szCs w:val="16"/>
                <w:lang w:eastAsia="en-US"/>
              </w:rPr>
              <w:t xml:space="preserve"> </w:t>
            </w:r>
            <w:r w:rsidR="000B2295" w:rsidRPr="00024D5A">
              <w:rPr>
                <w:rFonts w:ascii="Garamond" w:eastAsia="Times New Roman" w:hAnsi="Garamond"/>
                <w:b/>
                <w:bCs/>
                <w:sz w:val="6"/>
                <w:szCs w:val="16"/>
                <w:lang w:eastAsia="en-US"/>
              </w:rPr>
              <w:t>i</w:t>
            </w:r>
            <w:r w:rsidRPr="00024D5A">
              <w:rPr>
                <w:rFonts w:ascii="Garamond" w:eastAsia="Times New Roman" w:hAnsi="Garamond"/>
                <w:b/>
                <w:bCs/>
                <w:sz w:val="6"/>
                <w:szCs w:val="16"/>
                <w:lang w:eastAsia="en-US"/>
              </w:rPr>
              <w:t>nstitucionet/OJF, Universiteti Politeknik/T</w:t>
            </w:r>
            <w:r w:rsidR="005A46ED">
              <w:rPr>
                <w:rFonts w:ascii="Garamond" w:eastAsia="Times New Roman" w:hAnsi="Garamond"/>
                <w:b/>
                <w:bCs/>
                <w:sz w:val="6"/>
                <w:szCs w:val="16"/>
                <w:lang w:eastAsia="en-US"/>
              </w:rPr>
              <w:t>ë</w:t>
            </w:r>
            <w:r w:rsidRPr="00024D5A">
              <w:rPr>
                <w:rFonts w:ascii="Garamond" w:eastAsia="Times New Roman" w:hAnsi="Garamond"/>
                <w:b/>
                <w:bCs/>
                <w:sz w:val="6"/>
                <w:szCs w:val="16"/>
                <w:lang w:eastAsia="en-US"/>
              </w:rPr>
              <w:t xml:space="preserve"> gjith</w:t>
            </w:r>
            <w:r w:rsidR="005A46ED">
              <w:rPr>
                <w:rFonts w:ascii="Garamond" w:eastAsia="Times New Roman" w:hAnsi="Garamond"/>
                <w:b/>
                <w:bCs/>
                <w:sz w:val="6"/>
                <w:szCs w:val="16"/>
                <w:lang w:eastAsia="en-US"/>
              </w:rPr>
              <w:t>ë</w:t>
            </w:r>
            <w:r w:rsidRPr="00024D5A">
              <w:rPr>
                <w:rFonts w:ascii="Garamond" w:eastAsia="Times New Roman" w:hAnsi="Garamond"/>
                <w:b/>
                <w:bCs/>
                <w:sz w:val="6"/>
                <w:szCs w:val="16"/>
                <w:lang w:eastAsia="en-US"/>
              </w:rPr>
              <w:t xml:space="preserve"> </w:t>
            </w:r>
            <w:r w:rsidR="005A46ED" w:rsidRPr="00024D5A">
              <w:rPr>
                <w:rFonts w:ascii="Garamond" w:eastAsia="Times New Roman" w:hAnsi="Garamond"/>
                <w:b/>
                <w:bCs/>
                <w:sz w:val="6"/>
                <w:szCs w:val="16"/>
                <w:lang w:eastAsia="en-US"/>
              </w:rPr>
              <w:t>institucionet</w:t>
            </w:r>
            <w:r w:rsidRPr="00024D5A">
              <w:rPr>
                <w:rFonts w:ascii="Garamond" w:eastAsia="Times New Roman" w:hAnsi="Garamond"/>
                <w:b/>
                <w:bCs/>
                <w:sz w:val="6"/>
                <w:szCs w:val="16"/>
                <w:lang w:eastAsia="en-US"/>
              </w:rPr>
              <w:t>/OJF, Universiteti Politeknik,</w:t>
            </w:r>
            <w:r w:rsidR="005A46ED">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MSHPV</w:t>
            </w:r>
            <w:r w:rsidRPr="00024D5A">
              <w:rPr>
                <w:rFonts w:ascii="Garamond" w:eastAsia="Times New Roman" w:hAnsi="Garamond"/>
                <w:b/>
                <w:bCs/>
                <w:sz w:val="6"/>
                <w:szCs w:val="16"/>
                <w:lang w:eastAsia="en-US"/>
              </w:rPr>
              <w:br/>
              <w:t>AMVV</w:t>
            </w:r>
          </w:p>
        </w:tc>
        <w:tc>
          <w:tcPr>
            <w:tcW w:w="708" w:type="dxa"/>
            <w:tcBorders>
              <w:top w:val="nil"/>
              <w:left w:val="single" w:sz="4" w:space="0" w:color="auto"/>
              <w:bottom w:val="single" w:sz="4" w:space="0" w:color="auto"/>
              <w:right w:val="nil"/>
            </w:tcBorders>
            <w:shd w:val="clear" w:color="000000" w:fill="FDE9D9"/>
            <w:hideMark/>
          </w:tcPr>
          <w:p w14:paraId="29423701" w14:textId="57AB1F43"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9,320</w:t>
            </w:r>
          </w:p>
        </w:tc>
        <w:tc>
          <w:tcPr>
            <w:tcW w:w="567" w:type="dxa"/>
            <w:tcBorders>
              <w:top w:val="nil"/>
              <w:left w:val="single" w:sz="4" w:space="0" w:color="auto"/>
              <w:bottom w:val="single" w:sz="4" w:space="0" w:color="auto"/>
              <w:right w:val="nil"/>
            </w:tcBorders>
            <w:shd w:val="clear" w:color="000000" w:fill="FDE9D9"/>
            <w:hideMark/>
          </w:tcPr>
          <w:p w14:paraId="6C44F3C8" w14:textId="269D08D0"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24,570</w:t>
            </w:r>
          </w:p>
        </w:tc>
        <w:tc>
          <w:tcPr>
            <w:tcW w:w="567" w:type="dxa"/>
            <w:tcBorders>
              <w:top w:val="nil"/>
              <w:left w:val="single" w:sz="4" w:space="0" w:color="auto"/>
              <w:bottom w:val="single" w:sz="4" w:space="0" w:color="auto"/>
              <w:right w:val="nil"/>
            </w:tcBorders>
            <w:shd w:val="clear" w:color="000000" w:fill="FDE9D9"/>
            <w:hideMark/>
          </w:tcPr>
          <w:p w14:paraId="2C49385E" w14:textId="389E7606"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32,186</w:t>
            </w:r>
          </w:p>
        </w:tc>
        <w:tc>
          <w:tcPr>
            <w:tcW w:w="1134" w:type="dxa"/>
            <w:tcBorders>
              <w:top w:val="nil"/>
              <w:left w:val="single" w:sz="4" w:space="0" w:color="auto"/>
              <w:bottom w:val="single" w:sz="4" w:space="0" w:color="auto"/>
              <w:right w:val="nil"/>
            </w:tcBorders>
            <w:shd w:val="clear" w:color="000000" w:fill="FDE9D9"/>
            <w:hideMark/>
          </w:tcPr>
          <w:p w14:paraId="1004399B" w14:textId="762EAAD0"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32,186</w:t>
            </w:r>
          </w:p>
        </w:tc>
        <w:tc>
          <w:tcPr>
            <w:tcW w:w="1615" w:type="dxa"/>
            <w:tcBorders>
              <w:top w:val="nil"/>
              <w:left w:val="single" w:sz="4" w:space="0" w:color="auto"/>
              <w:bottom w:val="single" w:sz="4" w:space="0" w:color="auto"/>
              <w:right w:val="nil"/>
            </w:tcBorders>
            <w:shd w:val="clear" w:color="000000" w:fill="FDE9D9"/>
            <w:hideMark/>
          </w:tcPr>
          <w:p w14:paraId="0D229F6A" w14:textId="19A3EDA6"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24,836</w:t>
            </w:r>
          </w:p>
        </w:tc>
      </w:tr>
      <w:tr w:rsidR="00B807EE" w:rsidRPr="00024D5A" w14:paraId="6AB1DDD3"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DCE6F1"/>
            <w:hideMark/>
          </w:tcPr>
          <w:p w14:paraId="36CB249C" w14:textId="7C12AB40"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Masa prioritare 1.1</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Rishikimi i bazës ligjore për aksesueshmërinë dhe fuqizimi i monitorimit të zbatimit të saj.</w:t>
            </w:r>
            <w:r w:rsidR="008F29FA" w:rsidRPr="00024D5A">
              <w:rPr>
                <w:rFonts w:ascii="Garamond" w:eastAsia="Times New Roman" w:hAnsi="Garamond"/>
                <w:b/>
                <w:bCs/>
                <w:sz w:val="6"/>
                <w:szCs w:val="16"/>
                <w:lang w:eastAsia="en-US"/>
              </w:rPr>
              <w:t xml:space="preserve"> </w:t>
            </w:r>
          </w:p>
        </w:tc>
        <w:tc>
          <w:tcPr>
            <w:tcW w:w="567" w:type="dxa"/>
            <w:tcBorders>
              <w:top w:val="nil"/>
              <w:left w:val="nil"/>
              <w:bottom w:val="single" w:sz="4" w:space="0" w:color="auto"/>
              <w:right w:val="single" w:sz="4" w:space="0" w:color="auto"/>
            </w:tcBorders>
            <w:shd w:val="clear" w:color="000000" w:fill="DCE6F1"/>
            <w:hideMark/>
          </w:tcPr>
          <w:p w14:paraId="2A485867"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shd w:val="clear" w:color="000000" w:fill="DCE6F1"/>
            <w:hideMark/>
          </w:tcPr>
          <w:p w14:paraId="34743831"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shd w:val="clear" w:color="000000" w:fill="DCE6F1"/>
            <w:hideMark/>
          </w:tcPr>
          <w:p w14:paraId="699C824B" w14:textId="1A8E19F9"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8" w:space="0" w:color="auto"/>
            </w:tcBorders>
            <w:shd w:val="clear" w:color="000000" w:fill="DCE6F1"/>
            <w:hideMark/>
          </w:tcPr>
          <w:p w14:paraId="343F76ED" w14:textId="52CF98DF"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T</w:t>
            </w:r>
            <w:r w:rsidR="000B2295" w:rsidRPr="00024D5A">
              <w:rPr>
                <w:rFonts w:ascii="Garamond" w:eastAsia="Times New Roman" w:hAnsi="Garamond"/>
                <w:b/>
                <w:bCs/>
                <w:sz w:val="6"/>
                <w:szCs w:val="16"/>
                <w:lang w:eastAsia="en-US"/>
              </w:rPr>
              <w:t>ë</w:t>
            </w:r>
            <w:r w:rsidRPr="00024D5A">
              <w:rPr>
                <w:rFonts w:ascii="Garamond" w:eastAsia="Times New Roman" w:hAnsi="Garamond"/>
                <w:b/>
                <w:bCs/>
                <w:sz w:val="6"/>
                <w:szCs w:val="16"/>
                <w:lang w:eastAsia="en-US"/>
              </w:rPr>
              <w:t xml:space="preserve"> gjith</w:t>
            </w:r>
            <w:r w:rsidR="007675EC" w:rsidRPr="00024D5A">
              <w:rPr>
                <w:rFonts w:ascii="Garamond" w:eastAsia="Times New Roman" w:hAnsi="Garamond"/>
                <w:b/>
                <w:bCs/>
                <w:sz w:val="6"/>
                <w:szCs w:val="16"/>
                <w:lang w:eastAsia="en-US"/>
              </w:rPr>
              <w:t>a</w:t>
            </w:r>
            <w:r w:rsidR="000B2295" w:rsidRPr="00024D5A">
              <w:rPr>
                <w:rFonts w:ascii="Garamond" w:eastAsia="Times New Roman" w:hAnsi="Garamond"/>
                <w:b/>
                <w:bCs/>
                <w:sz w:val="6"/>
                <w:szCs w:val="16"/>
                <w:lang w:eastAsia="en-US"/>
              </w:rPr>
              <w:t xml:space="preserve"> i</w:t>
            </w:r>
            <w:r w:rsidRPr="00024D5A">
              <w:rPr>
                <w:rFonts w:ascii="Garamond" w:eastAsia="Times New Roman" w:hAnsi="Garamond"/>
                <w:b/>
                <w:bCs/>
                <w:sz w:val="6"/>
                <w:szCs w:val="16"/>
                <w:lang w:eastAsia="en-US"/>
              </w:rPr>
              <w:t>nstitucionet/OJF, Universiteti Politeknik</w:t>
            </w:r>
          </w:p>
        </w:tc>
        <w:tc>
          <w:tcPr>
            <w:tcW w:w="708" w:type="dxa"/>
            <w:tcBorders>
              <w:top w:val="nil"/>
              <w:left w:val="single" w:sz="4" w:space="0" w:color="auto"/>
              <w:bottom w:val="single" w:sz="4" w:space="0" w:color="auto"/>
              <w:right w:val="single" w:sz="4" w:space="0" w:color="auto"/>
            </w:tcBorders>
            <w:shd w:val="clear" w:color="000000" w:fill="DCE6F1"/>
            <w:hideMark/>
          </w:tcPr>
          <w:p w14:paraId="01C2295C" w14:textId="0548D23B"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7,866</w:t>
            </w:r>
          </w:p>
        </w:tc>
        <w:tc>
          <w:tcPr>
            <w:tcW w:w="567" w:type="dxa"/>
            <w:tcBorders>
              <w:top w:val="nil"/>
              <w:left w:val="nil"/>
              <w:bottom w:val="single" w:sz="4" w:space="0" w:color="auto"/>
              <w:right w:val="single" w:sz="4" w:space="0" w:color="auto"/>
            </w:tcBorders>
            <w:shd w:val="clear" w:color="000000" w:fill="DCE6F1"/>
            <w:hideMark/>
          </w:tcPr>
          <w:p w14:paraId="10B957EF" w14:textId="3AF808DA"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17,116</w:t>
            </w:r>
          </w:p>
        </w:tc>
        <w:tc>
          <w:tcPr>
            <w:tcW w:w="567" w:type="dxa"/>
            <w:tcBorders>
              <w:top w:val="nil"/>
              <w:left w:val="nil"/>
              <w:bottom w:val="single" w:sz="4" w:space="0" w:color="auto"/>
              <w:right w:val="single" w:sz="4" w:space="0" w:color="auto"/>
            </w:tcBorders>
            <w:shd w:val="clear" w:color="000000" w:fill="DCE6F1"/>
            <w:hideMark/>
          </w:tcPr>
          <w:p w14:paraId="316F376E" w14:textId="1F6EBEC5"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23,232</w:t>
            </w:r>
          </w:p>
        </w:tc>
        <w:tc>
          <w:tcPr>
            <w:tcW w:w="1134" w:type="dxa"/>
            <w:tcBorders>
              <w:top w:val="nil"/>
              <w:left w:val="nil"/>
              <w:bottom w:val="single" w:sz="4" w:space="0" w:color="auto"/>
              <w:right w:val="single" w:sz="4" w:space="0" w:color="auto"/>
            </w:tcBorders>
            <w:shd w:val="clear" w:color="000000" w:fill="DCE6F1"/>
            <w:hideMark/>
          </w:tcPr>
          <w:p w14:paraId="12AE4C02" w14:textId="740DECE2"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23,232</w:t>
            </w:r>
          </w:p>
        </w:tc>
        <w:tc>
          <w:tcPr>
            <w:tcW w:w="1615" w:type="dxa"/>
            <w:tcBorders>
              <w:top w:val="nil"/>
              <w:left w:val="nil"/>
              <w:bottom w:val="single" w:sz="4" w:space="0" w:color="auto"/>
              <w:right w:val="single" w:sz="4" w:space="0" w:color="auto"/>
            </w:tcBorders>
            <w:shd w:val="clear" w:color="000000" w:fill="DCE6F1"/>
            <w:hideMark/>
          </w:tcPr>
          <w:p w14:paraId="43A6A26C" w14:textId="6A03F6AB"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23,232</w:t>
            </w:r>
          </w:p>
        </w:tc>
      </w:tr>
      <w:tr w:rsidR="00B807EE" w:rsidRPr="00024D5A" w14:paraId="117A21E4"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4497EAA1" w14:textId="49907635" w:rsidR="00700D7D" w:rsidRPr="00024D5A" w:rsidRDefault="00700D7D" w:rsidP="00180DF3">
            <w:pPr>
              <w:rPr>
                <w:rFonts w:ascii="Garamond" w:eastAsia="Times New Roman" w:hAnsi="Garamond"/>
                <w:sz w:val="6"/>
                <w:szCs w:val="16"/>
                <w:lang w:eastAsia="en-US"/>
              </w:rPr>
            </w:pPr>
            <w:r w:rsidRPr="00024D5A">
              <w:rPr>
                <w:rFonts w:ascii="Garamond" w:eastAsia="Times New Roman" w:hAnsi="Garamond"/>
                <w:sz w:val="6"/>
                <w:szCs w:val="16"/>
                <w:lang w:eastAsia="en-US"/>
              </w:rPr>
              <w:t xml:space="preserve">1.1.1 Miratimi i ligjit </w:t>
            </w:r>
            <w:r w:rsidR="0078161D"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Për përfshirjen dhe aksesueshmërinë për </w:t>
            </w:r>
            <w:r w:rsidR="007B4C5D" w:rsidRPr="00024D5A">
              <w:rPr>
                <w:rFonts w:ascii="Garamond" w:eastAsia="Times New Roman" w:hAnsi="Garamond"/>
                <w:sz w:val="6"/>
                <w:szCs w:val="16"/>
                <w:lang w:eastAsia="en-US"/>
              </w:rPr>
              <w:t>personat me aftësi të kufizuara</w:t>
            </w:r>
            <w:r w:rsidR="0078161D"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i rishikuar, duke transpozuar </w:t>
            </w:r>
            <w:r w:rsidR="007B4C5D" w:rsidRPr="00024D5A">
              <w:rPr>
                <w:rFonts w:ascii="Garamond" w:eastAsia="Times New Roman" w:hAnsi="Garamond"/>
                <w:sz w:val="6"/>
                <w:szCs w:val="16"/>
                <w:lang w:eastAsia="en-US"/>
              </w:rPr>
              <w:t xml:space="preserve">direktivën </w:t>
            </w:r>
            <w:r w:rsidRPr="00024D5A">
              <w:rPr>
                <w:rFonts w:ascii="Garamond" w:eastAsia="Times New Roman" w:hAnsi="Garamond"/>
                <w:sz w:val="6"/>
                <w:szCs w:val="16"/>
                <w:lang w:eastAsia="en-US"/>
              </w:rPr>
              <w:t>(BE) 2019/882 e</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 xml:space="preserve">Parlamentit </w:t>
            </w:r>
            <w:r w:rsidR="007B4C5D" w:rsidRPr="00024D5A">
              <w:rPr>
                <w:rFonts w:ascii="Garamond" w:eastAsia="Times New Roman" w:hAnsi="Garamond"/>
                <w:sz w:val="6"/>
                <w:szCs w:val="16"/>
                <w:lang w:eastAsia="en-US"/>
              </w:rPr>
              <w:t>Evropian</w:t>
            </w:r>
            <w:r w:rsidRPr="00024D5A">
              <w:rPr>
                <w:rFonts w:ascii="Garamond" w:eastAsia="Times New Roman" w:hAnsi="Garamond"/>
                <w:sz w:val="6"/>
                <w:szCs w:val="16"/>
                <w:lang w:eastAsia="en-US"/>
              </w:rPr>
              <w:t xml:space="preserve"> dhe e</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 xml:space="preserve">Këshillit </w:t>
            </w:r>
            <w:r w:rsidR="0078161D"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Mbi kërkesat e aksesueshmëri</w:t>
            </w:r>
            <w:r w:rsidR="007B4C5D" w:rsidRPr="00024D5A">
              <w:rPr>
                <w:rFonts w:ascii="Garamond" w:eastAsia="Times New Roman" w:hAnsi="Garamond"/>
                <w:sz w:val="6"/>
                <w:szCs w:val="16"/>
                <w:lang w:eastAsia="en-US"/>
              </w:rPr>
              <w:t>n</w:t>
            </w:r>
            <w:r w:rsidRPr="00024D5A">
              <w:rPr>
                <w:rFonts w:ascii="Garamond" w:eastAsia="Times New Roman" w:hAnsi="Garamond"/>
                <w:sz w:val="6"/>
                <w:szCs w:val="16"/>
                <w:lang w:eastAsia="en-US"/>
              </w:rPr>
              <w:t>ë për produktet dhe shërbimet</w:t>
            </w:r>
            <w:r w:rsidR="0078161D"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w:t>
            </w:r>
            <w:r w:rsidR="007B4C5D"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 xml:space="preserve">Rishikimi </w:t>
            </w:r>
            <w:r w:rsidR="007B4C5D" w:rsidRPr="00024D5A">
              <w:rPr>
                <w:rFonts w:ascii="Garamond" w:eastAsia="Times New Roman" w:hAnsi="Garamond"/>
                <w:sz w:val="6"/>
                <w:szCs w:val="16"/>
                <w:lang w:eastAsia="en-US"/>
              </w:rPr>
              <w:t xml:space="preserve">i </w:t>
            </w:r>
            <w:r w:rsidRPr="00024D5A">
              <w:rPr>
                <w:rFonts w:ascii="Garamond" w:eastAsia="Times New Roman" w:hAnsi="Garamond"/>
                <w:sz w:val="6"/>
                <w:szCs w:val="16"/>
                <w:lang w:eastAsia="en-US"/>
              </w:rPr>
              <w:t>VKM</w:t>
            </w:r>
            <w:r w:rsidR="007B4C5D" w:rsidRPr="00024D5A">
              <w:rPr>
                <w:rFonts w:ascii="Garamond" w:eastAsia="Times New Roman" w:hAnsi="Garamond"/>
                <w:sz w:val="6"/>
                <w:szCs w:val="16"/>
                <w:lang w:eastAsia="en-US"/>
              </w:rPr>
              <w:t>-së</w:t>
            </w:r>
            <w:r w:rsidRPr="00024D5A">
              <w:rPr>
                <w:rFonts w:ascii="Garamond" w:eastAsia="Times New Roman" w:hAnsi="Garamond"/>
                <w:sz w:val="6"/>
                <w:szCs w:val="16"/>
                <w:lang w:eastAsia="en-US"/>
              </w:rPr>
              <w:t xml:space="preserve"> </w:t>
            </w:r>
            <w:r w:rsidR="007B4C5D" w:rsidRPr="00024D5A">
              <w:rPr>
                <w:rFonts w:ascii="Garamond" w:eastAsia="Times New Roman" w:hAnsi="Garamond"/>
                <w:sz w:val="6"/>
                <w:szCs w:val="16"/>
                <w:lang w:eastAsia="en-US"/>
              </w:rPr>
              <w:t>nr</w:t>
            </w:r>
            <w:r w:rsidRPr="00024D5A">
              <w:rPr>
                <w:rFonts w:ascii="Garamond" w:eastAsia="Times New Roman" w:hAnsi="Garamond"/>
                <w:sz w:val="6"/>
                <w:szCs w:val="16"/>
                <w:lang w:eastAsia="en-US"/>
              </w:rPr>
              <w:t xml:space="preserve">. 1074, datë 23.12.2015, </w:t>
            </w:r>
            <w:r w:rsidR="0078161D"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Për masat për heqjen e pengesave mjedisore dhe të infrastrukturës në ofrimin e shërbimeve publike</w:t>
            </w:r>
            <w:r w:rsidR="0078161D"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dhe plotësimi me aktet e tjera nënligjore për zbatimin e ligjit.</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 xml:space="preserve">Organizimi i fushatës informuese në ndihmë të zbatimit të ligjit të rishikuar </w:t>
            </w:r>
            <w:r w:rsidR="0078161D"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Për përfshirjen dhe aksesueshmërinë për </w:t>
            </w:r>
            <w:r w:rsidR="007B4C5D" w:rsidRPr="00024D5A">
              <w:rPr>
                <w:rFonts w:ascii="Garamond" w:eastAsia="Times New Roman" w:hAnsi="Garamond"/>
                <w:sz w:val="6"/>
                <w:szCs w:val="16"/>
                <w:lang w:eastAsia="en-US"/>
              </w:rPr>
              <w:t>personat me aftësi të kufizuara”.</w:t>
            </w:r>
            <w:r w:rsidR="007B4C5D" w:rsidRPr="00024D5A">
              <w:rPr>
                <w:rFonts w:ascii="Garamond" w:eastAsia="Times New Roman" w:hAnsi="Garamond"/>
                <w:sz w:val="6"/>
                <w:szCs w:val="16"/>
                <w:lang w:eastAsia="en-US"/>
              </w:rPr>
              <w:br/>
            </w:r>
            <w:r w:rsidR="008F29FA" w:rsidRPr="00024D5A">
              <w:rPr>
                <w:rFonts w:ascii="Garamond" w:eastAsia="Times New Roman" w:hAnsi="Garamond"/>
                <w:sz w:val="6"/>
                <w:szCs w:val="16"/>
                <w:lang w:eastAsia="en-US"/>
              </w:rPr>
              <w:t xml:space="preserve"> </w:t>
            </w:r>
          </w:p>
        </w:tc>
        <w:tc>
          <w:tcPr>
            <w:tcW w:w="567" w:type="dxa"/>
            <w:tcBorders>
              <w:top w:val="nil"/>
              <w:left w:val="nil"/>
              <w:bottom w:val="single" w:sz="4" w:space="0" w:color="auto"/>
              <w:right w:val="single" w:sz="4" w:space="0" w:color="auto"/>
            </w:tcBorders>
            <w:hideMark/>
          </w:tcPr>
          <w:p w14:paraId="1310E973"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single" w:sz="4" w:space="0" w:color="auto"/>
            </w:tcBorders>
            <w:hideMark/>
          </w:tcPr>
          <w:p w14:paraId="0AD894C8"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nil"/>
              <w:bottom w:val="single" w:sz="4" w:space="0" w:color="auto"/>
              <w:right w:val="single" w:sz="4" w:space="0" w:color="auto"/>
            </w:tcBorders>
            <w:hideMark/>
          </w:tcPr>
          <w:p w14:paraId="31D07262" w14:textId="6F7B705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MSHMS </w:t>
            </w:r>
          </w:p>
        </w:tc>
        <w:tc>
          <w:tcPr>
            <w:tcW w:w="1418" w:type="dxa"/>
            <w:tcBorders>
              <w:top w:val="nil"/>
              <w:left w:val="nil"/>
              <w:bottom w:val="single" w:sz="4" w:space="0" w:color="auto"/>
              <w:right w:val="single" w:sz="8" w:space="0" w:color="auto"/>
            </w:tcBorders>
            <w:hideMark/>
          </w:tcPr>
          <w:p w14:paraId="24C0D625" w14:textId="716DD1C4"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T</w:t>
            </w:r>
            <w:r w:rsidR="000B2295" w:rsidRPr="00024D5A">
              <w:rPr>
                <w:rFonts w:ascii="Garamond" w:eastAsia="Times New Roman" w:hAnsi="Garamond"/>
                <w:b/>
                <w:bCs/>
                <w:sz w:val="6"/>
                <w:szCs w:val="16"/>
                <w:lang w:eastAsia="en-US"/>
              </w:rPr>
              <w:t>ë</w:t>
            </w:r>
            <w:r w:rsidR="008F29FA" w:rsidRPr="00024D5A">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gjitha institucionet</w:t>
            </w:r>
          </w:p>
        </w:tc>
        <w:tc>
          <w:tcPr>
            <w:tcW w:w="708" w:type="dxa"/>
            <w:tcBorders>
              <w:top w:val="nil"/>
              <w:left w:val="single" w:sz="4" w:space="0" w:color="auto"/>
              <w:bottom w:val="single" w:sz="4" w:space="0" w:color="auto"/>
              <w:right w:val="single" w:sz="4" w:space="0" w:color="auto"/>
            </w:tcBorders>
            <w:hideMark/>
          </w:tcPr>
          <w:p w14:paraId="14E41A4B" w14:textId="63B054F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3,407</w:t>
            </w:r>
          </w:p>
        </w:tc>
        <w:tc>
          <w:tcPr>
            <w:tcW w:w="567" w:type="dxa"/>
            <w:tcBorders>
              <w:top w:val="nil"/>
              <w:left w:val="nil"/>
              <w:bottom w:val="single" w:sz="4" w:space="0" w:color="auto"/>
              <w:right w:val="single" w:sz="4" w:space="0" w:color="auto"/>
            </w:tcBorders>
            <w:hideMark/>
          </w:tcPr>
          <w:p w14:paraId="0DD1625A" w14:textId="7EB8273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8,957</w:t>
            </w:r>
          </w:p>
        </w:tc>
        <w:tc>
          <w:tcPr>
            <w:tcW w:w="567" w:type="dxa"/>
            <w:tcBorders>
              <w:top w:val="nil"/>
              <w:left w:val="nil"/>
              <w:bottom w:val="single" w:sz="4" w:space="0" w:color="auto"/>
              <w:right w:val="single" w:sz="4" w:space="0" w:color="auto"/>
            </w:tcBorders>
            <w:hideMark/>
          </w:tcPr>
          <w:p w14:paraId="34B6C587" w14:textId="79C4B47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14,900</w:t>
            </w:r>
          </w:p>
        </w:tc>
        <w:tc>
          <w:tcPr>
            <w:tcW w:w="1134" w:type="dxa"/>
            <w:tcBorders>
              <w:top w:val="nil"/>
              <w:left w:val="nil"/>
              <w:bottom w:val="single" w:sz="4" w:space="0" w:color="auto"/>
              <w:right w:val="single" w:sz="4" w:space="0" w:color="auto"/>
            </w:tcBorders>
            <w:hideMark/>
          </w:tcPr>
          <w:p w14:paraId="62C493AC" w14:textId="0A4BB9C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14,900</w:t>
            </w:r>
          </w:p>
        </w:tc>
        <w:tc>
          <w:tcPr>
            <w:tcW w:w="1615" w:type="dxa"/>
            <w:tcBorders>
              <w:top w:val="nil"/>
              <w:left w:val="nil"/>
              <w:bottom w:val="single" w:sz="4" w:space="0" w:color="auto"/>
              <w:right w:val="single" w:sz="4" w:space="0" w:color="auto"/>
            </w:tcBorders>
            <w:hideMark/>
          </w:tcPr>
          <w:p w14:paraId="2A622034" w14:textId="1622057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14,900</w:t>
            </w:r>
          </w:p>
        </w:tc>
      </w:tr>
      <w:tr w:rsidR="00B807EE" w:rsidRPr="00024D5A" w14:paraId="5F4D77FC"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1572E7BF" w14:textId="52C82966"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1.1.2 Trajnime për anëtarët e </w:t>
            </w:r>
            <w:r w:rsidR="00F5183F" w:rsidRPr="00024D5A">
              <w:rPr>
                <w:rFonts w:ascii="Garamond" w:eastAsia="Times New Roman" w:hAnsi="Garamond"/>
                <w:sz w:val="6"/>
                <w:szCs w:val="16"/>
                <w:lang w:eastAsia="en-US"/>
              </w:rPr>
              <w:t>strukturave</w:t>
            </w:r>
            <w:r w:rsidRPr="00024D5A">
              <w:rPr>
                <w:rFonts w:ascii="Garamond" w:eastAsia="Times New Roman" w:hAnsi="Garamond"/>
                <w:sz w:val="6"/>
                <w:szCs w:val="16"/>
                <w:lang w:eastAsia="en-US"/>
              </w:rPr>
              <w:t xml:space="preserve"> dhe stafet e nevojshme të të gjitha institucioneve, stafin pedagogjik në shkollat e formimit profesional, universitete etj.</w:t>
            </w:r>
            <w:r w:rsidR="00427262"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subjektet projektuese dhe zbatuese në fushën e ndërtimeve dhe infrastrukturës rrugore; pronarët/administratorët e bizneseve private që tregtojnë produkte dhe ofrojnë shërbime etj.</w:t>
            </w:r>
            <w:r w:rsidR="00427262" w:rsidRPr="00024D5A">
              <w:rPr>
                <w:rFonts w:ascii="Garamond" w:eastAsia="Times New Roman" w:hAnsi="Garamond"/>
                <w:sz w:val="6"/>
                <w:szCs w:val="16"/>
                <w:lang w:eastAsia="en-US"/>
              </w:rPr>
              <w:t>,</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në lidhje me rekomandimet e Konventës së OKB-së për personat me aftësi të kufizuara, legjislacionin shqiptar mbi kërkesat dhe standardet e aksesueshmërisë së mjedisit, të produkteve e shërbimeve.</w:t>
            </w:r>
          </w:p>
        </w:tc>
        <w:tc>
          <w:tcPr>
            <w:tcW w:w="567" w:type="dxa"/>
            <w:tcBorders>
              <w:top w:val="nil"/>
              <w:left w:val="nil"/>
              <w:bottom w:val="single" w:sz="4" w:space="0" w:color="auto"/>
              <w:right w:val="single" w:sz="4" w:space="0" w:color="auto"/>
            </w:tcBorders>
            <w:hideMark/>
          </w:tcPr>
          <w:p w14:paraId="74313B89"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2027</w:t>
            </w:r>
          </w:p>
        </w:tc>
        <w:tc>
          <w:tcPr>
            <w:tcW w:w="567" w:type="dxa"/>
            <w:tcBorders>
              <w:top w:val="nil"/>
              <w:left w:val="nil"/>
              <w:bottom w:val="single" w:sz="4" w:space="0" w:color="auto"/>
              <w:right w:val="single" w:sz="4" w:space="0" w:color="auto"/>
            </w:tcBorders>
            <w:hideMark/>
          </w:tcPr>
          <w:p w14:paraId="1FC5FCF8"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nil"/>
              <w:bottom w:val="single" w:sz="4" w:space="0" w:color="auto"/>
              <w:right w:val="single" w:sz="4" w:space="0" w:color="auto"/>
            </w:tcBorders>
            <w:hideMark/>
          </w:tcPr>
          <w:p w14:paraId="098675DD"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MSHMS</w:t>
            </w:r>
          </w:p>
        </w:tc>
        <w:tc>
          <w:tcPr>
            <w:tcW w:w="1418" w:type="dxa"/>
            <w:tcBorders>
              <w:top w:val="nil"/>
              <w:left w:val="nil"/>
              <w:bottom w:val="single" w:sz="4" w:space="0" w:color="auto"/>
              <w:right w:val="single" w:sz="8" w:space="0" w:color="auto"/>
            </w:tcBorders>
            <w:hideMark/>
          </w:tcPr>
          <w:p w14:paraId="06644281" w14:textId="46C33A7B"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T</w:t>
            </w:r>
            <w:r w:rsidR="00070BC1"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gjith</w:t>
            </w:r>
            <w:r w:rsidR="00070BC1" w:rsidRPr="00024D5A">
              <w:rPr>
                <w:rFonts w:ascii="Garamond" w:eastAsia="Times New Roman" w:hAnsi="Garamond"/>
                <w:sz w:val="6"/>
                <w:szCs w:val="16"/>
                <w:lang w:eastAsia="en-US"/>
              </w:rPr>
              <w:t>a</w:t>
            </w:r>
            <w:r w:rsidRPr="00024D5A">
              <w:rPr>
                <w:rFonts w:ascii="Garamond" w:eastAsia="Times New Roman" w:hAnsi="Garamond"/>
                <w:sz w:val="6"/>
                <w:szCs w:val="16"/>
                <w:lang w:eastAsia="en-US"/>
              </w:rPr>
              <w:t xml:space="preserve"> </w:t>
            </w:r>
            <w:r w:rsidR="00070BC1" w:rsidRPr="00024D5A">
              <w:rPr>
                <w:rFonts w:ascii="Garamond" w:eastAsia="Times New Roman" w:hAnsi="Garamond"/>
                <w:sz w:val="6"/>
                <w:szCs w:val="16"/>
                <w:lang w:eastAsia="en-US"/>
              </w:rPr>
              <w:t>institucionet</w:t>
            </w:r>
            <w:r w:rsidR="007675EC"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OJF, Universiteti Politeknik</w:t>
            </w:r>
          </w:p>
        </w:tc>
        <w:tc>
          <w:tcPr>
            <w:tcW w:w="708" w:type="dxa"/>
            <w:tcBorders>
              <w:top w:val="nil"/>
              <w:left w:val="single" w:sz="4" w:space="0" w:color="auto"/>
              <w:bottom w:val="single" w:sz="4" w:space="0" w:color="auto"/>
              <w:right w:val="single" w:sz="4" w:space="0" w:color="auto"/>
            </w:tcBorders>
            <w:hideMark/>
          </w:tcPr>
          <w:p w14:paraId="4F581093" w14:textId="1B56A32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0080BCB6" w14:textId="65BD9EC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3,700</w:t>
            </w:r>
          </w:p>
        </w:tc>
        <w:tc>
          <w:tcPr>
            <w:tcW w:w="567" w:type="dxa"/>
            <w:tcBorders>
              <w:top w:val="nil"/>
              <w:left w:val="nil"/>
              <w:bottom w:val="single" w:sz="4" w:space="0" w:color="auto"/>
              <w:right w:val="single" w:sz="4" w:space="0" w:color="auto"/>
            </w:tcBorders>
            <w:hideMark/>
          </w:tcPr>
          <w:p w14:paraId="65D43568" w14:textId="3680239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3,873</w:t>
            </w:r>
          </w:p>
        </w:tc>
        <w:tc>
          <w:tcPr>
            <w:tcW w:w="1134" w:type="dxa"/>
            <w:tcBorders>
              <w:top w:val="nil"/>
              <w:left w:val="nil"/>
              <w:bottom w:val="single" w:sz="4" w:space="0" w:color="auto"/>
              <w:right w:val="single" w:sz="4" w:space="0" w:color="auto"/>
            </w:tcBorders>
            <w:hideMark/>
          </w:tcPr>
          <w:p w14:paraId="1911C5D4" w14:textId="6CE10FC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3,873</w:t>
            </w:r>
          </w:p>
        </w:tc>
        <w:tc>
          <w:tcPr>
            <w:tcW w:w="1615" w:type="dxa"/>
            <w:tcBorders>
              <w:top w:val="nil"/>
              <w:left w:val="nil"/>
              <w:bottom w:val="single" w:sz="4" w:space="0" w:color="auto"/>
              <w:right w:val="single" w:sz="4" w:space="0" w:color="auto"/>
            </w:tcBorders>
            <w:hideMark/>
          </w:tcPr>
          <w:p w14:paraId="59DF1C4C" w14:textId="1127DFB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3,873</w:t>
            </w:r>
          </w:p>
        </w:tc>
      </w:tr>
      <w:tr w:rsidR="00B807EE" w:rsidRPr="00024D5A" w14:paraId="2CDA49AE"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3A00D95C" w14:textId="6A45A03A"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1.1.3</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Zhvillimi i fushatave të ndërgjegjësimit me personat me aftësi të kufizuara dhe familjet e tyre, në lidhje me të drejtat e tyre edhe në fushën e aksesueshmërisë, bazuar në legjislacionin shqiptar, në rekomandimet e konventës së OKB-së për të drejtat e personave me aftësi të kufizuara, si edhe dokumenteve të ndryshme ndërkombëtare.</w:t>
            </w:r>
            <w:r w:rsidR="008F29FA" w:rsidRPr="00024D5A">
              <w:rPr>
                <w:rFonts w:ascii="Garamond" w:eastAsia="Times New Roman" w:hAnsi="Garamond"/>
                <w:sz w:val="6"/>
                <w:szCs w:val="16"/>
                <w:lang w:eastAsia="en-US"/>
              </w:rPr>
              <w:t xml:space="preserve"> </w:t>
            </w:r>
          </w:p>
        </w:tc>
        <w:tc>
          <w:tcPr>
            <w:tcW w:w="567" w:type="dxa"/>
            <w:tcBorders>
              <w:top w:val="nil"/>
              <w:left w:val="nil"/>
              <w:bottom w:val="single" w:sz="4" w:space="0" w:color="auto"/>
              <w:right w:val="single" w:sz="4" w:space="0" w:color="auto"/>
            </w:tcBorders>
            <w:hideMark/>
          </w:tcPr>
          <w:p w14:paraId="4D9F7DF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single" w:sz="4" w:space="0" w:color="auto"/>
            </w:tcBorders>
            <w:hideMark/>
          </w:tcPr>
          <w:p w14:paraId="7AAFEA2E"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nil"/>
              <w:bottom w:val="single" w:sz="4" w:space="0" w:color="auto"/>
              <w:right w:val="single" w:sz="4" w:space="0" w:color="auto"/>
            </w:tcBorders>
            <w:hideMark/>
          </w:tcPr>
          <w:p w14:paraId="49B7E02B"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MSHMS</w:t>
            </w:r>
          </w:p>
        </w:tc>
        <w:tc>
          <w:tcPr>
            <w:tcW w:w="1418" w:type="dxa"/>
            <w:tcBorders>
              <w:top w:val="nil"/>
              <w:left w:val="nil"/>
              <w:bottom w:val="single" w:sz="4" w:space="0" w:color="auto"/>
              <w:right w:val="single" w:sz="8" w:space="0" w:color="auto"/>
            </w:tcBorders>
            <w:shd w:val="clear" w:color="000000" w:fill="FFFFFF"/>
            <w:hideMark/>
          </w:tcPr>
          <w:p w14:paraId="2E1FBC65" w14:textId="5688C0B7" w:rsidR="00700D7D" w:rsidRPr="00024D5A" w:rsidRDefault="00BA4F73"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OJF</w:t>
            </w:r>
          </w:p>
        </w:tc>
        <w:tc>
          <w:tcPr>
            <w:tcW w:w="708" w:type="dxa"/>
            <w:tcBorders>
              <w:top w:val="nil"/>
              <w:left w:val="single" w:sz="4" w:space="0" w:color="auto"/>
              <w:bottom w:val="single" w:sz="4" w:space="0" w:color="auto"/>
              <w:right w:val="single" w:sz="4" w:space="0" w:color="auto"/>
            </w:tcBorders>
            <w:hideMark/>
          </w:tcPr>
          <w:p w14:paraId="128B4251" w14:textId="22CC037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4,459</w:t>
            </w:r>
          </w:p>
        </w:tc>
        <w:tc>
          <w:tcPr>
            <w:tcW w:w="567" w:type="dxa"/>
            <w:tcBorders>
              <w:top w:val="nil"/>
              <w:left w:val="nil"/>
              <w:bottom w:val="single" w:sz="4" w:space="0" w:color="auto"/>
              <w:right w:val="single" w:sz="4" w:space="0" w:color="auto"/>
            </w:tcBorders>
            <w:hideMark/>
          </w:tcPr>
          <w:p w14:paraId="037BC5D1" w14:textId="07ACFA4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4,459</w:t>
            </w:r>
          </w:p>
        </w:tc>
        <w:tc>
          <w:tcPr>
            <w:tcW w:w="567" w:type="dxa"/>
            <w:tcBorders>
              <w:top w:val="nil"/>
              <w:left w:val="nil"/>
              <w:bottom w:val="single" w:sz="4" w:space="0" w:color="auto"/>
              <w:right w:val="single" w:sz="4" w:space="0" w:color="auto"/>
            </w:tcBorders>
            <w:hideMark/>
          </w:tcPr>
          <w:p w14:paraId="3E6092BB" w14:textId="1209D1F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4,459</w:t>
            </w:r>
          </w:p>
        </w:tc>
        <w:tc>
          <w:tcPr>
            <w:tcW w:w="1134" w:type="dxa"/>
            <w:tcBorders>
              <w:top w:val="nil"/>
              <w:left w:val="nil"/>
              <w:bottom w:val="single" w:sz="4" w:space="0" w:color="auto"/>
              <w:right w:val="single" w:sz="4" w:space="0" w:color="auto"/>
            </w:tcBorders>
            <w:hideMark/>
          </w:tcPr>
          <w:p w14:paraId="19E9E56E" w14:textId="1DC9446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4,459</w:t>
            </w:r>
          </w:p>
        </w:tc>
        <w:tc>
          <w:tcPr>
            <w:tcW w:w="1615" w:type="dxa"/>
            <w:tcBorders>
              <w:top w:val="nil"/>
              <w:left w:val="nil"/>
              <w:bottom w:val="single" w:sz="4" w:space="0" w:color="auto"/>
              <w:right w:val="single" w:sz="4" w:space="0" w:color="auto"/>
            </w:tcBorders>
            <w:hideMark/>
          </w:tcPr>
          <w:p w14:paraId="3D136A1A" w14:textId="4D52026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4,459</w:t>
            </w:r>
          </w:p>
        </w:tc>
      </w:tr>
      <w:tr w:rsidR="00B807EE" w:rsidRPr="00024D5A" w14:paraId="257BB170"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B8CCE4"/>
            <w:noWrap/>
            <w:hideMark/>
          </w:tcPr>
          <w:p w14:paraId="4D4950B5" w14:textId="3DA22C3E"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Masa prioritare 1.2</w:t>
            </w:r>
            <w:r w:rsidR="000856CC">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Vlerësimi i situatës së aksesueshmërisë së aseteve publike (ndërtesa dhe infrastrukturë), planifikimi i buxhetit përkatës dhe detajimi i planit me aksione konkrete për përfshirjen e elementeve të aksesueshmërisë në të gjitha asetet, sipas përparësive</w:t>
            </w:r>
            <w:r w:rsidR="00C702E7" w:rsidRPr="00024D5A">
              <w:rPr>
                <w:rFonts w:ascii="Garamond" w:eastAsia="Times New Roman" w:hAnsi="Garamond"/>
                <w:b/>
                <w:bCs/>
                <w:sz w:val="6"/>
                <w:szCs w:val="16"/>
                <w:lang w:eastAsia="en-US"/>
              </w:rPr>
              <w:t>/</w:t>
            </w:r>
          </w:p>
        </w:tc>
        <w:tc>
          <w:tcPr>
            <w:tcW w:w="567" w:type="dxa"/>
            <w:tcBorders>
              <w:top w:val="nil"/>
              <w:left w:val="nil"/>
              <w:bottom w:val="single" w:sz="4" w:space="0" w:color="auto"/>
              <w:right w:val="single" w:sz="4" w:space="0" w:color="auto"/>
            </w:tcBorders>
            <w:shd w:val="clear" w:color="000000" w:fill="B8CCE4"/>
            <w:hideMark/>
          </w:tcPr>
          <w:p w14:paraId="10AA07F3"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single" w:sz="4" w:space="0" w:color="auto"/>
            </w:tcBorders>
            <w:shd w:val="clear" w:color="000000" w:fill="B8CCE4"/>
            <w:hideMark/>
          </w:tcPr>
          <w:p w14:paraId="65FFA0BC"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nil"/>
              <w:bottom w:val="single" w:sz="4" w:space="0" w:color="auto"/>
              <w:right w:val="single" w:sz="4" w:space="0" w:color="auto"/>
            </w:tcBorders>
            <w:shd w:val="clear" w:color="000000" w:fill="B8CCE4"/>
            <w:hideMark/>
          </w:tcPr>
          <w:p w14:paraId="1AC633A0" w14:textId="1BCA2FFD"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MIE/MSHMS</w:t>
            </w:r>
          </w:p>
        </w:tc>
        <w:tc>
          <w:tcPr>
            <w:tcW w:w="1418" w:type="dxa"/>
            <w:tcBorders>
              <w:top w:val="nil"/>
              <w:left w:val="nil"/>
              <w:bottom w:val="single" w:sz="4" w:space="0" w:color="auto"/>
              <w:right w:val="single" w:sz="8" w:space="0" w:color="auto"/>
            </w:tcBorders>
            <w:shd w:val="clear" w:color="000000" w:fill="B8CCE4"/>
            <w:hideMark/>
          </w:tcPr>
          <w:p w14:paraId="40B7471C" w14:textId="2FA3431B" w:rsidR="00700D7D" w:rsidRPr="00024D5A" w:rsidRDefault="00070BC1"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Të </w:t>
            </w:r>
            <w:r w:rsidR="00700D7D" w:rsidRPr="00024D5A">
              <w:rPr>
                <w:rFonts w:ascii="Garamond" w:eastAsia="Times New Roman" w:hAnsi="Garamond"/>
                <w:sz w:val="6"/>
                <w:szCs w:val="16"/>
                <w:lang w:eastAsia="en-US"/>
              </w:rPr>
              <w:t>gjitha institucionet/studente t</w:t>
            </w:r>
            <w:r w:rsidRPr="00024D5A">
              <w:rPr>
                <w:rFonts w:ascii="Garamond" w:eastAsia="Times New Roman" w:hAnsi="Garamond"/>
                <w:sz w:val="6"/>
                <w:szCs w:val="16"/>
                <w:lang w:eastAsia="en-US"/>
              </w:rPr>
              <w:t>ë</w:t>
            </w:r>
            <w:r w:rsidR="00700D7D" w:rsidRPr="00024D5A">
              <w:rPr>
                <w:rFonts w:ascii="Garamond" w:eastAsia="Times New Roman" w:hAnsi="Garamond"/>
                <w:sz w:val="6"/>
                <w:szCs w:val="16"/>
                <w:lang w:eastAsia="en-US"/>
              </w:rPr>
              <w:t xml:space="preserve"> UP/</w:t>
            </w:r>
            <w:r w:rsidRPr="00024D5A">
              <w:rPr>
                <w:rFonts w:ascii="Garamond" w:eastAsia="Times New Roman" w:hAnsi="Garamond"/>
                <w:sz w:val="6"/>
                <w:szCs w:val="16"/>
                <w:lang w:eastAsia="en-US"/>
              </w:rPr>
              <w:t xml:space="preserve">të </w:t>
            </w:r>
            <w:r w:rsidR="00700D7D" w:rsidRPr="00024D5A">
              <w:rPr>
                <w:rFonts w:ascii="Garamond" w:eastAsia="Times New Roman" w:hAnsi="Garamond"/>
                <w:sz w:val="6"/>
                <w:szCs w:val="16"/>
                <w:lang w:eastAsia="en-US"/>
              </w:rPr>
              <w:t>gjitha institucionet/bashkitë/bizneset/Universiteti Politeknik</w:t>
            </w:r>
          </w:p>
        </w:tc>
        <w:tc>
          <w:tcPr>
            <w:tcW w:w="708" w:type="dxa"/>
            <w:tcBorders>
              <w:top w:val="nil"/>
              <w:left w:val="single" w:sz="4" w:space="0" w:color="auto"/>
              <w:bottom w:val="single" w:sz="4" w:space="0" w:color="auto"/>
              <w:right w:val="single" w:sz="4" w:space="0" w:color="auto"/>
            </w:tcBorders>
            <w:shd w:val="clear" w:color="000000" w:fill="B8CCE4"/>
            <w:hideMark/>
          </w:tcPr>
          <w:p w14:paraId="522FC9AC" w14:textId="0A66AA2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1,455</w:t>
            </w:r>
          </w:p>
        </w:tc>
        <w:tc>
          <w:tcPr>
            <w:tcW w:w="567" w:type="dxa"/>
            <w:tcBorders>
              <w:top w:val="nil"/>
              <w:left w:val="nil"/>
              <w:bottom w:val="single" w:sz="4" w:space="0" w:color="auto"/>
              <w:right w:val="single" w:sz="4" w:space="0" w:color="auto"/>
            </w:tcBorders>
            <w:shd w:val="clear" w:color="000000" w:fill="B8CCE4"/>
            <w:hideMark/>
          </w:tcPr>
          <w:p w14:paraId="0E58B6C9" w14:textId="7FC3AC0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7,455</w:t>
            </w:r>
          </w:p>
        </w:tc>
        <w:tc>
          <w:tcPr>
            <w:tcW w:w="567" w:type="dxa"/>
            <w:tcBorders>
              <w:top w:val="nil"/>
              <w:left w:val="nil"/>
              <w:bottom w:val="single" w:sz="4" w:space="0" w:color="auto"/>
              <w:right w:val="single" w:sz="4" w:space="0" w:color="auto"/>
            </w:tcBorders>
            <w:shd w:val="clear" w:color="000000" w:fill="B8CCE4"/>
            <w:hideMark/>
          </w:tcPr>
          <w:p w14:paraId="7C68F4B0" w14:textId="2E7C2E6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8,955</w:t>
            </w:r>
          </w:p>
        </w:tc>
        <w:tc>
          <w:tcPr>
            <w:tcW w:w="1134" w:type="dxa"/>
            <w:tcBorders>
              <w:top w:val="nil"/>
              <w:left w:val="nil"/>
              <w:bottom w:val="single" w:sz="4" w:space="0" w:color="auto"/>
              <w:right w:val="single" w:sz="4" w:space="0" w:color="auto"/>
            </w:tcBorders>
            <w:shd w:val="clear" w:color="000000" w:fill="B8CCE4"/>
            <w:hideMark/>
          </w:tcPr>
          <w:p w14:paraId="61800291" w14:textId="458D14D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8,955</w:t>
            </w:r>
          </w:p>
        </w:tc>
        <w:tc>
          <w:tcPr>
            <w:tcW w:w="1615" w:type="dxa"/>
            <w:tcBorders>
              <w:top w:val="nil"/>
              <w:left w:val="nil"/>
              <w:bottom w:val="single" w:sz="4" w:space="0" w:color="auto"/>
              <w:right w:val="single" w:sz="4" w:space="0" w:color="auto"/>
            </w:tcBorders>
            <w:shd w:val="clear" w:color="000000" w:fill="B8CCE4"/>
            <w:hideMark/>
          </w:tcPr>
          <w:p w14:paraId="06EF4D78" w14:textId="0B54859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1,605</w:t>
            </w:r>
          </w:p>
        </w:tc>
      </w:tr>
      <w:tr w:rsidR="00B807EE" w:rsidRPr="00024D5A" w14:paraId="066C8B85"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47225E1B" w14:textId="77777777" w:rsidR="00427262"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1.2.1 Vlerësimi ndërtimor i objekteve, asete të </w:t>
            </w:r>
            <w:r w:rsidR="000C2D3A" w:rsidRPr="00024D5A">
              <w:rPr>
                <w:rFonts w:ascii="Garamond" w:eastAsia="Times New Roman" w:hAnsi="Garamond"/>
                <w:sz w:val="6"/>
                <w:szCs w:val="16"/>
                <w:lang w:eastAsia="en-US"/>
              </w:rPr>
              <w:t>çdo</w:t>
            </w:r>
            <w:r w:rsidRPr="00024D5A">
              <w:rPr>
                <w:rFonts w:ascii="Garamond" w:eastAsia="Times New Roman" w:hAnsi="Garamond"/>
                <w:sz w:val="6"/>
                <w:szCs w:val="16"/>
                <w:lang w:eastAsia="en-US"/>
              </w:rPr>
              <w:t xml:space="preserve"> institucioni për nivelin e aksesueshmërisë, në përputhje me standardet.</w:t>
            </w:r>
          </w:p>
          <w:p w14:paraId="1552DC0C" w14:textId="7D6CD08E"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Krijimi i regjistrit të nivelit t</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aksesueshmërisë së aseteve të institucionit dhe strukturave të varësisë ku do të bëhet regjistrimi i këtyre aseteve/objektev</w:t>
            </w:r>
            <w:r w:rsidR="00427262" w:rsidRPr="00024D5A">
              <w:rPr>
                <w:rFonts w:ascii="Garamond" w:eastAsia="Times New Roman" w:hAnsi="Garamond"/>
                <w:sz w:val="6"/>
                <w:szCs w:val="16"/>
                <w:lang w:eastAsia="en-US"/>
              </w:rPr>
              <w:t>e.</w:t>
            </w:r>
          </w:p>
        </w:tc>
        <w:tc>
          <w:tcPr>
            <w:tcW w:w="567" w:type="dxa"/>
            <w:tcBorders>
              <w:top w:val="nil"/>
              <w:left w:val="nil"/>
              <w:bottom w:val="single" w:sz="4" w:space="0" w:color="auto"/>
              <w:right w:val="single" w:sz="4" w:space="0" w:color="auto"/>
            </w:tcBorders>
            <w:hideMark/>
          </w:tcPr>
          <w:p w14:paraId="26D08157"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2027</w:t>
            </w:r>
          </w:p>
        </w:tc>
        <w:tc>
          <w:tcPr>
            <w:tcW w:w="567" w:type="dxa"/>
            <w:tcBorders>
              <w:top w:val="nil"/>
              <w:left w:val="nil"/>
              <w:bottom w:val="single" w:sz="4" w:space="0" w:color="auto"/>
              <w:right w:val="single" w:sz="4" w:space="0" w:color="auto"/>
            </w:tcBorders>
            <w:hideMark/>
          </w:tcPr>
          <w:p w14:paraId="27FEBD4D"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2029</w:t>
            </w:r>
          </w:p>
        </w:tc>
        <w:tc>
          <w:tcPr>
            <w:tcW w:w="1134" w:type="dxa"/>
            <w:tcBorders>
              <w:top w:val="nil"/>
              <w:left w:val="nil"/>
              <w:bottom w:val="single" w:sz="4" w:space="0" w:color="auto"/>
              <w:right w:val="single" w:sz="4" w:space="0" w:color="auto"/>
            </w:tcBorders>
            <w:hideMark/>
          </w:tcPr>
          <w:p w14:paraId="72B0EC84" w14:textId="3E74BA3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MIE/MSHMS</w:t>
            </w:r>
            <w:r w:rsidR="007675EC" w:rsidRPr="00024D5A">
              <w:rPr>
                <w:rFonts w:ascii="Garamond" w:eastAsia="Times New Roman" w:hAnsi="Garamond"/>
                <w:sz w:val="6"/>
                <w:szCs w:val="16"/>
                <w:lang w:eastAsia="en-US"/>
              </w:rPr>
              <w:t>/</w:t>
            </w:r>
          </w:p>
        </w:tc>
        <w:tc>
          <w:tcPr>
            <w:tcW w:w="1418" w:type="dxa"/>
            <w:tcBorders>
              <w:top w:val="nil"/>
              <w:left w:val="nil"/>
              <w:bottom w:val="single" w:sz="4" w:space="0" w:color="auto"/>
              <w:right w:val="nil"/>
            </w:tcBorders>
            <w:hideMark/>
          </w:tcPr>
          <w:p w14:paraId="086E70FA" w14:textId="5F4AF475" w:rsidR="00700D7D" w:rsidRPr="00024D5A" w:rsidRDefault="00070BC1"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Të </w:t>
            </w:r>
            <w:r w:rsidR="00700D7D" w:rsidRPr="00024D5A">
              <w:rPr>
                <w:rFonts w:ascii="Garamond" w:eastAsia="Times New Roman" w:hAnsi="Garamond"/>
                <w:sz w:val="6"/>
                <w:szCs w:val="16"/>
                <w:lang w:eastAsia="en-US"/>
              </w:rPr>
              <w:t>gjitha institucionet/student</w:t>
            </w:r>
            <w:r w:rsidR="000B2295" w:rsidRPr="00024D5A">
              <w:rPr>
                <w:rFonts w:ascii="Garamond" w:eastAsia="Times New Roman" w:hAnsi="Garamond"/>
                <w:sz w:val="6"/>
                <w:szCs w:val="16"/>
                <w:lang w:eastAsia="en-US"/>
              </w:rPr>
              <w:t>ë</w:t>
            </w:r>
            <w:r w:rsidR="00700D7D" w:rsidRPr="00024D5A">
              <w:rPr>
                <w:rFonts w:ascii="Garamond" w:eastAsia="Times New Roman" w:hAnsi="Garamond"/>
                <w:sz w:val="6"/>
                <w:szCs w:val="16"/>
                <w:lang w:eastAsia="en-US"/>
              </w:rPr>
              <w:t xml:space="preserve"> t</w:t>
            </w:r>
            <w:r w:rsidR="000B2295" w:rsidRPr="00024D5A">
              <w:rPr>
                <w:rFonts w:ascii="Garamond" w:eastAsia="Times New Roman" w:hAnsi="Garamond"/>
                <w:sz w:val="6"/>
                <w:szCs w:val="16"/>
                <w:lang w:eastAsia="en-US"/>
              </w:rPr>
              <w:t>ë</w:t>
            </w:r>
            <w:r w:rsidR="00700D7D" w:rsidRPr="00024D5A">
              <w:rPr>
                <w:rFonts w:ascii="Garamond" w:eastAsia="Times New Roman" w:hAnsi="Garamond"/>
                <w:sz w:val="6"/>
                <w:szCs w:val="16"/>
                <w:lang w:eastAsia="en-US"/>
              </w:rPr>
              <w:t xml:space="preserve"> UP</w:t>
            </w:r>
          </w:p>
        </w:tc>
        <w:tc>
          <w:tcPr>
            <w:tcW w:w="708" w:type="dxa"/>
            <w:tcBorders>
              <w:top w:val="nil"/>
              <w:left w:val="single" w:sz="4" w:space="0" w:color="auto"/>
              <w:bottom w:val="single" w:sz="4" w:space="0" w:color="auto"/>
              <w:right w:val="single" w:sz="4" w:space="0" w:color="auto"/>
            </w:tcBorders>
            <w:hideMark/>
          </w:tcPr>
          <w:p w14:paraId="0FF0E564" w14:textId="24EA08E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279CD425" w14:textId="416555F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6,000</w:t>
            </w:r>
          </w:p>
        </w:tc>
        <w:tc>
          <w:tcPr>
            <w:tcW w:w="567" w:type="dxa"/>
            <w:tcBorders>
              <w:top w:val="nil"/>
              <w:left w:val="nil"/>
              <w:bottom w:val="single" w:sz="4" w:space="0" w:color="auto"/>
              <w:right w:val="single" w:sz="4" w:space="0" w:color="auto"/>
            </w:tcBorders>
            <w:hideMark/>
          </w:tcPr>
          <w:p w14:paraId="4683465D" w14:textId="679FFE2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6,000</w:t>
            </w:r>
          </w:p>
        </w:tc>
        <w:tc>
          <w:tcPr>
            <w:tcW w:w="1134" w:type="dxa"/>
            <w:tcBorders>
              <w:top w:val="nil"/>
              <w:left w:val="nil"/>
              <w:bottom w:val="single" w:sz="4" w:space="0" w:color="auto"/>
              <w:right w:val="single" w:sz="4" w:space="0" w:color="auto"/>
            </w:tcBorders>
            <w:hideMark/>
          </w:tcPr>
          <w:p w14:paraId="352F3D18" w14:textId="7FE72AE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6,000</w:t>
            </w:r>
          </w:p>
        </w:tc>
        <w:tc>
          <w:tcPr>
            <w:tcW w:w="1615" w:type="dxa"/>
            <w:tcBorders>
              <w:top w:val="nil"/>
              <w:left w:val="nil"/>
              <w:bottom w:val="single" w:sz="4" w:space="0" w:color="auto"/>
              <w:right w:val="single" w:sz="4" w:space="0" w:color="auto"/>
            </w:tcBorders>
            <w:hideMark/>
          </w:tcPr>
          <w:p w14:paraId="70479D5A" w14:textId="626624A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0</w:t>
            </w:r>
          </w:p>
        </w:tc>
      </w:tr>
      <w:tr w:rsidR="00B807EE" w:rsidRPr="00024D5A" w14:paraId="25917264"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0D313088" w14:textId="1BBC3C0F"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1.2.2</w:t>
            </w:r>
            <w:r w:rsidR="008F29FA" w:rsidRPr="00024D5A">
              <w:rPr>
                <w:rFonts w:ascii="Garamond" w:hAnsi="Garamond"/>
                <w:sz w:val="6"/>
              </w:rPr>
              <w:t xml:space="preserve"> </w:t>
            </w:r>
            <w:r w:rsidR="000B2295" w:rsidRPr="00024D5A">
              <w:rPr>
                <w:rFonts w:ascii="Garamond" w:eastAsia="Times New Roman" w:hAnsi="Garamond"/>
                <w:sz w:val="6"/>
                <w:szCs w:val="16"/>
                <w:lang w:eastAsia="en-US"/>
              </w:rPr>
              <w:t xml:space="preserve">Përgatitja nga MSHMS e 2 (dy) raporteve të monitorimit të zbatimit të </w:t>
            </w:r>
            <w:r w:rsidR="00B24025" w:rsidRPr="00024D5A">
              <w:rPr>
                <w:rFonts w:ascii="Garamond" w:eastAsia="Times New Roman" w:hAnsi="Garamond"/>
                <w:sz w:val="6"/>
                <w:szCs w:val="16"/>
                <w:lang w:eastAsia="en-US"/>
              </w:rPr>
              <w:t xml:space="preserve">planit të veprimit </w:t>
            </w:r>
            <w:r w:rsidR="000B2295" w:rsidRPr="00024D5A">
              <w:rPr>
                <w:rFonts w:ascii="Garamond" w:eastAsia="Times New Roman" w:hAnsi="Garamond"/>
                <w:sz w:val="6"/>
                <w:szCs w:val="16"/>
                <w:lang w:eastAsia="en-US"/>
              </w:rPr>
              <w:t>gjatë periudhës së planifikuar për zbatimin e tij, me fokus të veçantë edhe tek aksesueshmëria në mjedisin ndërtimor dhe në monitorimet e investimeve publike të bëra në objektet e arsimit, shëndetësisë, kujdesit social, tregut të punës dhe drejtësisë për zbatimin e standardeve të aksesueshmërisë.</w:t>
            </w:r>
          </w:p>
        </w:tc>
        <w:tc>
          <w:tcPr>
            <w:tcW w:w="567" w:type="dxa"/>
            <w:tcBorders>
              <w:top w:val="nil"/>
              <w:left w:val="nil"/>
              <w:bottom w:val="single" w:sz="4" w:space="0" w:color="auto"/>
              <w:right w:val="single" w:sz="4" w:space="0" w:color="auto"/>
            </w:tcBorders>
            <w:hideMark/>
          </w:tcPr>
          <w:p w14:paraId="331F8243"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2028</w:t>
            </w:r>
          </w:p>
        </w:tc>
        <w:tc>
          <w:tcPr>
            <w:tcW w:w="567" w:type="dxa"/>
            <w:tcBorders>
              <w:top w:val="nil"/>
              <w:left w:val="nil"/>
              <w:bottom w:val="single" w:sz="4" w:space="0" w:color="auto"/>
              <w:right w:val="single" w:sz="4" w:space="0" w:color="auto"/>
            </w:tcBorders>
            <w:hideMark/>
          </w:tcPr>
          <w:p w14:paraId="5AD5084C"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nil"/>
              <w:bottom w:val="single" w:sz="4" w:space="0" w:color="auto"/>
              <w:right w:val="single" w:sz="4" w:space="0" w:color="auto"/>
            </w:tcBorders>
            <w:hideMark/>
          </w:tcPr>
          <w:p w14:paraId="39AC4226"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MSHMS</w:t>
            </w:r>
          </w:p>
        </w:tc>
        <w:tc>
          <w:tcPr>
            <w:tcW w:w="1418" w:type="dxa"/>
            <w:tcBorders>
              <w:top w:val="nil"/>
              <w:left w:val="nil"/>
              <w:bottom w:val="single" w:sz="4" w:space="0" w:color="auto"/>
              <w:right w:val="single" w:sz="8" w:space="0" w:color="auto"/>
            </w:tcBorders>
            <w:hideMark/>
          </w:tcPr>
          <w:p w14:paraId="20726CEB" w14:textId="59910598" w:rsidR="00700D7D" w:rsidRPr="00024D5A" w:rsidRDefault="00700D7D" w:rsidP="00180DF3">
            <w:pPr>
              <w:rPr>
                <w:rFonts w:ascii="Garamond" w:eastAsia="Times New Roman" w:hAnsi="Garamond"/>
                <w:sz w:val="6"/>
                <w:szCs w:val="16"/>
                <w:lang w:eastAsia="en-US"/>
              </w:rPr>
            </w:pPr>
            <w:r w:rsidRPr="00024D5A">
              <w:rPr>
                <w:rFonts w:ascii="Garamond" w:eastAsia="Times New Roman" w:hAnsi="Garamond"/>
                <w:sz w:val="6"/>
                <w:szCs w:val="16"/>
                <w:lang w:eastAsia="en-US"/>
              </w:rPr>
              <w:t>T</w:t>
            </w:r>
            <w:r w:rsidR="000B2295"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gjitha inst</w:t>
            </w:r>
            <w:r w:rsidR="000B2295" w:rsidRPr="00024D5A">
              <w:rPr>
                <w:rFonts w:ascii="Garamond" w:eastAsia="Times New Roman" w:hAnsi="Garamond"/>
                <w:sz w:val="6"/>
                <w:szCs w:val="16"/>
                <w:lang w:eastAsia="en-US"/>
              </w:rPr>
              <w:t>itucionet/</w:t>
            </w:r>
            <w:r w:rsidR="00070BC1" w:rsidRPr="00024D5A">
              <w:rPr>
                <w:rFonts w:ascii="Garamond" w:eastAsia="Times New Roman" w:hAnsi="Garamond"/>
                <w:sz w:val="6"/>
                <w:szCs w:val="16"/>
                <w:lang w:eastAsia="en-US"/>
              </w:rPr>
              <w:t>bashkitë</w:t>
            </w:r>
            <w:r w:rsidR="000B2295"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bizneset</w:t>
            </w:r>
          </w:p>
        </w:tc>
        <w:tc>
          <w:tcPr>
            <w:tcW w:w="708" w:type="dxa"/>
            <w:tcBorders>
              <w:top w:val="nil"/>
              <w:left w:val="single" w:sz="4" w:space="0" w:color="auto"/>
              <w:bottom w:val="single" w:sz="4" w:space="0" w:color="auto"/>
              <w:right w:val="single" w:sz="4" w:space="0" w:color="auto"/>
            </w:tcBorders>
            <w:hideMark/>
          </w:tcPr>
          <w:p w14:paraId="60C9474A" w14:textId="4615E22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24C0CC82" w14:textId="50927DB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0</w:t>
            </w:r>
          </w:p>
        </w:tc>
        <w:tc>
          <w:tcPr>
            <w:tcW w:w="567" w:type="dxa"/>
            <w:tcBorders>
              <w:top w:val="nil"/>
              <w:left w:val="nil"/>
              <w:bottom w:val="single" w:sz="4" w:space="0" w:color="auto"/>
              <w:right w:val="single" w:sz="4" w:space="0" w:color="auto"/>
            </w:tcBorders>
            <w:hideMark/>
          </w:tcPr>
          <w:p w14:paraId="13725CEA" w14:textId="1EEE87A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1,500</w:t>
            </w:r>
          </w:p>
        </w:tc>
        <w:tc>
          <w:tcPr>
            <w:tcW w:w="1134" w:type="dxa"/>
            <w:tcBorders>
              <w:top w:val="nil"/>
              <w:left w:val="nil"/>
              <w:bottom w:val="single" w:sz="4" w:space="0" w:color="auto"/>
              <w:right w:val="single" w:sz="4" w:space="0" w:color="auto"/>
            </w:tcBorders>
            <w:hideMark/>
          </w:tcPr>
          <w:p w14:paraId="25632DA3" w14:textId="3FD6591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1,500</w:t>
            </w:r>
          </w:p>
        </w:tc>
        <w:tc>
          <w:tcPr>
            <w:tcW w:w="1615" w:type="dxa"/>
            <w:tcBorders>
              <w:top w:val="nil"/>
              <w:left w:val="nil"/>
              <w:bottom w:val="single" w:sz="4" w:space="0" w:color="auto"/>
              <w:right w:val="single" w:sz="4" w:space="0" w:color="auto"/>
            </w:tcBorders>
            <w:hideMark/>
          </w:tcPr>
          <w:p w14:paraId="68DA9BA2" w14:textId="1D24E89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150</w:t>
            </w:r>
          </w:p>
        </w:tc>
      </w:tr>
      <w:tr w:rsidR="00B807EE" w:rsidRPr="00024D5A" w14:paraId="5DABC157"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57DE2651" w14:textId="6C0C9ADE"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1.2.3 Organizimi </w:t>
            </w:r>
            <w:r w:rsidR="000B2295" w:rsidRPr="00024D5A">
              <w:rPr>
                <w:rFonts w:ascii="Garamond" w:eastAsia="Times New Roman" w:hAnsi="Garamond"/>
                <w:sz w:val="6"/>
                <w:szCs w:val="16"/>
                <w:lang w:eastAsia="en-US"/>
              </w:rPr>
              <w:t>ç</w:t>
            </w:r>
            <w:r w:rsidRPr="00024D5A">
              <w:rPr>
                <w:rFonts w:ascii="Garamond" w:eastAsia="Times New Roman" w:hAnsi="Garamond"/>
                <w:sz w:val="6"/>
                <w:szCs w:val="16"/>
                <w:lang w:eastAsia="en-US"/>
              </w:rPr>
              <w:t>do vit nga MSHMS</w:t>
            </w:r>
            <w:r w:rsidR="00B24025" w:rsidRPr="00024D5A">
              <w:rPr>
                <w:rFonts w:ascii="Garamond" w:eastAsia="Times New Roman" w:hAnsi="Garamond"/>
                <w:sz w:val="6"/>
                <w:szCs w:val="16"/>
                <w:lang w:eastAsia="en-US"/>
              </w:rPr>
              <w:t>-ja</w:t>
            </w:r>
            <w:r w:rsidRPr="00024D5A">
              <w:rPr>
                <w:rFonts w:ascii="Garamond" w:eastAsia="Times New Roman" w:hAnsi="Garamond"/>
                <w:sz w:val="6"/>
                <w:szCs w:val="16"/>
                <w:lang w:eastAsia="en-US"/>
              </w:rPr>
              <w:t xml:space="preserve"> i Konferencës Kombëtare të Aksesueshmërisë, ku prezantohen arritjet njëvjeçare nga të gjith</w:t>
            </w:r>
            <w:r w:rsidR="007675EC" w:rsidRPr="00024D5A">
              <w:rPr>
                <w:rFonts w:ascii="Garamond" w:eastAsia="Times New Roman" w:hAnsi="Garamond"/>
                <w:sz w:val="6"/>
                <w:szCs w:val="16"/>
                <w:lang w:eastAsia="en-US"/>
              </w:rPr>
              <w:t>a</w:t>
            </w:r>
            <w:r w:rsidRPr="00024D5A">
              <w:rPr>
                <w:rFonts w:ascii="Garamond" w:eastAsia="Times New Roman" w:hAnsi="Garamond"/>
                <w:sz w:val="6"/>
                <w:szCs w:val="16"/>
                <w:lang w:eastAsia="en-US"/>
              </w:rPr>
              <w:t xml:space="preserve"> institucionet përgjegjëse dhe planifikimi për vitin e ardhshëm.</w:t>
            </w:r>
          </w:p>
        </w:tc>
        <w:tc>
          <w:tcPr>
            <w:tcW w:w="567" w:type="dxa"/>
            <w:tcBorders>
              <w:top w:val="nil"/>
              <w:left w:val="nil"/>
              <w:bottom w:val="single" w:sz="4" w:space="0" w:color="auto"/>
              <w:right w:val="single" w:sz="4" w:space="0" w:color="auto"/>
            </w:tcBorders>
            <w:hideMark/>
          </w:tcPr>
          <w:p w14:paraId="0070CFEA"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single" w:sz="4" w:space="0" w:color="auto"/>
            </w:tcBorders>
            <w:hideMark/>
          </w:tcPr>
          <w:p w14:paraId="02E4F95C"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nil"/>
              <w:bottom w:val="single" w:sz="4" w:space="0" w:color="auto"/>
              <w:right w:val="single" w:sz="4" w:space="0" w:color="auto"/>
            </w:tcBorders>
            <w:hideMark/>
          </w:tcPr>
          <w:p w14:paraId="253EFE7D"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MIE/MSHMS</w:t>
            </w:r>
          </w:p>
        </w:tc>
        <w:tc>
          <w:tcPr>
            <w:tcW w:w="1418" w:type="dxa"/>
            <w:tcBorders>
              <w:top w:val="nil"/>
              <w:left w:val="nil"/>
              <w:bottom w:val="single" w:sz="4" w:space="0" w:color="auto"/>
              <w:right w:val="single" w:sz="8" w:space="0" w:color="auto"/>
            </w:tcBorders>
            <w:hideMark/>
          </w:tcPr>
          <w:p w14:paraId="7CB5CBFF"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708" w:type="dxa"/>
            <w:tcBorders>
              <w:top w:val="nil"/>
              <w:left w:val="single" w:sz="4" w:space="0" w:color="auto"/>
              <w:bottom w:val="single" w:sz="4" w:space="0" w:color="auto"/>
              <w:right w:val="single" w:sz="4" w:space="0" w:color="auto"/>
            </w:tcBorders>
            <w:hideMark/>
          </w:tcPr>
          <w:p w14:paraId="655FEB3C" w14:textId="050738F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727</w:t>
            </w:r>
          </w:p>
        </w:tc>
        <w:tc>
          <w:tcPr>
            <w:tcW w:w="567" w:type="dxa"/>
            <w:tcBorders>
              <w:top w:val="nil"/>
              <w:left w:val="nil"/>
              <w:bottom w:val="single" w:sz="4" w:space="0" w:color="auto"/>
              <w:right w:val="single" w:sz="4" w:space="0" w:color="auto"/>
            </w:tcBorders>
            <w:hideMark/>
          </w:tcPr>
          <w:p w14:paraId="2BD04D1E" w14:textId="012002D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727</w:t>
            </w:r>
          </w:p>
        </w:tc>
        <w:tc>
          <w:tcPr>
            <w:tcW w:w="567" w:type="dxa"/>
            <w:tcBorders>
              <w:top w:val="nil"/>
              <w:left w:val="nil"/>
              <w:bottom w:val="single" w:sz="4" w:space="0" w:color="auto"/>
              <w:right w:val="single" w:sz="4" w:space="0" w:color="auto"/>
            </w:tcBorders>
            <w:hideMark/>
          </w:tcPr>
          <w:p w14:paraId="712B3616" w14:textId="4418C52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727</w:t>
            </w:r>
          </w:p>
        </w:tc>
        <w:tc>
          <w:tcPr>
            <w:tcW w:w="1134" w:type="dxa"/>
            <w:tcBorders>
              <w:top w:val="nil"/>
              <w:left w:val="nil"/>
              <w:bottom w:val="single" w:sz="4" w:space="0" w:color="auto"/>
              <w:right w:val="single" w:sz="4" w:space="0" w:color="auto"/>
            </w:tcBorders>
            <w:hideMark/>
          </w:tcPr>
          <w:p w14:paraId="21C6E10E" w14:textId="0550FA2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727</w:t>
            </w:r>
          </w:p>
        </w:tc>
        <w:tc>
          <w:tcPr>
            <w:tcW w:w="1615" w:type="dxa"/>
            <w:tcBorders>
              <w:top w:val="nil"/>
              <w:left w:val="nil"/>
              <w:bottom w:val="single" w:sz="4" w:space="0" w:color="auto"/>
              <w:right w:val="single" w:sz="4" w:space="0" w:color="auto"/>
            </w:tcBorders>
            <w:hideMark/>
          </w:tcPr>
          <w:p w14:paraId="65B4A1B0" w14:textId="0E98C4C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727</w:t>
            </w:r>
          </w:p>
        </w:tc>
      </w:tr>
      <w:tr w:rsidR="00B807EE" w:rsidRPr="00024D5A" w14:paraId="12D79CDA"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21250FBB" w14:textId="2EBA8C91"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1.2.4 Promovimi përmes fushatave të komunikimit/ndërgjegjësimit të praktikave pozitive në zbatimin dhe aplikimin e kërkesave dhe standardeve të aksesueshmërisë në mjedise, produkte dhe shërbime</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për personat me aftësi të kufizuara.</w:t>
            </w:r>
          </w:p>
        </w:tc>
        <w:tc>
          <w:tcPr>
            <w:tcW w:w="567" w:type="dxa"/>
            <w:tcBorders>
              <w:top w:val="nil"/>
              <w:left w:val="nil"/>
              <w:bottom w:val="single" w:sz="4" w:space="0" w:color="auto"/>
              <w:right w:val="single" w:sz="4" w:space="0" w:color="auto"/>
            </w:tcBorders>
            <w:hideMark/>
          </w:tcPr>
          <w:p w14:paraId="25D94CB5"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nil"/>
            </w:tcBorders>
            <w:hideMark/>
          </w:tcPr>
          <w:p w14:paraId="1C60721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single" w:sz="4" w:space="0" w:color="auto"/>
              <w:bottom w:val="single" w:sz="4" w:space="0" w:color="auto"/>
              <w:right w:val="single" w:sz="4" w:space="0" w:color="auto"/>
            </w:tcBorders>
            <w:hideMark/>
          </w:tcPr>
          <w:p w14:paraId="3B053731"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MIE/MSHMS</w:t>
            </w:r>
          </w:p>
        </w:tc>
        <w:tc>
          <w:tcPr>
            <w:tcW w:w="1418" w:type="dxa"/>
            <w:tcBorders>
              <w:top w:val="nil"/>
              <w:left w:val="nil"/>
              <w:bottom w:val="single" w:sz="4" w:space="0" w:color="auto"/>
              <w:right w:val="single" w:sz="4" w:space="0" w:color="auto"/>
            </w:tcBorders>
            <w:hideMark/>
          </w:tcPr>
          <w:p w14:paraId="5223290B" w14:textId="7B017289"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T</w:t>
            </w:r>
            <w:r w:rsidR="000B2295"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gjith</w:t>
            </w:r>
            <w:r w:rsidR="007675EC" w:rsidRPr="00024D5A">
              <w:rPr>
                <w:rFonts w:ascii="Garamond" w:eastAsia="Times New Roman" w:hAnsi="Garamond"/>
                <w:sz w:val="6"/>
                <w:szCs w:val="16"/>
                <w:lang w:eastAsia="en-US"/>
              </w:rPr>
              <w:t>a</w:t>
            </w:r>
            <w:r w:rsidRPr="00024D5A">
              <w:rPr>
                <w:rFonts w:ascii="Garamond" w:eastAsia="Times New Roman" w:hAnsi="Garamond"/>
                <w:sz w:val="6"/>
                <w:szCs w:val="16"/>
                <w:lang w:eastAsia="en-US"/>
              </w:rPr>
              <w:t xml:space="preserve"> </w:t>
            </w:r>
            <w:r w:rsidR="007675EC" w:rsidRPr="00024D5A">
              <w:rPr>
                <w:rFonts w:ascii="Garamond" w:eastAsia="Times New Roman" w:hAnsi="Garamond"/>
                <w:sz w:val="6"/>
                <w:szCs w:val="16"/>
                <w:lang w:eastAsia="en-US"/>
              </w:rPr>
              <w:t>institucionet</w:t>
            </w:r>
            <w:r w:rsidRPr="00024D5A">
              <w:rPr>
                <w:rFonts w:ascii="Garamond" w:eastAsia="Times New Roman" w:hAnsi="Garamond"/>
                <w:sz w:val="6"/>
                <w:szCs w:val="16"/>
                <w:lang w:eastAsia="en-US"/>
              </w:rPr>
              <w:t>/</w:t>
            </w:r>
            <w:r w:rsidR="00070BC1" w:rsidRPr="00024D5A">
              <w:rPr>
                <w:rFonts w:ascii="Garamond" w:eastAsia="Times New Roman" w:hAnsi="Garamond"/>
                <w:sz w:val="6"/>
                <w:szCs w:val="16"/>
                <w:lang w:eastAsia="en-US"/>
              </w:rPr>
              <w:t xml:space="preserve">organizatat </w:t>
            </w:r>
            <w:r w:rsidRPr="00024D5A">
              <w:rPr>
                <w:rFonts w:ascii="Garamond" w:eastAsia="Times New Roman" w:hAnsi="Garamond"/>
                <w:sz w:val="6"/>
                <w:szCs w:val="16"/>
                <w:lang w:eastAsia="en-US"/>
              </w:rPr>
              <w:t>n</w:t>
            </w:r>
            <w:r w:rsidR="000B2295"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mbrojtje t</w:t>
            </w:r>
            <w:r w:rsidR="00070BC1"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PAK</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Universiteti Politeknik</w:t>
            </w:r>
          </w:p>
        </w:tc>
        <w:tc>
          <w:tcPr>
            <w:tcW w:w="708" w:type="dxa"/>
            <w:tcBorders>
              <w:top w:val="nil"/>
              <w:left w:val="nil"/>
              <w:bottom w:val="single" w:sz="4" w:space="0" w:color="auto"/>
              <w:right w:val="single" w:sz="4" w:space="0" w:color="auto"/>
            </w:tcBorders>
            <w:hideMark/>
          </w:tcPr>
          <w:p w14:paraId="29EA6776" w14:textId="5C61137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727</w:t>
            </w:r>
          </w:p>
        </w:tc>
        <w:tc>
          <w:tcPr>
            <w:tcW w:w="567" w:type="dxa"/>
            <w:tcBorders>
              <w:top w:val="nil"/>
              <w:left w:val="nil"/>
              <w:bottom w:val="single" w:sz="4" w:space="0" w:color="auto"/>
              <w:right w:val="single" w:sz="4" w:space="0" w:color="auto"/>
            </w:tcBorders>
            <w:hideMark/>
          </w:tcPr>
          <w:p w14:paraId="208FD2E4" w14:textId="1334DA2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727</w:t>
            </w:r>
          </w:p>
        </w:tc>
        <w:tc>
          <w:tcPr>
            <w:tcW w:w="567" w:type="dxa"/>
            <w:tcBorders>
              <w:top w:val="nil"/>
              <w:left w:val="nil"/>
              <w:bottom w:val="single" w:sz="4" w:space="0" w:color="auto"/>
              <w:right w:val="single" w:sz="4" w:space="0" w:color="auto"/>
            </w:tcBorders>
            <w:hideMark/>
          </w:tcPr>
          <w:p w14:paraId="489A3112" w14:textId="6DA2ECA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727</w:t>
            </w:r>
          </w:p>
        </w:tc>
        <w:tc>
          <w:tcPr>
            <w:tcW w:w="1134" w:type="dxa"/>
            <w:tcBorders>
              <w:top w:val="nil"/>
              <w:left w:val="nil"/>
              <w:bottom w:val="single" w:sz="4" w:space="0" w:color="auto"/>
              <w:right w:val="single" w:sz="4" w:space="0" w:color="auto"/>
            </w:tcBorders>
            <w:hideMark/>
          </w:tcPr>
          <w:p w14:paraId="5E595AE0" w14:textId="1E5DA99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727</w:t>
            </w:r>
          </w:p>
        </w:tc>
        <w:tc>
          <w:tcPr>
            <w:tcW w:w="1615" w:type="dxa"/>
            <w:tcBorders>
              <w:top w:val="nil"/>
              <w:left w:val="nil"/>
              <w:bottom w:val="single" w:sz="4" w:space="0" w:color="auto"/>
              <w:right w:val="single" w:sz="4" w:space="0" w:color="auto"/>
            </w:tcBorders>
            <w:hideMark/>
          </w:tcPr>
          <w:p w14:paraId="25002D53" w14:textId="0A41024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727</w:t>
            </w:r>
          </w:p>
        </w:tc>
      </w:tr>
      <w:tr w:rsidR="00B807EE" w:rsidRPr="00024D5A" w14:paraId="218EB5D8" w14:textId="77777777" w:rsidTr="002B321E">
        <w:trPr>
          <w:trHeight w:val="20"/>
        </w:trPr>
        <w:tc>
          <w:tcPr>
            <w:tcW w:w="4673" w:type="dxa"/>
            <w:tcBorders>
              <w:top w:val="nil"/>
              <w:left w:val="single" w:sz="4" w:space="0" w:color="auto"/>
              <w:bottom w:val="single" w:sz="4" w:space="0" w:color="auto"/>
              <w:right w:val="nil"/>
            </w:tcBorders>
            <w:shd w:val="clear" w:color="000000" w:fill="FDE9D9"/>
            <w:hideMark/>
          </w:tcPr>
          <w:p w14:paraId="74A9068C" w14:textId="11939545"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Objektivi Specifik 2</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Aksesueshmëria në transport, në shërbime dhe mjete: </w:t>
            </w:r>
            <w:r w:rsidR="00FE4411" w:rsidRPr="00024D5A">
              <w:rPr>
                <w:rFonts w:ascii="Garamond" w:eastAsia="Times New Roman" w:hAnsi="Garamond"/>
                <w:b/>
                <w:bCs/>
                <w:sz w:val="6"/>
                <w:szCs w:val="16"/>
                <w:lang w:eastAsia="en-US"/>
              </w:rPr>
              <w:t xml:space="preserve">të </w:t>
            </w:r>
            <w:r w:rsidRPr="00024D5A">
              <w:rPr>
                <w:rFonts w:ascii="Garamond" w:eastAsia="Times New Roman" w:hAnsi="Garamond"/>
                <w:b/>
                <w:bCs/>
                <w:sz w:val="6"/>
                <w:szCs w:val="16"/>
                <w:lang w:eastAsia="en-US"/>
              </w:rPr>
              <w:t>përmirësohet niveli i aksesueshmërisë</w:t>
            </w:r>
            <w:r w:rsidR="008F29FA" w:rsidRPr="00024D5A">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në transportin</w:t>
            </w:r>
            <w:r w:rsidR="008F29FA" w:rsidRPr="00024D5A">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publik, si në mjetet edhe në shërbime ndaj udhëtarëve me aftësi të kufizuara</w:t>
            </w:r>
            <w:r w:rsidR="00FE4411"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w:t>
            </w:r>
            <w:r w:rsidR="00FE4411" w:rsidRPr="00024D5A">
              <w:rPr>
                <w:rFonts w:ascii="Garamond" w:eastAsia="Times New Roman" w:hAnsi="Garamond"/>
                <w:b/>
                <w:bCs/>
                <w:sz w:val="6"/>
                <w:szCs w:val="16"/>
                <w:lang w:eastAsia="en-US"/>
              </w:rPr>
              <w:t xml:space="preserve">të </w:t>
            </w:r>
            <w:r w:rsidRPr="00024D5A">
              <w:rPr>
                <w:rFonts w:ascii="Garamond" w:eastAsia="Times New Roman" w:hAnsi="Garamond"/>
                <w:b/>
                <w:bCs/>
                <w:sz w:val="6"/>
                <w:szCs w:val="16"/>
                <w:lang w:eastAsia="en-US"/>
              </w:rPr>
              <w:t>mundësohet udhëtimi falas për PAK</w:t>
            </w:r>
            <w:r w:rsidR="00FE4411" w:rsidRPr="00024D5A">
              <w:rPr>
                <w:rFonts w:ascii="Garamond" w:eastAsia="Times New Roman" w:hAnsi="Garamond"/>
                <w:b/>
                <w:bCs/>
                <w:sz w:val="6"/>
                <w:szCs w:val="16"/>
                <w:lang w:eastAsia="en-US"/>
              </w:rPr>
              <w:t>-në</w:t>
            </w:r>
            <w:r w:rsidR="00C702E7" w:rsidRPr="00024D5A">
              <w:rPr>
                <w:rFonts w:ascii="Garamond" w:eastAsia="Times New Roman" w:hAnsi="Garamond"/>
                <w:b/>
                <w:bCs/>
                <w:sz w:val="6"/>
                <w:szCs w:val="16"/>
                <w:lang w:eastAsia="en-US"/>
              </w:rPr>
              <w:t>.</w:t>
            </w:r>
          </w:p>
        </w:tc>
        <w:tc>
          <w:tcPr>
            <w:tcW w:w="567" w:type="dxa"/>
            <w:tcBorders>
              <w:top w:val="nil"/>
              <w:left w:val="single" w:sz="4" w:space="0" w:color="auto"/>
              <w:bottom w:val="single" w:sz="4" w:space="0" w:color="auto"/>
              <w:right w:val="nil"/>
            </w:tcBorders>
            <w:shd w:val="clear" w:color="000000" w:fill="FDE9D9"/>
            <w:hideMark/>
          </w:tcPr>
          <w:p w14:paraId="136D2146"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single" w:sz="4" w:space="0" w:color="auto"/>
              <w:bottom w:val="single" w:sz="4" w:space="0" w:color="auto"/>
              <w:right w:val="nil"/>
            </w:tcBorders>
            <w:shd w:val="clear" w:color="000000" w:fill="FDE9D9"/>
            <w:hideMark/>
          </w:tcPr>
          <w:p w14:paraId="5CA22A02"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single" w:sz="4" w:space="0" w:color="auto"/>
              <w:bottom w:val="single" w:sz="4" w:space="0" w:color="auto"/>
              <w:right w:val="single" w:sz="4" w:space="0" w:color="auto"/>
            </w:tcBorders>
            <w:shd w:val="clear" w:color="000000" w:fill="FDE9D9"/>
            <w:hideMark/>
          </w:tcPr>
          <w:p w14:paraId="543275AD"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MIE/NJVQK/DPSHTRR/MSHMS/KMD/BASHKIA</w:t>
            </w:r>
          </w:p>
        </w:tc>
        <w:tc>
          <w:tcPr>
            <w:tcW w:w="1418" w:type="dxa"/>
            <w:tcBorders>
              <w:top w:val="nil"/>
              <w:left w:val="nil"/>
              <w:bottom w:val="single" w:sz="4" w:space="0" w:color="auto"/>
              <w:right w:val="single" w:sz="4" w:space="0" w:color="auto"/>
            </w:tcBorders>
            <w:shd w:val="clear" w:color="000000" w:fill="FDE9D9"/>
            <w:hideMark/>
          </w:tcPr>
          <w:p w14:paraId="2ED95DB8" w14:textId="1082414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DPSHTRR/Bashkit</w:t>
            </w:r>
            <w:r w:rsidR="00070BC1" w:rsidRPr="00024D5A">
              <w:rPr>
                <w:rFonts w:ascii="Garamond" w:eastAsia="Times New Roman" w:hAnsi="Garamond"/>
                <w:b/>
                <w:bCs/>
                <w:sz w:val="6"/>
                <w:szCs w:val="16"/>
                <w:lang w:eastAsia="en-US"/>
              </w:rPr>
              <w:t>ë</w:t>
            </w:r>
            <w:r w:rsidRPr="00024D5A">
              <w:rPr>
                <w:rFonts w:ascii="Garamond" w:eastAsia="Times New Roman" w:hAnsi="Garamond"/>
                <w:b/>
                <w:bCs/>
                <w:sz w:val="6"/>
                <w:szCs w:val="16"/>
                <w:lang w:eastAsia="en-US"/>
              </w:rPr>
              <w:t xml:space="preserve"> </w:t>
            </w:r>
            <w:r w:rsidR="00070BC1" w:rsidRPr="00024D5A">
              <w:rPr>
                <w:rFonts w:ascii="Garamond" w:eastAsia="Times New Roman" w:hAnsi="Garamond"/>
                <w:b/>
                <w:bCs/>
                <w:sz w:val="6"/>
                <w:szCs w:val="16"/>
                <w:lang w:eastAsia="en-US"/>
              </w:rPr>
              <w:t>dhe</w:t>
            </w:r>
            <w:r w:rsidRPr="00024D5A">
              <w:rPr>
                <w:rFonts w:ascii="Garamond" w:eastAsia="Times New Roman" w:hAnsi="Garamond"/>
                <w:b/>
                <w:bCs/>
                <w:sz w:val="6"/>
                <w:szCs w:val="16"/>
                <w:lang w:eastAsia="en-US"/>
              </w:rPr>
              <w:t xml:space="preserve"> </w:t>
            </w:r>
            <w:r w:rsidR="00070BC1" w:rsidRPr="00024D5A">
              <w:rPr>
                <w:rFonts w:ascii="Garamond" w:eastAsia="Times New Roman" w:hAnsi="Garamond"/>
                <w:b/>
                <w:bCs/>
                <w:sz w:val="6"/>
                <w:szCs w:val="16"/>
                <w:lang w:eastAsia="en-US"/>
              </w:rPr>
              <w:t xml:space="preserve">shoqatat </w:t>
            </w:r>
            <w:r w:rsidRPr="00024D5A">
              <w:rPr>
                <w:rFonts w:ascii="Garamond" w:eastAsia="Times New Roman" w:hAnsi="Garamond"/>
                <w:b/>
                <w:bCs/>
                <w:sz w:val="6"/>
                <w:szCs w:val="16"/>
                <w:lang w:eastAsia="en-US"/>
              </w:rPr>
              <w:t>e transportit/ofrues sherbimesh</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OJF/MSHMS</w:t>
            </w:r>
          </w:p>
        </w:tc>
        <w:tc>
          <w:tcPr>
            <w:tcW w:w="708" w:type="dxa"/>
            <w:tcBorders>
              <w:top w:val="nil"/>
              <w:left w:val="nil"/>
              <w:bottom w:val="single" w:sz="4" w:space="0" w:color="auto"/>
              <w:right w:val="nil"/>
            </w:tcBorders>
            <w:shd w:val="clear" w:color="000000" w:fill="FDE9D9"/>
            <w:hideMark/>
          </w:tcPr>
          <w:p w14:paraId="63ED1696" w14:textId="6897AD9F"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1,923</w:t>
            </w:r>
          </w:p>
        </w:tc>
        <w:tc>
          <w:tcPr>
            <w:tcW w:w="567" w:type="dxa"/>
            <w:tcBorders>
              <w:top w:val="nil"/>
              <w:left w:val="single" w:sz="4" w:space="0" w:color="auto"/>
              <w:bottom w:val="single" w:sz="4" w:space="0" w:color="auto"/>
              <w:right w:val="nil"/>
            </w:tcBorders>
            <w:shd w:val="clear" w:color="000000" w:fill="FDE9D9"/>
            <w:hideMark/>
          </w:tcPr>
          <w:p w14:paraId="198861EB" w14:textId="193BEDDB"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2,534</w:t>
            </w:r>
          </w:p>
        </w:tc>
        <w:tc>
          <w:tcPr>
            <w:tcW w:w="567" w:type="dxa"/>
            <w:tcBorders>
              <w:top w:val="nil"/>
              <w:left w:val="single" w:sz="4" w:space="0" w:color="auto"/>
              <w:bottom w:val="single" w:sz="4" w:space="0" w:color="auto"/>
              <w:right w:val="nil"/>
            </w:tcBorders>
            <w:shd w:val="clear" w:color="000000" w:fill="FDE9D9"/>
            <w:hideMark/>
          </w:tcPr>
          <w:p w14:paraId="20213DA7" w14:textId="20EDA7D1"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1,848</w:t>
            </w:r>
          </w:p>
        </w:tc>
        <w:tc>
          <w:tcPr>
            <w:tcW w:w="1134" w:type="dxa"/>
            <w:tcBorders>
              <w:top w:val="nil"/>
              <w:left w:val="single" w:sz="4" w:space="0" w:color="auto"/>
              <w:bottom w:val="single" w:sz="4" w:space="0" w:color="auto"/>
              <w:right w:val="nil"/>
            </w:tcBorders>
            <w:shd w:val="clear" w:color="000000" w:fill="FDE9D9"/>
            <w:hideMark/>
          </w:tcPr>
          <w:p w14:paraId="3646FBDF" w14:textId="6F7DFA41"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1,136</w:t>
            </w:r>
          </w:p>
        </w:tc>
        <w:tc>
          <w:tcPr>
            <w:tcW w:w="1615" w:type="dxa"/>
            <w:tcBorders>
              <w:top w:val="nil"/>
              <w:left w:val="single" w:sz="4" w:space="0" w:color="auto"/>
              <w:bottom w:val="single" w:sz="4" w:space="0" w:color="auto"/>
              <w:right w:val="nil"/>
            </w:tcBorders>
            <w:shd w:val="clear" w:color="000000" w:fill="FDE9D9"/>
            <w:hideMark/>
          </w:tcPr>
          <w:p w14:paraId="5C39696F" w14:textId="60C1FBA8"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1,136</w:t>
            </w:r>
          </w:p>
        </w:tc>
      </w:tr>
      <w:tr w:rsidR="00B807EE" w:rsidRPr="00024D5A" w14:paraId="527CDAB5"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DCE6F1"/>
            <w:hideMark/>
          </w:tcPr>
          <w:p w14:paraId="7AE2F63C" w14:textId="689AB3E0"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Masa prioritare 2.1</w:t>
            </w:r>
            <w:r w:rsidR="003526AF">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Zbatimi praktik dhe monitorimi i standardeve të aksesueshmërisë në transportin publik, në përputhje me standardet e Bashkimit Evropian, përmes përmirësimit të aksesueshmërisë në mjetet e transportit publik urban transportit publik urban dhe ndërqytetas, zhvillimit të infrastrukturës dhe shërbimeve të përshtatura për personat me aftësi të kufizuara, forcimit të bashkëpunimit ndërinstitucional dhe ndërmarrjes së masave ndërgjegjësuese për ndryshimin e qasjeve dhe sjelljeve ndaj kësaj kategorie.</w:t>
            </w:r>
          </w:p>
        </w:tc>
        <w:tc>
          <w:tcPr>
            <w:tcW w:w="567" w:type="dxa"/>
            <w:tcBorders>
              <w:top w:val="nil"/>
              <w:left w:val="nil"/>
              <w:bottom w:val="single" w:sz="4" w:space="0" w:color="auto"/>
              <w:right w:val="single" w:sz="4" w:space="0" w:color="auto"/>
            </w:tcBorders>
            <w:shd w:val="clear" w:color="000000" w:fill="DCE6F1"/>
            <w:hideMark/>
          </w:tcPr>
          <w:p w14:paraId="700D42AC"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nil"/>
            </w:tcBorders>
            <w:shd w:val="clear" w:color="000000" w:fill="DCE6F1"/>
            <w:hideMark/>
          </w:tcPr>
          <w:p w14:paraId="47C3A975"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single" w:sz="4" w:space="0" w:color="auto"/>
              <w:bottom w:val="single" w:sz="4" w:space="0" w:color="auto"/>
              <w:right w:val="single" w:sz="4" w:space="0" w:color="auto"/>
            </w:tcBorders>
            <w:shd w:val="clear" w:color="000000" w:fill="DCE6F1"/>
            <w:hideMark/>
          </w:tcPr>
          <w:p w14:paraId="3848D9C7"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MIE/NJVQK/DPSHTRR/MSHMS/KMD/BASHKIA</w:t>
            </w:r>
          </w:p>
        </w:tc>
        <w:tc>
          <w:tcPr>
            <w:tcW w:w="1418" w:type="dxa"/>
            <w:tcBorders>
              <w:top w:val="nil"/>
              <w:left w:val="nil"/>
              <w:bottom w:val="single" w:sz="4" w:space="0" w:color="auto"/>
              <w:right w:val="single" w:sz="4" w:space="0" w:color="auto"/>
            </w:tcBorders>
            <w:shd w:val="clear" w:color="000000" w:fill="DCE6F1"/>
            <w:hideMark/>
          </w:tcPr>
          <w:p w14:paraId="5DD76CD3" w14:textId="0B0B123B"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DPSHTRR/Bashkit</w:t>
            </w:r>
            <w:r w:rsidR="000B2295"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w:t>
            </w:r>
            <w:r w:rsidR="00070BC1" w:rsidRPr="00024D5A">
              <w:rPr>
                <w:rFonts w:ascii="Garamond" w:eastAsia="Times New Roman" w:hAnsi="Garamond"/>
                <w:sz w:val="6"/>
                <w:szCs w:val="16"/>
                <w:lang w:eastAsia="en-US"/>
              </w:rPr>
              <w:t>dhe</w:t>
            </w:r>
            <w:r w:rsidRPr="00024D5A">
              <w:rPr>
                <w:rFonts w:ascii="Garamond" w:eastAsia="Times New Roman" w:hAnsi="Garamond"/>
                <w:sz w:val="6"/>
                <w:szCs w:val="16"/>
                <w:lang w:eastAsia="en-US"/>
              </w:rPr>
              <w:t xml:space="preserve"> </w:t>
            </w:r>
            <w:r w:rsidR="00070BC1" w:rsidRPr="00024D5A">
              <w:rPr>
                <w:rFonts w:ascii="Garamond" w:eastAsia="Times New Roman" w:hAnsi="Garamond"/>
                <w:sz w:val="6"/>
                <w:szCs w:val="16"/>
                <w:lang w:eastAsia="en-US"/>
              </w:rPr>
              <w:t xml:space="preserve">shoqatat </w:t>
            </w:r>
            <w:r w:rsidRPr="00024D5A">
              <w:rPr>
                <w:rFonts w:ascii="Garamond" w:eastAsia="Times New Roman" w:hAnsi="Garamond"/>
                <w:sz w:val="6"/>
                <w:szCs w:val="16"/>
                <w:lang w:eastAsia="en-US"/>
              </w:rPr>
              <w:t>e transportit/ofrues sh</w:t>
            </w:r>
            <w:r w:rsidR="000B2295"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rbimesh</w:t>
            </w:r>
            <w:r w:rsidR="007675EC"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OJF/MSHMS</w:t>
            </w:r>
          </w:p>
        </w:tc>
        <w:tc>
          <w:tcPr>
            <w:tcW w:w="708" w:type="dxa"/>
            <w:tcBorders>
              <w:top w:val="nil"/>
              <w:left w:val="nil"/>
              <w:bottom w:val="single" w:sz="4" w:space="0" w:color="auto"/>
              <w:right w:val="nil"/>
            </w:tcBorders>
            <w:shd w:val="clear" w:color="000000" w:fill="DCE6F1"/>
            <w:hideMark/>
          </w:tcPr>
          <w:p w14:paraId="2C76CA12" w14:textId="15A12296"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1,923</w:t>
            </w:r>
          </w:p>
        </w:tc>
        <w:tc>
          <w:tcPr>
            <w:tcW w:w="567" w:type="dxa"/>
            <w:tcBorders>
              <w:top w:val="nil"/>
              <w:left w:val="single" w:sz="4" w:space="0" w:color="auto"/>
              <w:bottom w:val="single" w:sz="4" w:space="0" w:color="auto"/>
              <w:right w:val="nil"/>
            </w:tcBorders>
            <w:shd w:val="clear" w:color="000000" w:fill="DCE6F1"/>
            <w:hideMark/>
          </w:tcPr>
          <w:p w14:paraId="6432F233" w14:textId="7EACAD9E"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2,534</w:t>
            </w:r>
          </w:p>
        </w:tc>
        <w:tc>
          <w:tcPr>
            <w:tcW w:w="567" w:type="dxa"/>
            <w:tcBorders>
              <w:top w:val="nil"/>
              <w:left w:val="single" w:sz="4" w:space="0" w:color="auto"/>
              <w:bottom w:val="single" w:sz="4" w:space="0" w:color="auto"/>
              <w:right w:val="nil"/>
            </w:tcBorders>
            <w:shd w:val="clear" w:color="000000" w:fill="DCE6F1"/>
            <w:hideMark/>
          </w:tcPr>
          <w:p w14:paraId="11826A51" w14:textId="6B9D08B2"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1,848</w:t>
            </w:r>
          </w:p>
        </w:tc>
        <w:tc>
          <w:tcPr>
            <w:tcW w:w="1134" w:type="dxa"/>
            <w:tcBorders>
              <w:top w:val="nil"/>
              <w:left w:val="single" w:sz="4" w:space="0" w:color="auto"/>
              <w:bottom w:val="single" w:sz="4" w:space="0" w:color="auto"/>
              <w:right w:val="nil"/>
            </w:tcBorders>
            <w:shd w:val="clear" w:color="000000" w:fill="DCE6F1"/>
            <w:hideMark/>
          </w:tcPr>
          <w:p w14:paraId="53356C75" w14:textId="3E701B8F"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1,136</w:t>
            </w:r>
          </w:p>
        </w:tc>
        <w:tc>
          <w:tcPr>
            <w:tcW w:w="1615" w:type="dxa"/>
            <w:tcBorders>
              <w:top w:val="nil"/>
              <w:left w:val="single" w:sz="4" w:space="0" w:color="auto"/>
              <w:bottom w:val="single" w:sz="4" w:space="0" w:color="auto"/>
              <w:right w:val="nil"/>
            </w:tcBorders>
            <w:shd w:val="clear" w:color="000000" w:fill="DCE6F1"/>
            <w:hideMark/>
          </w:tcPr>
          <w:p w14:paraId="438EA5D6" w14:textId="79CA26D3"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1,136</w:t>
            </w:r>
          </w:p>
        </w:tc>
      </w:tr>
      <w:tr w:rsidR="00B807EE" w:rsidRPr="00024D5A" w14:paraId="0849AFA8"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1ADF3509"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567" w:type="dxa"/>
            <w:tcBorders>
              <w:top w:val="nil"/>
              <w:left w:val="nil"/>
              <w:bottom w:val="single" w:sz="4" w:space="0" w:color="auto"/>
              <w:right w:val="single" w:sz="4" w:space="0" w:color="auto"/>
            </w:tcBorders>
            <w:hideMark/>
          </w:tcPr>
          <w:p w14:paraId="0002679A"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567" w:type="dxa"/>
            <w:tcBorders>
              <w:top w:val="nil"/>
              <w:left w:val="nil"/>
              <w:bottom w:val="single" w:sz="4" w:space="0" w:color="auto"/>
              <w:right w:val="nil"/>
            </w:tcBorders>
            <w:hideMark/>
          </w:tcPr>
          <w:p w14:paraId="774D1D70"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1134" w:type="dxa"/>
            <w:tcBorders>
              <w:top w:val="nil"/>
              <w:left w:val="single" w:sz="4" w:space="0" w:color="auto"/>
              <w:bottom w:val="single" w:sz="4" w:space="0" w:color="auto"/>
              <w:right w:val="single" w:sz="4" w:space="0" w:color="auto"/>
            </w:tcBorders>
            <w:hideMark/>
          </w:tcPr>
          <w:p w14:paraId="646F4F1E"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1418" w:type="dxa"/>
            <w:tcBorders>
              <w:top w:val="nil"/>
              <w:left w:val="nil"/>
              <w:bottom w:val="single" w:sz="4" w:space="0" w:color="auto"/>
              <w:right w:val="single" w:sz="4" w:space="0" w:color="auto"/>
            </w:tcBorders>
            <w:hideMark/>
          </w:tcPr>
          <w:p w14:paraId="1D3B1C13"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708" w:type="dxa"/>
            <w:tcBorders>
              <w:top w:val="nil"/>
              <w:left w:val="nil"/>
              <w:bottom w:val="single" w:sz="4" w:space="0" w:color="auto"/>
              <w:right w:val="single" w:sz="4" w:space="0" w:color="auto"/>
            </w:tcBorders>
            <w:hideMark/>
          </w:tcPr>
          <w:p w14:paraId="7FB0C723" w14:textId="518BA01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3BD4796F" w14:textId="7489185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0</w:t>
            </w:r>
          </w:p>
        </w:tc>
        <w:tc>
          <w:tcPr>
            <w:tcW w:w="567" w:type="dxa"/>
            <w:tcBorders>
              <w:top w:val="nil"/>
              <w:left w:val="nil"/>
              <w:bottom w:val="single" w:sz="4" w:space="0" w:color="auto"/>
              <w:right w:val="single" w:sz="4" w:space="0" w:color="auto"/>
            </w:tcBorders>
            <w:hideMark/>
          </w:tcPr>
          <w:p w14:paraId="61436A91" w14:textId="4A77FC8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0</w:t>
            </w:r>
          </w:p>
        </w:tc>
        <w:tc>
          <w:tcPr>
            <w:tcW w:w="1134" w:type="dxa"/>
            <w:tcBorders>
              <w:top w:val="nil"/>
              <w:left w:val="nil"/>
              <w:bottom w:val="single" w:sz="4" w:space="0" w:color="auto"/>
              <w:right w:val="single" w:sz="4" w:space="0" w:color="auto"/>
            </w:tcBorders>
            <w:hideMark/>
          </w:tcPr>
          <w:p w14:paraId="725C354F" w14:textId="78208E8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0</w:t>
            </w:r>
          </w:p>
        </w:tc>
        <w:tc>
          <w:tcPr>
            <w:tcW w:w="1615" w:type="dxa"/>
            <w:tcBorders>
              <w:top w:val="nil"/>
              <w:left w:val="nil"/>
              <w:bottom w:val="single" w:sz="4" w:space="0" w:color="auto"/>
              <w:right w:val="single" w:sz="4" w:space="0" w:color="auto"/>
            </w:tcBorders>
            <w:hideMark/>
          </w:tcPr>
          <w:p w14:paraId="56760279" w14:textId="1409B58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0</w:t>
            </w:r>
          </w:p>
        </w:tc>
      </w:tr>
      <w:tr w:rsidR="00B807EE" w:rsidRPr="00024D5A" w14:paraId="7E84022C"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0DE46F6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567" w:type="dxa"/>
            <w:tcBorders>
              <w:top w:val="nil"/>
              <w:left w:val="nil"/>
              <w:bottom w:val="single" w:sz="4" w:space="0" w:color="auto"/>
              <w:right w:val="single" w:sz="4" w:space="0" w:color="auto"/>
            </w:tcBorders>
            <w:hideMark/>
          </w:tcPr>
          <w:p w14:paraId="0F91FB0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567" w:type="dxa"/>
            <w:tcBorders>
              <w:top w:val="nil"/>
              <w:left w:val="nil"/>
              <w:bottom w:val="single" w:sz="4" w:space="0" w:color="auto"/>
              <w:right w:val="single" w:sz="4" w:space="0" w:color="auto"/>
            </w:tcBorders>
            <w:hideMark/>
          </w:tcPr>
          <w:p w14:paraId="6E5777F5"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1134" w:type="dxa"/>
            <w:tcBorders>
              <w:top w:val="nil"/>
              <w:left w:val="nil"/>
              <w:bottom w:val="single" w:sz="4" w:space="0" w:color="auto"/>
              <w:right w:val="single" w:sz="4" w:space="0" w:color="auto"/>
            </w:tcBorders>
            <w:hideMark/>
          </w:tcPr>
          <w:p w14:paraId="2CA1D1FD"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1418" w:type="dxa"/>
            <w:tcBorders>
              <w:top w:val="nil"/>
              <w:left w:val="nil"/>
              <w:bottom w:val="single" w:sz="4" w:space="0" w:color="auto"/>
              <w:right w:val="single" w:sz="8" w:space="0" w:color="auto"/>
            </w:tcBorders>
            <w:hideMark/>
          </w:tcPr>
          <w:p w14:paraId="5701A49C"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708" w:type="dxa"/>
            <w:tcBorders>
              <w:top w:val="nil"/>
              <w:left w:val="single" w:sz="4" w:space="0" w:color="auto"/>
              <w:bottom w:val="single" w:sz="4" w:space="0" w:color="auto"/>
              <w:right w:val="single" w:sz="4" w:space="0" w:color="auto"/>
            </w:tcBorders>
            <w:hideMark/>
          </w:tcPr>
          <w:p w14:paraId="7514DC5F" w14:textId="7453B33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3C571156" w14:textId="4A0E23A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0</w:t>
            </w:r>
          </w:p>
        </w:tc>
        <w:tc>
          <w:tcPr>
            <w:tcW w:w="567" w:type="dxa"/>
            <w:tcBorders>
              <w:top w:val="nil"/>
              <w:left w:val="nil"/>
              <w:bottom w:val="single" w:sz="4" w:space="0" w:color="auto"/>
              <w:right w:val="single" w:sz="4" w:space="0" w:color="auto"/>
            </w:tcBorders>
            <w:hideMark/>
          </w:tcPr>
          <w:p w14:paraId="7340EE93" w14:textId="1B7AE18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0</w:t>
            </w:r>
          </w:p>
        </w:tc>
        <w:tc>
          <w:tcPr>
            <w:tcW w:w="1134" w:type="dxa"/>
            <w:tcBorders>
              <w:top w:val="nil"/>
              <w:left w:val="nil"/>
              <w:bottom w:val="single" w:sz="4" w:space="0" w:color="auto"/>
              <w:right w:val="single" w:sz="4" w:space="0" w:color="auto"/>
            </w:tcBorders>
            <w:hideMark/>
          </w:tcPr>
          <w:p w14:paraId="1D0D718B" w14:textId="542B282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0</w:t>
            </w:r>
          </w:p>
        </w:tc>
        <w:tc>
          <w:tcPr>
            <w:tcW w:w="1615" w:type="dxa"/>
            <w:tcBorders>
              <w:top w:val="nil"/>
              <w:left w:val="nil"/>
              <w:bottom w:val="single" w:sz="4" w:space="0" w:color="auto"/>
              <w:right w:val="single" w:sz="4" w:space="0" w:color="auto"/>
            </w:tcBorders>
            <w:hideMark/>
          </w:tcPr>
          <w:p w14:paraId="27C9A9CE" w14:textId="16AF27E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0</w:t>
            </w:r>
          </w:p>
        </w:tc>
      </w:tr>
      <w:tr w:rsidR="00B807EE" w:rsidRPr="00024D5A" w14:paraId="676E9D64"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295456FC" w14:textId="3BDF51A3"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2.1.1 Të rregullohet me akte administrative dhe të financohen projekte/operatorë që ofrojnë transport derë më derë për personat me aftësi të kufizuara në karrige me rrota.</w:t>
            </w:r>
          </w:p>
        </w:tc>
        <w:tc>
          <w:tcPr>
            <w:tcW w:w="567" w:type="dxa"/>
            <w:tcBorders>
              <w:top w:val="nil"/>
              <w:left w:val="nil"/>
              <w:bottom w:val="single" w:sz="4" w:space="0" w:color="auto"/>
              <w:right w:val="single" w:sz="4" w:space="0" w:color="auto"/>
            </w:tcBorders>
            <w:hideMark/>
          </w:tcPr>
          <w:p w14:paraId="2399C4E9"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2027</w:t>
            </w:r>
          </w:p>
        </w:tc>
        <w:tc>
          <w:tcPr>
            <w:tcW w:w="567" w:type="dxa"/>
            <w:tcBorders>
              <w:top w:val="nil"/>
              <w:left w:val="nil"/>
              <w:bottom w:val="single" w:sz="4" w:space="0" w:color="auto"/>
              <w:right w:val="single" w:sz="4" w:space="0" w:color="auto"/>
            </w:tcBorders>
            <w:hideMark/>
          </w:tcPr>
          <w:p w14:paraId="5D23DD6F"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2028</w:t>
            </w:r>
          </w:p>
        </w:tc>
        <w:tc>
          <w:tcPr>
            <w:tcW w:w="1134" w:type="dxa"/>
            <w:tcBorders>
              <w:top w:val="nil"/>
              <w:left w:val="nil"/>
              <w:bottom w:val="single" w:sz="4" w:space="0" w:color="auto"/>
              <w:right w:val="single" w:sz="4" w:space="0" w:color="auto"/>
            </w:tcBorders>
            <w:hideMark/>
          </w:tcPr>
          <w:p w14:paraId="43F2CD68"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MIE</w:t>
            </w:r>
          </w:p>
        </w:tc>
        <w:tc>
          <w:tcPr>
            <w:tcW w:w="1418" w:type="dxa"/>
            <w:tcBorders>
              <w:top w:val="nil"/>
              <w:left w:val="nil"/>
              <w:bottom w:val="single" w:sz="4" w:space="0" w:color="auto"/>
              <w:right w:val="single" w:sz="8" w:space="0" w:color="auto"/>
            </w:tcBorders>
            <w:hideMark/>
          </w:tcPr>
          <w:p w14:paraId="54BEDFB4" w14:textId="7A87F293"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Bashkit</w:t>
            </w:r>
            <w:r w:rsidR="005A46ED">
              <w:rPr>
                <w:rFonts w:ascii="Garamond" w:eastAsia="Times New Roman" w:hAnsi="Garamond"/>
                <w:sz w:val="6"/>
                <w:szCs w:val="16"/>
                <w:lang w:eastAsia="en-US"/>
              </w:rPr>
              <w:t>ë</w:t>
            </w:r>
            <w:r w:rsidR="007675EC"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ofrues </w:t>
            </w:r>
            <w:r w:rsidR="005A46ED" w:rsidRPr="00024D5A">
              <w:rPr>
                <w:rFonts w:ascii="Garamond" w:eastAsia="Times New Roman" w:hAnsi="Garamond"/>
                <w:sz w:val="6"/>
                <w:szCs w:val="16"/>
                <w:lang w:eastAsia="en-US"/>
              </w:rPr>
              <w:t>shërbimesh</w:t>
            </w:r>
            <w:r w:rsidRPr="00024D5A">
              <w:rPr>
                <w:rFonts w:ascii="Garamond" w:eastAsia="Times New Roman" w:hAnsi="Garamond"/>
                <w:sz w:val="6"/>
                <w:szCs w:val="16"/>
                <w:lang w:eastAsia="en-US"/>
              </w:rPr>
              <w:t>/</w:t>
            </w:r>
            <w:r w:rsidR="00BA4F73" w:rsidRPr="00024D5A">
              <w:rPr>
                <w:rFonts w:ascii="Garamond" w:eastAsia="Times New Roman" w:hAnsi="Garamond"/>
                <w:sz w:val="6"/>
                <w:szCs w:val="16"/>
                <w:lang w:eastAsia="en-US"/>
              </w:rPr>
              <w:t>OJF</w:t>
            </w:r>
          </w:p>
        </w:tc>
        <w:tc>
          <w:tcPr>
            <w:tcW w:w="708" w:type="dxa"/>
            <w:tcBorders>
              <w:top w:val="nil"/>
              <w:left w:val="single" w:sz="4" w:space="0" w:color="auto"/>
              <w:bottom w:val="single" w:sz="4" w:space="0" w:color="auto"/>
              <w:right w:val="single" w:sz="4" w:space="0" w:color="auto"/>
            </w:tcBorders>
            <w:hideMark/>
          </w:tcPr>
          <w:p w14:paraId="3998DCD3" w14:textId="585E7E6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385C5BBA" w14:textId="3C23E7E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711</w:t>
            </w:r>
          </w:p>
        </w:tc>
        <w:tc>
          <w:tcPr>
            <w:tcW w:w="567" w:type="dxa"/>
            <w:tcBorders>
              <w:top w:val="nil"/>
              <w:left w:val="nil"/>
              <w:bottom w:val="single" w:sz="4" w:space="0" w:color="auto"/>
              <w:right w:val="single" w:sz="4" w:space="0" w:color="auto"/>
            </w:tcBorders>
            <w:hideMark/>
          </w:tcPr>
          <w:p w14:paraId="4A37B693" w14:textId="48850C8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711</w:t>
            </w:r>
          </w:p>
        </w:tc>
        <w:tc>
          <w:tcPr>
            <w:tcW w:w="1134" w:type="dxa"/>
            <w:tcBorders>
              <w:top w:val="nil"/>
              <w:left w:val="nil"/>
              <w:bottom w:val="single" w:sz="4" w:space="0" w:color="auto"/>
              <w:right w:val="single" w:sz="4" w:space="0" w:color="auto"/>
            </w:tcBorders>
            <w:hideMark/>
          </w:tcPr>
          <w:p w14:paraId="56641498" w14:textId="333F191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0</w:t>
            </w:r>
          </w:p>
        </w:tc>
        <w:tc>
          <w:tcPr>
            <w:tcW w:w="1615" w:type="dxa"/>
            <w:tcBorders>
              <w:top w:val="nil"/>
              <w:left w:val="nil"/>
              <w:bottom w:val="single" w:sz="4" w:space="0" w:color="auto"/>
              <w:right w:val="single" w:sz="4" w:space="0" w:color="auto"/>
            </w:tcBorders>
            <w:hideMark/>
          </w:tcPr>
          <w:p w14:paraId="5876FA56" w14:textId="16B29D7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0</w:t>
            </w:r>
          </w:p>
        </w:tc>
      </w:tr>
      <w:tr w:rsidR="00B807EE" w:rsidRPr="00024D5A" w14:paraId="16DB96FF"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1998F19A" w14:textId="4D44F16B"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2.1.2 Përgatitja e një Kodi Etike</w:t>
            </w:r>
            <w:r w:rsidR="000A3216"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me synim përmirësimin e komunikimit dhe terminologjisë gjatë ndërveprimit me pasagjerët me aftësi të kufizuara.</w:t>
            </w:r>
            <w:r w:rsidR="008F29FA" w:rsidRPr="00024D5A">
              <w:rPr>
                <w:rFonts w:ascii="Garamond" w:eastAsia="Times New Roman" w:hAnsi="Garamond"/>
                <w:sz w:val="6"/>
                <w:szCs w:val="16"/>
                <w:lang w:eastAsia="en-US"/>
              </w:rPr>
              <w:t xml:space="preserve"> </w:t>
            </w:r>
          </w:p>
        </w:tc>
        <w:tc>
          <w:tcPr>
            <w:tcW w:w="567" w:type="dxa"/>
            <w:tcBorders>
              <w:top w:val="nil"/>
              <w:left w:val="nil"/>
              <w:bottom w:val="single" w:sz="4" w:space="0" w:color="auto"/>
              <w:right w:val="single" w:sz="4" w:space="0" w:color="auto"/>
            </w:tcBorders>
            <w:hideMark/>
          </w:tcPr>
          <w:p w14:paraId="1B79667B"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single" w:sz="4" w:space="0" w:color="auto"/>
            </w:tcBorders>
            <w:hideMark/>
          </w:tcPr>
          <w:p w14:paraId="1B5D45BE"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2027</w:t>
            </w:r>
          </w:p>
        </w:tc>
        <w:tc>
          <w:tcPr>
            <w:tcW w:w="1134" w:type="dxa"/>
            <w:tcBorders>
              <w:top w:val="nil"/>
              <w:left w:val="nil"/>
              <w:bottom w:val="single" w:sz="4" w:space="0" w:color="auto"/>
              <w:right w:val="single" w:sz="4" w:space="0" w:color="auto"/>
            </w:tcBorders>
            <w:hideMark/>
          </w:tcPr>
          <w:p w14:paraId="64494152"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MIE</w:t>
            </w:r>
          </w:p>
        </w:tc>
        <w:tc>
          <w:tcPr>
            <w:tcW w:w="1418" w:type="dxa"/>
            <w:tcBorders>
              <w:top w:val="nil"/>
              <w:left w:val="nil"/>
              <w:bottom w:val="single" w:sz="4" w:space="0" w:color="auto"/>
              <w:right w:val="single" w:sz="8" w:space="0" w:color="auto"/>
            </w:tcBorders>
            <w:hideMark/>
          </w:tcPr>
          <w:p w14:paraId="695BC293" w14:textId="4220BEF8"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Bashkit</w:t>
            </w:r>
            <w:r w:rsidR="00070BC1" w:rsidRPr="00024D5A">
              <w:rPr>
                <w:rFonts w:ascii="Garamond" w:eastAsia="Times New Roman" w:hAnsi="Garamond"/>
                <w:sz w:val="6"/>
                <w:szCs w:val="16"/>
                <w:lang w:eastAsia="en-US"/>
              </w:rPr>
              <w:t>ë</w:t>
            </w:r>
          </w:p>
        </w:tc>
        <w:tc>
          <w:tcPr>
            <w:tcW w:w="708" w:type="dxa"/>
            <w:tcBorders>
              <w:top w:val="nil"/>
              <w:left w:val="single" w:sz="4" w:space="0" w:color="auto"/>
              <w:bottom w:val="single" w:sz="4" w:space="0" w:color="auto"/>
              <w:right w:val="single" w:sz="4" w:space="0" w:color="auto"/>
            </w:tcBorders>
            <w:hideMark/>
          </w:tcPr>
          <w:p w14:paraId="00446ECD" w14:textId="2D17573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786</w:t>
            </w:r>
          </w:p>
        </w:tc>
        <w:tc>
          <w:tcPr>
            <w:tcW w:w="567" w:type="dxa"/>
            <w:tcBorders>
              <w:top w:val="nil"/>
              <w:left w:val="nil"/>
              <w:bottom w:val="single" w:sz="4" w:space="0" w:color="auto"/>
              <w:right w:val="single" w:sz="4" w:space="0" w:color="auto"/>
            </w:tcBorders>
            <w:hideMark/>
          </w:tcPr>
          <w:p w14:paraId="5C5B6971" w14:textId="737A149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686</w:t>
            </w:r>
          </w:p>
        </w:tc>
        <w:tc>
          <w:tcPr>
            <w:tcW w:w="567" w:type="dxa"/>
            <w:tcBorders>
              <w:top w:val="nil"/>
              <w:left w:val="nil"/>
              <w:bottom w:val="single" w:sz="4" w:space="0" w:color="auto"/>
              <w:right w:val="single" w:sz="4" w:space="0" w:color="auto"/>
            </w:tcBorders>
            <w:hideMark/>
          </w:tcPr>
          <w:p w14:paraId="39E8EC05" w14:textId="2D752B3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0</w:t>
            </w:r>
          </w:p>
        </w:tc>
        <w:tc>
          <w:tcPr>
            <w:tcW w:w="1134" w:type="dxa"/>
            <w:tcBorders>
              <w:top w:val="nil"/>
              <w:left w:val="nil"/>
              <w:bottom w:val="single" w:sz="4" w:space="0" w:color="auto"/>
              <w:right w:val="single" w:sz="4" w:space="0" w:color="auto"/>
            </w:tcBorders>
            <w:hideMark/>
          </w:tcPr>
          <w:p w14:paraId="37B3471F" w14:textId="0306C92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0</w:t>
            </w:r>
          </w:p>
        </w:tc>
        <w:tc>
          <w:tcPr>
            <w:tcW w:w="1615" w:type="dxa"/>
            <w:tcBorders>
              <w:top w:val="nil"/>
              <w:left w:val="nil"/>
              <w:bottom w:val="single" w:sz="4" w:space="0" w:color="auto"/>
              <w:right w:val="single" w:sz="4" w:space="0" w:color="auto"/>
            </w:tcBorders>
            <w:hideMark/>
          </w:tcPr>
          <w:p w14:paraId="73BC38CA" w14:textId="365F822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0</w:t>
            </w:r>
          </w:p>
        </w:tc>
      </w:tr>
      <w:tr w:rsidR="00B807EE" w:rsidRPr="00024D5A" w14:paraId="0F19CF5D"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013C60A0" w14:textId="1CF8C500"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2.1.3</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T</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zbatohet legjislacioni sipas standardeve p</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r rezervimin e vendeve t</w:t>
            </w:r>
            <w:r w:rsidR="0059189E" w:rsidRPr="00024D5A">
              <w:rPr>
                <w:rFonts w:ascii="Garamond" w:eastAsia="Times New Roman" w:hAnsi="Garamond"/>
                <w:sz w:val="6"/>
                <w:szCs w:val="16"/>
                <w:lang w:eastAsia="en-US"/>
              </w:rPr>
              <w:t>ë</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parkimeve p</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r mjetet e personave me aft</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si t</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kufizuara, n</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w:t>
            </w:r>
            <w:r w:rsidR="000A3216" w:rsidRPr="00024D5A">
              <w:rPr>
                <w:rFonts w:ascii="Garamond" w:eastAsia="Times New Roman" w:hAnsi="Garamond"/>
                <w:sz w:val="6"/>
                <w:szCs w:val="16"/>
                <w:lang w:eastAsia="en-US"/>
              </w:rPr>
              <w:t>çdo</w:t>
            </w:r>
            <w:r w:rsidRPr="00024D5A">
              <w:rPr>
                <w:rFonts w:ascii="Garamond" w:eastAsia="Times New Roman" w:hAnsi="Garamond"/>
                <w:sz w:val="6"/>
                <w:szCs w:val="16"/>
                <w:lang w:eastAsia="en-US"/>
              </w:rPr>
              <w:t xml:space="preserve"> hap</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sir</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p</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r parkime pran</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institucioneve publike dhe private.</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Autorizimi p</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r shfryt</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zimin e parkimit falas t</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jet</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p</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r p</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rdorim </w:t>
            </w:r>
            <w:r w:rsidR="0059189E" w:rsidRPr="00024D5A">
              <w:rPr>
                <w:rFonts w:ascii="Garamond" w:eastAsia="Times New Roman" w:hAnsi="Garamond"/>
                <w:sz w:val="6"/>
                <w:szCs w:val="16"/>
                <w:lang w:eastAsia="en-US"/>
              </w:rPr>
              <w:t>në</w:t>
            </w:r>
            <w:r w:rsidRPr="00024D5A">
              <w:rPr>
                <w:rFonts w:ascii="Garamond" w:eastAsia="Times New Roman" w:hAnsi="Garamond"/>
                <w:sz w:val="6"/>
                <w:szCs w:val="16"/>
                <w:lang w:eastAsia="en-US"/>
              </w:rPr>
              <w:t xml:space="preserve"> nivel komb</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tar.</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T</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ofrohet sh</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rbim me taxi t</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p</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rshtatura nga kompanit</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e taksive.</w:t>
            </w:r>
          </w:p>
        </w:tc>
        <w:tc>
          <w:tcPr>
            <w:tcW w:w="567" w:type="dxa"/>
            <w:tcBorders>
              <w:top w:val="nil"/>
              <w:left w:val="nil"/>
              <w:bottom w:val="single" w:sz="4" w:space="0" w:color="auto"/>
              <w:right w:val="single" w:sz="4" w:space="0" w:color="auto"/>
            </w:tcBorders>
            <w:hideMark/>
          </w:tcPr>
          <w:p w14:paraId="04537F25"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single" w:sz="4" w:space="0" w:color="auto"/>
            </w:tcBorders>
            <w:hideMark/>
          </w:tcPr>
          <w:p w14:paraId="12415795"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nil"/>
              <w:bottom w:val="single" w:sz="4" w:space="0" w:color="auto"/>
              <w:right w:val="single" w:sz="4" w:space="0" w:color="auto"/>
            </w:tcBorders>
            <w:hideMark/>
          </w:tcPr>
          <w:p w14:paraId="6FC9A364" w14:textId="0E210705"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MIE</w:t>
            </w:r>
            <w:r w:rsidR="007675EC"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DPSHTRR</w:t>
            </w:r>
          </w:p>
        </w:tc>
        <w:tc>
          <w:tcPr>
            <w:tcW w:w="1418" w:type="dxa"/>
            <w:tcBorders>
              <w:top w:val="nil"/>
              <w:left w:val="nil"/>
              <w:bottom w:val="single" w:sz="4" w:space="0" w:color="auto"/>
              <w:right w:val="single" w:sz="8" w:space="0" w:color="auto"/>
            </w:tcBorders>
            <w:hideMark/>
          </w:tcPr>
          <w:p w14:paraId="258E14A0" w14:textId="34ADBBF1"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Bashkit</w:t>
            </w:r>
            <w:r w:rsidR="00070BC1" w:rsidRPr="00024D5A">
              <w:rPr>
                <w:rFonts w:ascii="Garamond" w:eastAsia="Times New Roman" w:hAnsi="Garamond"/>
                <w:sz w:val="6"/>
                <w:szCs w:val="16"/>
                <w:lang w:eastAsia="en-US"/>
              </w:rPr>
              <w:t>ë</w:t>
            </w:r>
          </w:p>
        </w:tc>
        <w:tc>
          <w:tcPr>
            <w:tcW w:w="708" w:type="dxa"/>
            <w:tcBorders>
              <w:top w:val="nil"/>
              <w:left w:val="single" w:sz="4" w:space="0" w:color="auto"/>
              <w:bottom w:val="single" w:sz="4" w:space="0" w:color="auto"/>
              <w:right w:val="single" w:sz="4" w:space="0" w:color="auto"/>
            </w:tcBorders>
            <w:hideMark/>
          </w:tcPr>
          <w:p w14:paraId="56B9FF63" w14:textId="15AC318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38875AD2" w14:textId="09F4F7F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0</w:t>
            </w:r>
          </w:p>
        </w:tc>
        <w:tc>
          <w:tcPr>
            <w:tcW w:w="567" w:type="dxa"/>
            <w:tcBorders>
              <w:top w:val="nil"/>
              <w:left w:val="nil"/>
              <w:bottom w:val="single" w:sz="4" w:space="0" w:color="auto"/>
              <w:right w:val="single" w:sz="4" w:space="0" w:color="auto"/>
            </w:tcBorders>
            <w:hideMark/>
          </w:tcPr>
          <w:p w14:paraId="3BB40CAC" w14:textId="15DA66A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0</w:t>
            </w:r>
          </w:p>
        </w:tc>
        <w:tc>
          <w:tcPr>
            <w:tcW w:w="1134" w:type="dxa"/>
            <w:tcBorders>
              <w:top w:val="nil"/>
              <w:left w:val="nil"/>
              <w:bottom w:val="single" w:sz="4" w:space="0" w:color="auto"/>
              <w:right w:val="single" w:sz="4" w:space="0" w:color="auto"/>
            </w:tcBorders>
            <w:hideMark/>
          </w:tcPr>
          <w:p w14:paraId="0556E8EC" w14:textId="769FC71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0</w:t>
            </w:r>
          </w:p>
        </w:tc>
        <w:tc>
          <w:tcPr>
            <w:tcW w:w="1615" w:type="dxa"/>
            <w:tcBorders>
              <w:top w:val="nil"/>
              <w:left w:val="nil"/>
              <w:bottom w:val="single" w:sz="4" w:space="0" w:color="auto"/>
              <w:right w:val="single" w:sz="4" w:space="0" w:color="auto"/>
            </w:tcBorders>
            <w:hideMark/>
          </w:tcPr>
          <w:p w14:paraId="72324F51" w14:textId="6AA4A0D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0</w:t>
            </w:r>
          </w:p>
        </w:tc>
      </w:tr>
      <w:tr w:rsidR="00B807EE" w:rsidRPr="00024D5A" w14:paraId="2DB8ABD9"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6C34DCB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567" w:type="dxa"/>
            <w:tcBorders>
              <w:top w:val="nil"/>
              <w:left w:val="nil"/>
              <w:bottom w:val="single" w:sz="4" w:space="0" w:color="auto"/>
              <w:right w:val="single" w:sz="4" w:space="0" w:color="auto"/>
            </w:tcBorders>
            <w:hideMark/>
          </w:tcPr>
          <w:p w14:paraId="4303CEE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567" w:type="dxa"/>
            <w:tcBorders>
              <w:top w:val="nil"/>
              <w:left w:val="nil"/>
              <w:bottom w:val="single" w:sz="4" w:space="0" w:color="auto"/>
              <w:right w:val="nil"/>
            </w:tcBorders>
            <w:hideMark/>
          </w:tcPr>
          <w:p w14:paraId="0424D115"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1134" w:type="dxa"/>
            <w:tcBorders>
              <w:top w:val="nil"/>
              <w:left w:val="single" w:sz="4" w:space="0" w:color="auto"/>
              <w:bottom w:val="single" w:sz="4" w:space="0" w:color="auto"/>
              <w:right w:val="single" w:sz="4" w:space="0" w:color="auto"/>
            </w:tcBorders>
            <w:hideMark/>
          </w:tcPr>
          <w:p w14:paraId="1375B45A"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1418" w:type="dxa"/>
            <w:tcBorders>
              <w:top w:val="nil"/>
              <w:left w:val="nil"/>
              <w:bottom w:val="single" w:sz="4" w:space="0" w:color="auto"/>
              <w:right w:val="single" w:sz="4" w:space="0" w:color="auto"/>
            </w:tcBorders>
            <w:hideMark/>
          </w:tcPr>
          <w:p w14:paraId="25948A22"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708" w:type="dxa"/>
            <w:tcBorders>
              <w:top w:val="nil"/>
              <w:left w:val="nil"/>
              <w:bottom w:val="single" w:sz="4" w:space="0" w:color="auto"/>
              <w:right w:val="single" w:sz="4" w:space="0" w:color="auto"/>
            </w:tcBorders>
            <w:hideMark/>
          </w:tcPr>
          <w:p w14:paraId="4E83FEFC" w14:textId="4269048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38D9F213" w14:textId="51DE8EC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0</w:t>
            </w:r>
          </w:p>
        </w:tc>
        <w:tc>
          <w:tcPr>
            <w:tcW w:w="567" w:type="dxa"/>
            <w:tcBorders>
              <w:top w:val="nil"/>
              <w:left w:val="nil"/>
              <w:bottom w:val="single" w:sz="4" w:space="0" w:color="auto"/>
              <w:right w:val="single" w:sz="4" w:space="0" w:color="auto"/>
            </w:tcBorders>
            <w:hideMark/>
          </w:tcPr>
          <w:p w14:paraId="1C28854B" w14:textId="6218077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0</w:t>
            </w:r>
          </w:p>
        </w:tc>
        <w:tc>
          <w:tcPr>
            <w:tcW w:w="1134" w:type="dxa"/>
            <w:tcBorders>
              <w:top w:val="nil"/>
              <w:left w:val="nil"/>
              <w:bottom w:val="single" w:sz="4" w:space="0" w:color="auto"/>
              <w:right w:val="single" w:sz="4" w:space="0" w:color="auto"/>
            </w:tcBorders>
            <w:hideMark/>
          </w:tcPr>
          <w:p w14:paraId="598E3F2C" w14:textId="4EE3294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0</w:t>
            </w:r>
          </w:p>
        </w:tc>
        <w:tc>
          <w:tcPr>
            <w:tcW w:w="1615" w:type="dxa"/>
            <w:tcBorders>
              <w:top w:val="nil"/>
              <w:left w:val="nil"/>
              <w:bottom w:val="single" w:sz="4" w:space="0" w:color="auto"/>
              <w:right w:val="single" w:sz="4" w:space="0" w:color="auto"/>
            </w:tcBorders>
            <w:hideMark/>
          </w:tcPr>
          <w:p w14:paraId="411A6C47" w14:textId="7BB3B32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0</w:t>
            </w:r>
          </w:p>
        </w:tc>
      </w:tr>
      <w:tr w:rsidR="00B807EE" w:rsidRPr="00024D5A" w14:paraId="13048548"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20A56552" w14:textId="5E9E7520"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2.1. 4 Organizimi i fushatës së ndërgjegjësimit për të drejtat në transport për personat me aftësi të kufizuara, në bashkëpunim me institucionet përgjegjëse, palët e interesit dhe mediat.</w:t>
            </w:r>
          </w:p>
        </w:tc>
        <w:tc>
          <w:tcPr>
            <w:tcW w:w="567" w:type="dxa"/>
            <w:tcBorders>
              <w:top w:val="nil"/>
              <w:left w:val="nil"/>
              <w:bottom w:val="single" w:sz="4" w:space="0" w:color="auto"/>
              <w:right w:val="single" w:sz="4" w:space="0" w:color="auto"/>
            </w:tcBorders>
            <w:hideMark/>
          </w:tcPr>
          <w:p w14:paraId="042CCB31"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single" w:sz="4" w:space="0" w:color="auto"/>
            </w:tcBorders>
            <w:hideMark/>
          </w:tcPr>
          <w:p w14:paraId="457BC675"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nil"/>
              <w:bottom w:val="single" w:sz="4" w:space="0" w:color="auto"/>
              <w:right w:val="single" w:sz="4" w:space="0" w:color="auto"/>
            </w:tcBorders>
            <w:hideMark/>
          </w:tcPr>
          <w:p w14:paraId="38793E10" w14:textId="20F856FD"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MIE</w:t>
            </w:r>
            <w:r w:rsidR="007675EC"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KMD</w:t>
            </w:r>
          </w:p>
        </w:tc>
        <w:tc>
          <w:tcPr>
            <w:tcW w:w="1418" w:type="dxa"/>
            <w:tcBorders>
              <w:top w:val="nil"/>
              <w:left w:val="nil"/>
              <w:bottom w:val="single" w:sz="4" w:space="0" w:color="auto"/>
              <w:right w:val="single" w:sz="8" w:space="0" w:color="auto"/>
            </w:tcBorders>
            <w:hideMark/>
          </w:tcPr>
          <w:p w14:paraId="1E4EB133"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OJF</w:t>
            </w:r>
          </w:p>
        </w:tc>
        <w:tc>
          <w:tcPr>
            <w:tcW w:w="708" w:type="dxa"/>
            <w:tcBorders>
              <w:top w:val="nil"/>
              <w:left w:val="single" w:sz="4" w:space="0" w:color="auto"/>
              <w:bottom w:val="single" w:sz="4" w:space="0" w:color="auto"/>
              <w:right w:val="single" w:sz="4" w:space="0" w:color="auto"/>
            </w:tcBorders>
            <w:hideMark/>
          </w:tcPr>
          <w:p w14:paraId="4BF0ACA5" w14:textId="380B409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1,136</w:t>
            </w:r>
          </w:p>
        </w:tc>
        <w:tc>
          <w:tcPr>
            <w:tcW w:w="567" w:type="dxa"/>
            <w:tcBorders>
              <w:top w:val="nil"/>
              <w:left w:val="nil"/>
              <w:bottom w:val="single" w:sz="4" w:space="0" w:color="auto"/>
              <w:right w:val="single" w:sz="4" w:space="0" w:color="auto"/>
            </w:tcBorders>
            <w:hideMark/>
          </w:tcPr>
          <w:p w14:paraId="6B1C1BD7" w14:textId="22BA629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1,136</w:t>
            </w:r>
          </w:p>
        </w:tc>
        <w:tc>
          <w:tcPr>
            <w:tcW w:w="567" w:type="dxa"/>
            <w:tcBorders>
              <w:top w:val="nil"/>
              <w:left w:val="nil"/>
              <w:bottom w:val="single" w:sz="4" w:space="0" w:color="auto"/>
              <w:right w:val="single" w:sz="4" w:space="0" w:color="auto"/>
            </w:tcBorders>
            <w:hideMark/>
          </w:tcPr>
          <w:p w14:paraId="30650882" w14:textId="6365CE8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1,136</w:t>
            </w:r>
          </w:p>
        </w:tc>
        <w:tc>
          <w:tcPr>
            <w:tcW w:w="1134" w:type="dxa"/>
            <w:tcBorders>
              <w:top w:val="nil"/>
              <w:left w:val="nil"/>
              <w:bottom w:val="single" w:sz="4" w:space="0" w:color="auto"/>
              <w:right w:val="single" w:sz="4" w:space="0" w:color="auto"/>
            </w:tcBorders>
            <w:hideMark/>
          </w:tcPr>
          <w:p w14:paraId="2F043161" w14:textId="53B0819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1,136</w:t>
            </w:r>
          </w:p>
        </w:tc>
        <w:tc>
          <w:tcPr>
            <w:tcW w:w="1615" w:type="dxa"/>
            <w:tcBorders>
              <w:top w:val="nil"/>
              <w:left w:val="nil"/>
              <w:bottom w:val="single" w:sz="4" w:space="0" w:color="auto"/>
              <w:right w:val="single" w:sz="4" w:space="0" w:color="auto"/>
            </w:tcBorders>
            <w:hideMark/>
          </w:tcPr>
          <w:p w14:paraId="4EE71B06" w14:textId="3569077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1,136</w:t>
            </w:r>
          </w:p>
        </w:tc>
      </w:tr>
      <w:tr w:rsidR="00B807EE" w:rsidRPr="00024D5A" w14:paraId="17393B21" w14:textId="77777777" w:rsidTr="002B321E">
        <w:trPr>
          <w:trHeight w:val="20"/>
        </w:trPr>
        <w:tc>
          <w:tcPr>
            <w:tcW w:w="4673" w:type="dxa"/>
            <w:tcBorders>
              <w:top w:val="nil"/>
              <w:left w:val="single" w:sz="4" w:space="0" w:color="auto"/>
              <w:bottom w:val="single" w:sz="4" w:space="0" w:color="auto"/>
              <w:right w:val="nil"/>
            </w:tcBorders>
            <w:shd w:val="clear" w:color="000000" w:fill="FDE9D9"/>
            <w:hideMark/>
          </w:tcPr>
          <w:p w14:paraId="2F79D54D" w14:textId="2D9EC91D"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Objektivi specifik A3:</w:t>
            </w:r>
            <w:r w:rsidR="008F29FA" w:rsidRPr="00024D5A">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Aksesueshmëria në informacion, komunikim dhe media</w:t>
            </w:r>
            <w:r w:rsidR="00C702E7" w:rsidRPr="00024D5A">
              <w:rPr>
                <w:rFonts w:ascii="Garamond" w:eastAsia="Times New Roman" w:hAnsi="Garamond"/>
                <w:b/>
                <w:bCs/>
                <w:sz w:val="6"/>
                <w:szCs w:val="16"/>
                <w:lang w:eastAsia="en-US"/>
              </w:rPr>
              <w:t>.</w:t>
            </w:r>
          </w:p>
        </w:tc>
        <w:tc>
          <w:tcPr>
            <w:tcW w:w="567" w:type="dxa"/>
            <w:tcBorders>
              <w:top w:val="nil"/>
              <w:left w:val="single" w:sz="4" w:space="0" w:color="auto"/>
              <w:bottom w:val="single" w:sz="4" w:space="0" w:color="auto"/>
              <w:right w:val="single" w:sz="4" w:space="0" w:color="auto"/>
            </w:tcBorders>
            <w:shd w:val="clear" w:color="000000" w:fill="FDE9D9"/>
            <w:hideMark/>
          </w:tcPr>
          <w:p w14:paraId="6FF8C303"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nil"/>
            </w:tcBorders>
            <w:shd w:val="clear" w:color="000000" w:fill="FDE9D9"/>
            <w:hideMark/>
          </w:tcPr>
          <w:p w14:paraId="355E3457"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single" w:sz="8" w:space="0" w:color="auto"/>
              <w:bottom w:val="single" w:sz="4" w:space="0" w:color="auto"/>
              <w:right w:val="single" w:sz="4" w:space="0" w:color="auto"/>
            </w:tcBorders>
            <w:shd w:val="clear" w:color="000000" w:fill="FDE9D9"/>
            <w:hideMark/>
          </w:tcPr>
          <w:p w14:paraId="7A0AB6CF" w14:textId="1D69A31B"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AKSHI/AMA/MSHMS/t</w:t>
            </w:r>
            <w:r w:rsidR="005A46ED">
              <w:rPr>
                <w:rFonts w:ascii="Garamond" w:eastAsia="Times New Roman" w:hAnsi="Garamond"/>
                <w:b/>
                <w:bCs/>
                <w:sz w:val="6"/>
                <w:szCs w:val="16"/>
                <w:lang w:eastAsia="en-US"/>
              </w:rPr>
              <w:t>ë</w:t>
            </w:r>
            <w:r w:rsidRPr="00024D5A">
              <w:rPr>
                <w:rFonts w:ascii="Garamond" w:eastAsia="Times New Roman" w:hAnsi="Garamond"/>
                <w:b/>
                <w:bCs/>
                <w:sz w:val="6"/>
                <w:szCs w:val="16"/>
                <w:lang w:eastAsia="en-US"/>
              </w:rPr>
              <w:t xml:space="preserve"> gjitha institucionet</w:t>
            </w:r>
          </w:p>
        </w:tc>
        <w:tc>
          <w:tcPr>
            <w:tcW w:w="1418" w:type="dxa"/>
            <w:tcBorders>
              <w:top w:val="nil"/>
              <w:left w:val="nil"/>
              <w:bottom w:val="single" w:sz="4" w:space="0" w:color="auto"/>
              <w:right w:val="nil"/>
            </w:tcBorders>
            <w:shd w:val="clear" w:color="000000" w:fill="FDE9D9"/>
            <w:hideMark/>
          </w:tcPr>
          <w:p w14:paraId="08140ECD" w14:textId="6856C7D2"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OJF/operator</w:t>
            </w:r>
            <w:r w:rsidR="00070BC1" w:rsidRPr="00024D5A">
              <w:rPr>
                <w:rFonts w:ascii="Garamond" w:eastAsia="Times New Roman" w:hAnsi="Garamond"/>
                <w:b/>
                <w:bCs/>
                <w:sz w:val="6"/>
                <w:szCs w:val="16"/>
                <w:lang w:eastAsia="en-US"/>
              </w:rPr>
              <w:t>ë</w:t>
            </w:r>
            <w:r w:rsidRPr="00024D5A">
              <w:rPr>
                <w:rFonts w:ascii="Garamond" w:eastAsia="Times New Roman" w:hAnsi="Garamond"/>
                <w:b/>
                <w:bCs/>
                <w:sz w:val="6"/>
                <w:szCs w:val="16"/>
                <w:lang w:eastAsia="en-US"/>
              </w:rPr>
              <w:t>t</w:t>
            </w:r>
          </w:p>
        </w:tc>
        <w:tc>
          <w:tcPr>
            <w:tcW w:w="708" w:type="dxa"/>
            <w:tcBorders>
              <w:top w:val="nil"/>
              <w:left w:val="single" w:sz="4" w:space="0" w:color="auto"/>
              <w:bottom w:val="single" w:sz="4" w:space="0" w:color="auto"/>
              <w:right w:val="single" w:sz="4" w:space="0" w:color="auto"/>
            </w:tcBorders>
            <w:shd w:val="clear" w:color="000000" w:fill="FDE9D9"/>
            <w:hideMark/>
          </w:tcPr>
          <w:p w14:paraId="04887BA9" w14:textId="46943521"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50,386</w:t>
            </w:r>
          </w:p>
        </w:tc>
        <w:tc>
          <w:tcPr>
            <w:tcW w:w="567" w:type="dxa"/>
            <w:tcBorders>
              <w:top w:val="nil"/>
              <w:left w:val="nil"/>
              <w:bottom w:val="single" w:sz="4" w:space="0" w:color="auto"/>
              <w:right w:val="single" w:sz="4" w:space="0" w:color="auto"/>
            </w:tcBorders>
            <w:shd w:val="clear" w:color="000000" w:fill="FDE9D9"/>
            <w:hideMark/>
          </w:tcPr>
          <w:p w14:paraId="02FCA3D1" w14:textId="73022CAE"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62,624</w:t>
            </w:r>
          </w:p>
        </w:tc>
        <w:tc>
          <w:tcPr>
            <w:tcW w:w="567" w:type="dxa"/>
            <w:tcBorders>
              <w:top w:val="nil"/>
              <w:left w:val="nil"/>
              <w:bottom w:val="single" w:sz="4" w:space="0" w:color="auto"/>
              <w:right w:val="single" w:sz="4" w:space="0" w:color="auto"/>
            </w:tcBorders>
            <w:shd w:val="clear" w:color="000000" w:fill="FDE9D9"/>
            <w:hideMark/>
          </w:tcPr>
          <w:p w14:paraId="31253CDA" w14:textId="7DE722FB"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19,874</w:t>
            </w:r>
          </w:p>
        </w:tc>
        <w:tc>
          <w:tcPr>
            <w:tcW w:w="1134" w:type="dxa"/>
            <w:tcBorders>
              <w:top w:val="nil"/>
              <w:left w:val="nil"/>
              <w:bottom w:val="single" w:sz="4" w:space="0" w:color="auto"/>
              <w:right w:val="single" w:sz="4" w:space="0" w:color="auto"/>
            </w:tcBorders>
            <w:shd w:val="clear" w:color="000000" w:fill="FDE9D9"/>
            <w:hideMark/>
          </w:tcPr>
          <w:p w14:paraId="7C9C4C50" w14:textId="5CDBFD13"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17,867</w:t>
            </w:r>
          </w:p>
        </w:tc>
        <w:tc>
          <w:tcPr>
            <w:tcW w:w="1615" w:type="dxa"/>
            <w:tcBorders>
              <w:top w:val="nil"/>
              <w:left w:val="nil"/>
              <w:bottom w:val="single" w:sz="4" w:space="0" w:color="auto"/>
              <w:right w:val="single" w:sz="4" w:space="0" w:color="auto"/>
            </w:tcBorders>
            <w:shd w:val="clear" w:color="000000" w:fill="FDE9D9"/>
            <w:hideMark/>
          </w:tcPr>
          <w:p w14:paraId="13289718" w14:textId="5BEAE140"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17,831</w:t>
            </w:r>
          </w:p>
        </w:tc>
      </w:tr>
      <w:tr w:rsidR="00B807EE" w:rsidRPr="00024D5A" w14:paraId="1F767BDD"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C5D9F1"/>
            <w:hideMark/>
          </w:tcPr>
          <w:p w14:paraId="099E1870" w14:textId="47654C21"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 Masa prioritare 3.1</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Përmirësimet ligjore dhe adaptimi i standardeve ndërkombëtare të sigurimit të aksesueshmërisë në TIK. Strukturat për monitorimin dhe inspektimin e zbatimit të kuadrit ligjor</w:t>
            </w:r>
            <w:r w:rsidR="00C702E7" w:rsidRPr="00024D5A">
              <w:rPr>
                <w:rFonts w:ascii="Garamond" w:eastAsia="Times New Roman" w:hAnsi="Garamond"/>
                <w:b/>
                <w:bCs/>
                <w:sz w:val="6"/>
                <w:szCs w:val="16"/>
                <w:lang w:eastAsia="en-US"/>
              </w:rPr>
              <w:t>.</w:t>
            </w:r>
          </w:p>
        </w:tc>
        <w:tc>
          <w:tcPr>
            <w:tcW w:w="567" w:type="dxa"/>
            <w:tcBorders>
              <w:top w:val="nil"/>
              <w:left w:val="nil"/>
              <w:bottom w:val="single" w:sz="4" w:space="0" w:color="auto"/>
              <w:right w:val="single" w:sz="4" w:space="0" w:color="auto"/>
            </w:tcBorders>
            <w:shd w:val="clear" w:color="000000" w:fill="C5D9F1"/>
            <w:noWrap/>
            <w:hideMark/>
          </w:tcPr>
          <w:p w14:paraId="111C440D"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single" w:sz="4" w:space="0" w:color="auto"/>
            </w:tcBorders>
            <w:shd w:val="clear" w:color="000000" w:fill="C5D9F1"/>
            <w:noWrap/>
            <w:hideMark/>
          </w:tcPr>
          <w:p w14:paraId="046B658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nil"/>
              <w:bottom w:val="single" w:sz="4" w:space="0" w:color="auto"/>
              <w:right w:val="single" w:sz="4" w:space="0" w:color="auto"/>
            </w:tcBorders>
            <w:shd w:val="clear" w:color="000000" w:fill="C5D9F1"/>
            <w:noWrap/>
            <w:hideMark/>
          </w:tcPr>
          <w:p w14:paraId="272234AC"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AMA</w:t>
            </w:r>
          </w:p>
        </w:tc>
        <w:tc>
          <w:tcPr>
            <w:tcW w:w="1418" w:type="dxa"/>
            <w:tcBorders>
              <w:top w:val="nil"/>
              <w:left w:val="nil"/>
              <w:bottom w:val="single" w:sz="4" w:space="0" w:color="auto"/>
              <w:right w:val="single" w:sz="4" w:space="0" w:color="auto"/>
            </w:tcBorders>
            <w:shd w:val="clear" w:color="000000" w:fill="C5D9F1"/>
            <w:hideMark/>
          </w:tcPr>
          <w:p w14:paraId="664B7B68" w14:textId="77750B0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MSHMS</w:t>
            </w:r>
            <w:r w:rsidR="007675EC"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AKSHI/OJF/operator</w:t>
            </w:r>
            <w:r w:rsidR="00070BC1"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t</w:t>
            </w:r>
          </w:p>
        </w:tc>
        <w:tc>
          <w:tcPr>
            <w:tcW w:w="708" w:type="dxa"/>
            <w:tcBorders>
              <w:top w:val="nil"/>
              <w:left w:val="nil"/>
              <w:bottom w:val="single" w:sz="4" w:space="0" w:color="auto"/>
              <w:right w:val="single" w:sz="4" w:space="0" w:color="auto"/>
            </w:tcBorders>
            <w:shd w:val="clear" w:color="000000" w:fill="C5D9F1"/>
            <w:noWrap/>
            <w:hideMark/>
          </w:tcPr>
          <w:p w14:paraId="78CA2536" w14:textId="3D78CC81"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41,523</w:t>
            </w:r>
          </w:p>
        </w:tc>
        <w:tc>
          <w:tcPr>
            <w:tcW w:w="567" w:type="dxa"/>
            <w:tcBorders>
              <w:top w:val="nil"/>
              <w:left w:val="nil"/>
              <w:bottom w:val="single" w:sz="4" w:space="0" w:color="auto"/>
              <w:right w:val="single" w:sz="4" w:space="0" w:color="auto"/>
            </w:tcBorders>
            <w:shd w:val="clear" w:color="000000" w:fill="C5D9F1"/>
            <w:noWrap/>
            <w:hideMark/>
          </w:tcPr>
          <w:p w14:paraId="7E02800D" w14:textId="6423616C"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52,760</w:t>
            </w:r>
          </w:p>
        </w:tc>
        <w:tc>
          <w:tcPr>
            <w:tcW w:w="567" w:type="dxa"/>
            <w:tcBorders>
              <w:top w:val="nil"/>
              <w:left w:val="nil"/>
              <w:bottom w:val="single" w:sz="4" w:space="0" w:color="auto"/>
              <w:right w:val="single" w:sz="4" w:space="0" w:color="auto"/>
            </w:tcBorders>
            <w:shd w:val="clear" w:color="000000" w:fill="C5D9F1"/>
            <w:noWrap/>
            <w:hideMark/>
          </w:tcPr>
          <w:p w14:paraId="40F76118" w14:textId="632D835D"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10,010</w:t>
            </w:r>
          </w:p>
        </w:tc>
        <w:tc>
          <w:tcPr>
            <w:tcW w:w="1134" w:type="dxa"/>
            <w:tcBorders>
              <w:top w:val="nil"/>
              <w:left w:val="nil"/>
              <w:bottom w:val="single" w:sz="4" w:space="0" w:color="auto"/>
              <w:right w:val="single" w:sz="4" w:space="0" w:color="auto"/>
            </w:tcBorders>
            <w:shd w:val="clear" w:color="000000" w:fill="C5D9F1"/>
            <w:noWrap/>
            <w:hideMark/>
          </w:tcPr>
          <w:p w14:paraId="6D549E9F" w14:textId="254AD33A"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8,913</w:t>
            </w:r>
          </w:p>
        </w:tc>
        <w:tc>
          <w:tcPr>
            <w:tcW w:w="1615" w:type="dxa"/>
            <w:tcBorders>
              <w:top w:val="nil"/>
              <w:left w:val="nil"/>
              <w:bottom w:val="single" w:sz="4" w:space="0" w:color="auto"/>
              <w:right w:val="single" w:sz="4" w:space="0" w:color="auto"/>
            </w:tcBorders>
            <w:shd w:val="clear" w:color="000000" w:fill="C5D9F1"/>
            <w:noWrap/>
            <w:hideMark/>
          </w:tcPr>
          <w:p w14:paraId="62562FD9" w14:textId="1498A541"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8,876</w:t>
            </w:r>
          </w:p>
        </w:tc>
      </w:tr>
      <w:tr w:rsidR="00B807EE" w:rsidRPr="00024D5A" w14:paraId="549C88B7"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1F7A9392" w14:textId="20ABC33E"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3.1.1 Studim</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p</w:t>
            </w:r>
            <w:r w:rsidR="004D2BF5"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r zhvillimet ligjore p</w:t>
            </w:r>
            <w:r w:rsidR="004D2BF5"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r aksesin n</w:t>
            </w:r>
            <w:r w:rsidR="00AD15A2"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informacion e komunikim p</w:t>
            </w:r>
            <w:r w:rsidR="00AD15A2"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r PAK</w:t>
            </w:r>
            <w:r w:rsidR="00EF5825" w:rsidRPr="00024D5A">
              <w:rPr>
                <w:rFonts w:ascii="Garamond" w:eastAsia="Times New Roman" w:hAnsi="Garamond"/>
                <w:sz w:val="6"/>
                <w:szCs w:val="16"/>
                <w:lang w:eastAsia="en-US"/>
              </w:rPr>
              <w:t>-në</w:t>
            </w:r>
            <w:r w:rsidR="008F29FA" w:rsidRPr="00024D5A">
              <w:rPr>
                <w:rFonts w:ascii="Garamond" w:eastAsia="Times New Roman" w:hAnsi="Garamond"/>
                <w:sz w:val="6"/>
                <w:szCs w:val="16"/>
                <w:lang w:eastAsia="en-US"/>
              </w:rPr>
              <w:t xml:space="preserve"> </w:t>
            </w:r>
            <w:r w:rsidR="000A3216"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noWrap/>
            <w:hideMark/>
          </w:tcPr>
          <w:p w14:paraId="3C7C0A0D"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2027</w:t>
            </w:r>
          </w:p>
        </w:tc>
        <w:tc>
          <w:tcPr>
            <w:tcW w:w="567" w:type="dxa"/>
            <w:tcBorders>
              <w:top w:val="nil"/>
              <w:left w:val="nil"/>
              <w:bottom w:val="single" w:sz="4" w:space="0" w:color="auto"/>
              <w:right w:val="single" w:sz="4" w:space="0" w:color="auto"/>
            </w:tcBorders>
            <w:noWrap/>
            <w:hideMark/>
          </w:tcPr>
          <w:p w14:paraId="7D9A6F88"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nil"/>
              <w:bottom w:val="single" w:sz="4" w:space="0" w:color="auto"/>
              <w:right w:val="single" w:sz="4" w:space="0" w:color="auto"/>
            </w:tcBorders>
            <w:noWrap/>
            <w:hideMark/>
          </w:tcPr>
          <w:p w14:paraId="28B5BA4E"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MSHMS</w:t>
            </w:r>
          </w:p>
        </w:tc>
        <w:tc>
          <w:tcPr>
            <w:tcW w:w="1418" w:type="dxa"/>
            <w:tcBorders>
              <w:top w:val="nil"/>
              <w:left w:val="nil"/>
              <w:bottom w:val="single" w:sz="4" w:space="0" w:color="auto"/>
              <w:right w:val="single" w:sz="4" w:space="0" w:color="auto"/>
            </w:tcBorders>
            <w:hideMark/>
          </w:tcPr>
          <w:p w14:paraId="5EB90C97" w14:textId="6D8F160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AKSHI</w:t>
            </w:r>
            <w:r w:rsidR="007675EC"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OJF</w:t>
            </w:r>
          </w:p>
        </w:tc>
        <w:tc>
          <w:tcPr>
            <w:tcW w:w="708" w:type="dxa"/>
            <w:tcBorders>
              <w:top w:val="nil"/>
              <w:left w:val="nil"/>
              <w:bottom w:val="single" w:sz="4" w:space="0" w:color="auto"/>
              <w:right w:val="single" w:sz="4" w:space="0" w:color="auto"/>
            </w:tcBorders>
            <w:hideMark/>
          </w:tcPr>
          <w:p w14:paraId="7C24D6EA" w14:textId="40C1915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2C55DBF3" w14:textId="5CF2153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411</w:t>
            </w:r>
          </w:p>
        </w:tc>
        <w:tc>
          <w:tcPr>
            <w:tcW w:w="567" w:type="dxa"/>
            <w:tcBorders>
              <w:top w:val="nil"/>
              <w:left w:val="nil"/>
              <w:bottom w:val="single" w:sz="4" w:space="0" w:color="auto"/>
              <w:right w:val="single" w:sz="4" w:space="0" w:color="auto"/>
            </w:tcBorders>
            <w:hideMark/>
          </w:tcPr>
          <w:p w14:paraId="74E3C660" w14:textId="4E24D1E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411</w:t>
            </w:r>
          </w:p>
        </w:tc>
        <w:tc>
          <w:tcPr>
            <w:tcW w:w="1134" w:type="dxa"/>
            <w:tcBorders>
              <w:top w:val="nil"/>
              <w:left w:val="nil"/>
              <w:bottom w:val="single" w:sz="4" w:space="0" w:color="auto"/>
              <w:right w:val="single" w:sz="4" w:space="0" w:color="auto"/>
            </w:tcBorders>
            <w:hideMark/>
          </w:tcPr>
          <w:p w14:paraId="613E4D8E" w14:textId="759616A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236</w:t>
            </w:r>
          </w:p>
        </w:tc>
        <w:tc>
          <w:tcPr>
            <w:tcW w:w="1615" w:type="dxa"/>
            <w:tcBorders>
              <w:top w:val="nil"/>
              <w:left w:val="nil"/>
              <w:bottom w:val="single" w:sz="4" w:space="0" w:color="auto"/>
              <w:right w:val="single" w:sz="4" w:space="0" w:color="auto"/>
            </w:tcBorders>
            <w:hideMark/>
          </w:tcPr>
          <w:p w14:paraId="2E322404" w14:textId="19EF452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200</w:t>
            </w:r>
          </w:p>
        </w:tc>
      </w:tr>
      <w:tr w:rsidR="00B807EE" w:rsidRPr="00024D5A" w14:paraId="3357B825"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1435B777" w14:textId="2D4E3C19"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3.1.2 Studim mbi adaptimin e</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standardeve ndërkombëtare</w:t>
            </w:r>
            <w:r w:rsidR="008F29FA" w:rsidRPr="00024D5A">
              <w:rPr>
                <w:rFonts w:ascii="Garamond" w:eastAsia="Times New Roman" w:hAnsi="Garamond"/>
                <w:sz w:val="6"/>
                <w:szCs w:val="16"/>
                <w:lang w:eastAsia="en-US"/>
              </w:rPr>
              <w:t xml:space="preserve"> </w:t>
            </w:r>
            <w:r w:rsidR="0078161D" w:rsidRPr="00024D5A">
              <w:rPr>
                <w:rFonts w:ascii="Garamond" w:eastAsia="Times New Roman" w:hAnsi="Garamond"/>
                <w:i/>
                <w:iCs/>
                <w:sz w:val="6"/>
                <w:szCs w:val="16"/>
                <w:lang w:eastAsia="en-US"/>
              </w:rPr>
              <w:t>“</w:t>
            </w:r>
            <w:r w:rsidRPr="00024D5A">
              <w:rPr>
                <w:rFonts w:ascii="Garamond" w:eastAsia="Times New Roman" w:hAnsi="Garamond"/>
                <w:i/>
                <w:iCs/>
                <w:sz w:val="6"/>
                <w:szCs w:val="16"/>
                <w:lang w:eastAsia="en-US"/>
              </w:rPr>
              <w:t>EN 301 549 V3.2.1 (2021-03) Accessibility requirements for ICT products and services</w:t>
            </w:r>
            <w:r w:rsidR="0078161D" w:rsidRPr="00024D5A">
              <w:rPr>
                <w:rFonts w:ascii="Garamond" w:eastAsia="Times New Roman" w:hAnsi="Garamond"/>
                <w:i/>
                <w:iCs/>
                <w:sz w:val="6"/>
                <w:szCs w:val="16"/>
                <w:lang w:eastAsia="en-US"/>
              </w:rPr>
              <w:t>”</w:t>
            </w:r>
            <w:r w:rsidRPr="00024D5A">
              <w:rPr>
                <w:rFonts w:ascii="Garamond" w:eastAsia="Times New Roman" w:hAnsi="Garamond"/>
                <w:i/>
                <w:iCs/>
                <w:sz w:val="6"/>
                <w:szCs w:val="16"/>
                <w:lang w:eastAsia="en-US"/>
              </w:rPr>
              <w:t>,</w:t>
            </w:r>
            <w:r w:rsidR="008F29FA" w:rsidRPr="00024D5A">
              <w:rPr>
                <w:rFonts w:ascii="Garamond" w:eastAsia="Times New Roman" w:hAnsi="Garamond"/>
                <w:i/>
                <w:iCs/>
                <w:sz w:val="6"/>
                <w:szCs w:val="16"/>
                <w:lang w:eastAsia="en-US"/>
              </w:rPr>
              <w:t xml:space="preserve"> </w:t>
            </w:r>
            <w:r w:rsidRPr="00024D5A">
              <w:rPr>
                <w:rFonts w:ascii="Garamond" w:eastAsia="Times New Roman" w:hAnsi="Garamond"/>
                <w:sz w:val="6"/>
                <w:szCs w:val="16"/>
                <w:lang w:eastAsia="en-US"/>
              </w:rPr>
              <w:t>të sigurimit të aksesueshmërisë në TIK në portale dhe sportele qeveritare për personat me aftësi të kufizuara</w:t>
            </w:r>
            <w:r w:rsidR="000A3216"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si edhe në publikimet, ngjarjet dhe takimet publike. </w:t>
            </w:r>
          </w:p>
        </w:tc>
        <w:tc>
          <w:tcPr>
            <w:tcW w:w="567" w:type="dxa"/>
            <w:tcBorders>
              <w:top w:val="nil"/>
              <w:left w:val="nil"/>
              <w:bottom w:val="single" w:sz="4" w:space="0" w:color="auto"/>
              <w:right w:val="single" w:sz="4" w:space="0" w:color="auto"/>
            </w:tcBorders>
            <w:noWrap/>
            <w:hideMark/>
          </w:tcPr>
          <w:p w14:paraId="6BCC01AE"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single" w:sz="4" w:space="0" w:color="auto"/>
            </w:tcBorders>
            <w:noWrap/>
            <w:hideMark/>
          </w:tcPr>
          <w:p w14:paraId="0C696BEC"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2028</w:t>
            </w:r>
          </w:p>
        </w:tc>
        <w:tc>
          <w:tcPr>
            <w:tcW w:w="1134" w:type="dxa"/>
            <w:tcBorders>
              <w:top w:val="nil"/>
              <w:left w:val="nil"/>
              <w:bottom w:val="single" w:sz="4" w:space="0" w:color="auto"/>
              <w:right w:val="single" w:sz="4" w:space="0" w:color="auto"/>
            </w:tcBorders>
            <w:noWrap/>
            <w:hideMark/>
          </w:tcPr>
          <w:p w14:paraId="435DEC0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MSHMS</w:t>
            </w:r>
          </w:p>
        </w:tc>
        <w:tc>
          <w:tcPr>
            <w:tcW w:w="1418" w:type="dxa"/>
            <w:tcBorders>
              <w:top w:val="nil"/>
              <w:left w:val="nil"/>
              <w:bottom w:val="single" w:sz="4" w:space="0" w:color="auto"/>
              <w:right w:val="single" w:sz="4" w:space="0" w:color="auto"/>
            </w:tcBorders>
            <w:noWrap/>
            <w:hideMark/>
          </w:tcPr>
          <w:p w14:paraId="05342089"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AKSHI</w:t>
            </w:r>
          </w:p>
        </w:tc>
        <w:tc>
          <w:tcPr>
            <w:tcW w:w="708" w:type="dxa"/>
            <w:tcBorders>
              <w:top w:val="nil"/>
              <w:left w:val="nil"/>
              <w:bottom w:val="single" w:sz="4" w:space="0" w:color="auto"/>
              <w:right w:val="single" w:sz="4" w:space="0" w:color="auto"/>
            </w:tcBorders>
            <w:hideMark/>
          </w:tcPr>
          <w:p w14:paraId="3BD0DB65" w14:textId="126584C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586</w:t>
            </w:r>
          </w:p>
        </w:tc>
        <w:tc>
          <w:tcPr>
            <w:tcW w:w="567" w:type="dxa"/>
            <w:tcBorders>
              <w:top w:val="nil"/>
              <w:left w:val="nil"/>
              <w:bottom w:val="single" w:sz="4" w:space="0" w:color="auto"/>
              <w:right w:val="single" w:sz="4" w:space="0" w:color="auto"/>
            </w:tcBorders>
            <w:hideMark/>
          </w:tcPr>
          <w:p w14:paraId="567D914D" w14:textId="5BA2D51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586</w:t>
            </w:r>
          </w:p>
        </w:tc>
        <w:tc>
          <w:tcPr>
            <w:tcW w:w="567" w:type="dxa"/>
            <w:tcBorders>
              <w:top w:val="nil"/>
              <w:left w:val="nil"/>
              <w:bottom w:val="single" w:sz="4" w:space="0" w:color="auto"/>
              <w:right w:val="single" w:sz="4" w:space="0" w:color="auto"/>
            </w:tcBorders>
            <w:hideMark/>
          </w:tcPr>
          <w:p w14:paraId="2A3C081F" w14:textId="10D5288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336</w:t>
            </w:r>
          </w:p>
        </w:tc>
        <w:tc>
          <w:tcPr>
            <w:tcW w:w="1134" w:type="dxa"/>
            <w:tcBorders>
              <w:top w:val="nil"/>
              <w:left w:val="nil"/>
              <w:bottom w:val="single" w:sz="4" w:space="0" w:color="auto"/>
              <w:right w:val="single" w:sz="4" w:space="0" w:color="auto"/>
            </w:tcBorders>
            <w:hideMark/>
          </w:tcPr>
          <w:p w14:paraId="5C105C3C" w14:textId="5C7F6DD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0</w:t>
            </w:r>
          </w:p>
        </w:tc>
        <w:tc>
          <w:tcPr>
            <w:tcW w:w="1615" w:type="dxa"/>
            <w:tcBorders>
              <w:top w:val="nil"/>
              <w:left w:val="nil"/>
              <w:bottom w:val="single" w:sz="4" w:space="0" w:color="auto"/>
              <w:right w:val="single" w:sz="4" w:space="0" w:color="auto"/>
            </w:tcBorders>
            <w:hideMark/>
          </w:tcPr>
          <w:p w14:paraId="7AAF54DE" w14:textId="1FA6E6C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0</w:t>
            </w:r>
          </w:p>
        </w:tc>
      </w:tr>
      <w:tr w:rsidR="00B807EE" w:rsidRPr="00024D5A" w14:paraId="2AFA4287"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474021B5" w14:textId="2D6457BC"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3.1.3 T</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hartohet nj</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strategji komunikimi</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nga AMA me fokus tek aksesueshm</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ria </w:t>
            </w:r>
            <w:r w:rsidR="0059189E" w:rsidRPr="00024D5A">
              <w:rPr>
                <w:rFonts w:ascii="Garamond" w:eastAsia="Times New Roman" w:hAnsi="Garamond"/>
                <w:sz w:val="6"/>
                <w:szCs w:val="16"/>
                <w:lang w:eastAsia="en-US"/>
              </w:rPr>
              <w:t xml:space="preserve">për personat me aftësi të kufizuara, </w:t>
            </w:r>
            <w:r w:rsidRPr="00024D5A">
              <w:rPr>
                <w:rFonts w:ascii="Garamond" w:eastAsia="Times New Roman" w:hAnsi="Garamond"/>
                <w:sz w:val="6"/>
                <w:szCs w:val="16"/>
                <w:lang w:eastAsia="en-US"/>
              </w:rPr>
              <w:t>q</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t</w:t>
            </w:r>
            <w:r w:rsidR="0059189E" w:rsidRPr="00024D5A">
              <w:rPr>
                <w:rFonts w:ascii="Garamond" w:eastAsia="Times New Roman" w:hAnsi="Garamond"/>
                <w:sz w:val="6"/>
                <w:szCs w:val="16"/>
                <w:lang w:eastAsia="en-US"/>
              </w:rPr>
              <w:t>ë</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sigurojë</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bashkërendimin mes shërbimeve televizive dhe pajisjeve</w:t>
            </w:r>
            <w:r w:rsidR="000A3216"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që u mundësojnë përdoruesve marrjen, dekodimin, shfaqjen e shërbimeve të aksesueshme.</w:t>
            </w:r>
          </w:p>
        </w:tc>
        <w:tc>
          <w:tcPr>
            <w:tcW w:w="567" w:type="dxa"/>
            <w:tcBorders>
              <w:top w:val="nil"/>
              <w:left w:val="nil"/>
              <w:bottom w:val="single" w:sz="4" w:space="0" w:color="auto"/>
              <w:right w:val="single" w:sz="4" w:space="0" w:color="auto"/>
            </w:tcBorders>
            <w:noWrap/>
            <w:hideMark/>
          </w:tcPr>
          <w:p w14:paraId="0259F46D"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2027</w:t>
            </w:r>
          </w:p>
        </w:tc>
        <w:tc>
          <w:tcPr>
            <w:tcW w:w="567" w:type="dxa"/>
            <w:tcBorders>
              <w:top w:val="nil"/>
              <w:left w:val="nil"/>
              <w:bottom w:val="single" w:sz="4" w:space="0" w:color="auto"/>
              <w:right w:val="single" w:sz="4" w:space="0" w:color="auto"/>
            </w:tcBorders>
            <w:noWrap/>
            <w:hideMark/>
          </w:tcPr>
          <w:p w14:paraId="50029AA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2028</w:t>
            </w:r>
          </w:p>
        </w:tc>
        <w:tc>
          <w:tcPr>
            <w:tcW w:w="1134" w:type="dxa"/>
            <w:tcBorders>
              <w:top w:val="nil"/>
              <w:left w:val="nil"/>
              <w:bottom w:val="single" w:sz="4" w:space="0" w:color="auto"/>
              <w:right w:val="single" w:sz="4" w:space="0" w:color="auto"/>
            </w:tcBorders>
            <w:noWrap/>
            <w:hideMark/>
          </w:tcPr>
          <w:p w14:paraId="0EF36365"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AMA</w:t>
            </w:r>
          </w:p>
        </w:tc>
        <w:tc>
          <w:tcPr>
            <w:tcW w:w="1418" w:type="dxa"/>
            <w:tcBorders>
              <w:top w:val="nil"/>
              <w:left w:val="nil"/>
              <w:bottom w:val="single" w:sz="4" w:space="0" w:color="auto"/>
              <w:right w:val="single" w:sz="4" w:space="0" w:color="auto"/>
            </w:tcBorders>
            <w:noWrap/>
            <w:hideMark/>
          </w:tcPr>
          <w:p w14:paraId="2A38CDB1"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OJF</w:t>
            </w:r>
          </w:p>
        </w:tc>
        <w:tc>
          <w:tcPr>
            <w:tcW w:w="708" w:type="dxa"/>
            <w:tcBorders>
              <w:top w:val="nil"/>
              <w:left w:val="nil"/>
              <w:bottom w:val="single" w:sz="4" w:space="0" w:color="auto"/>
              <w:right w:val="single" w:sz="4" w:space="0" w:color="auto"/>
            </w:tcBorders>
            <w:hideMark/>
          </w:tcPr>
          <w:p w14:paraId="6037DB63" w14:textId="6C03E80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59E847DE" w14:textId="6CE928F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586</w:t>
            </w:r>
          </w:p>
        </w:tc>
        <w:tc>
          <w:tcPr>
            <w:tcW w:w="567" w:type="dxa"/>
            <w:tcBorders>
              <w:top w:val="nil"/>
              <w:left w:val="nil"/>
              <w:bottom w:val="single" w:sz="4" w:space="0" w:color="auto"/>
              <w:right w:val="single" w:sz="4" w:space="0" w:color="auto"/>
            </w:tcBorders>
            <w:hideMark/>
          </w:tcPr>
          <w:p w14:paraId="3F1A06DC" w14:textId="47D640A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586</w:t>
            </w:r>
          </w:p>
        </w:tc>
        <w:tc>
          <w:tcPr>
            <w:tcW w:w="1134" w:type="dxa"/>
            <w:tcBorders>
              <w:top w:val="nil"/>
              <w:left w:val="nil"/>
              <w:bottom w:val="single" w:sz="4" w:space="0" w:color="auto"/>
              <w:right w:val="single" w:sz="4" w:space="0" w:color="auto"/>
            </w:tcBorders>
            <w:hideMark/>
          </w:tcPr>
          <w:p w14:paraId="6485FF62" w14:textId="017B69A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0</w:t>
            </w:r>
          </w:p>
        </w:tc>
        <w:tc>
          <w:tcPr>
            <w:tcW w:w="1615" w:type="dxa"/>
            <w:tcBorders>
              <w:top w:val="nil"/>
              <w:left w:val="nil"/>
              <w:bottom w:val="single" w:sz="4" w:space="0" w:color="auto"/>
              <w:right w:val="single" w:sz="4" w:space="0" w:color="auto"/>
            </w:tcBorders>
            <w:hideMark/>
          </w:tcPr>
          <w:p w14:paraId="03A34E2A" w14:textId="76906EA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0</w:t>
            </w:r>
          </w:p>
        </w:tc>
      </w:tr>
      <w:tr w:rsidR="00B807EE" w:rsidRPr="00024D5A" w14:paraId="510E566D"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5DD70165" w14:textId="2FD5396A"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3.1.4</w:t>
            </w:r>
            <w:r w:rsidR="000A3216"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Implementimi dhe përmirësimi i standardeve të aksesueshmërisë në portalin</w:t>
            </w:r>
            <w:r w:rsidRPr="00024D5A">
              <w:rPr>
                <w:rFonts w:ascii="Garamond" w:eastAsia="Times New Roman" w:hAnsi="Garamond"/>
                <w:i/>
                <w:iCs/>
                <w:sz w:val="6"/>
                <w:szCs w:val="16"/>
                <w:lang w:eastAsia="en-US"/>
              </w:rPr>
              <w:t xml:space="preserve"> e-Albania </w:t>
            </w:r>
            <w:r w:rsidRPr="00024D5A">
              <w:rPr>
                <w:rFonts w:ascii="Garamond" w:eastAsia="Times New Roman" w:hAnsi="Garamond"/>
                <w:sz w:val="6"/>
                <w:szCs w:val="16"/>
                <w:lang w:eastAsia="en-US"/>
              </w:rPr>
              <w:t>2.0</w:t>
            </w:r>
            <w:r w:rsidR="000A3216"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në përputhje me standardet ndërkombëtare të aksesueshmërisë (WCAG 2.1/2.2 ose versionet më të fundit), duke përfshirë integrimin e funksionaliteteve teknike për përdoruesit me aftësi të kufizuara, testimin e aksesueshmërisë dhe monitorimin e vazhdueshëm të përdorshmërisë.</w:t>
            </w:r>
          </w:p>
        </w:tc>
        <w:tc>
          <w:tcPr>
            <w:tcW w:w="567" w:type="dxa"/>
            <w:tcBorders>
              <w:top w:val="nil"/>
              <w:left w:val="nil"/>
              <w:bottom w:val="single" w:sz="4" w:space="0" w:color="auto"/>
              <w:right w:val="single" w:sz="4" w:space="0" w:color="auto"/>
            </w:tcBorders>
            <w:noWrap/>
            <w:hideMark/>
          </w:tcPr>
          <w:p w14:paraId="1C5D5D0E"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single" w:sz="4" w:space="0" w:color="auto"/>
            </w:tcBorders>
            <w:noWrap/>
            <w:hideMark/>
          </w:tcPr>
          <w:p w14:paraId="44C7A200"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nil"/>
              <w:bottom w:val="single" w:sz="4" w:space="0" w:color="auto"/>
              <w:right w:val="single" w:sz="4" w:space="0" w:color="auto"/>
            </w:tcBorders>
            <w:noWrap/>
            <w:hideMark/>
          </w:tcPr>
          <w:p w14:paraId="399EB18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AKSHI</w:t>
            </w:r>
          </w:p>
        </w:tc>
        <w:tc>
          <w:tcPr>
            <w:tcW w:w="1418" w:type="dxa"/>
            <w:tcBorders>
              <w:top w:val="nil"/>
              <w:left w:val="nil"/>
              <w:bottom w:val="single" w:sz="4" w:space="0" w:color="auto"/>
              <w:right w:val="single" w:sz="4" w:space="0" w:color="auto"/>
            </w:tcBorders>
            <w:noWrap/>
            <w:hideMark/>
          </w:tcPr>
          <w:p w14:paraId="180CF4CA"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MSHMS</w:t>
            </w:r>
          </w:p>
        </w:tc>
        <w:tc>
          <w:tcPr>
            <w:tcW w:w="708" w:type="dxa"/>
            <w:tcBorders>
              <w:top w:val="nil"/>
              <w:left w:val="nil"/>
              <w:bottom w:val="single" w:sz="4" w:space="0" w:color="auto"/>
              <w:right w:val="single" w:sz="4" w:space="0" w:color="auto"/>
            </w:tcBorders>
            <w:hideMark/>
          </w:tcPr>
          <w:p w14:paraId="4417A912" w14:textId="05123F8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40,000</w:t>
            </w:r>
          </w:p>
        </w:tc>
        <w:tc>
          <w:tcPr>
            <w:tcW w:w="567" w:type="dxa"/>
            <w:tcBorders>
              <w:top w:val="nil"/>
              <w:left w:val="nil"/>
              <w:bottom w:val="single" w:sz="4" w:space="0" w:color="auto"/>
              <w:right w:val="single" w:sz="4" w:space="0" w:color="auto"/>
            </w:tcBorders>
            <w:hideMark/>
          </w:tcPr>
          <w:p w14:paraId="5ABE0083" w14:textId="281B0B2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50,000</w:t>
            </w:r>
          </w:p>
        </w:tc>
        <w:tc>
          <w:tcPr>
            <w:tcW w:w="567" w:type="dxa"/>
            <w:tcBorders>
              <w:top w:val="nil"/>
              <w:left w:val="nil"/>
              <w:bottom w:val="single" w:sz="4" w:space="0" w:color="auto"/>
              <w:right w:val="single" w:sz="4" w:space="0" w:color="auto"/>
            </w:tcBorders>
            <w:hideMark/>
          </w:tcPr>
          <w:p w14:paraId="46268DC9" w14:textId="3088E35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7,500</w:t>
            </w:r>
          </w:p>
        </w:tc>
        <w:tc>
          <w:tcPr>
            <w:tcW w:w="1134" w:type="dxa"/>
            <w:tcBorders>
              <w:top w:val="nil"/>
              <w:left w:val="nil"/>
              <w:bottom w:val="single" w:sz="4" w:space="0" w:color="auto"/>
              <w:right w:val="single" w:sz="4" w:space="0" w:color="auto"/>
            </w:tcBorders>
            <w:hideMark/>
          </w:tcPr>
          <w:p w14:paraId="501A3CF3" w14:textId="0E855AB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7,500</w:t>
            </w:r>
          </w:p>
        </w:tc>
        <w:tc>
          <w:tcPr>
            <w:tcW w:w="1615" w:type="dxa"/>
            <w:tcBorders>
              <w:top w:val="nil"/>
              <w:left w:val="nil"/>
              <w:bottom w:val="single" w:sz="4" w:space="0" w:color="auto"/>
              <w:right w:val="single" w:sz="4" w:space="0" w:color="auto"/>
            </w:tcBorders>
            <w:hideMark/>
          </w:tcPr>
          <w:p w14:paraId="19A10375" w14:textId="2CF5F27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7,500</w:t>
            </w:r>
          </w:p>
        </w:tc>
      </w:tr>
      <w:tr w:rsidR="00B807EE" w:rsidRPr="00024D5A" w14:paraId="45DBDF39"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2E1672E8" w14:textId="4224889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3.1.5 Rishikimi/parashikimi i strukturave përgjegjëse për</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monitorimin dhe inspektimin e zbatimit të kuadrit ligjor dhe politik që siguron aksesueshmërinë në informacion dhe komunikim për personat me aftësi të kufizuara.</w:t>
            </w:r>
          </w:p>
        </w:tc>
        <w:tc>
          <w:tcPr>
            <w:tcW w:w="567" w:type="dxa"/>
            <w:tcBorders>
              <w:top w:val="nil"/>
              <w:left w:val="nil"/>
              <w:bottom w:val="single" w:sz="4" w:space="0" w:color="auto"/>
              <w:right w:val="single" w:sz="4" w:space="0" w:color="auto"/>
            </w:tcBorders>
            <w:noWrap/>
            <w:hideMark/>
          </w:tcPr>
          <w:p w14:paraId="2E4309EC"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single" w:sz="4" w:space="0" w:color="auto"/>
            </w:tcBorders>
            <w:noWrap/>
            <w:hideMark/>
          </w:tcPr>
          <w:p w14:paraId="5CE05BD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nil"/>
              <w:bottom w:val="single" w:sz="4" w:space="0" w:color="auto"/>
              <w:right w:val="single" w:sz="4" w:space="0" w:color="auto"/>
            </w:tcBorders>
            <w:hideMark/>
          </w:tcPr>
          <w:p w14:paraId="262FBD97"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br/>
              <w:t xml:space="preserve">MSHMS </w:t>
            </w:r>
          </w:p>
        </w:tc>
        <w:tc>
          <w:tcPr>
            <w:tcW w:w="1418" w:type="dxa"/>
            <w:tcBorders>
              <w:top w:val="nil"/>
              <w:left w:val="nil"/>
              <w:bottom w:val="single" w:sz="4" w:space="0" w:color="auto"/>
              <w:right w:val="single" w:sz="4" w:space="0" w:color="auto"/>
            </w:tcBorders>
            <w:noWrap/>
            <w:hideMark/>
          </w:tcPr>
          <w:p w14:paraId="10892113"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AKSHI</w:t>
            </w:r>
          </w:p>
        </w:tc>
        <w:tc>
          <w:tcPr>
            <w:tcW w:w="708" w:type="dxa"/>
            <w:tcBorders>
              <w:top w:val="nil"/>
              <w:left w:val="nil"/>
              <w:bottom w:val="single" w:sz="4" w:space="0" w:color="auto"/>
              <w:right w:val="single" w:sz="4" w:space="0" w:color="auto"/>
            </w:tcBorders>
            <w:hideMark/>
          </w:tcPr>
          <w:p w14:paraId="77C699DC" w14:textId="0102CBC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19098376" w14:textId="6350B57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0</w:t>
            </w:r>
          </w:p>
        </w:tc>
        <w:tc>
          <w:tcPr>
            <w:tcW w:w="567" w:type="dxa"/>
            <w:tcBorders>
              <w:top w:val="nil"/>
              <w:left w:val="nil"/>
              <w:bottom w:val="single" w:sz="4" w:space="0" w:color="auto"/>
              <w:right w:val="single" w:sz="4" w:space="0" w:color="auto"/>
            </w:tcBorders>
            <w:hideMark/>
          </w:tcPr>
          <w:p w14:paraId="1D0506FB" w14:textId="2A4E48B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0</w:t>
            </w:r>
          </w:p>
        </w:tc>
        <w:tc>
          <w:tcPr>
            <w:tcW w:w="1134" w:type="dxa"/>
            <w:tcBorders>
              <w:top w:val="nil"/>
              <w:left w:val="nil"/>
              <w:bottom w:val="single" w:sz="4" w:space="0" w:color="auto"/>
              <w:right w:val="single" w:sz="4" w:space="0" w:color="auto"/>
            </w:tcBorders>
            <w:hideMark/>
          </w:tcPr>
          <w:p w14:paraId="64E99F1A" w14:textId="1849239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0</w:t>
            </w:r>
          </w:p>
        </w:tc>
        <w:tc>
          <w:tcPr>
            <w:tcW w:w="1615" w:type="dxa"/>
            <w:tcBorders>
              <w:top w:val="nil"/>
              <w:left w:val="nil"/>
              <w:bottom w:val="single" w:sz="4" w:space="0" w:color="auto"/>
              <w:right w:val="single" w:sz="4" w:space="0" w:color="auto"/>
            </w:tcBorders>
            <w:hideMark/>
          </w:tcPr>
          <w:p w14:paraId="71899311" w14:textId="48E6789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0</w:t>
            </w:r>
          </w:p>
        </w:tc>
      </w:tr>
      <w:tr w:rsidR="00B807EE" w:rsidRPr="00024D5A" w14:paraId="76BF7106"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1F0F64B3" w14:textId="2208709A"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3.1.6 6 Trajnime teknike për stafet e institucioneve publike mbi përdorimin e sistemeve dhe platformave të zhvilluara në kuadër të kontratave përkatëse, duke përfshirë aspektet funksionale të përdorimit të tyre, sipas specifikimeve teknike të parashikuara</w:t>
            </w:r>
            <w:r w:rsidR="000A3216"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noWrap/>
            <w:hideMark/>
          </w:tcPr>
          <w:p w14:paraId="2C96FC72"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single" w:sz="4" w:space="0" w:color="auto"/>
            </w:tcBorders>
            <w:hideMark/>
          </w:tcPr>
          <w:p w14:paraId="375F7DF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nil"/>
              <w:bottom w:val="single" w:sz="4" w:space="0" w:color="auto"/>
              <w:right w:val="single" w:sz="4" w:space="0" w:color="auto"/>
            </w:tcBorders>
            <w:noWrap/>
            <w:hideMark/>
          </w:tcPr>
          <w:p w14:paraId="656FB9A1"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AKSHI</w:t>
            </w:r>
          </w:p>
        </w:tc>
        <w:tc>
          <w:tcPr>
            <w:tcW w:w="1418" w:type="dxa"/>
            <w:tcBorders>
              <w:top w:val="nil"/>
              <w:left w:val="nil"/>
              <w:bottom w:val="single" w:sz="4" w:space="0" w:color="auto"/>
              <w:right w:val="single" w:sz="4" w:space="0" w:color="auto"/>
            </w:tcBorders>
            <w:hideMark/>
          </w:tcPr>
          <w:p w14:paraId="0A3133FA" w14:textId="7229D279" w:rsidR="00700D7D" w:rsidRPr="00024D5A" w:rsidRDefault="00070BC1"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Të </w:t>
            </w:r>
            <w:r w:rsidR="00700D7D" w:rsidRPr="00024D5A">
              <w:rPr>
                <w:rFonts w:ascii="Garamond" w:eastAsia="Times New Roman" w:hAnsi="Garamond"/>
                <w:sz w:val="6"/>
                <w:szCs w:val="16"/>
                <w:lang w:eastAsia="en-US"/>
              </w:rPr>
              <w:t>gjitha institucionet</w:t>
            </w:r>
          </w:p>
        </w:tc>
        <w:tc>
          <w:tcPr>
            <w:tcW w:w="708" w:type="dxa"/>
            <w:tcBorders>
              <w:top w:val="nil"/>
              <w:left w:val="nil"/>
              <w:bottom w:val="single" w:sz="4" w:space="0" w:color="auto"/>
              <w:right w:val="single" w:sz="4" w:space="0" w:color="auto"/>
            </w:tcBorders>
            <w:hideMark/>
          </w:tcPr>
          <w:p w14:paraId="1CA3B32C" w14:textId="55774DB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700</w:t>
            </w:r>
          </w:p>
        </w:tc>
        <w:tc>
          <w:tcPr>
            <w:tcW w:w="567" w:type="dxa"/>
            <w:tcBorders>
              <w:top w:val="nil"/>
              <w:left w:val="nil"/>
              <w:bottom w:val="single" w:sz="4" w:space="0" w:color="auto"/>
              <w:right w:val="single" w:sz="4" w:space="0" w:color="auto"/>
            </w:tcBorders>
            <w:hideMark/>
          </w:tcPr>
          <w:p w14:paraId="4F1D5F0C" w14:textId="5CEC6F3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940</w:t>
            </w:r>
          </w:p>
        </w:tc>
        <w:tc>
          <w:tcPr>
            <w:tcW w:w="567" w:type="dxa"/>
            <w:tcBorders>
              <w:top w:val="nil"/>
              <w:left w:val="nil"/>
              <w:bottom w:val="single" w:sz="4" w:space="0" w:color="auto"/>
              <w:right w:val="single" w:sz="4" w:space="0" w:color="auto"/>
            </w:tcBorders>
            <w:hideMark/>
          </w:tcPr>
          <w:p w14:paraId="34D434D0" w14:textId="7574859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940</w:t>
            </w:r>
          </w:p>
        </w:tc>
        <w:tc>
          <w:tcPr>
            <w:tcW w:w="1134" w:type="dxa"/>
            <w:tcBorders>
              <w:top w:val="nil"/>
              <w:left w:val="nil"/>
              <w:bottom w:val="single" w:sz="4" w:space="0" w:color="auto"/>
              <w:right w:val="single" w:sz="4" w:space="0" w:color="auto"/>
            </w:tcBorders>
            <w:hideMark/>
          </w:tcPr>
          <w:p w14:paraId="4BFAE727" w14:textId="123623E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940</w:t>
            </w:r>
          </w:p>
        </w:tc>
        <w:tc>
          <w:tcPr>
            <w:tcW w:w="1615" w:type="dxa"/>
            <w:tcBorders>
              <w:top w:val="nil"/>
              <w:left w:val="nil"/>
              <w:bottom w:val="single" w:sz="4" w:space="0" w:color="auto"/>
              <w:right w:val="single" w:sz="4" w:space="0" w:color="auto"/>
            </w:tcBorders>
            <w:hideMark/>
          </w:tcPr>
          <w:p w14:paraId="7382A9F7" w14:textId="420B851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940</w:t>
            </w:r>
          </w:p>
        </w:tc>
      </w:tr>
      <w:tr w:rsidR="00B807EE" w:rsidRPr="00024D5A" w14:paraId="1A036637"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295FDC9B" w14:textId="3C2B3DAB" w:rsidR="00700D7D" w:rsidRPr="00024D5A" w:rsidRDefault="00700D7D" w:rsidP="000D5711">
            <w:pPr>
              <w:jc w:val="both"/>
              <w:rPr>
                <w:rFonts w:ascii="Garamond" w:eastAsia="Times New Roman" w:hAnsi="Garamond"/>
                <w:sz w:val="6"/>
                <w:szCs w:val="16"/>
                <w:lang w:eastAsia="en-US"/>
              </w:rPr>
            </w:pPr>
            <w:r w:rsidRPr="00024D5A">
              <w:rPr>
                <w:rFonts w:ascii="Garamond" w:eastAsia="Times New Roman" w:hAnsi="Garamond"/>
                <w:sz w:val="6"/>
                <w:szCs w:val="16"/>
                <w:lang w:eastAsia="en-US"/>
              </w:rPr>
              <w:t>3.1.7 Takime periodike</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me p</w:t>
            </w:r>
            <w:r w:rsidR="000151BA"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rfaq</w:t>
            </w:r>
            <w:r w:rsidR="000151BA"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sues t</w:t>
            </w:r>
            <w:r w:rsidR="000151BA"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AKEP</w:t>
            </w:r>
            <w:r w:rsidR="000151BA" w:rsidRPr="00024D5A">
              <w:rPr>
                <w:rFonts w:ascii="Garamond" w:eastAsia="Times New Roman" w:hAnsi="Garamond"/>
                <w:sz w:val="6"/>
                <w:szCs w:val="16"/>
                <w:lang w:eastAsia="en-US"/>
              </w:rPr>
              <w:t>-</w:t>
            </w:r>
            <w:r w:rsidR="000A3216" w:rsidRPr="00024D5A">
              <w:rPr>
                <w:rFonts w:ascii="Garamond" w:eastAsia="Times New Roman" w:hAnsi="Garamond"/>
                <w:sz w:val="6"/>
                <w:szCs w:val="16"/>
                <w:lang w:eastAsia="en-US"/>
              </w:rPr>
              <w:t>it</w:t>
            </w:r>
            <w:r w:rsidRPr="00024D5A">
              <w:rPr>
                <w:rFonts w:ascii="Garamond" w:eastAsia="Times New Roman" w:hAnsi="Garamond"/>
                <w:sz w:val="6"/>
                <w:szCs w:val="16"/>
                <w:lang w:eastAsia="en-US"/>
              </w:rPr>
              <w:t xml:space="preserve"> dhe t</w:t>
            </w:r>
            <w:r w:rsidR="000151BA"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operator</w:t>
            </w:r>
            <w:r w:rsidR="004D2BF5"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ve celulare p</w:t>
            </w:r>
            <w:r w:rsidR="004D2BF5"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r informimin e organizatave të PAK, lidhur me shërbimet e arritshme të komunikimeve elektronike/telefonisë së lëvizshme dhe produktet e ofruara, përfshirë aktivitete të edukimit dhe ndërgjegjësimit për funksionalitet dhe zgjidhjet teknologjike si teknologjitë asistuese etj. të disponueshme në aparatet inteligjente dhe/ose të ofruara nga operatorët celularë për akses të barabartë për PAK</w:t>
            </w:r>
            <w:r w:rsidR="000D5711" w:rsidRPr="00024D5A">
              <w:rPr>
                <w:rFonts w:ascii="Garamond" w:eastAsia="Times New Roman" w:hAnsi="Garamond"/>
                <w:sz w:val="6"/>
                <w:szCs w:val="16"/>
                <w:lang w:eastAsia="en-US"/>
              </w:rPr>
              <w:t>-në.</w:t>
            </w:r>
          </w:p>
        </w:tc>
        <w:tc>
          <w:tcPr>
            <w:tcW w:w="567" w:type="dxa"/>
            <w:tcBorders>
              <w:top w:val="nil"/>
              <w:left w:val="nil"/>
              <w:bottom w:val="single" w:sz="4" w:space="0" w:color="auto"/>
              <w:right w:val="single" w:sz="4" w:space="0" w:color="auto"/>
            </w:tcBorders>
            <w:noWrap/>
            <w:hideMark/>
          </w:tcPr>
          <w:p w14:paraId="5D9EEFA9"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single" w:sz="4" w:space="0" w:color="auto"/>
            </w:tcBorders>
            <w:hideMark/>
          </w:tcPr>
          <w:p w14:paraId="355D1FEE"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nil"/>
              <w:bottom w:val="single" w:sz="4" w:space="0" w:color="auto"/>
              <w:right w:val="single" w:sz="4" w:space="0" w:color="auto"/>
            </w:tcBorders>
            <w:noWrap/>
            <w:hideMark/>
          </w:tcPr>
          <w:p w14:paraId="509EB8C3"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AKEP</w:t>
            </w:r>
          </w:p>
        </w:tc>
        <w:tc>
          <w:tcPr>
            <w:tcW w:w="1418" w:type="dxa"/>
            <w:tcBorders>
              <w:top w:val="nil"/>
              <w:left w:val="nil"/>
              <w:bottom w:val="single" w:sz="4" w:space="0" w:color="auto"/>
              <w:right w:val="single" w:sz="4" w:space="0" w:color="auto"/>
            </w:tcBorders>
            <w:hideMark/>
          </w:tcPr>
          <w:p w14:paraId="7422FFBB" w14:textId="0A8D0390"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MSHMS/operator</w:t>
            </w:r>
            <w:r w:rsidR="00070BC1"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t/OJF</w:t>
            </w:r>
          </w:p>
        </w:tc>
        <w:tc>
          <w:tcPr>
            <w:tcW w:w="708" w:type="dxa"/>
            <w:tcBorders>
              <w:top w:val="nil"/>
              <w:left w:val="nil"/>
              <w:bottom w:val="single" w:sz="4" w:space="0" w:color="auto"/>
              <w:right w:val="single" w:sz="4" w:space="0" w:color="auto"/>
            </w:tcBorders>
            <w:hideMark/>
          </w:tcPr>
          <w:p w14:paraId="7DB9A28A" w14:textId="1DF004B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236</w:t>
            </w:r>
          </w:p>
        </w:tc>
        <w:tc>
          <w:tcPr>
            <w:tcW w:w="567" w:type="dxa"/>
            <w:tcBorders>
              <w:top w:val="nil"/>
              <w:left w:val="nil"/>
              <w:bottom w:val="single" w:sz="4" w:space="0" w:color="auto"/>
              <w:right w:val="single" w:sz="4" w:space="0" w:color="auto"/>
            </w:tcBorders>
            <w:hideMark/>
          </w:tcPr>
          <w:p w14:paraId="559D80D7" w14:textId="1BF26A5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236</w:t>
            </w:r>
          </w:p>
        </w:tc>
        <w:tc>
          <w:tcPr>
            <w:tcW w:w="567" w:type="dxa"/>
            <w:tcBorders>
              <w:top w:val="nil"/>
              <w:left w:val="nil"/>
              <w:bottom w:val="single" w:sz="4" w:space="0" w:color="auto"/>
              <w:right w:val="single" w:sz="4" w:space="0" w:color="auto"/>
            </w:tcBorders>
            <w:hideMark/>
          </w:tcPr>
          <w:p w14:paraId="1664A9ED" w14:textId="3DE5DDA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236</w:t>
            </w:r>
          </w:p>
        </w:tc>
        <w:tc>
          <w:tcPr>
            <w:tcW w:w="1134" w:type="dxa"/>
            <w:tcBorders>
              <w:top w:val="nil"/>
              <w:left w:val="nil"/>
              <w:bottom w:val="single" w:sz="4" w:space="0" w:color="auto"/>
              <w:right w:val="single" w:sz="4" w:space="0" w:color="auto"/>
            </w:tcBorders>
            <w:hideMark/>
          </w:tcPr>
          <w:p w14:paraId="2ED79934" w14:textId="3676026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236</w:t>
            </w:r>
          </w:p>
        </w:tc>
        <w:tc>
          <w:tcPr>
            <w:tcW w:w="1615" w:type="dxa"/>
            <w:tcBorders>
              <w:top w:val="nil"/>
              <w:left w:val="nil"/>
              <w:bottom w:val="single" w:sz="4" w:space="0" w:color="auto"/>
              <w:right w:val="single" w:sz="4" w:space="0" w:color="auto"/>
            </w:tcBorders>
            <w:hideMark/>
          </w:tcPr>
          <w:p w14:paraId="201D2AE5" w14:textId="6847DB7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236</w:t>
            </w:r>
          </w:p>
        </w:tc>
      </w:tr>
      <w:tr w:rsidR="00B807EE" w:rsidRPr="00024D5A" w14:paraId="490E05A3"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C5D9F1"/>
            <w:hideMark/>
          </w:tcPr>
          <w:p w14:paraId="0F75095A" w14:textId="216CB60D"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Masa prioritare 3.2</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Sigurimi i produkteve dhe shërbimeve të aksesueshme për informacion dhe komunikim p</w:t>
            </w:r>
            <w:r w:rsidR="004D2BF5" w:rsidRPr="00024D5A">
              <w:rPr>
                <w:rFonts w:ascii="Garamond" w:eastAsia="Times New Roman" w:hAnsi="Garamond"/>
                <w:b/>
                <w:bCs/>
                <w:sz w:val="6"/>
                <w:szCs w:val="16"/>
                <w:lang w:eastAsia="en-US"/>
              </w:rPr>
              <w:t>ë</w:t>
            </w:r>
            <w:r w:rsidRPr="00024D5A">
              <w:rPr>
                <w:rFonts w:ascii="Garamond" w:eastAsia="Times New Roman" w:hAnsi="Garamond"/>
                <w:b/>
                <w:bCs/>
                <w:sz w:val="6"/>
                <w:szCs w:val="16"/>
                <w:lang w:eastAsia="en-US"/>
              </w:rPr>
              <w:t>r PAK</w:t>
            </w:r>
            <w:r w:rsidR="000A3216" w:rsidRPr="00024D5A">
              <w:rPr>
                <w:rFonts w:ascii="Garamond" w:eastAsia="Times New Roman" w:hAnsi="Garamond"/>
                <w:b/>
                <w:bCs/>
                <w:sz w:val="6"/>
                <w:szCs w:val="16"/>
                <w:lang w:eastAsia="en-US"/>
              </w:rPr>
              <w:t>-në</w:t>
            </w:r>
            <w:r w:rsidR="00C702E7" w:rsidRPr="00024D5A">
              <w:rPr>
                <w:rFonts w:ascii="Garamond" w:eastAsia="Times New Roman" w:hAnsi="Garamond"/>
                <w:b/>
                <w:bCs/>
                <w:sz w:val="6"/>
                <w:szCs w:val="16"/>
                <w:lang w:eastAsia="en-US"/>
              </w:rPr>
              <w:t>.</w:t>
            </w:r>
          </w:p>
        </w:tc>
        <w:tc>
          <w:tcPr>
            <w:tcW w:w="567" w:type="dxa"/>
            <w:tcBorders>
              <w:top w:val="nil"/>
              <w:left w:val="nil"/>
              <w:bottom w:val="single" w:sz="4" w:space="0" w:color="auto"/>
              <w:right w:val="single" w:sz="4" w:space="0" w:color="auto"/>
            </w:tcBorders>
            <w:shd w:val="clear" w:color="000000" w:fill="C5D9F1"/>
            <w:noWrap/>
            <w:hideMark/>
          </w:tcPr>
          <w:p w14:paraId="17F46C1C"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shd w:val="clear" w:color="000000" w:fill="C5D9F1"/>
            <w:noWrap/>
            <w:hideMark/>
          </w:tcPr>
          <w:p w14:paraId="16E41A4F"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shd w:val="clear" w:color="000000" w:fill="C5D9F1"/>
            <w:hideMark/>
          </w:tcPr>
          <w:p w14:paraId="47D1FBA6"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AKSHI/AMA/MSHMS</w:t>
            </w:r>
          </w:p>
        </w:tc>
        <w:tc>
          <w:tcPr>
            <w:tcW w:w="1418" w:type="dxa"/>
            <w:tcBorders>
              <w:top w:val="nil"/>
              <w:left w:val="nil"/>
              <w:bottom w:val="single" w:sz="4" w:space="0" w:color="auto"/>
              <w:right w:val="single" w:sz="4" w:space="0" w:color="auto"/>
            </w:tcBorders>
            <w:shd w:val="clear" w:color="000000" w:fill="C5D9F1"/>
            <w:hideMark/>
          </w:tcPr>
          <w:p w14:paraId="5DAFFCEC" w14:textId="2C8EE2AE"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MSHMS/t</w:t>
            </w:r>
            <w:r w:rsidR="00070BC1" w:rsidRPr="00024D5A">
              <w:rPr>
                <w:rFonts w:ascii="Garamond" w:eastAsia="Times New Roman" w:hAnsi="Garamond"/>
                <w:b/>
                <w:bCs/>
                <w:sz w:val="6"/>
                <w:szCs w:val="16"/>
                <w:lang w:eastAsia="en-US"/>
              </w:rPr>
              <w:t>ë</w:t>
            </w:r>
            <w:r w:rsidRPr="00024D5A">
              <w:rPr>
                <w:rFonts w:ascii="Garamond" w:eastAsia="Times New Roman" w:hAnsi="Garamond"/>
                <w:b/>
                <w:bCs/>
                <w:sz w:val="6"/>
                <w:szCs w:val="16"/>
                <w:lang w:eastAsia="en-US"/>
              </w:rPr>
              <w:t xml:space="preserve"> gjitha institucionet</w:t>
            </w:r>
          </w:p>
        </w:tc>
        <w:tc>
          <w:tcPr>
            <w:tcW w:w="708" w:type="dxa"/>
            <w:tcBorders>
              <w:top w:val="nil"/>
              <w:left w:val="nil"/>
              <w:bottom w:val="single" w:sz="4" w:space="0" w:color="auto"/>
              <w:right w:val="single" w:sz="4" w:space="0" w:color="auto"/>
            </w:tcBorders>
            <w:shd w:val="clear" w:color="000000" w:fill="C5D9F1"/>
            <w:noWrap/>
            <w:hideMark/>
          </w:tcPr>
          <w:p w14:paraId="4386DFF9" w14:textId="09099627"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8,864</w:t>
            </w:r>
          </w:p>
        </w:tc>
        <w:tc>
          <w:tcPr>
            <w:tcW w:w="567" w:type="dxa"/>
            <w:tcBorders>
              <w:top w:val="nil"/>
              <w:left w:val="nil"/>
              <w:bottom w:val="single" w:sz="4" w:space="0" w:color="auto"/>
              <w:right w:val="single" w:sz="4" w:space="0" w:color="auto"/>
            </w:tcBorders>
            <w:shd w:val="clear" w:color="000000" w:fill="C5D9F1"/>
            <w:noWrap/>
            <w:hideMark/>
          </w:tcPr>
          <w:p w14:paraId="284B1F10" w14:textId="47197881"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9,864</w:t>
            </w:r>
          </w:p>
        </w:tc>
        <w:tc>
          <w:tcPr>
            <w:tcW w:w="567" w:type="dxa"/>
            <w:tcBorders>
              <w:top w:val="nil"/>
              <w:left w:val="nil"/>
              <w:bottom w:val="single" w:sz="4" w:space="0" w:color="auto"/>
              <w:right w:val="single" w:sz="4" w:space="0" w:color="auto"/>
            </w:tcBorders>
            <w:shd w:val="clear" w:color="000000" w:fill="C5D9F1"/>
            <w:noWrap/>
            <w:hideMark/>
          </w:tcPr>
          <w:p w14:paraId="64F366DA" w14:textId="62A03774"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9,864</w:t>
            </w:r>
          </w:p>
        </w:tc>
        <w:tc>
          <w:tcPr>
            <w:tcW w:w="1134" w:type="dxa"/>
            <w:tcBorders>
              <w:top w:val="nil"/>
              <w:left w:val="nil"/>
              <w:bottom w:val="single" w:sz="4" w:space="0" w:color="auto"/>
              <w:right w:val="single" w:sz="4" w:space="0" w:color="auto"/>
            </w:tcBorders>
            <w:shd w:val="clear" w:color="000000" w:fill="C5D9F1"/>
            <w:noWrap/>
            <w:hideMark/>
          </w:tcPr>
          <w:p w14:paraId="68BDA251" w14:textId="34AC1D77"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8,955</w:t>
            </w:r>
          </w:p>
        </w:tc>
        <w:tc>
          <w:tcPr>
            <w:tcW w:w="1615" w:type="dxa"/>
            <w:tcBorders>
              <w:top w:val="nil"/>
              <w:left w:val="nil"/>
              <w:bottom w:val="single" w:sz="4" w:space="0" w:color="auto"/>
              <w:right w:val="single" w:sz="4" w:space="0" w:color="auto"/>
            </w:tcBorders>
            <w:shd w:val="clear" w:color="000000" w:fill="C5D9F1"/>
            <w:noWrap/>
            <w:hideMark/>
          </w:tcPr>
          <w:p w14:paraId="4E08F78F" w14:textId="13E8AEA2"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8,955</w:t>
            </w:r>
          </w:p>
        </w:tc>
      </w:tr>
      <w:tr w:rsidR="00B807EE" w:rsidRPr="00024D5A" w14:paraId="68F5EAC1"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39FB0C24" w14:textId="46C6251F"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3.2.1 Marrja e masave që pajisjet dhe shërbimet publike të jenë të aksesueshme nga persona që kanë dëmtime të shikimit, probleme me dëgjimin, vështirësi me lëvizjen, si dhe nga persona me aftësi të kufizuara intelektuale duke përdorur: a) ikona universale; b) programe që mundësojnë leximin për personat me vështirësi në shikim; c) pajisje audio; d) të kenë programe që u mundësojnë përdoruesve me probleme në shikim të zmadhojnë shkrimin dhe madhësinë e ikonave; e) të kenë lexues dhe printerë të kodit Braille (në një numër të arsyeshëm).</w:t>
            </w:r>
          </w:p>
        </w:tc>
        <w:tc>
          <w:tcPr>
            <w:tcW w:w="567" w:type="dxa"/>
            <w:tcBorders>
              <w:top w:val="nil"/>
              <w:left w:val="nil"/>
              <w:bottom w:val="single" w:sz="4" w:space="0" w:color="auto"/>
              <w:right w:val="single" w:sz="4" w:space="0" w:color="auto"/>
            </w:tcBorders>
            <w:noWrap/>
            <w:hideMark/>
          </w:tcPr>
          <w:p w14:paraId="6F0D9751"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single" w:sz="4" w:space="0" w:color="auto"/>
            </w:tcBorders>
            <w:noWrap/>
            <w:hideMark/>
          </w:tcPr>
          <w:p w14:paraId="7773013F"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nil"/>
              <w:bottom w:val="single" w:sz="4" w:space="0" w:color="auto"/>
              <w:right w:val="single" w:sz="4" w:space="0" w:color="auto"/>
            </w:tcBorders>
            <w:hideMark/>
          </w:tcPr>
          <w:p w14:paraId="1203D3A3"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AMA</w:t>
            </w:r>
          </w:p>
        </w:tc>
        <w:tc>
          <w:tcPr>
            <w:tcW w:w="1418" w:type="dxa"/>
            <w:tcBorders>
              <w:top w:val="nil"/>
              <w:left w:val="nil"/>
              <w:bottom w:val="single" w:sz="4" w:space="0" w:color="auto"/>
              <w:right w:val="single" w:sz="4" w:space="0" w:color="auto"/>
            </w:tcBorders>
            <w:hideMark/>
          </w:tcPr>
          <w:p w14:paraId="37DAD088" w14:textId="3F9622CF"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MSHMS/AKSHI/t</w:t>
            </w:r>
            <w:r w:rsidR="00070BC1"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gjitha institucionet</w:t>
            </w:r>
          </w:p>
        </w:tc>
        <w:tc>
          <w:tcPr>
            <w:tcW w:w="708" w:type="dxa"/>
            <w:tcBorders>
              <w:top w:val="nil"/>
              <w:left w:val="nil"/>
              <w:bottom w:val="single" w:sz="4" w:space="0" w:color="auto"/>
              <w:right w:val="single" w:sz="4" w:space="0" w:color="auto"/>
            </w:tcBorders>
            <w:hideMark/>
          </w:tcPr>
          <w:p w14:paraId="607ED3B6" w14:textId="34DE493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2,500</w:t>
            </w:r>
          </w:p>
        </w:tc>
        <w:tc>
          <w:tcPr>
            <w:tcW w:w="567" w:type="dxa"/>
            <w:tcBorders>
              <w:top w:val="nil"/>
              <w:left w:val="nil"/>
              <w:bottom w:val="single" w:sz="4" w:space="0" w:color="auto"/>
              <w:right w:val="single" w:sz="4" w:space="0" w:color="auto"/>
            </w:tcBorders>
            <w:hideMark/>
          </w:tcPr>
          <w:p w14:paraId="7C8CD2F1" w14:textId="4EACA92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2,500</w:t>
            </w:r>
          </w:p>
        </w:tc>
        <w:tc>
          <w:tcPr>
            <w:tcW w:w="567" w:type="dxa"/>
            <w:tcBorders>
              <w:top w:val="nil"/>
              <w:left w:val="nil"/>
              <w:bottom w:val="single" w:sz="4" w:space="0" w:color="auto"/>
              <w:right w:val="single" w:sz="4" w:space="0" w:color="auto"/>
            </w:tcBorders>
            <w:hideMark/>
          </w:tcPr>
          <w:p w14:paraId="418561FC" w14:textId="50E186D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2,500</w:t>
            </w:r>
          </w:p>
        </w:tc>
        <w:tc>
          <w:tcPr>
            <w:tcW w:w="1134" w:type="dxa"/>
            <w:tcBorders>
              <w:top w:val="nil"/>
              <w:left w:val="nil"/>
              <w:bottom w:val="single" w:sz="4" w:space="0" w:color="auto"/>
              <w:right w:val="single" w:sz="4" w:space="0" w:color="auto"/>
            </w:tcBorders>
            <w:hideMark/>
          </w:tcPr>
          <w:p w14:paraId="350CD2BF" w14:textId="76FEF23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2,500</w:t>
            </w:r>
          </w:p>
        </w:tc>
        <w:tc>
          <w:tcPr>
            <w:tcW w:w="1615" w:type="dxa"/>
            <w:tcBorders>
              <w:top w:val="nil"/>
              <w:left w:val="nil"/>
              <w:bottom w:val="single" w:sz="4" w:space="0" w:color="auto"/>
              <w:right w:val="single" w:sz="4" w:space="0" w:color="auto"/>
            </w:tcBorders>
            <w:hideMark/>
          </w:tcPr>
          <w:p w14:paraId="47FDA6D4" w14:textId="2D9F41C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2,500</w:t>
            </w:r>
          </w:p>
        </w:tc>
      </w:tr>
      <w:tr w:rsidR="00B807EE" w:rsidRPr="00024D5A" w14:paraId="56D6BB1E"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3D3BE2DA" w14:textId="2E46CBE5"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3.2.2 Marrja e masave nga </w:t>
            </w:r>
            <w:r w:rsidR="00D06851" w:rsidRPr="00024D5A">
              <w:rPr>
                <w:rFonts w:ascii="Garamond" w:eastAsia="Times New Roman" w:hAnsi="Garamond"/>
                <w:sz w:val="6"/>
                <w:szCs w:val="16"/>
                <w:lang w:eastAsia="en-US"/>
              </w:rPr>
              <w:t>çdo</w:t>
            </w:r>
            <w:r w:rsidRPr="00024D5A">
              <w:rPr>
                <w:rFonts w:ascii="Garamond" w:eastAsia="Times New Roman" w:hAnsi="Garamond"/>
                <w:sz w:val="6"/>
                <w:szCs w:val="16"/>
                <w:lang w:eastAsia="en-US"/>
              </w:rPr>
              <w:t xml:space="preserve"> institucion shtetëror në nivel qendror dhe vendor, për të siguruar që informacioni dhe komunikimet për politikat, publikimet ose ngjarjet publike të jenë të arritshme për personat me aftësi të kufizuara.</w:t>
            </w:r>
          </w:p>
        </w:tc>
        <w:tc>
          <w:tcPr>
            <w:tcW w:w="567" w:type="dxa"/>
            <w:tcBorders>
              <w:top w:val="nil"/>
              <w:left w:val="nil"/>
              <w:bottom w:val="single" w:sz="4" w:space="0" w:color="auto"/>
              <w:right w:val="single" w:sz="4" w:space="0" w:color="auto"/>
            </w:tcBorders>
            <w:noWrap/>
            <w:hideMark/>
          </w:tcPr>
          <w:p w14:paraId="3D7A9EE3"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single" w:sz="4" w:space="0" w:color="auto"/>
            </w:tcBorders>
            <w:noWrap/>
            <w:hideMark/>
          </w:tcPr>
          <w:p w14:paraId="242E2E3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nil"/>
              <w:bottom w:val="single" w:sz="4" w:space="0" w:color="auto"/>
              <w:right w:val="single" w:sz="4" w:space="0" w:color="auto"/>
            </w:tcBorders>
            <w:noWrap/>
            <w:hideMark/>
          </w:tcPr>
          <w:p w14:paraId="1AAF3C29"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MSHMS</w:t>
            </w:r>
          </w:p>
        </w:tc>
        <w:tc>
          <w:tcPr>
            <w:tcW w:w="1418" w:type="dxa"/>
            <w:tcBorders>
              <w:top w:val="nil"/>
              <w:left w:val="nil"/>
              <w:bottom w:val="single" w:sz="4" w:space="0" w:color="auto"/>
              <w:right w:val="single" w:sz="4" w:space="0" w:color="auto"/>
            </w:tcBorders>
            <w:hideMark/>
          </w:tcPr>
          <w:p w14:paraId="4FA3BE5F" w14:textId="53FC6DEB"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t</w:t>
            </w:r>
            <w:r w:rsidR="00070BC1"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gjitha institucionet</w:t>
            </w:r>
          </w:p>
        </w:tc>
        <w:tc>
          <w:tcPr>
            <w:tcW w:w="708" w:type="dxa"/>
            <w:tcBorders>
              <w:top w:val="nil"/>
              <w:left w:val="nil"/>
              <w:bottom w:val="single" w:sz="4" w:space="0" w:color="auto"/>
              <w:right w:val="single" w:sz="4" w:space="0" w:color="auto"/>
            </w:tcBorders>
            <w:hideMark/>
          </w:tcPr>
          <w:p w14:paraId="57CB154E" w14:textId="609B234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3,636</w:t>
            </w:r>
          </w:p>
        </w:tc>
        <w:tc>
          <w:tcPr>
            <w:tcW w:w="567" w:type="dxa"/>
            <w:tcBorders>
              <w:top w:val="nil"/>
              <w:left w:val="nil"/>
              <w:bottom w:val="single" w:sz="4" w:space="0" w:color="auto"/>
              <w:right w:val="single" w:sz="4" w:space="0" w:color="auto"/>
            </w:tcBorders>
            <w:hideMark/>
          </w:tcPr>
          <w:p w14:paraId="24FD4687" w14:textId="3AA44BC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3,636</w:t>
            </w:r>
          </w:p>
        </w:tc>
        <w:tc>
          <w:tcPr>
            <w:tcW w:w="567" w:type="dxa"/>
            <w:tcBorders>
              <w:top w:val="nil"/>
              <w:left w:val="nil"/>
              <w:bottom w:val="single" w:sz="4" w:space="0" w:color="auto"/>
              <w:right w:val="single" w:sz="4" w:space="0" w:color="auto"/>
            </w:tcBorders>
            <w:hideMark/>
          </w:tcPr>
          <w:p w14:paraId="23875FD1" w14:textId="4BFB0E7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3,636</w:t>
            </w:r>
          </w:p>
        </w:tc>
        <w:tc>
          <w:tcPr>
            <w:tcW w:w="1134" w:type="dxa"/>
            <w:tcBorders>
              <w:top w:val="nil"/>
              <w:left w:val="nil"/>
              <w:bottom w:val="single" w:sz="4" w:space="0" w:color="auto"/>
              <w:right w:val="single" w:sz="4" w:space="0" w:color="auto"/>
            </w:tcBorders>
            <w:hideMark/>
          </w:tcPr>
          <w:p w14:paraId="1B73A64D" w14:textId="7966E5E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3,636</w:t>
            </w:r>
          </w:p>
        </w:tc>
        <w:tc>
          <w:tcPr>
            <w:tcW w:w="1615" w:type="dxa"/>
            <w:tcBorders>
              <w:top w:val="nil"/>
              <w:left w:val="nil"/>
              <w:bottom w:val="single" w:sz="4" w:space="0" w:color="auto"/>
              <w:right w:val="single" w:sz="4" w:space="0" w:color="auto"/>
            </w:tcBorders>
            <w:hideMark/>
          </w:tcPr>
          <w:p w14:paraId="3EBF957D" w14:textId="7B8E1C9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3,636</w:t>
            </w:r>
          </w:p>
        </w:tc>
      </w:tr>
      <w:tr w:rsidR="00B807EE" w:rsidRPr="00024D5A" w14:paraId="2C71CA5F"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06D55E85" w14:textId="6D08D0DA"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3.2.3 Marrja e masave, me qëllim që udhëzuesit elektronikë të programeve të përdorin ikonat e njohura ndërkombëtarisht</w:t>
            </w:r>
            <w:r w:rsidR="00D06851"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si </w:t>
            </w:r>
            <w:r w:rsidR="0078161D"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CC</w:t>
            </w:r>
            <w:r w:rsidR="0078161D"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për titrat dhe </w:t>
            </w:r>
            <w:r w:rsidR="0078161D"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AD</w:t>
            </w:r>
            <w:r w:rsidR="0078161D"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për përshkrimet audio.</w:t>
            </w:r>
          </w:p>
        </w:tc>
        <w:tc>
          <w:tcPr>
            <w:tcW w:w="567" w:type="dxa"/>
            <w:tcBorders>
              <w:top w:val="nil"/>
              <w:left w:val="nil"/>
              <w:bottom w:val="single" w:sz="4" w:space="0" w:color="auto"/>
              <w:right w:val="single" w:sz="4" w:space="0" w:color="auto"/>
            </w:tcBorders>
            <w:noWrap/>
            <w:hideMark/>
          </w:tcPr>
          <w:p w14:paraId="4297C80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single" w:sz="4" w:space="0" w:color="auto"/>
            </w:tcBorders>
            <w:noWrap/>
            <w:hideMark/>
          </w:tcPr>
          <w:p w14:paraId="53E12807"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2028</w:t>
            </w:r>
          </w:p>
        </w:tc>
        <w:tc>
          <w:tcPr>
            <w:tcW w:w="1134" w:type="dxa"/>
            <w:tcBorders>
              <w:top w:val="nil"/>
              <w:left w:val="nil"/>
              <w:bottom w:val="single" w:sz="4" w:space="0" w:color="auto"/>
              <w:right w:val="single" w:sz="4" w:space="0" w:color="auto"/>
            </w:tcBorders>
            <w:noWrap/>
            <w:hideMark/>
          </w:tcPr>
          <w:p w14:paraId="7FC987EE"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AMA</w:t>
            </w:r>
          </w:p>
        </w:tc>
        <w:tc>
          <w:tcPr>
            <w:tcW w:w="1418" w:type="dxa"/>
            <w:tcBorders>
              <w:top w:val="nil"/>
              <w:left w:val="nil"/>
              <w:bottom w:val="single" w:sz="4" w:space="0" w:color="auto"/>
              <w:right w:val="single" w:sz="4" w:space="0" w:color="auto"/>
            </w:tcBorders>
            <w:hideMark/>
          </w:tcPr>
          <w:p w14:paraId="7170AB2C" w14:textId="5FA44095"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MSHMS/t</w:t>
            </w:r>
            <w:r w:rsidR="00070BC1"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gjitha institucionet</w:t>
            </w:r>
          </w:p>
        </w:tc>
        <w:tc>
          <w:tcPr>
            <w:tcW w:w="708" w:type="dxa"/>
            <w:tcBorders>
              <w:top w:val="nil"/>
              <w:left w:val="nil"/>
              <w:bottom w:val="single" w:sz="4" w:space="0" w:color="auto"/>
              <w:right w:val="single" w:sz="4" w:space="0" w:color="auto"/>
            </w:tcBorders>
            <w:hideMark/>
          </w:tcPr>
          <w:p w14:paraId="0A639E9D" w14:textId="698C5DD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909</w:t>
            </w:r>
          </w:p>
        </w:tc>
        <w:tc>
          <w:tcPr>
            <w:tcW w:w="567" w:type="dxa"/>
            <w:tcBorders>
              <w:top w:val="nil"/>
              <w:left w:val="nil"/>
              <w:bottom w:val="single" w:sz="4" w:space="0" w:color="auto"/>
              <w:right w:val="single" w:sz="4" w:space="0" w:color="auto"/>
            </w:tcBorders>
            <w:hideMark/>
          </w:tcPr>
          <w:p w14:paraId="2AC8A89B" w14:textId="48F8CBE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909</w:t>
            </w:r>
          </w:p>
        </w:tc>
        <w:tc>
          <w:tcPr>
            <w:tcW w:w="567" w:type="dxa"/>
            <w:tcBorders>
              <w:top w:val="nil"/>
              <w:left w:val="nil"/>
              <w:bottom w:val="single" w:sz="4" w:space="0" w:color="auto"/>
              <w:right w:val="single" w:sz="4" w:space="0" w:color="auto"/>
            </w:tcBorders>
            <w:hideMark/>
          </w:tcPr>
          <w:p w14:paraId="6EF9054B" w14:textId="0BB2819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909</w:t>
            </w:r>
          </w:p>
        </w:tc>
        <w:tc>
          <w:tcPr>
            <w:tcW w:w="1134" w:type="dxa"/>
            <w:tcBorders>
              <w:top w:val="nil"/>
              <w:left w:val="nil"/>
              <w:bottom w:val="single" w:sz="4" w:space="0" w:color="auto"/>
              <w:right w:val="single" w:sz="4" w:space="0" w:color="auto"/>
            </w:tcBorders>
            <w:hideMark/>
          </w:tcPr>
          <w:p w14:paraId="624CF6EB" w14:textId="5A21FAD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0</w:t>
            </w:r>
          </w:p>
        </w:tc>
        <w:tc>
          <w:tcPr>
            <w:tcW w:w="1615" w:type="dxa"/>
            <w:tcBorders>
              <w:top w:val="nil"/>
              <w:left w:val="nil"/>
              <w:bottom w:val="single" w:sz="4" w:space="0" w:color="auto"/>
              <w:right w:val="single" w:sz="4" w:space="0" w:color="auto"/>
            </w:tcBorders>
            <w:hideMark/>
          </w:tcPr>
          <w:p w14:paraId="3DA98C22" w14:textId="64A1999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0</w:t>
            </w:r>
          </w:p>
        </w:tc>
      </w:tr>
      <w:tr w:rsidR="00B807EE" w:rsidRPr="00024D5A" w14:paraId="25464041"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246D6612" w14:textId="5762B6DF"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3.2.4 Monitorimi i ofrimit, nga ofruesit e licencuar, të shërbimeve të titrave, gjuhës së shenjave dhe versioneve audio në programe specifike, me qëllim sigurimin e aksesit për personat me aftësi të kufizuara.</w:t>
            </w:r>
          </w:p>
        </w:tc>
        <w:tc>
          <w:tcPr>
            <w:tcW w:w="567" w:type="dxa"/>
            <w:tcBorders>
              <w:top w:val="nil"/>
              <w:left w:val="nil"/>
              <w:bottom w:val="single" w:sz="4" w:space="0" w:color="auto"/>
              <w:right w:val="single" w:sz="4" w:space="0" w:color="auto"/>
            </w:tcBorders>
            <w:noWrap/>
            <w:hideMark/>
          </w:tcPr>
          <w:p w14:paraId="13F185ED"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single" w:sz="4" w:space="0" w:color="auto"/>
            </w:tcBorders>
            <w:noWrap/>
            <w:hideMark/>
          </w:tcPr>
          <w:p w14:paraId="33AB9038"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nil"/>
              <w:bottom w:val="single" w:sz="4" w:space="0" w:color="auto"/>
              <w:right w:val="single" w:sz="4" w:space="0" w:color="auto"/>
            </w:tcBorders>
            <w:noWrap/>
            <w:hideMark/>
          </w:tcPr>
          <w:p w14:paraId="57C873E2"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AMA</w:t>
            </w:r>
          </w:p>
        </w:tc>
        <w:tc>
          <w:tcPr>
            <w:tcW w:w="1418" w:type="dxa"/>
            <w:tcBorders>
              <w:top w:val="nil"/>
              <w:left w:val="nil"/>
              <w:bottom w:val="single" w:sz="4" w:space="0" w:color="auto"/>
              <w:right w:val="single" w:sz="4" w:space="0" w:color="auto"/>
            </w:tcBorders>
            <w:hideMark/>
          </w:tcPr>
          <w:p w14:paraId="40128024" w14:textId="04FA45F0" w:rsidR="00700D7D" w:rsidRPr="00024D5A" w:rsidRDefault="00070BC1"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Ofrues </w:t>
            </w:r>
            <w:r w:rsidR="00700D7D" w:rsidRPr="00024D5A">
              <w:rPr>
                <w:rFonts w:ascii="Garamond" w:eastAsia="Times New Roman" w:hAnsi="Garamond"/>
                <w:sz w:val="6"/>
                <w:szCs w:val="16"/>
                <w:lang w:eastAsia="en-US"/>
              </w:rPr>
              <w:t>t</w:t>
            </w:r>
            <w:r w:rsidRPr="00024D5A">
              <w:rPr>
                <w:rFonts w:ascii="Garamond" w:eastAsia="Times New Roman" w:hAnsi="Garamond"/>
                <w:sz w:val="6"/>
                <w:szCs w:val="16"/>
                <w:lang w:eastAsia="en-US"/>
              </w:rPr>
              <w:t>ë</w:t>
            </w:r>
            <w:r w:rsidR="00700D7D" w:rsidRPr="00024D5A">
              <w:rPr>
                <w:rFonts w:ascii="Garamond" w:eastAsia="Times New Roman" w:hAnsi="Garamond"/>
                <w:sz w:val="6"/>
                <w:szCs w:val="16"/>
                <w:lang w:eastAsia="en-US"/>
              </w:rPr>
              <w:t xml:space="preserve"> sh</w:t>
            </w:r>
            <w:r w:rsidRPr="00024D5A">
              <w:rPr>
                <w:rFonts w:ascii="Garamond" w:eastAsia="Times New Roman" w:hAnsi="Garamond"/>
                <w:sz w:val="6"/>
                <w:szCs w:val="16"/>
                <w:lang w:eastAsia="en-US"/>
              </w:rPr>
              <w:t>ë</w:t>
            </w:r>
            <w:r w:rsidR="00700D7D" w:rsidRPr="00024D5A">
              <w:rPr>
                <w:rFonts w:ascii="Garamond" w:eastAsia="Times New Roman" w:hAnsi="Garamond"/>
                <w:sz w:val="6"/>
                <w:szCs w:val="16"/>
                <w:lang w:eastAsia="en-US"/>
              </w:rPr>
              <w:t>rbimeve</w:t>
            </w:r>
            <w:r w:rsidR="007675EC" w:rsidRPr="00024D5A">
              <w:rPr>
                <w:rFonts w:ascii="Garamond" w:eastAsia="Times New Roman" w:hAnsi="Garamond"/>
                <w:sz w:val="6"/>
                <w:szCs w:val="16"/>
                <w:lang w:eastAsia="en-US"/>
              </w:rPr>
              <w:t>/</w:t>
            </w:r>
            <w:r w:rsidR="00700D7D" w:rsidRPr="00024D5A">
              <w:rPr>
                <w:rFonts w:ascii="Garamond" w:eastAsia="Times New Roman" w:hAnsi="Garamond"/>
                <w:sz w:val="6"/>
                <w:szCs w:val="16"/>
                <w:lang w:eastAsia="en-US"/>
              </w:rPr>
              <w:t>OJF</w:t>
            </w:r>
          </w:p>
        </w:tc>
        <w:tc>
          <w:tcPr>
            <w:tcW w:w="708" w:type="dxa"/>
            <w:tcBorders>
              <w:top w:val="nil"/>
              <w:left w:val="nil"/>
              <w:bottom w:val="single" w:sz="4" w:space="0" w:color="auto"/>
              <w:right w:val="single" w:sz="4" w:space="0" w:color="auto"/>
            </w:tcBorders>
            <w:hideMark/>
          </w:tcPr>
          <w:p w14:paraId="20CAB328" w14:textId="16B9D6D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1,818</w:t>
            </w:r>
          </w:p>
        </w:tc>
        <w:tc>
          <w:tcPr>
            <w:tcW w:w="567" w:type="dxa"/>
            <w:tcBorders>
              <w:top w:val="nil"/>
              <w:left w:val="nil"/>
              <w:bottom w:val="single" w:sz="4" w:space="0" w:color="auto"/>
              <w:right w:val="single" w:sz="4" w:space="0" w:color="auto"/>
            </w:tcBorders>
            <w:hideMark/>
          </w:tcPr>
          <w:p w14:paraId="1B47C35A" w14:textId="72742AD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1,818</w:t>
            </w:r>
          </w:p>
        </w:tc>
        <w:tc>
          <w:tcPr>
            <w:tcW w:w="567" w:type="dxa"/>
            <w:tcBorders>
              <w:top w:val="nil"/>
              <w:left w:val="nil"/>
              <w:bottom w:val="single" w:sz="4" w:space="0" w:color="auto"/>
              <w:right w:val="single" w:sz="4" w:space="0" w:color="auto"/>
            </w:tcBorders>
            <w:hideMark/>
          </w:tcPr>
          <w:p w14:paraId="2B1E018E" w14:textId="6D9C0BB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1,818</w:t>
            </w:r>
          </w:p>
        </w:tc>
        <w:tc>
          <w:tcPr>
            <w:tcW w:w="1134" w:type="dxa"/>
            <w:tcBorders>
              <w:top w:val="nil"/>
              <w:left w:val="nil"/>
              <w:bottom w:val="single" w:sz="4" w:space="0" w:color="auto"/>
              <w:right w:val="single" w:sz="4" w:space="0" w:color="auto"/>
            </w:tcBorders>
            <w:hideMark/>
          </w:tcPr>
          <w:p w14:paraId="392E5E5B" w14:textId="167A395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1,818</w:t>
            </w:r>
          </w:p>
        </w:tc>
        <w:tc>
          <w:tcPr>
            <w:tcW w:w="1615" w:type="dxa"/>
            <w:tcBorders>
              <w:top w:val="nil"/>
              <w:left w:val="nil"/>
              <w:bottom w:val="single" w:sz="4" w:space="0" w:color="auto"/>
              <w:right w:val="single" w:sz="4" w:space="0" w:color="auto"/>
            </w:tcBorders>
            <w:hideMark/>
          </w:tcPr>
          <w:p w14:paraId="42E6A49F" w14:textId="69F6413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1,818</w:t>
            </w:r>
          </w:p>
        </w:tc>
      </w:tr>
      <w:tr w:rsidR="00B807EE" w:rsidRPr="00024D5A" w14:paraId="7989212C"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131BC4F3" w14:textId="18B9CB9F"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3.2.5 Vizita të ndërsjella për shkëmbim eksperienca nga vendet</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të rajonit.</w:t>
            </w:r>
          </w:p>
        </w:tc>
        <w:tc>
          <w:tcPr>
            <w:tcW w:w="567" w:type="dxa"/>
            <w:tcBorders>
              <w:top w:val="nil"/>
              <w:left w:val="nil"/>
              <w:bottom w:val="single" w:sz="4" w:space="0" w:color="auto"/>
              <w:right w:val="single" w:sz="4" w:space="0" w:color="auto"/>
            </w:tcBorders>
            <w:noWrap/>
            <w:hideMark/>
          </w:tcPr>
          <w:p w14:paraId="2B5F4EC2"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2027</w:t>
            </w:r>
          </w:p>
        </w:tc>
        <w:tc>
          <w:tcPr>
            <w:tcW w:w="567" w:type="dxa"/>
            <w:tcBorders>
              <w:top w:val="nil"/>
              <w:left w:val="nil"/>
              <w:bottom w:val="single" w:sz="4" w:space="0" w:color="auto"/>
              <w:right w:val="single" w:sz="4" w:space="0" w:color="auto"/>
            </w:tcBorders>
            <w:noWrap/>
            <w:hideMark/>
          </w:tcPr>
          <w:p w14:paraId="025D2FF6"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2029</w:t>
            </w:r>
          </w:p>
        </w:tc>
        <w:tc>
          <w:tcPr>
            <w:tcW w:w="1134" w:type="dxa"/>
            <w:tcBorders>
              <w:top w:val="nil"/>
              <w:left w:val="nil"/>
              <w:bottom w:val="single" w:sz="4" w:space="0" w:color="auto"/>
              <w:right w:val="single" w:sz="4" w:space="0" w:color="auto"/>
            </w:tcBorders>
            <w:noWrap/>
            <w:hideMark/>
          </w:tcPr>
          <w:p w14:paraId="4C05AEC8"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MEI/MSHMS</w:t>
            </w:r>
          </w:p>
        </w:tc>
        <w:tc>
          <w:tcPr>
            <w:tcW w:w="1418" w:type="dxa"/>
            <w:tcBorders>
              <w:top w:val="nil"/>
              <w:left w:val="nil"/>
              <w:bottom w:val="single" w:sz="4" w:space="0" w:color="auto"/>
              <w:right w:val="single" w:sz="4" w:space="0" w:color="auto"/>
            </w:tcBorders>
            <w:hideMark/>
          </w:tcPr>
          <w:p w14:paraId="110F1444" w14:textId="3DF5A8ED" w:rsidR="00700D7D" w:rsidRPr="00024D5A" w:rsidRDefault="00070BC1"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Të </w:t>
            </w:r>
            <w:r w:rsidR="00700D7D" w:rsidRPr="00024D5A">
              <w:rPr>
                <w:rFonts w:ascii="Garamond" w:eastAsia="Times New Roman" w:hAnsi="Garamond"/>
                <w:sz w:val="6"/>
                <w:szCs w:val="16"/>
                <w:lang w:eastAsia="en-US"/>
              </w:rPr>
              <w:t>gjitha institucionet</w:t>
            </w:r>
          </w:p>
        </w:tc>
        <w:tc>
          <w:tcPr>
            <w:tcW w:w="708" w:type="dxa"/>
            <w:tcBorders>
              <w:top w:val="nil"/>
              <w:left w:val="nil"/>
              <w:bottom w:val="single" w:sz="4" w:space="0" w:color="auto"/>
              <w:right w:val="single" w:sz="4" w:space="0" w:color="auto"/>
            </w:tcBorders>
            <w:hideMark/>
          </w:tcPr>
          <w:p w14:paraId="0A892483" w14:textId="25E2EFA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4A4A64B8" w14:textId="0E1099C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c>
          <w:tcPr>
            <w:tcW w:w="567" w:type="dxa"/>
            <w:tcBorders>
              <w:top w:val="nil"/>
              <w:left w:val="nil"/>
              <w:bottom w:val="single" w:sz="4" w:space="0" w:color="auto"/>
              <w:right w:val="single" w:sz="4" w:space="0" w:color="auto"/>
            </w:tcBorders>
            <w:hideMark/>
          </w:tcPr>
          <w:p w14:paraId="2306CA5A" w14:textId="2DE9604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c>
          <w:tcPr>
            <w:tcW w:w="1134" w:type="dxa"/>
            <w:tcBorders>
              <w:top w:val="nil"/>
              <w:left w:val="nil"/>
              <w:bottom w:val="single" w:sz="4" w:space="0" w:color="auto"/>
              <w:right w:val="single" w:sz="4" w:space="0" w:color="auto"/>
            </w:tcBorders>
            <w:hideMark/>
          </w:tcPr>
          <w:p w14:paraId="568D9A90" w14:textId="6D1E977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c>
          <w:tcPr>
            <w:tcW w:w="1615" w:type="dxa"/>
            <w:tcBorders>
              <w:top w:val="nil"/>
              <w:left w:val="nil"/>
              <w:bottom w:val="single" w:sz="4" w:space="0" w:color="auto"/>
              <w:right w:val="single" w:sz="4" w:space="0" w:color="auto"/>
            </w:tcBorders>
            <w:hideMark/>
          </w:tcPr>
          <w:p w14:paraId="116F652D" w14:textId="49A4D79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r>
      <w:tr w:rsidR="00B807EE" w:rsidRPr="00024D5A" w14:paraId="72025EB6" w14:textId="77777777" w:rsidTr="002B321E">
        <w:trPr>
          <w:trHeight w:val="20"/>
        </w:trPr>
        <w:tc>
          <w:tcPr>
            <w:tcW w:w="4673" w:type="dxa"/>
            <w:tcBorders>
              <w:top w:val="nil"/>
              <w:left w:val="single" w:sz="4" w:space="0" w:color="auto"/>
              <w:bottom w:val="single" w:sz="4" w:space="0" w:color="auto"/>
              <w:right w:val="nil"/>
            </w:tcBorders>
            <w:shd w:val="clear" w:color="000000" w:fill="FDE9D9"/>
            <w:hideMark/>
          </w:tcPr>
          <w:p w14:paraId="1CCA8D2C" w14:textId="689B14FD"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Objektivi specifik 4</w:t>
            </w:r>
            <w:r w:rsidR="003526AF">
              <w:rPr>
                <w:rFonts w:ascii="Garamond" w:eastAsia="Times New Roman" w:hAnsi="Garamond"/>
                <w:b/>
                <w:bCs/>
                <w:sz w:val="6"/>
                <w:szCs w:val="16"/>
                <w:lang w:eastAsia="en-US"/>
              </w:rPr>
              <w:t>:</w:t>
            </w:r>
            <w:r w:rsidR="008F29FA" w:rsidRPr="00024D5A">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Aksesueshmëria në objektet dhe shërbimet turistike dhe të trashëgimisë kulturore.</w:t>
            </w:r>
          </w:p>
        </w:tc>
        <w:tc>
          <w:tcPr>
            <w:tcW w:w="567" w:type="dxa"/>
            <w:tcBorders>
              <w:top w:val="nil"/>
              <w:left w:val="single" w:sz="4" w:space="0" w:color="auto"/>
              <w:bottom w:val="single" w:sz="4" w:space="0" w:color="auto"/>
              <w:right w:val="single" w:sz="4" w:space="0" w:color="auto"/>
            </w:tcBorders>
            <w:shd w:val="clear" w:color="000000" w:fill="FDE9D9"/>
            <w:noWrap/>
            <w:hideMark/>
          </w:tcPr>
          <w:p w14:paraId="219691F3"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shd w:val="clear" w:color="000000" w:fill="FDE9D9"/>
            <w:noWrap/>
            <w:hideMark/>
          </w:tcPr>
          <w:p w14:paraId="2869DD43"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shd w:val="clear" w:color="000000" w:fill="FDE9D9"/>
            <w:hideMark/>
          </w:tcPr>
          <w:p w14:paraId="005A1FD9" w14:textId="6513DE94"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MTKS</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Bashkitë</w:t>
            </w:r>
          </w:p>
        </w:tc>
        <w:tc>
          <w:tcPr>
            <w:tcW w:w="1418" w:type="dxa"/>
            <w:tcBorders>
              <w:top w:val="nil"/>
              <w:left w:val="nil"/>
              <w:bottom w:val="single" w:sz="4" w:space="0" w:color="auto"/>
              <w:right w:val="single" w:sz="8" w:space="0" w:color="auto"/>
            </w:tcBorders>
            <w:shd w:val="clear" w:color="000000" w:fill="FDE9D9"/>
            <w:hideMark/>
          </w:tcPr>
          <w:p w14:paraId="1C846668" w14:textId="54AE00CC"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Bashkit</w:t>
            </w:r>
            <w:r w:rsidR="00070BC1" w:rsidRPr="00024D5A">
              <w:rPr>
                <w:rFonts w:ascii="Garamond" w:eastAsia="Times New Roman" w:hAnsi="Garamond"/>
                <w:b/>
                <w:bCs/>
                <w:sz w:val="6"/>
                <w:szCs w:val="16"/>
                <w:lang w:eastAsia="en-US"/>
              </w:rPr>
              <w:t>ë</w:t>
            </w:r>
            <w:r w:rsidRPr="00024D5A">
              <w:rPr>
                <w:rFonts w:ascii="Garamond" w:eastAsia="Times New Roman" w:hAnsi="Garamond"/>
                <w:b/>
                <w:bCs/>
                <w:sz w:val="6"/>
                <w:szCs w:val="16"/>
                <w:lang w:eastAsia="en-US"/>
              </w:rPr>
              <w:t>/UP/operator</w:t>
            </w:r>
            <w:r w:rsidR="005A46ED">
              <w:rPr>
                <w:rFonts w:ascii="Garamond" w:eastAsia="Times New Roman" w:hAnsi="Garamond"/>
                <w:b/>
                <w:bCs/>
                <w:sz w:val="6"/>
                <w:szCs w:val="16"/>
                <w:lang w:eastAsia="en-US"/>
              </w:rPr>
              <w:t>ë</w:t>
            </w:r>
            <w:r w:rsidRPr="00024D5A">
              <w:rPr>
                <w:rFonts w:ascii="Garamond" w:eastAsia="Times New Roman" w:hAnsi="Garamond"/>
                <w:b/>
                <w:bCs/>
                <w:sz w:val="6"/>
                <w:szCs w:val="16"/>
                <w:lang w:eastAsia="en-US"/>
              </w:rPr>
              <w:t>t</w:t>
            </w:r>
            <w:r w:rsidR="007675EC" w:rsidRPr="00024D5A">
              <w:rPr>
                <w:rFonts w:ascii="Garamond" w:eastAsia="Times New Roman" w:hAnsi="Garamond"/>
                <w:b/>
                <w:bCs/>
                <w:sz w:val="6"/>
                <w:szCs w:val="16"/>
                <w:lang w:eastAsia="en-US"/>
              </w:rPr>
              <w:t>/</w:t>
            </w:r>
            <w:r w:rsidR="00BA4F73" w:rsidRPr="00024D5A">
              <w:rPr>
                <w:rFonts w:ascii="Garamond" w:eastAsia="Times New Roman" w:hAnsi="Garamond"/>
                <w:b/>
                <w:bCs/>
                <w:sz w:val="6"/>
                <w:szCs w:val="16"/>
                <w:lang w:eastAsia="en-US"/>
              </w:rPr>
              <w:t>OJF</w:t>
            </w:r>
            <w:r w:rsidRPr="00024D5A">
              <w:rPr>
                <w:rFonts w:ascii="Garamond" w:eastAsia="Times New Roman" w:hAnsi="Garamond"/>
                <w:b/>
                <w:bCs/>
                <w:sz w:val="6"/>
                <w:szCs w:val="16"/>
                <w:lang w:eastAsia="en-US"/>
              </w:rPr>
              <w:t>/AKSHI</w:t>
            </w:r>
          </w:p>
        </w:tc>
        <w:tc>
          <w:tcPr>
            <w:tcW w:w="708" w:type="dxa"/>
            <w:tcBorders>
              <w:top w:val="nil"/>
              <w:left w:val="single" w:sz="4" w:space="0" w:color="auto"/>
              <w:bottom w:val="single" w:sz="4" w:space="0" w:color="auto"/>
              <w:right w:val="single" w:sz="4" w:space="0" w:color="auto"/>
            </w:tcBorders>
            <w:shd w:val="clear" w:color="000000" w:fill="FDE9D9"/>
            <w:hideMark/>
          </w:tcPr>
          <w:p w14:paraId="1E595B75" w14:textId="2A00D752"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1,961</w:t>
            </w:r>
          </w:p>
        </w:tc>
        <w:tc>
          <w:tcPr>
            <w:tcW w:w="567" w:type="dxa"/>
            <w:tcBorders>
              <w:top w:val="nil"/>
              <w:left w:val="nil"/>
              <w:bottom w:val="single" w:sz="4" w:space="0" w:color="auto"/>
              <w:right w:val="single" w:sz="4" w:space="0" w:color="auto"/>
            </w:tcBorders>
            <w:shd w:val="clear" w:color="000000" w:fill="FDE9D9"/>
            <w:hideMark/>
          </w:tcPr>
          <w:p w14:paraId="651657CA" w14:textId="2CFFA4A6"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2,461</w:t>
            </w:r>
          </w:p>
        </w:tc>
        <w:tc>
          <w:tcPr>
            <w:tcW w:w="567" w:type="dxa"/>
            <w:tcBorders>
              <w:top w:val="nil"/>
              <w:left w:val="nil"/>
              <w:bottom w:val="single" w:sz="4" w:space="0" w:color="auto"/>
              <w:right w:val="single" w:sz="4" w:space="0" w:color="auto"/>
            </w:tcBorders>
            <w:shd w:val="clear" w:color="000000" w:fill="FDE9D9"/>
            <w:hideMark/>
          </w:tcPr>
          <w:p w14:paraId="2532DABE" w14:textId="7DD876FD"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2,461</w:t>
            </w:r>
          </w:p>
        </w:tc>
        <w:tc>
          <w:tcPr>
            <w:tcW w:w="1134" w:type="dxa"/>
            <w:tcBorders>
              <w:top w:val="nil"/>
              <w:left w:val="nil"/>
              <w:bottom w:val="single" w:sz="4" w:space="0" w:color="auto"/>
              <w:right w:val="single" w:sz="4" w:space="0" w:color="auto"/>
            </w:tcBorders>
            <w:shd w:val="clear" w:color="000000" w:fill="FDE9D9"/>
            <w:hideMark/>
          </w:tcPr>
          <w:p w14:paraId="2AFE7641" w14:textId="34954451"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2,461</w:t>
            </w:r>
          </w:p>
        </w:tc>
        <w:tc>
          <w:tcPr>
            <w:tcW w:w="1615" w:type="dxa"/>
            <w:tcBorders>
              <w:top w:val="nil"/>
              <w:left w:val="nil"/>
              <w:bottom w:val="single" w:sz="4" w:space="0" w:color="auto"/>
              <w:right w:val="single" w:sz="4" w:space="0" w:color="auto"/>
            </w:tcBorders>
            <w:shd w:val="clear" w:color="000000" w:fill="FDE9D9"/>
            <w:hideMark/>
          </w:tcPr>
          <w:p w14:paraId="7F0B5D2C" w14:textId="5EA6EBD3"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2,461</w:t>
            </w:r>
          </w:p>
        </w:tc>
      </w:tr>
      <w:tr w:rsidR="00B807EE" w:rsidRPr="00024D5A" w14:paraId="5FA2804B"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C5D9F1"/>
            <w:hideMark/>
          </w:tcPr>
          <w:p w14:paraId="5FF86460" w14:textId="133549DA"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Masa prioritare 4.1</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Aksesueshmëria në </w:t>
            </w:r>
            <w:r w:rsidR="00D06851" w:rsidRPr="00024D5A">
              <w:rPr>
                <w:rFonts w:ascii="Garamond" w:eastAsia="Times New Roman" w:hAnsi="Garamond"/>
                <w:b/>
                <w:bCs/>
                <w:sz w:val="6"/>
                <w:szCs w:val="16"/>
                <w:lang w:eastAsia="en-US"/>
              </w:rPr>
              <w:t xml:space="preserve">objekte </w:t>
            </w:r>
            <w:r w:rsidRPr="00024D5A">
              <w:rPr>
                <w:rFonts w:ascii="Garamond" w:eastAsia="Times New Roman" w:hAnsi="Garamond"/>
                <w:b/>
                <w:bCs/>
                <w:sz w:val="6"/>
                <w:szCs w:val="16"/>
                <w:lang w:eastAsia="en-US"/>
              </w:rPr>
              <w:t xml:space="preserve">turistike dhe të </w:t>
            </w:r>
            <w:r w:rsidR="00D06851" w:rsidRPr="00024D5A">
              <w:rPr>
                <w:rFonts w:ascii="Garamond" w:eastAsia="Times New Roman" w:hAnsi="Garamond"/>
                <w:b/>
                <w:bCs/>
                <w:sz w:val="6"/>
                <w:szCs w:val="16"/>
                <w:lang w:eastAsia="en-US"/>
              </w:rPr>
              <w:t>trashëgimisë</w:t>
            </w:r>
            <w:r w:rsidRPr="00024D5A">
              <w:rPr>
                <w:rFonts w:ascii="Garamond" w:eastAsia="Times New Roman" w:hAnsi="Garamond"/>
                <w:b/>
                <w:bCs/>
                <w:sz w:val="6"/>
                <w:szCs w:val="16"/>
                <w:lang w:eastAsia="en-US"/>
              </w:rPr>
              <w:t xml:space="preserve"> kulturore</w:t>
            </w:r>
          </w:p>
        </w:tc>
        <w:tc>
          <w:tcPr>
            <w:tcW w:w="567" w:type="dxa"/>
            <w:tcBorders>
              <w:top w:val="nil"/>
              <w:left w:val="nil"/>
              <w:bottom w:val="single" w:sz="4" w:space="0" w:color="auto"/>
              <w:right w:val="single" w:sz="4" w:space="0" w:color="auto"/>
            </w:tcBorders>
            <w:shd w:val="clear" w:color="000000" w:fill="C5D9F1"/>
            <w:noWrap/>
            <w:hideMark/>
          </w:tcPr>
          <w:p w14:paraId="572FA53E"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single" w:sz="4" w:space="0" w:color="auto"/>
            </w:tcBorders>
            <w:shd w:val="clear" w:color="000000" w:fill="C5D9F1"/>
            <w:noWrap/>
            <w:hideMark/>
          </w:tcPr>
          <w:p w14:paraId="59E32AB7"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nil"/>
              <w:bottom w:val="single" w:sz="4" w:space="0" w:color="auto"/>
              <w:right w:val="single" w:sz="4" w:space="0" w:color="auto"/>
            </w:tcBorders>
            <w:shd w:val="clear" w:color="000000" w:fill="C5D9F1"/>
            <w:hideMark/>
          </w:tcPr>
          <w:p w14:paraId="7AEA9D99" w14:textId="2F6EDDA6"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MTKS</w:t>
            </w:r>
            <w:r w:rsidR="007675EC"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Bashkitë</w:t>
            </w:r>
          </w:p>
        </w:tc>
        <w:tc>
          <w:tcPr>
            <w:tcW w:w="1418" w:type="dxa"/>
            <w:tcBorders>
              <w:top w:val="nil"/>
              <w:left w:val="nil"/>
              <w:bottom w:val="single" w:sz="4" w:space="0" w:color="auto"/>
              <w:right w:val="single" w:sz="8" w:space="0" w:color="auto"/>
            </w:tcBorders>
            <w:shd w:val="clear" w:color="000000" w:fill="C5D9F1"/>
            <w:hideMark/>
          </w:tcPr>
          <w:p w14:paraId="15ACDEBC" w14:textId="2880F445"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Bashkit</w:t>
            </w:r>
            <w:r w:rsidR="00070BC1"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/UP/operator</w:t>
            </w:r>
            <w:r w:rsidR="005A46ED">
              <w:rPr>
                <w:rFonts w:ascii="Garamond" w:eastAsia="Times New Roman" w:hAnsi="Garamond"/>
                <w:sz w:val="6"/>
                <w:szCs w:val="16"/>
                <w:lang w:eastAsia="en-US"/>
              </w:rPr>
              <w:t>ë</w:t>
            </w:r>
            <w:r w:rsidRPr="00024D5A">
              <w:rPr>
                <w:rFonts w:ascii="Garamond" w:eastAsia="Times New Roman" w:hAnsi="Garamond"/>
                <w:sz w:val="6"/>
                <w:szCs w:val="16"/>
                <w:lang w:eastAsia="en-US"/>
              </w:rPr>
              <w:t>t</w:t>
            </w:r>
            <w:r w:rsidR="007675EC" w:rsidRPr="00024D5A">
              <w:rPr>
                <w:rFonts w:ascii="Garamond" w:eastAsia="Times New Roman" w:hAnsi="Garamond"/>
                <w:sz w:val="6"/>
                <w:szCs w:val="16"/>
                <w:lang w:eastAsia="en-US"/>
              </w:rPr>
              <w:t>/</w:t>
            </w:r>
            <w:r w:rsidR="00BA4F73" w:rsidRPr="00024D5A">
              <w:rPr>
                <w:rFonts w:ascii="Garamond" w:eastAsia="Times New Roman" w:hAnsi="Garamond"/>
                <w:sz w:val="6"/>
                <w:szCs w:val="16"/>
                <w:lang w:eastAsia="en-US"/>
              </w:rPr>
              <w:t>OJF</w:t>
            </w:r>
            <w:r w:rsidRPr="00024D5A">
              <w:rPr>
                <w:rFonts w:ascii="Garamond" w:eastAsia="Times New Roman" w:hAnsi="Garamond"/>
                <w:sz w:val="6"/>
                <w:szCs w:val="16"/>
                <w:lang w:eastAsia="en-US"/>
              </w:rPr>
              <w:t>/AKSHI</w:t>
            </w:r>
          </w:p>
        </w:tc>
        <w:tc>
          <w:tcPr>
            <w:tcW w:w="708" w:type="dxa"/>
            <w:tcBorders>
              <w:top w:val="nil"/>
              <w:left w:val="single" w:sz="4" w:space="0" w:color="auto"/>
              <w:bottom w:val="single" w:sz="4" w:space="0" w:color="auto"/>
              <w:right w:val="single" w:sz="4" w:space="0" w:color="auto"/>
            </w:tcBorders>
            <w:shd w:val="clear" w:color="000000" w:fill="C5D9F1"/>
            <w:noWrap/>
            <w:hideMark/>
          </w:tcPr>
          <w:p w14:paraId="23E99835" w14:textId="7936E551"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1,961</w:t>
            </w:r>
          </w:p>
        </w:tc>
        <w:tc>
          <w:tcPr>
            <w:tcW w:w="567" w:type="dxa"/>
            <w:tcBorders>
              <w:top w:val="nil"/>
              <w:left w:val="nil"/>
              <w:bottom w:val="single" w:sz="4" w:space="0" w:color="auto"/>
              <w:right w:val="single" w:sz="4" w:space="0" w:color="auto"/>
            </w:tcBorders>
            <w:shd w:val="clear" w:color="000000" w:fill="C5D9F1"/>
            <w:noWrap/>
            <w:hideMark/>
          </w:tcPr>
          <w:p w14:paraId="5380EEC9" w14:textId="3BA6819E"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2,461</w:t>
            </w:r>
          </w:p>
        </w:tc>
        <w:tc>
          <w:tcPr>
            <w:tcW w:w="567" w:type="dxa"/>
            <w:tcBorders>
              <w:top w:val="nil"/>
              <w:left w:val="nil"/>
              <w:bottom w:val="single" w:sz="4" w:space="0" w:color="auto"/>
              <w:right w:val="single" w:sz="4" w:space="0" w:color="auto"/>
            </w:tcBorders>
            <w:shd w:val="clear" w:color="000000" w:fill="C5D9F1"/>
            <w:noWrap/>
            <w:hideMark/>
          </w:tcPr>
          <w:p w14:paraId="14558471" w14:textId="633282CA"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2,461</w:t>
            </w:r>
          </w:p>
        </w:tc>
        <w:tc>
          <w:tcPr>
            <w:tcW w:w="1134" w:type="dxa"/>
            <w:tcBorders>
              <w:top w:val="nil"/>
              <w:left w:val="nil"/>
              <w:bottom w:val="single" w:sz="4" w:space="0" w:color="auto"/>
              <w:right w:val="single" w:sz="4" w:space="0" w:color="auto"/>
            </w:tcBorders>
            <w:shd w:val="clear" w:color="000000" w:fill="C5D9F1"/>
            <w:noWrap/>
            <w:hideMark/>
          </w:tcPr>
          <w:p w14:paraId="2FC69A59" w14:textId="0F234188"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2,461</w:t>
            </w:r>
          </w:p>
        </w:tc>
        <w:tc>
          <w:tcPr>
            <w:tcW w:w="1615" w:type="dxa"/>
            <w:tcBorders>
              <w:top w:val="nil"/>
              <w:left w:val="nil"/>
              <w:bottom w:val="single" w:sz="4" w:space="0" w:color="auto"/>
              <w:right w:val="single" w:sz="4" w:space="0" w:color="auto"/>
            </w:tcBorders>
            <w:shd w:val="clear" w:color="000000" w:fill="C5D9F1"/>
            <w:noWrap/>
            <w:hideMark/>
          </w:tcPr>
          <w:p w14:paraId="711C241E" w14:textId="493A6CBD"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2,461</w:t>
            </w:r>
          </w:p>
        </w:tc>
      </w:tr>
      <w:tr w:rsidR="00B807EE" w:rsidRPr="00024D5A" w14:paraId="07369646"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78209E93" w14:textId="031E110F"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4.1.1 Përfshirja e </w:t>
            </w:r>
            <w:r w:rsidR="00D06851" w:rsidRPr="00024D5A">
              <w:rPr>
                <w:rFonts w:ascii="Garamond" w:eastAsia="Times New Roman" w:hAnsi="Garamond"/>
                <w:sz w:val="6"/>
                <w:szCs w:val="16"/>
                <w:lang w:eastAsia="en-US"/>
              </w:rPr>
              <w:t>standardeve</w:t>
            </w:r>
            <w:r w:rsidRPr="00024D5A">
              <w:rPr>
                <w:rFonts w:ascii="Garamond" w:eastAsia="Times New Roman" w:hAnsi="Garamond"/>
                <w:sz w:val="6"/>
                <w:szCs w:val="16"/>
                <w:lang w:eastAsia="en-US"/>
              </w:rPr>
              <w:t xml:space="preserve"> të aksesueshmërisë së objekteve turistike në kriteret e vlerësimit për </w:t>
            </w:r>
            <w:r w:rsidR="000E011B" w:rsidRPr="00024D5A">
              <w:rPr>
                <w:rFonts w:ascii="Garamond" w:eastAsia="Times New Roman" w:hAnsi="Garamond"/>
                <w:sz w:val="6"/>
                <w:szCs w:val="16"/>
                <w:lang w:eastAsia="en-US"/>
              </w:rPr>
              <w:t>licencim</w:t>
            </w:r>
            <w:r w:rsidRPr="00024D5A">
              <w:rPr>
                <w:rFonts w:ascii="Garamond" w:eastAsia="Times New Roman" w:hAnsi="Garamond"/>
                <w:sz w:val="6"/>
                <w:szCs w:val="16"/>
                <w:lang w:eastAsia="en-US"/>
              </w:rPr>
              <w:t xml:space="preserve"> të strukturave akomoduese dhe të turizmit kulturor.</w:t>
            </w:r>
          </w:p>
        </w:tc>
        <w:tc>
          <w:tcPr>
            <w:tcW w:w="567" w:type="dxa"/>
            <w:tcBorders>
              <w:top w:val="nil"/>
              <w:left w:val="nil"/>
              <w:bottom w:val="single" w:sz="4" w:space="0" w:color="auto"/>
              <w:right w:val="single" w:sz="4" w:space="0" w:color="auto"/>
            </w:tcBorders>
            <w:noWrap/>
            <w:hideMark/>
          </w:tcPr>
          <w:p w14:paraId="16706BBC"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single" w:sz="4" w:space="0" w:color="auto"/>
            </w:tcBorders>
            <w:noWrap/>
            <w:hideMark/>
          </w:tcPr>
          <w:p w14:paraId="71E1C836"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2028</w:t>
            </w:r>
          </w:p>
        </w:tc>
        <w:tc>
          <w:tcPr>
            <w:tcW w:w="1134" w:type="dxa"/>
            <w:tcBorders>
              <w:top w:val="nil"/>
              <w:left w:val="nil"/>
              <w:bottom w:val="single" w:sz="4" w:space="0" w:color="auto"/>
              <w:right w:val="single" w:sz="4" w:space="0" w:color="auto"/>
            </w:tcBorders>
            <w:hideMark/>
          </w:tcPr>
          <w:p w14:paraId="7DCAB34E" w14:textId="5FD15FC9"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MTKS</w:t>
            </w:r>
            <w:r w:rsidR="007675EC" w:rsidRPr="00024D5A">
              <w:rPr>
                <w:rFonts w:ascii="Garamond" w:eastAsia="Times New Roman" w:hAnsi="Garamond"/>
                <w:sz w:val="6"/>
                <w:szCs w:val="16"/>
                <w:lang w:eastAsia="en-US"/>
              </w:rPr>
              <w:t>/</w:t>
            </w:r>
          </w:p>
        </w:tc>
        <w:tc>
          <w:tcPr>
            <w:tcW w:w="1418" w:type="dxa"/>
            <w:tcBorders>
              <w:top w:val="nil"/>
              <w:left w:val="nil"/>
              <w:bottom w:val="single" w:sz="4" w:space="0" w:color="auto"/>
              <w:right w:val="single" w:sz="8" w:space="0" w:color="auto"/>
            </w:tcBorders>
            <w:noWrap/>
            <w:hideMark/>
          </w:tcPr>
          <w:p w14:paraId="644DA28E" w14:textId="49853F22"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Bashkit</w:t>
            </w:r>
            <w:r w:rsidR="00070BC1" w:rsidRPr="00024D5A">
              <w:rPr>
                <w:rFonts w:ascii="Garamond" w:eastAsia="Times New Roman" w:hAnsi="Garamond"/>
                <w:sz w:val="6"/>
                <w:szCs w:val="16"/>
                <w:lang w:eastAsia="en-US"/>
              </w:rPr>
              <w:t>ë</w:t>
            </w:r>
          </w:p>
        </w:tc>
        <w:tc>
          <w:tcPr>
            <w:tcW w:w="708" w:type="dxa"/>
            <w:tcBorders>
              <w:top w:val="nil"/>
              <w:left w:val="single" w:sz="4" w:space="0" w:color="auto"/>
              <w:bottom w:val="single" w:sz="4" w:space="0" w:color="auto"/>
              <w:right w:val="single" w:sz="4" w:space="0" w:color="auto"/>
            </w:tcBorders>
            <w:hideMark/>
          </w:tcPr>
          <w:p w14:paraId="11621F18" w14:textId="484F1E2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586</w:t>
            </w:r>
          </w:p>
        </w:tc>
        <w:tc>
          <w:tcPr>
            <w:tcW w:w="567" w:type="dxa"/>
            <w:tcBorders>
              <w:top w:val="nil"/>
              <w:left w:val="nil"/>
              <w:bottom w:val="single" w:sz="4" w:space="0" w:color="auto"/>
              <w:right w:val="single" w:sz="4" w:space="0" w:color="auto"/>
            </w:tcBorders>
            <w:hideMark/>
          </w:tcPr>
          <w:p w14:paraId="7C4F98B5" w14:textId="1E44C7F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586</w:t>
            </w:r>
          </w:p>
        </w:tc>
        <w:tc>
          <w:tcPr>
            <w:tcW w:w="567" w:type="dxa"/>
            <w:tcBorders>
              <w:top w:val="nil"/>
              <w:left w:val="nil"/>
              <w:bottom w:val="single" w:sz="4" w:space="0" w:color="auto"/>
              <w:right w:val="single" w:sz="4" w:space="0" w:color="auto"/>
            </w:tcBorders>
            <w:hideMark/>
          </w:tcPr>
          <w:p w14:paraId="14A2526A" w14:textId="4FB803A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586</w:t>
            </w:r>
          </w:p>
        </w:tc>
        <w:tc>
          <w:tcPr>
            <w:tcW w:w="1134" w:type="dxa"/>
            <w:tcBorders>
              <w:top w:val="nil"/>
              <w:left w:val="nil"/>
              <w:bottom w:val="single" w:sz="4" w:space="0" w:color="auto"/>
              <w:right w:val="single" w:sz="4" w:space="0" w:color="auto"/>
            </w:tcBorders>
            <w:hideMark/>
          </w:tcPr>
          <w:p w14:paraId="32406D52" w14:textId="61701A7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586</w:t>
            </w:r>
          </w:p>
        </w:tc>
        <w:tc>
          <w:tcPr>
            <w:tcW w:w="1615" w:type="dxa"/>
            <w:tcBorders>
              <w:top w:val="nil"/>
              <w:left w:val="nil"/>
              <w:bottom w:val="single" w:sz="4" w:space="0" w:color="auto"/>
              <w:right w:val="single" w:sz="4" w:space="0" w:color="auto"/>
            </w:tcBorders>
            <w:hideMark/>
          </w:tcPr>
          <w:p w14:paraId="6CAEC132" w14:textId="24B4456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586</w:t>
            </w:r>
          </w:p>
        </w:tc>
      </w:tr>
      <w:tr w:rsidR="00B807EE" w:rsidRPr="00024D5A" w14:paraId="29327193"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542FBFB0" w14:textId="5BF4A6AD"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4.1.2 Vlerësimi i nivelit të aksesueshmërisë së objekteve turistike dhe t</w:t>
            </w:r>
            <w:r w:rsidR="000151BA"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w:t>
            </w:r>
            <w:r w:rsidR="000E011B" w:rsidRPr="00024D5A">
              <w:rPr>
                <w:rFonts w:ascii="Garamond" w:eastAsia="Times New Roman" w:hAnsi="Garamond"/>
                <w:sz w:val="6"/>
                <w:szCs w:val="16"/>
                <w:lang w:eastAsia="en-US"/>
              </w:rPr>
              <w:t>trashëgimisë</w:t>
            </w:r>
            <w:r w:rsidRPr="00024D5A">
              <w:rPr>
                <w:rFonts w:ascii="Garamond" w:eastAsia="Times New Roman" w:hAnsi="Garamond"/>
                <w:sz w:val="6"/>
                <w:szCs w:val="16"/>
                <w:lang w:eastAsia="en-US"/>
              </w:rPr>
              <w:t xml:space="preserve"> kulturore dhe krijimi </w:t>
            </w:r>
            <w:r w:rsidR="000151BA" w:rsidRPr="00024D5A">
              <w:rPr>
                <w:rFonts w:ascii="Garamond" w:eastAsia="Times New Roman" w:hAnsi="Garamond"/>
                <w:sz w:val="6"/>
                <w:szCs w:val="16"/>
                <w:lang w:eastAsia="en-US"/>
              </w:rPr>
              <w:t>i</w:t>
            </w:r>
            <w:r w:rsidRPr="00024D5A">
              <w:rPr>
                <w:rFonts w:ascii="Garamond" w:eastAsia="Times New Roman" w:hAnsi="Garamond"/>
                <w:sz w:val="6"/>
                <w:szCs w:val="16"/>
                <w:lang w:eastAsia="en-US"/>
              </w:rPr>
              <w:t xml:space="preserve"> regjistrit.</w:t>
            </w:r>
          </w:p>
        </w:tc>
        <w:tc>
          <w:tcPr>
            <w:tcW w:w="567" w:type="dxa"/>
            <w:tcBorders>
              <w:top w:val="nil"/>
              <w:left w:val="nil"/>
              <w:bottom w:val="single" w:sz="4" w:space="0" w:color="auto"/>
              <w:right w:val="single" w:sz="4" w:space="0" w:color="auto"/>
            </w:tcBorders>
            <w:noWrap/>
            <w:hideMark/>
          </w:tcPr>
          <w:p w14:paraId="46D9AEFC"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single" w:sz="4" w:space="0" w:color="auto"/>
            </w:tcBorders>
            <w:noWrap/>
            <w:hideMark/>
          </w:tcPr>
          <w:p w14:paraId="281AD08A"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nil"/>
              <w:bottom w:val="single" w:sz="4" w:space="0" w:color="auto"/>
              <w:right w:val="single" w:sz="4" w:space="0" w:color="auto"/>
            </w:tcBorders>
            <w:hideMark/>
          </w:tcPr>
          <w:p w14:paraId="27BF138E" w14:textId="0F113FB2"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MTKS</w:t>
            </w:r>
            <w:r w:rsidR="007675EC" w:rsidRPr="00024D5A">
              <w:rPr>
                <w:rFonts w:ascii="Garamond" w:eastAsia="Times New Roman" w:hAnsi="Garamond"/>
                <w:sz w:val="6"/>
                <w:szCs w:val="16"/>
                <w:lang w:eastAsia="en-US"/>
              </w:rPr>
              <w:t>/</w:t>
            </w:r>
          </w:p>
        </w:tc>
        <w:tc>
          <w:tcPr>
            <w:tcW w:w="1418" w:type="dxa"/>
            <w:tcBorders>
              <w:top w:val="nil"/>
              <w:left w:val="nil"/>
              <w:bottom w:val="single" w:sz="4" w:space="0" w:color="auto"/>
              <w:right w:val="single" w:sz="8" w:space="0" w:color="auto"/>
            </w:tcBorders>
            <w:noWrap/>
            <w:hideMark/>
          </w:tcPr>
          <w:p w14:paraId="685DE4C2" w14:textId="38C7B4E8"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Bashkit</w:t>
            </w:r>
            <w:r w:rsidR="00070BC1" w:rsidRPr="00024D5A">
              <w:rPr>
                <w:rFonts w:ascii="Garamond" w:eastAsia="Times New Roman" w:hAnsi="Garamond"/>
                <w:sz w:val="6"/>
                <w:szCs w:val="16"/>
                <w:lang w:eastAsia="en-US"/>
              </w:rPr>
              <w:t>ë</w:t>
            </w:r>
            <w:r w:rsidR="007675EC"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UP</w:t>
            </w:r>
          </w:p>
        </w:tc>
        <w:tc>
          <w:tcPr>
            <w:tcW w:w="708" w:type="dxa"/>
            <w:tcBorders>
              <w:top w:val="nil"/>
              <w:left w:val="single" w:sz="4" w:space="0" w:color="auto"/>
              <w:bottom w:val="single" w:sz="4" w:space="0" w:color="auto"/>
              <w:right w:val="single" w:sz="4" w:space="0" w:color="auto"/>
            </w:tcBorders>
            <w:hideMark/>
          </w:tcPr>
          <w:p w14:paraId="751DCCD3" w14:textId="15816AF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700</w:t>
            </w:r>
          </w:p>
        </w:tc>
        <w:tc>
          <w:tcPr>
            <w:tcW w:w="567" w:type="dxa"/>
            <w:tcBorders>
              <w:top w:val="nil"/>
              <w:left w:val="nil"/>
              <w:bottom w:val="single" w:sz="4" w:space="0" w:color="auto"/>
              <w:right w:val="single" w:sz="4" w:space="0" w:color="auto"/>
            </w:tcBorders>
            <w:hideMark/>
          </w:tcPr>
          <w:p w14:paraId="1347BF81" w14:textId="20F1E34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700</w:t>
            </w:r>
          </w:p>
        </w:tc>
        <w:tc>
          <w:tcPr>
            <w:tcW w:w="567" w:type="dxa"/>
            <w:tcBorders>
              <w:top w:val="nil"/>
              <w:left w:val="nil"/>
              <w:bottom w:val="single" w:sz="4" w:space="0" w:color="auto"/>
              <w:right w:val="single" w:sz="4" w:space="0" w:color="auto"/>
            </w:tcBorders>
            <w:hideMark/>
          </w:tcPr>
          <w:p w14:paraId="428A6D4A" w14:textId="7AA9925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700</w:t>
            </w:r>
          </w:p>
        </w:tc>
        <w:tc>
          <w:tcPr>
            <w:tcW w:w="1134" w:type="dxa"/>
            <w:tcBorders>
              <w:top w:val="nil"/>
              <w:left w:val="nil"/>
              <w:bottom w:val="single" w:sz="4" w:space="0" w:color="auto"/>
              <w:right w:val="single" w:sz="4" w:space="0" w:color="auto"/>
            </w:tcBorders>
            <w:hideMark/>
          </w:tcPr>
          <w:p w14:paraId="538F76EA" w14:textId="56608C4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700</w:t>
            </w:r>
          </w:p>
        </w:tc>
        <w:tc>
          <w:tcPr>
            <w:tcW w:w="1615" w:type="dxa"/>
            <w:tcBorders>
              <w:top w:val="nil"/>
              <w:left w:val="nil"/>
              <w:bottom w:val="single" w:sz="4" w:space="0" w:color="auto"/>
              <w:right w:val="single" w:sz="4" w:space="0" w:color="auto"/>
            </w:tcBorders>
            <w:hideMark/>
          </w:tcPr>
          <w:p w14:paraId="41D1D057" w14:textId="50F2EDF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700</w:t>
            </w:r>
          </w:p>
        </w:tc>
      </w:tr>
      <w:tr w:rsidR="00B807EE" w:rsidRPr="00024D5A" w14:paraId="1C5641DD"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0F3BD153" w14:textId="3FB3BD5E"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4.1.3 P</w:t>
            </w:r>
            <w:r w:rsidR="000151BA"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rshtatja e mjediseve t</w:t>
            </w:r>
            <w:r w:rsidR="000151BA"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hapura/parqet komb</w:t>
            </w:r>
            <w:r w:rsidR="000151BA"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tare, plazhe</w:t>
            </w:r>
            <w:r w:rsidR="000151B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etj</w:t>
            </w:r>
            <w:r w:rsidR="000151BA"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sipas standardeve t</w:t>
            </w:r>
            <w:r w:rsidR="000151BA"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aksesueshmerise p</w:t>
            </w:r>
            <w:r w:rsidR="000151BA"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r PAK</w:t>
            </w:r>
            <w:r w:rsidR="000151BA" w:rsidRPr="00024D5A">
              <w:rPr>
                <w:rFonts w:ascii="Garamond" w:eastAsia="Times New Roman" w:hAnsi="Garamond"/>
                <w:sz w:val="6"/>
                <w:szCs w:val="16"/>
                <w:lang w:eastAsia="en-US"/>
              </w:rPr>
              <w:t>-në</w:t>
            </w:r>
            <w:r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noWrap/>
            <w:hideMark/>
          </w:tcPr>
          <w:p w14:paraId="04DA041E"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single" w:sz="4" w:space="0" w:color="auto"/>
            </w:tcBorders>
            <w:noWrap/>
            <w:hideMark/>
          </w:tcPr>
          <w:p w14:paraId="3ADCB7C2"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nil"/>
              <w:bottom w:val="single" w:sz="4" w:space="0" w:color="auto"/>
              <w:right w:val="single" w:sz="4" w:space="0" w:color="auto"/>
            </w:tcBorders>
            <w:hideMark/>
          </w:tcPr>
          <w:p w14:paraId="4082648B" w14:textId="5EF657CC"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MTKS Bashkit</w:t>
            </w:r>
            <w:r w:rsidR="00070BC1" w:rsidRPr="00024D5A">
              <w:rPr>
                <w:rFonts w:ascii="Garamond" w:eastAsia="Times New Roman" w:hAnsi="Garamond"/>
                <w:sz w:val="6"/>
                <w:szCs w:val="16"/>
                <w:lang w:eastAsia="en-US"/>
              </w:rPr>
              <w:t>ë</w:t>
            </w:r>
          </w:p>
        </w:tc>
        <w:tc>
          <w:tcPr>
            <w:tcW w:w="1418" w:type="dxa"/>
            <w:tcBorders>
              <w:top w:val="nil"/>
              <w:left w:val="nil"/>
              <w:bottom w:val="single" w:sz="4" w:space="0" w:color="auto"/>
              <w:right w:val="single" w:sz="8" w:space="0" w:color="auto"/>
            </w:tcBorders>
            <w:noWrap/>
            <w:hideMark/>
          </w:tcPr>
          <w:p w14:paraId="655804E1"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708" w:type="dxa"/>
            <w:tcBorders>
              <w:top w:val="nil"/>
              <w:left w:val="single" w:sz="4" w:space="0" w:color="auto"/>
              <w:bottom w:val="single" w:sz="4" w:space="0" w:color="auto"/>
              <w:right w:val="single" w:sz="4" w:space="0" w:color="auto"/>
            </w:tcBorders>
            <w:hideMark/>
          </w:tcPr>
          <w:p w14:paraId="7CC02A83" w14:textId="42C2869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732BF0AD" w14:textId="3BB1DD3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0</w:t>
            </w:r>
          </w:p>
        </w:tc>
        <w:tc>
          <w:tcPr>
            <w:tcW w:w="567" w:type="dxa"/>
            <w:tcBorders>
              <w:top w:val="nil"/>
              <w:left w:val="nil"/>
              <w:bottom w:val="single" w:sz="4" w:space="0" w:color="auto"/>
              <w:right w:val="single" w:sz="4" w:space="0" w:color="auto"/>
            </w:tcBorders>
            <w:hideMark/>
          </w:tcPr>
          <w:p w14:paraId="77BD1E3F" w14:textId="3181689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0</w:t>
            </w:r>
          </w:p>
        </w:tc>
        <w:tc>
          <w:tcPr>
            <w:tcW w:w="1134" w:type="dxa"/>
            <w:tcBorders>
              <w:top w:val="nil"/>
              <w:left w:val="nil"/>
              <w:bottom w:val="single" w:sz="4" w:space="0" w:color="auto"/>
              <w:right w:val="single" w:sz="4" w:space="0" w:color="auto"/>
            </w:tcBorders>
            <w:hideMark/>
          </w:tcPr>
          <w:p w14:paraId="2D3E4B67" w14:textId="4C9562B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0</w:t>
            </w:r>
          </w:p>
        </w:tc>
        <w:tc>
          <w:tcPr>
            <w:tcW w:w="1615" w:type="dxa"/>
            <w:tcBorders>
              <w:top w:val="nil"/>
              <w:left w:val="nil"/>
              <w:bottom w:val="single" w:sz="4" w:space="0" w:color="auto"/>
              <w:right w:val="single" w:sz="4" w:space="0" w:color="auto"/>
            </w:tcBorders>
            <w:hideMark/>
          </w:tcPr>
          <w:p w14:paraId="49DF7347" w14:textId="19F99AE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0</w:t>
            </w:r>
          </w:p>
        </w:tc>
      </w:tr>
      <w:tr w:rsidR="00B807EE" w:rsidRPr="00024D5A" w14:paraId="76AAF43A"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3429714F" w14:textId="1853ABB5"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4.1.4</w:t>
            </w:r>
            <w:r w:rsidR="00B678F1"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 xml:space="preserve">Përfshirja e </w:t>
            </w:r>
            <w:r w:rsidR="000E011B" w:rsidRPr="00024D5A">
              <w:rPr>
                <w:rFonts w:ascii="Garamond" w:eastAsia="Times New Roman" w:hAnsi="Garamond"/>
                <w:sz w:val="6"/>
                <w:szCs w:val="16"/>
                <w:lang w:eastAsia="en-US"/>
              </w:rPr>
              <w:t>standardeve</w:t>
            </w:r>
            <w:r w:rsidRPr="00024D5A">
              <w:rPr>
                <w:rFonts w:ascii="Garamond" w:eastAsia="Times New Roman" w:hAnsi="Garamond"/>
                <w:sz w:val="6"/>
                <w:szCs w:val="16"/>
                <w:lang w:eastAsia="en-US"/>
              </w:rPr>
              <w:t xml:space="preserve"> të aksesueshmërisë në paketat turistike – transport i aksesueshëm, guida audio, mater</w:t>
            </w:r>
            <w:r w:rsidR="000E011B" w:rsidRPr="00024D5A">
              <w:rPr>
                <w:rFonts w:ascii="Garamond" w:eastAsia="Times New Roman" w:hAnsi="Garamond"/>
                <w:sz w:val="6"/>
                <w:szCs w:val="16"/>
                <w:lang w:eastAsia="en-US"/>
              </w:rPr>
              <w:t>i</w:t>
            </w:r>
            <w:r w:rsidRPr="00024D5A">
              <w:rPr>
                <w:rFonts w:ascii="Garamond" w:eastAsia="Times New Roman" w:hAnsi="Garamond"/>
                <w:sz w:val="6"/>
                <w:szCs w:val="16"/>
                <w:lang w:eastAsia="en-US"/>
              </w:rPr>
              <w:t xml:space="preserve">ale në </w:t>
            </w:r>
            <w:r w:rsidR="000E011B" w:rsidRPr="00024D5A">
              <w:rPr>
                <w:rFonts w:ascii="Garamond" w:eastAsia="Times New Roman" w:hAnsi="Garamond"/>
                <w:sz w:val="6"/>
                <w:szCs w:val="16"/>
                <w:lang w:eastAsia="en-US"/>
              </w:rPr>
              <w:t xml:space="preserve">Braille </w:t>
            </w:r>
            <w:r w:rsidRPr="00024D5A">
              <w:rPr>
                <w:rFonts w:ascii="Garamond" w:eastAsia="Times New Roman" w:hAnsi="Garamond"/>
                <w:sz w:val="6"/>
                <w:szCs w:val="16"/>
                <w:lang w:eastAsia="en-US"/>
              </w:rPr>
              <w:t xml:space="preserve">ose gjuhë të thjeshtuar, interpret në gjuhën e shenjave. </w:t>
            </w:r>
            <w:r w:rsidR="000E011B" w:rsidRPr="00024D5A">
              <w:rPr>
                <w:rFonts w:ascii="Garamond" w:eastAsia="Times New Roman" w:hAnsi="Garamond"/>
                <w:sz w:val="6"/>
                <w:szCs w:val="16"/>
                <w:lang w:eastAsia="en-US"/>
              </w:rPr>
              <w:t>Ndërgjegjësimi</w:t>
            </w:r>
            <w:r w:rsidRPr="00024D5A">
              <w:rPr>
                <w:rFonts w:ascii="Garamond" w:eastAsia="Times New Roman" w:hAnsi="Garamond"/>
                <w:sz w:val="6"/>
                <w:szCs w:val="16"/>
                <w:lang w:eastAsia="en-US"/>
              </w:rPr>
              <w:t xml:space="preserve"> </w:t>
            </w:r>
            <w:r w:rsidR="000E011B" w:rsidRPr="00024D5A">
              <w:rPr>
                <w:rFonts w:ascii="Garamond" w:eastAsia="Times New Roman" w:hAnsi="Garamond"/>
                <w:sz w:val="6"/>
                <w:szCs w:val="16"/>
                <w:lang w:eastAsia="en-US"/>
              </w:rPr>
              <w:t>i</w:t>
            </w:r>
            <w:r w:rsidRPr="00024D5A">
              <w:rPr>
                <w:rFonts w:ascii="Garamond" w:eastAsia="Times New Roman" w:hAnsi="Garamond"/>
                <w:sz w:val="6"/>
                <w:szCs w:val="16"/>
                <w:lang w:eastAsia="en-US"/>
              </w:rPr>
              <w:t xml:space="preserve"> operator</w:t>
            </w:r>
            <w:r w:rsidR="000E011B"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ve</w:t>
            </w:r>
            <w:r w:rsidR="000E011B"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noWrap/>
            <w:hideMark/>
          </w:tcPr>
          <w:p w14:paraId="34ECBC1E"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2027</w:t>
            </w:r>
          </w:p>
        </w:tc>
        <w:tc>
          <w:tcPr>
            <w:tcW w:w="567" w:type="dxa"/>
            <w:tcBorders>
              <w:top w:val="nil"/>
              <w:left w:val="nil"/>
              <w:bottom w:val="single" w:sz="4" w:space="0" w:color="auto"/>
              <w:right w:val="single" w:sz="4" w:space="0" w:color="auto"/>
            </w:tcBorders>
            <w:noWrap/>
            <w:hideMark/>
          </w:tcPr>
          <w:p w14:paraId="78F98B42"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nil"/>
              <w:bottom w:val="single" w:sz="4" w:space="0" w:color="auto"/>
              <w:right w:val="single" w:sz="4" w:space="0" w:color="auto"/>
            </w:tcBorders>
            <w:noWrap/>
            <w:hideMark/>
          </w:tcPr>
          <w:p w14:paraId="1860644E"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MTKS</w:t>
            </w:r>
          </w:p>
        </w:tc>
        <w:tc>
          <w:tcPr>
            <w:tcW w:w="1418" w:type="dxa"/>
            <w:tcBorders>
              <w:top w:val="nil"/>
              <w:left w:val="nil"/>
              <w:bottom w:val="single" w:sz="4" w:space="0" w:color="auto"/>
              <w:right w:val="single" w:sz="8" w:space="0" w:color="auto"/>
            </w:tcBorders>
            <w:hideMark/>
          </w:tcPr>
          <w:p w14:paraId="44F4CB71" w14:textId="5472FAFD" w:rsidR="00700D7D" w:rsidRPr="00024D5A" w:rsidRDefault="00070BC1"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Operatorët</w:t>
            </w:r>
            <w:r w:rsidR="00700D7D" w:rsidRPr="00024D5A">
              <w:rPr>
                <w:rFonts w:ascii="Garamond" w:eastAsia="Times New Roman" w:hAnsi="Garamond"/>
                <w:sz w:val="6"/>
                <w:szCs w:val="16"/>
                <w:lang w:eastAsia="en-US"/>
              </w:rPr>
              <w:t>/</w:t>
            </w:r>
            <w:r w:rsidR="00BA4F73" w:rsidRPr="00024D5A">
              <w:rPr>
                <w:rFonts w:ascii="Garamond" w:eastAsia="Times New Roman" w:hAnsi="Garamond"/>
                <w:sz w:val="6"/>
                <w:szCs w:val="16"/>
                <w:lang w:eastAsia="en-US"/>
              </w:rPr>
              <w:t>OJF</w:t>
            </w:r>
          </w:p>
        </w:tc>
        <w:tc>
          <w:tcPr>
            <w:tcW w:w="708" w:type="dxa"/>
            <w:tcBorders>
              <w:top w:val="nil"/>
              <w:left w:val="single" w:sz="4" w:space="0" w:color="auto"/>
              <w:bottom w:val="single" w:sz="4" w:space="0" w:color="auto"/>
              <w:right w:val="single" w:sz="4" w:space="0" w:color="auto"/>
            </w:tcBorders>
            <w:hideMark/>
          </w:tcPr>
          <w:p w14:paraId="7E2D9659" w14:textId="07E92B0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35EDCE8B" w14:textId="1723C61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500</w:t>
            </w:r>
          </w:p>
        </w:tc>
        <w:tc>
          <w:tcPr>
            <w:tcW w:w="567" w:type="dxa"/>
            <w:tcBorders>
              <w:top w:val="nil"/>
              <w:left w:val="nil"/>
              <w:bottom w:val="single" w:sz="4" w:space="0" w:color="auto"/>
              <w:right w:val="single" w:sz="4" w:space="0" w:color="auto"/>
            </w:tcBorders>
            <w:hideMark/>
          </w:tcPr>
          <w:p w14:paraId="7F1967DC" w14:textId="52733C7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500</w:t>
            </w:r>
          </w:p>
        </w:tc>
        <w:tc>
          <w:tcPr>
            <w:tcW w:w="1134" w:type="dxa"/>
            <w:tcBorders>
              <w:top w:val="nil"/>
              <w:left w:val="nil"/>
              <w:bottom w:val="single" w:sz="4" w:space="0" w:color="auto"/>
              <w:right w:val="single" w:sz="4" w:space="0" w:color="auto"/>
            </w:tcBorders>
            <w:hideMark/>
          </w:tcPr>
          <w:p w14:paraId="0CB25A10" w14:textId="29E29DF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500</w:t>
            </w:r>
          </w:p>
        </w:tc>
        <w:tc>
          <w:tcPr>
            <w:tcW w:w="1615" w:type="dxa"/>
            <w:tcBorders>
              <w:top w:val="nil"/>
              <w:left w:val="nil"/>
              <w:bottom w:val="single" w:sz="4" w:space="0" w:color="auto"/>
              <w:right w:val="single" w:sz="4" w:space="0" w:color="auto"/>
            </w:tcBorders>
            <w:hideMark/>
          </w:tcPr>
          <w:p w14:paraId="3135C3F2" w14:textId="75D290D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500</w:t>
            </w:r>
          </w:p>
        </w:tc>
      </w:tr>
      <w:tr w:rsidR="00B807EE" w:rsidRPr="00024D5A" w14:paraId="550D4993" w14:textId="77777777" w:rsidTr="002B321E">
        <w:trPr>
          <w:trHeight w:val="20"/>
        </w:trPr>
        <w:tc>
          <w:tcPr>
            <w:tcW w:w="4673" w:type="dxa"/>
            <w:tcBorders>
              <w:top w:val="nil"/>
              <w:left w:val="single" w:sz="4" w:space="0" w:color="auto"/>
              <w:bottom w:val="nil"/>
              <w:right w:val="single" w:sz="4" w:space="0" w:color="auto"/>
            </w:tcBorders>
            <w:hideMark/>
          </w:tcPr>
          <w:p w14:paraId="176842B1" w14:textId="1E51DED0"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4.1.5 Informacion i përshtatur, faqe interneti dhe aplikacione turistike të aksesueshme</w:t>
            </w:r>
            <w:r w:rsidR="000E011B"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Përgatitja e </w:t>
            </w:r>
            <w:r w:rsidR="000E011B" w:rsidRPr="00024D5A">
              <w:rPr>
                <w:rFonts w:ascii="Garamond" w:eastAsia="Times New Roman" w:hAnsi="Garamond"/>
                <w:sz w:val="6"/>
                <w:szCs w:val="16"/>
                <w:lang w:eastAsia="en-US"/>
              </w:rPr>
              <w:t>broshurave</w:t>
            </w:r>
            <w:r w:rsidRPr="00024D5A">
              <w:rPr>
                <w:rFonts w:ascii="Garamond" w:eastAsia="Times New Roman" w:hAnsi="Garamond"/>
                <w:sz w:val="6"/>
                <w:szCs w:val="16"/>
                <w:lang w:eastAsia="en-US"/>
              </w:rPr>
              <w:t xml:space="preserve"> dhe fletëve informuese.</w:t>
            </w:r>
          </w:p>
        </w:tc>
        <w:tc>
          <w:tcPr>
            <w:tcW w:w="567" w:type="dxa"/>
            <w:tcBorders>
              <w:top w:val="nil"/>
              <w:left w:val="nil"/>
              <w:bottom w:val="nil"/>
              <w:right w:val="single" w:sz="4" w:space="0" w:color="auto"/>
            </w:tcBorders>
            <w:noWrap/>
            <w:hideMark/>
          </w:tcPr>
          <w:p w14:paraId="15D35041"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nil"/>
              <w:right w:val="single" w:sz="4" w:space="0" w:color="auto"/>
            </w:tcBorders>
            <w:noWrap/>
            <w:hideMark/>
          </w:tcPr>
          <w:p w14:paraId="66BA79D2"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nil"/>
              <w:bottom w:val="nil"/>
              <w:right w:val="single" w:sz="4" w:space="0" w:color="auto"/>
            </w:tcBorders>
            <w:noWrap/>
            <w:hideMark/>
          </w:tcPr>
          <w:p w14:paraId="1AE04D93"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MTKS</w:t>
            </w:r>
          </w:p>
        </w:tc>
        <w:tc>
          <w:tcPr>
            <w:tcW w:w="1418" w:type="dxa"/>
            <w:tcBorders>
              <w:top w:val="nil"/>
              <w:left w:val="nil"/>
              <w:bottom w:val="nil"/>
              <w:right w:val="single" w:sz="8" w:space="0" w:color="auto"/>
            </w:tcBorders>
            <w:hideMark/>
          </w:tcPr>
          <w:p w14:paraId="2A0CC38A" w14:textId="616D5BC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AKSHI/Bashkit</w:t>
            </w:r>
            <w:r w:rsidR="00070BC1" w:rsidRPr="00024D5A">
              <w:rPr>
                <w:rFonts w:ascii="Garamond" w:eastAsia="Times New Roman" w:hAnsi="Garamond"/>
                <w:sz w:val="6"/>
                <w:szCs w:val="16"/>
                <w:lang w:eastAsia="en-US"/>
              </w:rPr>
              <w:t>ë</w:t>
            </w:r>
          </w:p>
        </w:tc>
        <w:tc>
          <w:tcPr>
            <w:tcW w:w="708" w:type="dxa"/>
            <w:tcBorders>
              <w:top w:val="nil"/>
              <w:left w:val="single" w:sz="4" w:space="0" w:color="auto"/>
              <w:bottom w:val="nil"/>
              <w:right w:val="single" w:sz="4" w:space="0" w:color="auto"/>
            </w:tcBorders>
            <w:hideMark/>
          </w:tcPr>
          <w:p w14:paraId="46B65562" w14:textId="22EA2C9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675</w:t>
            </w:r>
          </w:p>
        </w:tc>
        <w:tc>
          <w:tcPr>
            <w:tcW w:w="567" w:type="dxa"/>
            <w:tcBorders>
              <w:top w:val="nil"/>
              <w:left w:val="nil"/>
              <w:bottom w:val="nil"/>
              <w:right w:val="single" w:sz="4" w:space="0" w:color="auto"/>
            </w:tcBorders>
            <w:hideMark/>
          </w:tcPr>
          <w:p w14:paraId="5BF658AE" w14:textId="0CBD647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675</w:t>
            </w:r>
          </w:p>
        </w:tc>
        <w:tc>
          <w:tcPr>
            <w:tcW w:w="567" w:type="dxa"/>
            <w:tcBorders>
              <w:top w:val="nil"/>
              <w:left w:val="nil"/>
              <w:bottom w:val="nil"/>
              <w:right w:val="single" w:sz="4" w:space="0" w:color="auto"/>
            </w:tcBorders>
            <w:hideMark/>
          </w:tcPr>
          <w:p w14:paraId="14B50160" w14:textId="58C4DBC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675</w:t>
            </w:r>
          </w:p>
        </w:tc>
        <w:tc>
          <w:tcPr>
            <w:tcW w:w="1134" w:type="dxa"/>
            <w:tcBorders>
              <w:top w:val="nil"/>
              <w:left w:val="nil"/>
              <w:bottom w:val="nil"/>
              <w:right w:val="single" w:sz="4" w:space="0" w:color="auto"/>
            </w:tcBorders>
            <w:hideMark/>
          </w:tcPr>
          <w:p w14:paraId="7F028481" w14:textId="132FA53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675</w:t>
            </w:r>
          </w:p>
        </w:tc>
        <w:tc>
          <w:tcPr>
            <w:tcW w:w="1615" w:type="dxa"/>
            <w:tcBorders>
              <w:top w:val="nil"/>
              <w:left w:val="nil"/>
              <w:bottom w:val="nil"/>
              <w:right w:val="single" w:sz="4" w:space="0" w:color="auto"/>
            </w:tcBorders>
            <w:hideMark/>
          </w:tcPr>
          <w:p w14:paraId="1EA257C1" w14:textId="25E17BC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675</w:t>
            </w:r>
          </w:p>
        </w:tc>
      </w:tr>
      <w:tr w:rsidR="00B807EE" w:rsidRPr="00024D5A" w14:paraId="7E887D6C" w14:textId="77777777" w:rsidTr="002B321E">
        <w:trPr>
          <w:trHeight w:val="20"/>
        </w:trPr>
        <w:tc>
          <w:tcPr>
            <w:tcW w:w="4673" w:type="dxa"/>
            <w:tcBorders>
              <w:top w:val="single" w:sz="8" w:space="0" w:color="auto"/>
              <w:left w:val="single" w:sz="4" w:space="0" w:color="auto"/>
              <w:bottom w:val="single" w:sz="8" w:space="0" w:color="auto"/>
              <w:right w:val="single" w:sz="4" w:space="0" w:color="auto"/>
            </w:tcBorders>
            <w:shd w:val="clear" w:color="000000" w:fill="F276AB"/>
            <w:hideMark/>
          </w:tcPr>
          <w:p w14:paraId="79CC6AA9" w14:textId="5EE3D231"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II. </w:t>
            </w:r>
            <w:r w:rsidR="000E011B" w:rsidRPr="00024D5A">
              <w:rPr>
                <w:rFonts w:ascii="Garamond" w:eastAsia="Times New Roman" w:hAnsi="Garamond"/>
                <w:b/>
                <w:bCs/>
                <w:sz w:val="6"/>
                <w:szCs w:val="16"/>
                <w:lang w:eastAsia="en-US"/>
              </w:rPr>
              <w:t>DREJTËSIA</w:t>
            </w:r>
          </w:p>
        </w:tc>
        <w:tc>
          <w:tcPr>
            <w:tcW w:w="567" w:type="dxa"/>
            <w:tcBorders>
              <w:top w:val="single" w:sz="8" w:space="0" w:color="auto"/>
              <w:left w:val="nil"/>
              <w:bottom w:val="single" w:sz="8" w:space="0" w:color="auto"/>
              <w:right w:val="single" w:sz="4" w:space="0" w:color="auto"/>
            </w:tcBorders>
            <w:shd w:val="clear" w:color="000000" w:fill="F276AB"/>
            <w:hideMark/>
          </w:tcPr>
          <w:p w14:paraId="3224C291"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567" w:type="dxa"/>
            <w:tcBorders>
              <w:top w:val="single" w:sz="8" w:space="0" w:color="auto"/>
              <w:left w:val="nil"/>
              <w:bottom w:val="single" w:sz="8" w:space="0" w:color="auto"/>
              <w:right w:val="single" w:sz="4" w:space="0" w:color="auto"/>
            </w:tcBorders>
            <w:shd w:val="clear" w:color="000000" w:fill="F276AB"/>
            <w:hideMark/>
          </w:tcPr>
          <w:p w14:paraId="4749012D"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1134" w:type="dxa"/>
            <w:tcBorders>
              <w:top w:val="single" w:sz="8" w:space="0" w:color="auto"/>
              <w:left w:val="nil"/>
              <w:bottom w:val="single" w:sz="8" w:space="0" w:color="auto"/>
              <w:right w:val="single" w:sz="4" w:space="0" w:color="auto"/>
            </w:tcBorders>
            <w:shd w:val="clear" w:color="000000" w:fill="F276AB"/>
            <w:hideMark/>
          </w:tcPr>
          <w:p w14:paraId="56BF06A5"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1418" w:type="dxa"/>
            <w:tcBorders>
              <w:top w:val="single" w:sz="8" w:space="0" w:color="auto"/>
              <w:left w:val="nil"/>
              <w:bottom w:val="single" w:sz="8" w:space="0" w:color="auto"/>
              <w:right w:val="single" w:sz="4" w:space="0" w:color="auto"/>
            </w:tcBorders>
            <w:shd w:val="clear" w:color="000000" w:fill="F276AB"/>
            <w:hideMark/>
          </w:tcPr>
          <w:p w14:paraId="796EC5F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708" w:type="dxa"/>
            <w:tcBorders>
              <w:top w:val="single" w:sz="8" w:space="0" w:color="auto"/>
              <w:left w:val="nil"/>
              <w:bottom w:val="single" w:sz="8" w:space="0" w:color="auto"/>
              <w:right w:val="single" w:sz="4" w:space="0" w:color="auto"/>
            </w:tcBorders>
            <w:shd w:val="clear" w:color="000000" w:fill="F276AB"/>
            <w:hideMark/>
          </w:tcPr>
          <w:p w14:paraId="29ADE016" w14:textId="71D80D87"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198,187</w:t>
            </w:r>
          </w:p>
        </w:tc>
        <w:tc>
          <w:tcPr>
            <w:tcW w:w="567" w:type="dxa"/>
            <w:tcBorders>
              <w:top w:val="single" w:sz="8" w:space="0" w:color="auto"/>
              <w:left w:val="nil"/>
              <w:bottom w:val="single" w:sz="8" w:space="0" w:color="auto"/>
              <w:right w:val="single" w:sz="4" w:space="0" w:color="auto"/>
            </w:tcBorders>
            <w:shd w:val="clear" w:color="000000" w:fill="F276AB"/>
            <w:hideMark/>
          </w:tcPr>
          <w:p w14:paraId="0E7A84C9" w14:textId="783AB3B1"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196,287</w:t>
            </w:r>
          </w:p>
        </w:tc>
        <w:tc>
          <w:tcPr>
            <w:tcW w:w="567" w:type="dxa"/>
            <w:tcBorders>
              <w:top w:val="single" w:sz="8" w:space="0" w:color="auto"/>
              <w:left w:val="nil"/>
              <w:bottom w:val="single" w:sz="8" w:space="0" w:color="auto"/>
              <w:right w:val="single" w:sz="4" w:space="0" w:color="auto"/>
            </w:tcBorders>
            <w:shd w:val="clear" w:color="000000" w:fill="F276AB"/>
            <w:hideMark/>
          </w:tcPr>
          <w:p w14:paraId="0D44CFDD" w14:textId="1C9DE211"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198,309</w:t>
            </w:r>
          </w:p>
        </w:tc>
        <w:tc>
          <w:tcPr>
            <w:tcW w:w="1134" w:type="dxa"/>
            <w:tcBorders>
              <w:top w:val="single" w:sz="8" w:space="0" w:color="auto"/>
              <w:left w:val="nil"/>
              <w:bottom w:val="single" w:sz="8" w:space="0" w:color="auto"/>
              <w:right w:val="single" w:sz="4" w:space="0" w:color="auto"/>
            </w:tcBorders>
            <w:shd w:val="clear" w:color="000000" w:fill="F276AB"/>
            <w:hideMark/>
          </w:tcPr>
          <w:p w14:paraId="23E717A5" w14:textId="5CB700DA"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207,346</w:t>
            </w:r>
          </w:p>
        </w:tc>
        <w:tc>
          <w:tcPr>
            <w:tcW w:w="1615" w:type="dxa"/>
            <w:tcBorders>
              <w:top w:val="single" w:sz="8" w:space="0" w:color="auto"/>
              <w:left w:val="nil"/>
              <w:bottom w:val="single" w:sz="8" w:space="0" w:color="auto"/>
              <w:right w:val="single" w:sz="4" w:space="0" w:color="auto"/>
            </w:tcBorders>
            <w:shd w:val="clear" w:color="000000" w:fill="F276AB"/>
            <w:hideMark/>
          </w:tcPr>
          <w:p w14:paraId="7382DDEB" w14:textId="2338399E"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203,966</w:t>
            </w:r>
          </w:p>
        </w:tc>
      </w:tr>
      <w:tr w:rsidR="00B807EE" w:rsidRPr="00024D5A" w14:paraId="69A26FC0" w14:textId="77777777" w:rsidTr="002B321E">
        <w:trPr>
          <w:trHeight w:val="20"/>
        </w:trPr>
        <w:tc>
          <w:tcPr>
            <w:tcW w:w="4673" w:type="dxa"/>
            <w:tcBorders>
              <w:top w:val="nil"/>
              <w:left w:val="single" w:sz="4" w:space="0" w:color="auto"/>
              <w:bottom w:val="single" w:sz="4" w:space="0" w:color="auto"/>
              <w:right w:val="nil"/>
            </w:tcBorders>
            <w:shd w:val="clear" w:color="000000" w:fill="FDE9D9"/>
            <w:hideMark/>
          </w:tcPr>
          <w:p w14:paraId="55409E94" w14:textId="1CA3E8E1"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Objektivi </w:t>
            </w:r>
            <w:r w:rsidR="000E011B" w:rsidRPr="00024D5A">
              <w:rPr>
                <w:rFonts w:ascii="Garamond" w:eastAsia="Times New Roman" w:hAnsi="Garamond"/>
                <w:b/>
                <w:bCs/>
                <w:sz w:val="6"/>
                <w:szCs w:val="16"/>
                <w:lang w:eastAsia="en-US"/>
              </w:rPr>
              <w:t xml:space="preserve">specifik </w:t>
            </w:r>
            <w:r w:rsidRPr="00024D5A">
              <w:rPr>
                <w:rFonts w:ascii="Garamond" w:eastAsia="Times New Roman" w:hAnsi="Garamond"/>
                <w:b/>
                <w:bCs/>
                <w:sz w:val="6"/>
                <w:szCs w:val="16"/>
                <w:lang w:eastAsia="en-US"/>
              </w:rPr>
              <w:t>1</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Të sigurohet që të gjithë personat me aftësi të kufizuara të kenë akses fizik, procedural, informativ dhe digjital në gjykata, prokurori, polici dhe shërbime ligjore, si pjesëmarrës të drejtpërdrejtë apo jo të drejtpërdrejtë në të gjitha nivelet që nga hetimi, gjykimi etj. </w:t>
            </w:r>
            <w:r w:rsidR="000E011B" w:rsidRPr="00024D5A">
              <w:rPr>
                <w:rFonts w:ascii="Garamond" w:eastAsia="Times New Roman" w:hAnsi="Garamond"/>
                <w:b/>
                <w:bCs/>
                <w:sz w:val="6"/>
                <w:szCs w:val="16"/>
                <w:lang w:eastAsia="en-US"/>
              </w:rPr>
              <w:t>jetës</w:t>
            </w:r>
            <w:r w:rsidR="00C702E7" w:rsidRPr="00024D5A">
              <w:rPr>
                <w:rFonts w:ascii="Garamond" w:eastAsia="Times New Roman" w:hAnsi="Garamond"/>
                <w:b/>
                <w:bCs/>
                <w:sz w:val="6"/>
                <w:szCs w:val="16"/>
                <w:lang w:eastAsia="en-US"/>
              </w:rPr>
              <w:t>.</w:t>
            </w:r>
          </w:p>
        </w:tc>
        <w:tc>
          <w:tcPr>
            <w:tcW w:w="567" w:type="dxa"/>
            <w:tcBorders>
              <w:top w:val="nil"/>
              <w:left w:val="single" w:sz="4" w:space="0" w:color="auto"/>
              <w:bottom w:val="single" w:sz="4" w:space="0" w:color="auto"/>
              <w:right w:val="single" w:sz="4" w:space="0" w:color="auto"/>
            </w:tcBorders>
            <w:shd w:val="clear" w:color="000000" w:fill="FDE9D9"/>
            <w:hideMark/>
          </w:tcPr>
          <w:p w14:paraId="2B1087D5"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nil"/>
            </w:tcBorders>
            <w:shd w:val="clear" w:color="000000" w:fill="FDE9D9"/>
            <w:hideMark/>
          </w:tcPr>
          <w:p w14:paraId="3437B7B8"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single" w:sz="4" w:space="0" w:color="auto"/>
              <w:bottom w:val="single" w:sz="4" w:space="0" w:color="auto"/>
              <w:right w:val="single" w:sz="4" w:space="0" w:color="auto"/>
            </w:tcBorders>
            <w:shd w:val="clear" w:color="000000" w:fill="FDE9D9"/>
            <w:hideMark/>
          </w:tcPr>
          <w:p w14:paraId="55266473" w14:textId="77777777" w:rsidR="005A46ED"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MD/MSHMS/DNJF/KLGJ/</w:t>
            </w:r>
          </w:p>
          <w:p w14:paraId="588FD04E" w14:textId="09DF4352"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Gjykatat/DHKA/DHAAH/MD</w:t>
            </w:r>
          </w:p>
        </w:tc>
        <w:tc>
          <w:tcPr>
            <w:tcW w:w="1418" w:type="dxa"/>
            <w:tcBorders>
              <w:top w:val="nil"/>
              <w:left w:val="nil"/>
              <w:bottom w:val="single" w:sz="4" w:space="0" w:color="auto"/>
              <w:right w:val="single" w:sz="4" w:space="0" w:color="auto"/>
            </w:tcBorders>
            <w:shd w:val="clear" w:color="000000" w:fill="FDE9D9"/>
            <w:hideMark/>
          </w:tcPr>
          <w:p w14:paraId="20371E99" w14:textId="77BC3236"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MD/MD/OSHC/Partner</w:t>
            </w:r>
            <w:r w:rsidR="005A46ED">
              <w:rPr>
                <w:rFonts w:ascii="Garamond" w:eastAsia="Times New Roman" w:hAnsi="Garamond"/>
                <w:b/>
                <w:bCs/>
                <w:sz w:val="6"/>
                <w:szCs w:val="16"/>
                <w:lang w:eastAsia="en-US"/>
              </w:rPr>
              <w:t>ë</w:t>
            </w:r>
            <w:r w:rsidRPr="00024D5A">
              <w:rPr>
                <w:rFonts w:ascii="Garamond" w:eastAsia="Times New Roman" w:hAnsi="Garamond"/>
                <w:b/>
                <w:bCs/>
                <w:sz w:val="6"/>
                <w:szCs w:val="16"/>
                <w:lang w:eastAsia="en-US"/>
              </w:rPr>
              <w:t xml:space="preserve"> </w:t>
            </w:r>
            <w:r w:rsidR="003F2F02" w:rsidRPr="00024D5A">
              <w:rPr>
                <w:rFonts w:ascii="Garamond" w:eastAsia="Times New Roman" w:hAnsi="Garamond"/>
                <w:b/>
                <w:bCs/>
                <w:sz w:val="6"/>
                <w:szCs w:val="16"/>
                <w:lang w:eastAsia="en-US"/>
              </w:rPr>
              <w:t>vendës</w:t>
            </w:r>
            <w:r w:rsidRPr="00024D5A">
              <w:rPr>
                <w:rFonts w:ascii="Garamond" w:eastAsia="Times New Roman" w:hAnsi="Garamond"/>
                <w:b/>
                <w:bCs/>
                <w:sz w:val="6"/>
                <w:szCs w:val="16"/>
                <w:lang w:eastAsia="en-US"/>
              </w:rPr>
              <w:t xml:space="preserve"> dhe të huaj/DNJF/SHM</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DHASH/DHKN/MSHMS/KLGJ/KLP/DPP/DHKN/SHM/MSHMS</w:t>
            </w:r>
          </w:p>
        </w:tc>
        <w:tc>
          <w:tcPr>
            <w:tcW w:w="708" w:type="dxa"/>
            <w:tcBorders>
              <w:top w:val="nil"/>
              <w:left w:val="nil"/>
              <w:bottom w:val="single" w:sz="4" w:space="0" w:color="auto"/>
              <w:right w:val="nil"/>
            </w:tcBorders>
            <w:shd w:val="clear" w:color="000000" w:fill="FDE9D9"/>
            <w:hideMark/>
          </w:tcPr>
          <w:p w14:paraId="7D9D9A63" w14:textId="0E2F806E"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186,255</w:t>
            </w:r>
          </w:p>
        </w:tc>
        <w:tc>
          <w:tcPr>
            <w:tcW w:w="567" w:type="dxa"/>
            <w:tcBorders>
              <w:top w:val="nil"/>
              <w:left w:val="single" w:sz="4" w:space="0" w:color="auto"/>
              <w:bottom w:val="single" w:sz="4" w:space="0" w:color="auto"/>
              <w:right w:val="nil"/>
            </w:tcBorders>
            <w:shd w:val="clear" w:color="000000" w:fill="FDE9D9"/>
            <w:hideMark/>
          </w:tcPr>
          <w:p w14:paraId="2238BAC2" w14:textId="7E606EA6"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184,355</w:t>
            </w:r>
          </w:p>
        </w:tc>
        <w:tc>
          <w:tcPr>
            <w:tcW w:w="567" w:type="dxa"/>
            <w:tcBorders>
              <w:top w:val="nil"/>
              <w:left w:val="single" w:sz="4" w:space="0" w:color="auto"/>
              <w:bottom w:val="single" w:sz="4" w:space="0" w:color="auto"/>
              <w:right w:val="nil"/>
            </w:tcBorders>
            <w:shd w:val="clear" w:color="000000" w:fill="FDE9D9"/>
            <w:hideMark/>
          </w:tcPr>
          <w:p w14:paraId="75616270" w14:textId="146B06D6"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184,963</w:t>
            </w:r>
          </w:p>
        </w:tc>
        <w:tc>
          <w:tcPr>
            <w:tcW w:w="1134" w:type="dxa"/>
            <w:tcBorders>
              <w:top w:val="nil"/>
              <w:left w:val="single" w:sz="4" w:space="0" w:color="auto"/>
              <w:bottom w:val="single" w:sz="4" w:space="0" w:color="auto"/>
              <w:right w:val="nil"/>
            </w:tcBorders>
            <w:shd w:val="clear" w:color="000000" w:fill="FDE9D9"/>
            <w:hideMark/>
          </w:tcPr>
          <w:p w14:paraId="340A6B35" w14:textId="29426C85"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183,666</w:t>
            </w:r>
          </w:p>
        </w:tc>
        <w:tc>
          <w:tcPr>
            <w:tcW w:w="1615" w:type="dxa"/>
            <w:tcBorders>
              <w:top w:val="nil"/>
              <w:left w:val="single" w:sz="4" w:space="0" w:color="auto"/>
              <w:bottom w:val="single" w:sz="4" w:space="0" w:color="auto"/>
              <w:right w:val="nil"/>
            </w:tcBorders>
            <w:shd w:val="clear" w:color="000000" w:fill="FDE9D9"/>
            <w:hideMark/>
          </w:tcPr>
          <w:p w14:paraId="0EBFA826" w14:textId="54DC37BB"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183,286</w:t>
            </w:r>
          </w:p>
        </w:tc>
      </w:tr>
      <w:tr w:rsidR="00B807EE" w:rsidRPr="00024D5A" w14:paraId="416EEC53"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DCE6F1"/>
            <w:hideMark/>
          </w:tcPr>
          <w:p w14:paraId="17A61090" w14:textId="76EC89B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Masa </w:t>
            </w:r>
            <w:r w:rsidR="000E011B" w:rsidRPr="00024D5A">
              <w:rPr>
                <w:rFonts w:ascii="Garamond" w:eastAsia="Times New Roman" w:hAnsi="Garamond"/>
                <w:b/>
                <w:bCs/>
                <w:sz w:val="6"/>
                <w:szCs w:val="16"/>
                <w:lang w:eastAsia="en-US"/>
              </w:rPr>
              <w:t xml:space="preserve">prioritare </w:t>
            </w:r>
            <w:r w:rsidRPr="00024D5A">
              <w:rPr>
                <w:rFonts w:ascii="Garamond" w:eastAsia="Times New Roman" w:hAnsi="Garamond"/>
                <w:b/>
                <w:bCs/>
                <w:sz w:val="6"/>
                <w:szCs w:val="16"/>
                <w:lang w:eastAsia="en-US"/>
              </w:rPr>
              <w:t>1.1</w:t>
            </w:r>
            <w:r w:rsidR="003526AF">
              <w:rPr>
                <w:rFonts w:ascii="Garamond" w:eastAsia="Times New Roman" w:hAnsi="Garamond"/>
                <w:b/>
                <w:bCs/>
                <w:sz w:val="6"/>
                <w:szCs w:val="16"/>
                <w:lang w:eastAsia="en-US"/>
              </w:rPr>
              <w:t>:</w:t>
            </w:r>
            <w:r w:rsidR="008F29FA" w:rsidRPr="00024D5A">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Rishikimi i kuadrit ligjor për të mundësuar akses të barabartë në drejtësi për personat me aftësi të kufizuara.</w:t>
            </w:r>
          </w:p>
        </w:tc>
        <w:tc>
          <w:tcPr>
            <w:tcW w:w="567" w:type="dxa"/>
            <w:tcBorders>
              <w:top w:val="nil"/>
              <w:left w:val="nil"/>
              <w:bottom w:val="single" w:sz="4" w:space="0" w:color="auto"/>
              <w:right w:val="single" w:sz="4" w:space="0" w:color="auto"/>
            </w:tcBorders>
            <w:shd w:val="clear" w:color="000000" w:fill="DCE6F1"/>
            <w:hideMark/>
          </w:tcPr>
          <w:p w14:paraId="58D628CC"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nil"/>
            </w:tcBorders>
            <w:shd w:val="clear" w:color="000000" w:fill="DCE6F1"/>
            <w:hideMark/>
          </w:tcPr>
          <w:p w14:paraId="2AE7F4B3"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single" w:sz="4" w:space="0" w:color="auto"/>
              <w:bottom w:val="single" w:sz="4" w:space="0" w:color="auto"/>
              <w:right w:val="single" w:sz="4" w:space="0" w:color="auto"/>
            </w:tcBorders>
            <w:shd w:val="clear" w:color="000000" w:fill="DCE6F1"/>
            <w:hideMark/>
          </w:tcPr>
          <w:p w14:paraId="1FA341A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MD</w:t>
            </w:r>
          </w:p>
        </w:tc>
        <w:tc>
          <w:tcPr>
            <w:tcW w:w="1418" w:type="dxa"/>
            <w:tcBorders>
              <w:top w:val="nil"/>
              <w:left w:val="nil"/>
              <w:bottom w:val="single" w:sz="4" w:space="0" w:color="auto"/>
              <w:right w:val="single" w:sz="4" w:space="0" w:color="auto"/>
            </w:tcBorders>
            <w:shd w:val="clear" w:color="000000" w:fill="DCE6F1"/>
            <w:hideMark/>
          </w:tcPr>
          <w:p w14:paraId="551AA093"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708" w:type="dxa"/>
            <w:tcBorders>
              <w:top w:val="nil"/>
              <w:left w:val="nil"/>
              <w:bottom w:val="single" w:sz="4" w:space="0" w:color="auto"/>
              <w:right w:val="single" w:sz="4" w:space="0" w:color="auto"/>
            </w:tcBorders>
            <w:shd w:val="clear" w:color="000000" w:fill="DCE6F1"/>
            <w:hideMark/>
          </w:tcPr>
          <w:p w14:paraId="798EF95F" w14:textId="49D621A2"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1,455</w:t>
            </w:r>
          </w:p>
        </w:tc>
        <w:tc>
          <w:tcPr>
            <w:tcW w:w="567" w:type="dxa"/>
            <w:tcBorders>
              <w:top w:val="nil"/>
              <w:left w:val="nil"/>
              <w:bottom w:val="single" w:sz="4" w:space="0" w:color="auto"/>
              <w:right w:val="single" w:sz="4" w:space="0" w:color="auto"/>
            </w:tcBorders>
            <w:shd w:val="clear" w:color="000000" w:fill="DCE6F1"/>
            <w:hideMark/>
          </w:tcPr>
          <w:p w14:paraId="7D01A6C5" w14:textId="2B1A075E"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555</w:t>
            </w:r>
          </w:p>
        </w:tc>
        <w:tc>
          <w:tcPr>
            <w:tcW w:w="567" w:type="dxa"/>
            <w:tcBorders>
              <w:top w:val="nil"/>
              <w:left w:val="nil"/>
              <w:bottom w:val="single" w:sz="4" w:space="0" w:color="auto"/>
              <w:right w:val="single" w:sz="4" w:space="0" w:color="auto"/>
            </w:tcBorders>
            <w:shd w:val="clear" w:color="000000" w:fill="DCE6F1"/>
            <w:hideMark/>
          </w:tcPr>
          <w:p w14:paraId="4367DE1C" w14:textId="39722035"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1,162</w:t>
            </w:r>
          </w:p>
        </w:tc>
        <w:tc>
          <w:tcPr>
            <w:tcW w:w="1134" w:type="dxa"/>
            <w:tcBorders>
              <w:top w:val="nil"/>
              <w:left w:val="nil"/>
              <w:bottom w:val="single" w:sz="4" w:space="0" w:color="auto"/>
              <w:right w:val="single" w:sz="4" w:space="0" w:color="auto"/>
            </w:tcBorders>
            <w:shd w:val="clear" w:color="000000" w:fill="DCE6F1"/>
            <w:hideMark/>
          </w:tcPr>
          <w:p w14:paraId="02C0AC78" w14:textId="40DC2D58"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982</w:t>
            </w:r>
          </w:p>
        </w:tc>
        <w:tc>
          <w:tcPr>
            <w:tcW w:w="1615" w:type="dxa"/>
            <w:tcBorders>
              <w:top w:val="nil"/>
              <w:left w:val="nil"/>
              <w:bottom w:val="single" w:sz="4" w:space="0" w:color="auto"/>
              <w:right w:val="single" w:sz="4" w:space="0" w:color="auto"/>
            </w:tcBorders>
            <w:shd w:val="clear" w:color="000000" w:fill="DCE6F1"/>
            <w:hideMark/>
          </w:tcPr>
          <w:p w14:paraId="34A53855" w14:textId="5D34FAB3"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602</w:t>
            </w:r>
          </w:p>
        </w:tc>
      </w:tr>
      <w:tr w:rsidR="00B807EE" w:rsidRPr="00024D5A" w14:paraId="7423EE9F"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576CF5A8" w14:textId="1E1AD1C9"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1.1.1 Hartimi i një analize ligjore të kodeve e ligjeve të Republikës së Shqipërisë, me fokus identifikimin e boshllëqeve dhe rekomandimeve për ndryshim të aksesit në drejtësi të personave me aftësi të kufizuara</w:t>
            </w:r>
            <w:r w:rsidR="000E011B"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0A190F2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nil"/>
            </w:tcBorders>
            <w:hideMark/>
          </w:tcPr>
          <w:p w14:paraId="7E669B23"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2028</w:t>
            </w:r>
          </w:p>
        </w:tc>
        <w:tc>
          <w:tcPr>
            <w:tcW w:w="1134" w:type="dxa"/>
            <w:tcBorders>
              <w:top w:val="nil"/>
              <w:left w:val="single" w:sz="4" w:space="0" w:color="auto"/>
              <w:bottom w:val="single" w:sz="4" w:space="0" w:color="auto"/>
              <w:right w:val="single" w:sz="4" w:space="0" w:color="auto"/>
            </w:tcBorders>
            <w:hideMark/>
          </w:tcPr>
          <w:p w14:paraId="415A7D5C"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MD</w:t>
            </w:r>
          </w:p>
        </w:tc>
        <w:tc>
          <w:tcPr>
            <w:tcW w:w="1418" w:type="dxa"/>
            <w:tcBorders>
              <w:top w:val="nil"/>
              <w:left w:val="nil"/>
              <w:bottom w:val="single" w:sz="4" w:space="0" w:color="auto"/>
              <w:right w:val="single" w:sz="4" w:space="0" w:color="auto"/>
            </w:tcBorders>
            <w:hideMark/>
          </w:tcPr>
          <w:p w14:paraId="4787FEA0"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MSHMS</w:t>
            </w:r>
          </w:p>
        </w:tc>
        <w:tc>
          <w:tcPr>
            <w:tcW w:w="708" w:type="dxa"/>
            <w:tcBorders>
              <w:top w:val="nil"/>
              <w:left w:val="nil"/>
              <w:bottom w:val="single" w:sz="4" w:space="0" w:color="auto"/>
              <w:right w:val="single" w:sz="4" w:space="0" w:color="auto"/>
            </w:tcBorders>
            <w:hideMark/>
          </w:tcPr>
          <w:p w14:paraId="47400F8D" w14:textId="2E2A123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1,455</w:t>
            </w:r>
          </w:p>
        </w:tc>
        <w:tc>
          <w:tcPr>
            <w:tcW w:w="567" w:type="dxa"/>
            <w:tcBorders>
              <w:top w:val="nil"/>
              <w:left w:val="nil"/>
              <w:bottom w:val="single" w:sz="4" w:space="0" w:color="auto"/>
              <w:right w:val="single" w:sz="4" w:space="0" w:color="auto"/>
            </w:tcBorders>
            <w:hideMark/>
          </w:tcPr>
          <w:p w14:paraId="7FA15C60" w14:textId="6A1195C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555</w:t>
            </w:r>
          </w:p>
        </w:tc>
        <w:tc>
          <w:tcPr>
            <w:tcW w:w="567" w:type="dxa"/>
            <w:tcBorders>
              <w:top w:val="nil"/>
              <w:left w:val="nil"/>
              <w:bottom w:val="single" w:sz="4" w:space="0" w:color="auto"/>
              <w:right w:val="single" w:sz="4" w:space="0" w:color="auto"/>
            </w:tcBorders>
            <w:hideMark/>
          </w:tcPr>
          <w:p w14:paraId="6C61CC01" w14:textId="1762D33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555</w:t>
            </w:r>
          </w:p>
        </w:tc>
        <w:tc>
          <w:tcPr>
            <w:tcW w:w="1134" w:type="dxa"/>
            <w:tcBorders>
              <w:top w:val="nil"/>
              <w:left w:val="nil"/>
              <w:bottom w:val="single" w:sz="4" w:space="0" w:color="auto"/>
              <w:right w:val="single" w:sz="4" w:space="0" w:color="auto"/>
            </w:tcBorders>
            <w:hideMark/>
          </w:tcPr>
          <w:p w14:paraId="7EDC293C" w14:textId="6991C79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5F26F222" w14:textId="622C642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1139DD7C" w14:textId="77777777" w:rsidTr="002B321E">
        <w:trPr>
          <w:trHeight w:val="20"/>
        </w:trPr>
        <w:tc>
          <w:tcPr>
            <w:tcW w:w="4673" w:type="dxa"/>
            <w:tcBorders>
              <w:top w:val="nil"/>
              <w:left w:val="single" w:sz="4" w:space="0" w:color="auto"/>
              <w:bottom w:val="nil"/>
              <w:right w:val="nil"/>
            </w:tcBorders>
            <w:hideMark/>
          </w:tcPr>
          <w:p w14:paraId="218635A9" w14:textId="7413290D"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1.1.2 Rishikimi i dispozitave ligjore të Kodit Civil, Kodit të Procedurës Civile dhe Kodit të Familjes për të garantuar të drejtën për akses efektiv në organet e sistemit të drejtësisë për personat me aftësi të kufizuara, duke përfshirë përshtatjen e arsyeshme procedurale</w:t>
            </w:r>
            <w:r w:rsidR="00B47620"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në përputhje me moshën dhe</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 xml:space="preserve">llojin e aftësisë së kufizuar. </w:t>
            </w:r>
          </w:p>
        </w:tc>
        <w:tc>
          <w:tcPr>
            <w:tcW w:w="567" w:type="dxa"/>
            <w:tcBorders>
              <w:top w:val="nil"/>
              <w:left w:val="single" w:sz="4" w:space="0" w:color="auto"/>
              <w:bottom w:val="single" w:sz="4" w:space="0" w:color="auto"/>
              <w:right w:val="single" w:sz="4" w:space="0" w:color="auto"/>
            </w:tcBorders>
            <w:hideMark/>
          </w:tcPr>
          <w:p w14:paraId="34C55D73"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2028</w:t>
            </w:r>
          </w:p>
        </w:tc>
        <w:tc>
          <w:tcPr>
            <w:tcW w:w="567" w:type="dxa"/>
            <w:tcBorders>
              <w:top w:val="nil"/>
              <w:left w:val="nil"/>
              <w:bottom w:val="single" w:sz="4" w:space="0" w:color="auto"/>
              <w:right w:val="nil"/>
            </w:tcBorders>
            <w:hideMark/>
          </w:tcPr>
          <w:p w14:paraId="129EE271"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single" w:sz="4" w:space="0" w:color="auto"/>
              <w:bottom w:val="single" w:sz="4" w:space="0" w:color="auto"/>
              <w:right w:val="single" w:sz="4" w:space="0" w:color="auto"/>
            </w:tcBorders>
            <w:hideMark/>
          </w:tcPr>
          <w:p w14:paraId="7461BE79"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MD</w:t>
            </w:r>
          </w:p>
        </w:tc>
        <w:tc>
          <w:tcPr>
            <w:tcW w:w="1418" w:type="dxa"/>
            <w:tcBorders>
              <w:top w:val="nil"/>
              <w:left w:val="nil"/>
              <w:bottom w:val="single" w:sz="4" w:space="0" w:color="auto"/>
              <w:right w:val="single" w:sz="4" w:space="0" w:color="auto"/>
            </w:tcBorders>
            <w:hideMark/>
          </w:tcPr>
          <w:p w14:paraId="64D5155A"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MSHMS</w:t>
            </w:r>
          </w:p>
        </w:tc>
        <w:tc>
          <w:tcPr>
            <w:tcW w:w="708" w:type="dxa"/>
            <w:tcBorders>
              <w:top w:val="nil"/>
              <w:left w:val="nil"/>
              <w:bottom w:val="single" w:sz="4" w:space="0" w:color="auto"/>
              <w:right w:val="single" w:sz="4" w:space="0" w:color="auto"/>
            </w:tcBorders>
            <w:hideMark/>
          </w:tcPr>
          <w:p w14:paraId="5DA0FF07" w14:textId="33B20A2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04648783" w14:textId="635C517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1FAF6982" w14:textId="0FDBCCF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607</w:t>
            </w:r>
          </w:p>
        </w:tc>
        <w:tc>
          <w:tcPr>
            <w:tcW w:w="1134" w:type="dxa"/>
            <w:tcBorders>
              <w:top w:val="nil"/>
              <w:left w:val="nil"/>
              <w:bottom w:val="single" w:sz="4" w:space="0" w:color="auto"/>
              <w:right w:val="single" w:sz="4" w:space="0" w:color="auto"/>
            </w:tcBorders>
            <w:hideMark/>
          </w:tcPr>
          <w:p w14:paraId="276F6D8E" w14:textId="400C223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982</w:t>
            </w:r>
          </w:p>
        </w:tc>
        <w:tc>
          <w:tcPr>
            <w:tcW w:w="1615" w:type="dxa"/>
            <w:tcBorders>
              <w:top w:val="nil"/>
              <w:left w:val="nil"/>
              <w:bottom w:val="single" w:sz="4" w:space="0" w:color="auto"/>
              <w:right w:val="single" w:sz="4" w:space="0" w:color="auto"/>
            </w:tcBorders>
            <w:hideMark/>
          </w:tcPr>
          <w:p w14:paraId="78CAA571" w14:textId="1840671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602</w:t>
            </w:r>
          </w:p>
        </w:tc>
      </w:tr>
      <w:tr w:rsidR="00B807EE" w:rsidRPr="00024D5A" w14:paraId="11A4FF02" w14:textId="77777777" w:rsidTr="002B321E">
        <w:trPr>
          <w:trHeight w:val="20"/>
        </w:trPr>
        <w:tc>
          <w:tcPr>
            <w:tcW w:w="4673" w:type="dxa"/>
            <w:tcBorders>
              <w:top w:val="single" w:sz="4" w:space="0" w:color="auto"/>
              <w:left w:val="single" w:sz="4" w:space="0" w:color="auto"/>
              <w:bottom w:val="single" w:sz="4" w:space="0" w:color="auto"/>
              <w:right w:val="single" w:sz="4" w:space="0" w:color="auto"/>
            </w:tcBorders>
            <w:noWrap/>
            <w:hideMark/>
          </w:tcPr>
          <w:p w14:paraId="73F29411" w14:textId="4F2FB3D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1.1.3</w:t>
            </w:r>
            <w:r w:rsidR="000E011B"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Rishikimi i dispozitave ligjore të Kodit Penal dhe Kodit të Procedurës Penale për të garantuar të drejtën për akses efektiv në organet e sistemit të drejtësisë penale për personat me aftësi të kufizuara, duke përfshirë akomodime të përshtatshme procedurale, në përputhje me moshën dhe aftësinë e kufizuar, me qëllim lehtësimin e rolit të tyre si pjesëmarrës direkt dhe indirekt, duke përfshirë edhe rolin e dëshmitarit në të gjitha procedurat ligjore, përfshirë fazat hetimore.</w:t>
            </w:r>
          </w:p>
        </w:tc>
        <w:tc>
          <w:tcPr>
            <w:tcW w:w="567" w:type="dxa"/>
            <w:tcBorders>
              <w:top w:val="nil"/>
              <w:left w:val="nil"/>
              <w:bottom w:val="single" w:sz="4" w:space="0" w:color="auto"/>
              <w:right w:val="single" w:sz="4" w:space="0" w:color="auto"/>
            </w:tcBorders>
            <w:hideMark/>
          </w:tcPr>
          <w:p w14:paraId="3C274EF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2028</w:t>
            </w:r>
          </w:p>
        </w:tc>
        <w:tc>
          <w:tcPr>
            <w:tcW w:w="567" w:type="dxa"/>
            <w:tcBorders>
              <w:top w:val="nil"/>
              <w:left w:val="nil"/>
              <w:bottom w:val="single" w:sz="4" w:space="0" w:color="auto"/>
              <w:right w:val="nil"/>
            </w:tcBorders>
            <w:hideMark/>
          </w:tcPr>
          <w:p w14:paraId="4B0CCD5E"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single" w:sz="4" w:space="0" w:color="auto"/>
              <w:bottom w:val="single" w:sz="4" w:space="0" w:color="auto"/>
              <w:right w:val="single" w:sz="4" w:space="0" w:color="auto"/>
            </w:tcBorders>
            <w:hideMark/>
          </w:tcPr>
          <w:p w14:paraId="452F6A1D"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MD</w:t>
            </w:r>
          </w:p>
        </w:tc>
        <w:tc>
          <w:tcPr>
            <w:tcW w:w="1418" w:type="dxa"/>
            <w:tcBorders>
              <w:top w:val="nil"/>
              <w:left w:val="nil"/>
              <w:bottom w:val="single" w:sz="4" w:space="0" w:color="auto"/>
              <w:right w:val="single" w:sz="4" w:space="0" w:color="auto"/>
            </w:tcBorders>
            <w:hideMark/>
          </w:tcPr>
          <w:p w14:paraId="4706A1A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MSHMS</w:t>
            </w:r>
          </w:p>
        </w:tc>
        <w:tc>
          <w:tcPr>
            <w:tcW w:w="708" w:type="dxa"/>
            <w:tcBorders>
              <w:top w:val="nil"/>
              <w:left w:val="nil"/>
              <w:bottom w:val="single" w:sz="4" w:space="0" w:color="auto"/>
              <w:right w:val="single" w:sz="4" w:space="0" w:color="auto"/>
            </w:tcBorders>
            <w:hideMark/>
          </w:tcPr>
          <w:p w14:paraId="6473F8E0" w14:textId="22AB5A1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501FA395" w14:textId="2E76A94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68D36EC8" w14:textId="0D811B6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124DDED4" w14:textId="55DD0FF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506A1B45" w14:textId="1EAF692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040D1779"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01D7BA82" w14:textId="16A19076"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1.1.4</w:t>
            </w:r>
            <w:r w:rsidR="000E011B"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 xml:space="preserve">Ratifikimi </w:t>
            </w:r>
            <w:r w:rsidR="000E011B" w:rsidRPr="00024D5A">
              <w:rPr>
                <w:rFonts w:ascii="Garamond" w:eastAsia="Times New Roman" w:hAnsi="Garamond"/>
                <w:sz w:val="6"/>
                <w:szCs w:val="16"/>
                <w:lang w:eastAsia="en-US"/>
              </w:rPr>
              <w:t>i</w:t>
            </w:r>
            <w:r w:rsidRPr="00024D5A">
              <w:rPr>
                <w:rFonts w:ascii="Garamond" w:eastAsia="Times New Roman" w:hAnsi="Garamond"/>
                <w:sz w:val="6"/>
                <w:szCs w:val="16"/>
                <w:lang w:eastAsia="en-US"/>
              </w:rPr>
              <w:t xml:space="preserve"> protokollit opsional t</w:t>
            </w:r>
            <w:r w:rsidR="00070BC1"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UNCRPD</w:t>
            </w:r>
            <w:r w:rsidR="000E011B" w:rsidRPr="00024D5A">
              <w:rPr>
                <w:rFonts w:ascii="Garamond" w:eastAsia="Times New Roman" w:hAnsi="Garamond"/>
                <w:sz w:val="6"/>
                <w:szCs w:val="16"/>
                <w:lang w:eastAsia="en-US"/>
              </w:rPr>
              <w:t>-së</w:t>
            </w:r>
            <w:r w:rsidR="00C702E7"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4C1ACB57"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2029</w:t>
            </w:r>
          </w:p>
        </w:tc>
        <w:tc>
          <w:tcPr>
            <w:tcW w:w="567" w:type="dxa"/>
            <w:tcBorders>
              <w:top w:val="nil"/>
              <w:left w:val="nil"/>
              <w:bottom w:val="single" w:sz="4" w:space="0" w:color="auto"/>
              <w:right w:val="nil"/>
            </w:tcBorders>
            <w:hideMark/>
          </w:tcPr>
          <w:p w14:paraId="3AF7B8B3"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single" w:sz="4" w:space="0" w:color="auto"/>
              <w:bottom w:val="single" w:sz="4" w:space="0" w:color="auto"/>
              <w:right w:val="single" w:sz="4" w:space="0" w:color="auto"/>
            </w:tcBorders>
            <w:hideMark/>
          </w:tcPr>
          <w:p w14:paraId="4C7591AE"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MSHMS</w:t>
            </w:r>
          </w:p>
        </w:tc>
        <w:tc>
          <w:tcPr>
            <w:tcW w:w="1418" w:type="dxa"/>
            <w:tcBorders>
              <w:top w:val="nil"/>
              <w:left w:val="nil"/>
              <w:bottom w:val="single" w:sz="4" w:space="0" w:color="auto"/>
              <w:right w:val="single" w:sz="4" w:space="0" w:color="auto"/>
            </w:tcBorders>
            <w:hideMark/>
          </w:tcPr>
          <w:p w14:paraId="5562943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MD</w:t>
            </w:r>
          </w:p>
        </w:tc>
        <w:tc>
          <w:tcPr>
            <w:tcW w:w="708" w:type="dxa"/>
            <w:tcBorders>
              <w:top w:val="nil"/>
              <w:left w:val="nil"/>
              <w:bottom w:val="single" w:sz="4" w:space="0" w:color="auto"/>
              <w:right w:val="single" w:sz="4" w:space="0" w:color="auto"/>
            </w:tcBorders>
            <w:hideMark/>
          </w:tcPr>
          <w:p w14:paraId="41DC807B" w14:textId="3FE2951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4339D69C" w14:textId="266A08E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1CEAF60A" w14:textId="5FF8226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7CEDAF87" w14:textId="1EB304C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4573BC56" w14:textId="188CA31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1B2C86E0"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B8CCE4"/>
            <w:noWrap/>
            <w:hideMark/>
          </w:tcPr>
          <w:p w14:paraId="054A2379" w14:textId="3225080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Masa Prioritare 1.2</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Ofrimi i shërbimeve të aksesueshme të ndihmës juridike falas për personat me aftësi të kufizuara</w:t>
            </w:r>
            <w:r w:rsidR="00C702E7"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w:t>
            </w:r>
          </w:p>
        </w:tc>
        <w:tc>
          <w:tcPr>
            <w:tcW w:w="567" w:type="dxa"/>
            <w:tcBorders>
              <w:top w:val="nil"/>
              <w:left w:val="nil"/>
              <w:bottom w:val="single" w:sz="4" w:space="0" w:color="auto"/>
              <w:right w:val="single" w:sz="4" w:space="0" w:color="auto"/>
            </w:tcBorders>
            <w:shd w:val="clear" w:color="000000" w:fill="B8CCE4"/>
            <w:hideMark/>
          </w:tcPr>
          <w:p w14:paraId="083F9A60"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nil"/>
            </w:tcBorders>
            <w:shd w:val="clear" w:color="000000" w:fill="B8CCE4"/>
            <w:hideMark/>
          </w:tcPr>
          <w:p w14:paraId="0B11F7F2"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single" w:sz="4" w:space="0" w:color="auto"/>
              <w:bottom w:val="single" w:sz="4" w:space="0" w:color="auto"/>
              <w:right w:val="single" w:sz="4" w:space="0" w:color="auto"/>
            </w:tcBorders>
            <w:shd w:val="clear" w:color="000000" w:fill="B8CCE4"/>
            <w:hideMark/>
          </w:tcPr>
          <w:p w14:paraId="4B61B2B0"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DNJF/KLGJ/Gjykatat/DHKA/DHAAH</w:t>
            </w:r>
          </w:p>
        </w:tc>
        <w:tc>
          <w:tcPr>
            <w:tcW w:w="1418" w:type="dxa"/>
            <w:tcBorders>
              <w:top w:val="nil"/>
              <w:left w:val="nil"/>
              <w:bottom w:val="single" w:sz="4" w:space="0" w:color="auto"/>
              <w:right w:val="single" w:sz="4" w:space="0" w:color="auto"/>
            </w:tcBorders>
            <w:shd w:val="clear" w:color="000000" w:fill="B8CCE4"/>
            <w:hideMark/>
          </w:tcPr>
          <w:p w14:paraId="7E10F77B" w14:textId="32BC2DEB"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MD/OSHC/Partner</w:t>
            </w:r>
            <w:r w:rsidR="005A46ED">
              <w:rPr>
                <w:rFonts w:ascii="Garamond" w:eastAsia="Times New Roman" w:hAnsi="Garamond"/>
                <w:b/>
                <w:bCs/>
                <w:i/>
                <w:iCs/>
                <w:sz w:val="6"/>
                <w:szCs w:val="16"/>
                <w:lang w:eastAsia="en-US"/>
              </w:rPr>
              <w:t>ë</w:t>
            </w:r>
            <w:r w:rsidRPr="00024D5A">
              <w:rPr>
                <w:rFonts w:ascii="Garamond" w:eastAsia="Times New Roman" w:hAnsi="Garamond"/>
                <w:b/>
                <w:bCs/>
                <w:i/>
                <w:iCs/>
                <w:sz w:val="6"/>
                <w:szCs w:val="16"/>
                <w:lang w:eastAsia="en-US"/>
              </w:rPr>
              <w:t xml:space="preserve"> </w:t>
            </w:r>
            <w:r w:rsidR="003F2F02" w:rsidRPr="00024D5A">
              <w:rPr>
                <w:rFonts w:ascii="Garamond" w:eastAsia="Times New Roman" w:hAnsi="Garamond"/>
                <w:b/>
                <w:bCs/>
                <w:i/>
                <w:iCs/>
                <w:sz w:val="6"/>
                <w:szCs w:val="16"/>
                <w:lang w:eastAsia="en-US"/>
              </w:rPr>
              <w:t>vendës</w:t>
            </w:r>
            <w:r w:rsidRPr="00024D5A">
              <w:rPr>
                <w:rFonts w:ascii="Garamond" w:eastAsia="Times New Roman" w:hAnsi="Garamond"/>
                <w:b/>
                <w:bCs/>
                <w:i/>
                <w:iCs/>
                <w:sz w:val="6"/>
                <w:szCs w:val="16"/>
                <w:lang w:eastAsia="en-US"/>
              </w:rPr>
              <w:t xml:space="preserve"> dhe të huaj/DNJF</w:t>
            </w:r>
          </w:p>
        </w:tc>
        <w:tc>
          <w:tcPr>
            <w:tcW w:w="708" w:type="dxa"/>
            <w:tcBorders>
              <w:top w:val="nil"/>
              <w:left w:val="nil"/>
              <w:bottom w:val="single" w:sz="4" w:space="0" w:color="auto"/>
              <w:right w:val="single" w:sz="4" w:space="0" w:color="auto"/>
            </w:tcBorders>
            <w:shd w:val="clear" w:color="000000" w:fill="B8CCE4"/>
            <w:hideMark/>
          </w:tcPr>
          <w:p w14:paraId="6BF318F3" w14:textId="048ECDA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178,734</w:t>
            </w:r>
          </w:p>
        </w:tc>
        <w:tc>
          <w:tcPr>
            <w:tcW w:w="567" w:type="dxa"/>
            <w:tcBorders>
              <w:top w:val="nil"/>
              <w:left w:val="nil"/>
              <w:bottom w:val="single" w:sz="4" w:space="0" w:color="auto"/>
              <w:right w:val="single" w:sz="4" w:space="0" w:color="auto"/>
            </w:tcBorders>
            <w:shd w:val="clear" w:color="000000" w:fill="B8CCE4"/>
            <w:hideMark/>
          </w:tcPr>
          <w:p w14:paraId="68111870" w14:textId="2015B60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178,734</w:t>
            </w:r>
          </w:p>
        </w:tc>
        <w:tc>
          <w:tcPr>
            <w:tcW w:w="567" w:type="dxa"/>
            <w:tcBorders>
              <w:top w:val="nil"/>
              <w:left w:val="nil"/>
              <w:bottom w:val="single" w:sz="4" w:space="0" w:color="auto"/>
              <w:right w:val="single" w:sz="4" w:space="0" w:color="auto"/>
            </w:tcBorders>
            <w:shd w:val="clear" w:color="000000" w:fill="B8CCE4"/>
            <w:hideMark/>
          </w:tcPr>
          <w:p w14:paraId="72E36BC2" w14:textId="6541FCF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178,734</w:t>
            </w:r>
          </w:p>
        </w:tc>
        <w:tc>
          <w:tcPr>
            <w:tcW w:w="1134" w:type="dxa"/>
            <w:tcBorders>
              <w:top w:val="nil"/>
              <w:left w:val="nil"/>
              <w:bottom w:val="single" w:sz="4" w:space="0" w:color="auto"/>
              <w:right w:val="single" w:sz="4" w:space="0" w:color="auto"/>
            </w:tcBorders>
            <w:shd w:val="clear" w:color="000000" w:fill="B8CCE4"/>
            <w:hideMark/>
          </w:tcPr>
          <w:p w14:paraId="19A9E0F9" w14:textId="3CC6FFB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178,734</w:t>
            </w:r>
          </w:p>
        </w:tc>
        <w:tc>
          <w:tcPr>
            <w:tcW w:w="1615" w:type="dxa"/>
            <w:tcBorders>
              <w:top w:val="nil"/>
              <w:left w:val="nil"/>
              <w:bottom w:val="single" w:sz="4" w:space="0" w:color="auto"/>
              <w:right w:val="single" w:sz="4" w:space="0" w:color="auto"/>
            </w:tcBorders>
            <w:shd w:val="clear" w:color="000000" w:fill="B8CCE4"/>
            <w:hideMark/>
          </w:tcPr>
          <w:p w14:paraId="25286EB9" w14:textId="46CAB6C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178,734</w:t>
            </w:r>
          </w:p>
        </w:tc>
      </w:tr>
      <w:tr w:rsidR="00B807EE" w:rsidRPr="00024D5A" w14:paraId="7FC72FC0" w14:textId="77777777" w:rsidTr="002B321E">
        <w:trPr>
          <w:trHeight w:val="20"/>
        </w:trPr>
        <w:tc>
          <w:tcPr>
            <w:tcW w:w="4673" w:type="dxa"/>
            <w:tcBorders>
              <w:top w:val="nil"/>
              <w:left w:val="single" w:sz="4" w:space="0" w:color="auto"/>
              <w:bottom w:val="nil"/>
              <w:right w:val="nil"/>
            </w:tcBorders>
            <w:hideMark/>
          </w:tcPr>
          <w:p w14:paraId="163F06C9" w14:textId="76CFA2B2"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1.2.1 Vijimësia e ofrimit të ndihmës juridike efektive, të arritshme, të aksesueshme, përfshirë persona me aftësi të kufizuara në zonat rurale, ato në institucione, gratë e fëmijët.</w:t>
            </w:r>
          </w:p>
        </w:tc>
        <w:tc>
          <w:tcPr>
            <w:tcW w:w="567" w:type="dxa"/>
            <w:tcBorders>
              <w:top w:val="nil"/>
              <w:left w:val="single" w:sz="4" w:space="0" w:color="auto"/>
              <w:bottom w:val="single" w:sz="4" w:space="0" w:color="auto"/>
              <w:right w:val="single" w:sz="4" w:space="0" w:color="auto"/>
            </w:tcBorders>
            <w:hideMark/>
          </w:tcPr>
          <w:p w14:paraId="0AF40478"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nil"/>
            </w:tcBorders>
            <w:hideMark/>
          </w:tcPr>
          <w:p w14:paraId="4E5C32F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single" w:sz="4" w:space="0" w:color="auto"/>
              <w:bottom w:val="single" w:sz="4" w:space="0" w:color="auto"/>
              <w:right w:val="single" w:sz="4" w:space="0" w:color="auto"/>
            </w:tcBorders>
            <w:hideMark/>
          </w:tcPr>
          <w:p w14:paraId="421B9FCB"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DNJF</w:t>
            </w:r>
          </w:p>
        </w:tc>
        <w:tc>
          <w:tcPr>
            <w:tcW w:w="1418" w:type="dxa"/>
            <w:tcBorders>
              <w:top w:val="nil"/>
              <w:left w:val="nil"/>
              <w:bottom w:val="single" w:sz="4" w:space="0" w:color="auto"/>
              <w:right w:val="single" w:sz="4" w:space="0" w:color="auto"/>
            </w:tcBorders>
            <w:hideMark/>
          </w:tcPr>
          <w:p w14:paraId="38CE10D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MD</w:t>
            </w:r>
          </w:p>
        </w:tc>
        <w:tc>
          <w:tcPr>
            <w:tcW w:w="708" w:type="dxa"/>
            <w:tcBorders>
              <w:top w:val="nil"/>
              <w:left w:val="nil"/>
              <w:bottom w:val="single" w:sz="4" w:space="0" w:color="auto"/>
              <w:right w:val="single" w:sz="4" w:space="0" w:color="auto"/>
            </w:tcBorders>
            <w:hideMark/>
          </w:tcPr>
          <w:p w14:paraId="546865F0" w14:textId="073A1C4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441B889F" w14:textId="0967ABD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6F550CD5" w14:textId="27E9318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2CDA35C0" w14:textId="189EBB6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4A4CCFA8" w14:textId="18FE20D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0F05F83B" w14:textId="77777777" w:rsidTr="002B321E">
        <w:trPr>
          <w:trHeight w:val="20"/>
        </w:trPr>
        <w:tc>
          <w:tcPr>
            <w:tcW w:w="4673" w:type="dxa"/>
            <w:tcBorders>
              <w:top w:val="single" w:sz="4" w:space="0" w:color="auto"/>
              <w:left w:val="single" w:sz="4" w:space="0" w:color="auto"/>
              <w:bottom w:val="single" w:sz="4" w:space="0" w:color="auto"/>
              <w:right w:val="single" w:sz="4" w:space="0" w:color="auto"/>
            </w:tcBorders>
            <w:hideMark/>
          </w:tcPr>
          <w:p w14:paraId="177FE325" w14:textId="640033C9"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1.2.2 Realizimi i sesioneve informuese në të gjitha bashkitë në nivel vendor me qëllim njohjen e barabartë para ligjit dhe aksesit në shërbimet e ndihmës juridike falas.</w:t>
            </w:r>
          </w:p>
        </w:tc>
        <w:tc>
          <w:tcPr>
            <w:tcW w:w="567" w:type="dxa"/>
            <w:tcBorders>
              <w:top w:val="nil"/>
              <w:left w:val="nil"/>
              <w:bottom w:val="single" w:sz="4" w:space="0" w:color="auto"/>
              <w:right w:val="single" w:sz="4" w:space="0" w:color="auto"/>
            </w:tcBorders>
            <w:hideMark/>
          </w:tcPr>
          <w:p w14:paraId="2039C8CD"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nil"/>
            </w:tcBorders>
            <w:hideMark/>
          </w:tcPr>
          <w:p w14:paraId="63D92973"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single" w:sz="4" w:space="0" w:color="auto"/>
              <w:bottom w:val="single" w:sz="4" w:space="0" w:color="auto"/>
              <w:right w:val="single" w:sz="4" w:space="0" w:color="auto"/>
            </w:tcBorders>
            <w:hideMark/>
          </w:tcPr>
          <w:p w14:paraId="1D181DD6"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DNJF</w:t>
            </w:r>
          </w:p>
        </w:tc>
        <w:tc>
          <w:tcPr>
            <w:tcW w:w="1418" w:type="dxa"/>
            <w:tcBorders>
              <w:top w:val="nil"/>
              <w:left w:val="nil"/>
              <w:bottom w:val="single" w:sz="4" w:space="0" w:color="auto"/>
              <w:right w:val="single" w:sz="4" w:space="0" w:color="auto"/>
            </w:tcBorders>
            <w:hideMark/>
          </w:tcPr>
          <w:p w14:paraId="413D544A"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MD</w:t>
            </w:r>
          </w:p>
        </w:tc>
        <w:tc>
          <w:tcPr>
            <w:tcW w:w="708" w:type="dxa"/>
            <w:tcBorders>
              <w:top w:val="nil"/>
              <w:left w:val="nil"/>
              <w:bottom w:val="single" w:sz="4" w:space="0" w:color="auto"/>
              <w:right w:val="single" w:sz="4" w:space="0" w:color="auto"/>
            </w:tcBorders>
            <w:hideMark/>
          </w:tcPr>
          <w:p w14:paraId="68D7618A" w14:textId="5CD5356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634</w:t>
            </w:r>
          </w:p>
        </w:tc>
        <w:tc>
          <w:tcPr>
            <w:tcW w:w="567" w:type="dxa"/>
            <w:tcBorders>
              <w:top w:val="nil"/>
              <w:left w:val="nil"/>
              <w:bottom w:val="single" w:sz="4" w:space="0" w:color="auto"/>
              <w:right w:val="single" w:sz="4" w:space="0" w:color="auto"/>
            </w:tcBorders>
            <w:hideMark/>
          </w:tcPr>
          <w:p w14:paraId="29C5CFFD" w14:textId="7D98593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634</w:t>
            </w:r>
          </w:p>
        </w:tc>
        <w:tc>
          <w:tcPr>
            <w:tcW w:w="567" w:type="dxa"/>
            <w:tcBorders>
              <w:top w:val="nil"/>
              <w:left w:val="nil"/>
              <w:bottom w:val="single" w:sz="4" w:space="0" w:color="auto"/>
              <w:right w:val="single" w:sz="4" w:space="0" w:color="auto"/>
            </w:tcBorders>
            <w:hideMark/>
          </w:tcPr>
          <w:p w14:paraId="24C8E31F" w14:textId="7B2BBC8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634</w:t>
            </w:r>
          </w:p>
        </w:tc>
        <w:tc>
          <w:tcPr>
            <w:tcW w:w="1134" w:type="dxa"/>
            <w:tcBorders>
              <w:top w:val="nil"/>
              <w:left w:val="nil"/>
              <w:bottom w:val="single" w:sz="4" w:space="0" w:color="auto"/>
              <w:right w:val="single" w:sz="4" w:space="0" w:color="auto"/>
            </w:tcBorders>
            <w:hideMark/>
          </w:tcPr>
          <w:p w14:paraId="49BDD74E" w14:textId="2791B31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634</w:t>
            </w:r>
          </w:p>
        </w:tc>
        <w:tc>
          <w:tcPr>
            <w:tcW w:w="1615" w:type="dxa"/>
            <w:tcBorders>
              <w:top w:val="nil"/>
              <w:left w:val="nil"/>
              <w:bottom w:val="single" w:sz="4" w:space="0" w:color="auto"/>
              <w:right w:val="single" w:sz="4" w:space="0" w:color="auto"/>
            </w:tcBorders>
            <w:hideMark/>
          </w:tcPr>
          <w:p w14:paraId="12F9AA46" w14:textId="36909F1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634</w:t>
            </w:r>
          </w:p>
        </w:tc>
      </w:tr>
      <w:tr w:rsidR="00B807EE" w:rsidRPr="00024D5A" w14:paraId="53F2F468"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731096C5" w14:textId="41473670"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1.2.3 Përgatitja, </w:t>
            </w:r>
            <w:r w:rsidR="003E0053" w:rsidRPr="00024D5A">
              <w:rPr>
                <w:rFonts w:ascii="Garamond" w:eastAsia="Times New Roman" w:hAnsi="Garamond"/>
                <w:sz w:val="6"/>
                <w:szCs w:val="16"/>
                <w:lang w:eastAsia="en-US"/>
              </w:rPr>
              <w:t>shpërndarja</w:t>
            </w:r>
            <w:r w:rsidRPr="00024D5A">
              <w:rPr>
                <w:rFonts w:ascii="Garamond" w:eastAsia="Times New Roman" w:hAnsi="Garamond"/>
                <w:sz w:val="6"/>
                <w:szCs w:val="16"/>
                <w:lang w:eastAsia="en-US"/>
              </w:rPr>
              <w:t xml:space="preserve"> dhe publikimi i manualeve, e fletëpalosjeve, udhëzuesve praktikë në një gjuhë të thjeshtë dhe të kuptueshme për ofrimin e ndihmës juridike, </w:t>
            </w:r>
            <w:r w:rsidR="0078161D"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si të ankimoj</w:t>
            </w:r>
            <w:r w:rsidR="0078161D"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w:t>
            </w:r>
            <w:r w:rsidR="0078161D"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si të marr ndihmë juridike</w:t>
            </w:r>
            <w:r w:rsidR="0078161D"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dhe realizimi i videove përkatës. </w:t>
            </w:r>
          </w:p>
        </w:tc>
        <w:tc>
          <w:tcPr>
            <w:tcW w:w="567" w:type="dxa"/>
            <w:tcBorders>
              <w:top w:val="nil"/>
              <w:left w:val="nil"/>
              <w:bottom w:val="single" w:sz="4" w:space="0" w:color="auto"/>
              <w:right w:val="single" w:sz="4" w:space="0" w:color="auto"/>
            </w:tcBorders>
            <w:hideMark/>
          </w:tcPr>
          <w:p w14:paraId="5E74EB4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nil"/>
            </w:tcBorders>
            <w:hideMark/>
          </w:tcPr>
          <w:p w14:paraId="46727887"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2028</w:t>
            </w:r>
          </w:p>
        </w:tc>
        <w:tc>
          <w:tcPr>
            <w:tcW w:w="1134" w:type="dxa"/>
            <w:tcBorders>
              <w:top w:val="nil"/>
              <w:left w:val="single" w:sz="4" w:space="0" w:color="auto"/>
              <w:bottom w:val="single" w:sz="4" w:space="0" w:color="auto"/>
              <w:right w:val="single" w:sz="4" w:space="0" w:color="auto"/>
            </w:tcBorders>
            <w:hideMark/>
          </w:tcPr>
          <w:p w14:paraId="3086B14E"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DNJF</w:t>
            </w:r>
          </w:p>
        </w:tc>
        <w:tc>
          <w:tcPr>
            <w:tcW w:w="1418" w:type="dxa"/>
            <w:tcBorders>
              <w:top w:val="nil"/>
              <w:left w:val="nil"/>
              <w:bottom w:val="single" w:sz="4" w:space="0" w:color="auto"/>
              <w:right w:val="single" w:sz="4" w:space="0" w:color="auto"/>
            </w:tcBorders>
            <w:hideMark/>
          </w:tcPr>
          <w:p w14:paraId="3A4CC425" w14:textId="6847E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MD/OSHC/Partner</w:t>
            </w:r>
            <w:r w:rsidR="005A46ED">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w:t>
            </w:r>
            <w:r w:rsidR="003F2F02" w:rsidRPr="00024D5A">
              <w:rPr>
                <w:rFonts w:ascii="Garamond" w:eastAsia="Times New Roman" w:hAnsi="Garamond"/>
                <w:sz w:val="6"/>
                <w:szCs w:val="16"/>
                <w:lang w:eastAsia="en-US"/>
              </w:rPr>
              <w:t>vendës</w:t>
            </w:r>
            <w:r w:rsidRPr="00024D5A">
              <w:rPr>
                <w:rFonts w:ascii="Garamond" w:eastAsia="Times New Roman" w:hAnsi="Garamond"/>
                <w:sz w:val="6"/>
                <w:szCs w:val="16"/>
                <w:lang w:eastAsia="en-US"/>
              </w:rPr>
              <w:t xml:space="preserve"> dhe të huaj</w:t>
            </w:r>
          </w:p>
        </w:tc>
        <w:tc>
          <w:tcPr>
            <w:tcW w:w="708" w:type="dxa"/>
            <w:tcBorders>
              <w:top w:val="nil"/>
              <w:left w:val="nil"/>
              <w:bottom w:val="single" w:sz="4" w:space="0" w:color="auto"/>
              <w:right w:val="single" w:sz="4" w:space="0" w:color="auto"/>
            </w:tcBorders>
            <w:hideMark/>
          </w:tcPr>
          <w:p w14:paraId="2E0D8BDF" w14:textId="394C315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c>
          <w:tcPr>
            <w:tcW w:w="567" w:type="dxa"/>
            <w:tcBorders>
              <w:top w:val="nil"/>
              <w:left w:val="nil"/>
              <w:bottom w:val="single" w:sz="4" w:space="0" w:color="auto"/>
              <w:right w:val="single" w:sz="4" w:space="0" w:color="auto"/>
            </w:tcBorders>
            <w:hideMark/>
          </w:tcPr>
          <w:p w14:paraId="58BBA7FA" w14:textId="28F1AAE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c>
          <w:tcPr>
            <w:tcW w:w="567" w:type="dxa"/>
            <w:tcBorders>
              <w:top w:val="nil"/>
              <w:left w:val="nil"/>
              <w:bottom w:val="single" w:sz="4" w:space="0" w:color="auto"/>
              <w:right w:val="single" w:sz="4" w:space="0" w:color="auto"/>
            </w:tcBorders>
            <w:hideMark/>
          </w:tcPr>
          <w:p w14:paraId="322803FA" w14:textId="4CF36DF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c>
          <w:tcPr>
            <w:tcW w:w="1134" w:type="dxa"/>
            <w:tcBorders>
              <w:top w:val="nil"/>
              <w:left w:val="nil"/>
              <w:bottom w:val="single" w:sz="4" w:space="0" w:color="auto"/>
              <w:right w:val="single" w:sz="4" w:space="0" w:color="auto"/>
            </w:tcBorders>
            <w:hideMark/>
          </w:tcPr>
          <w:p w14:paraId="442D65B6" w14:textId="04D6B3D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c>
          <w:tcPr>
            <w:tcW w:w="1615" w:type="dxa"/>
            <w:tcBorders>
              <w:top w:val="nil"/>
              <w:left w:val="nil"/>
              <w:bottom w:val="single" w:sz="4" w:space="0" w:color="auto"/>
              <w:right w:val="single" w:sz="4" w:space="0" w:color="auto"/>
            </w:tcBorders>
            <w:hideMark/>
          </w:tcPr>
          <w:p w14:paraId="1CA3D36E" w14:textId="60326A5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r>
      <w:tr w:rsidR="00B807EE" w:rsidRPr="00024D5A" w14:paraId="4E2A3072"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2A9724A1" w14:textId="711B598C"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1.2.4 Ofrimi i informacionit ligjor </w:t>
            </w:r>
            <w:r w:rsidR="0002433B" w:rsidRPr="00024D5A">
              <w:rPr>
                <w:rFonts w:ascii="Garamond" w:eastAsia="Times New Roman" w:hAnsi="Garamond"/>
                <w:sz w:val="6"/>
                <w:szCs w:val="16"/>
                <w:lang w:eastAsia="en-US"/>
              </w:rPr>
              <w:t xml:space="preserve">në linjën e gjelbër </w:t>
            </w:r>
            <w:r w:rsidRPr="00024D5A">
              <w:rPr>
                <w:rFonts w:ascii="Garamond" w:eastAsia="Times New Roman" w:hAnsi="Garamond"/>
                <w:sz w:val="6"/>
                <w:szCs w:val="16"/>
                <w:lang w:eastAsia="en-US"/>
              </w:rPr>
              <w:t xml:space="preserve">0800 1010 dhe i shërbimeve mbështetëse në platformën </w:t>
            </w:r>
            <w:r w:rsidR="0078161D"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Juristi </w:t>
            </w:r>
            <w:r w:rsidRPr="00024D5A">
              <w:rPr>
                <w:rFonts w:ascii="Garamond" w:eastAsia="Times New Roman" w:hAnsi="Garamond"/>
                <w:i/>
                <w:iCs/>
                <w:sz w:val="6"/>
                <w:szCs w:val="16"/>
                <w:lang w:eastAsia="en-US"/>
              </w:rPr>
              <w:t>Online</w:t>
            </w:r>
            <w:r w:rsidR="0078161D"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edhe përmes aksesit </w:t>
            </w:r>
            <w:r w:rsidRPr="00024D5A">
              <w:rPr>
                <w:rFonts w:ascii="Garamond" w:eastAsia="Times New Roman" w:hAnsi="Garamond"/>
                <w:i/>
                <w:iCs/>
                <w:sz w:val="6"/>
                <w:szCs w:val="16"/>
                <w:lang w:eastAsia="en-US"/>
              </w:rPr>
              <w:t>online</w:t>
            </w:r>
            <w:r w:rsidRPr="00024D5A">
              <w:rPr>
                <w:rFonts w:ascii="Garamond" w:eastAsia="Times New Roman" w:hAnsi="Garamond"/>
                <w:sz w:val="6"/>
                <w:szCs w:val="16"/>
                <w:lang w:eastAsia="en-US"/>
              </w:rPr>
              <w:t xml:space="preserve"> në formularin e ndihmës juridike falas, në një gjuhë të kuptueshme dhe të aksesueshme për personat me aftësi të kufizuara.</w:t>
            </w:r>
          </w:p>
        </w:tc>
        <w:tc>
          <w:tcPr>
            <w:tcW w:w="567" w:type="dxa"/>
            <w:tcBorders>
              <w:top w:val="nil"/>
              <w:left w:val="nil"/>
              <w:bottom w:val="single" w:sz="4" w:space="0" w:color="auto"/>
              <w:right w:val="single" w:sz="4" w:space="0" w:color="auto"/>
            </w:tcBorders>
            <w:hideMark/>
          </w:tcPr>
          <w:p w14:paraId="03650F15"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nil"/>
            </w:tcBorders>
            <w:hideMark/>
          </w:tcPr>
          <w:p w14:paraId="57003CE5"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single" w:sz="4" w:space="0" w:color="auto"/>
              <w:bottom w:val="single" w:sz="4" w:space="0" w:color="auto"/>
              <w:right w:val="single" w:sz="4" w:space="0" w:color="auto"/>
            </w:tcBorders>
            <w:hideMark/>
          </w:tcPr>
          <w:p w14:paraId="3F2CF3BC"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DNJF</w:t>
            </w:r>
          </w:p>
        </w:tc>
        <w:tc>
          <w:tcPr>
            <w:tcW w:w="1418" w:type="dxa"/>
            <w:tcBorders>
              <w:top w:val="nil"/>
              <w:left w:val="nil"/>
              <w:bottom w:val="single" w:sz="4" w:space="0" w:color="auto"/>
              <w:right w:val="single" w:sz="4" w:space="0" w:color="auto"/>
            </w:tcBorders>
            <w:hideMark/>
          </w:tcPr>
          <w:p w14:paraId="3A8F4545" w14:textId="36B749F4"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MD/OSHC/Partner</w:t>
            </w:r>
            <w:r w:rsidR="005A46ED">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w:t>
            </w:r>
            <w:r w:rsidR="003F2F02" w:rsidRPr="00024D5A">
              <w:rPr>
                <w:rFonts w:ascii="Garamond" w:eastAsia="Times New Roman" w:hAnsi="Garamond"/>
                <w:sz w:val="6"/>
                <w:szCs w:val="16"/>
                <w:lang w:eastAsia="en-US"/>
              </w:rPr>
              <w:t>vendës</w:t>
            </w:r>
            <w:r w:rsidRPr="00024D5A">
              <w:rPr>
                <w:rFonts w:ascii="Garamond" w:eastAsia="Times New Roman" w:hAnsi="Garamond"/>
                <w:sz w:val="6"/>
                <w:szCs w:val="16"/>
                <w:lang w:eastAsia="en-US"/>
              </w:rPr>
              <w:t xml:space="preserve"> dhe të huaj</w:t>
            </w:r>
          </w:p>
        </w:tc>
        <w:tc>
          <w:tcPr>
            <w:tcW w:w="708" w:type="dxa"/>
            <w:tcBorders>
              <w:top w:val="nil"/>
              <w:left w:val="nil"/>
              <w:bottom w:val="single" w:sz="4" w:space="0" w:color="auto"/>
              <w:right w:val="single" w:sz="4" w:space="0" w:color="auto"/>
            </w:tcBorders>
            <w:hideMark/>
          </w:tcPr>
          <w:p w14:paraId="256136F8" w14:textId="1DAD5F0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500</w:t>
            </w:r>
          </w:p>
        </w:tc>
        <w:tc>
          <w:tcPr>
            <w:tcW w:w="567" w:type="dxa"/>
            <w:tcBorders>
              <w:top w:val="nil"/>
              <w:left w:val="nil"/>
              <w:bottom w:val="single" w:sz="4" w:space="0" w:color="auto"/>
              <w:right w:val="single" w:sz="4" w:space="0" w:color="auto"/>
            </w:tcBorders>
            <w:hideMark/>
          </w:tcPr>
          <w:p w14:paraId="1D8685D6" w14:textId="1769F9C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500</w:t>
            </w:r>
          </w:p>
        </w:tc>
        <w:tc>
          <w:tcPr>
            <w:tcW w:w="567" w:type="dxa"/>
            <w:tcBorders>
              <w:top w:val="nil"/>
              <w:left w:val="nil"/>
              <w:bottom w:val="single" w:sz="4" w:space="0" w:color="auto"/>
              <w:right w:val="single" w:sz="4" w:space="0" w:color="auto"/>
            </w:tcBorders>
            <w:hideMark/>
          </w:tcPr>
          <w:p w14:paraId="4CC92FFE" w14:textId="4DA6ECB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500</w:t>
            </w:r>
          </w:p>
        </w:tc>
        <w:tc>
          <w:tcPr>
            <w:tcW w:w="1134" w:type="dxa"/>
            <w:tcBorders>
              <w:top w:val="nil"/>
              <w:left w:val="nil"/>
              <w:bottom w:val="single" w:sz="4" w:space="0" w:color="auto"/>
              <w:right w:val="single" w:sz="4" w:space="0" w:color="auto"/>
            </w:tcBorders>
            <w:hideMark/>
          </w:tcPr>
          <w:p w14:paraId="5D430787" w14:textId="2CF65BE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500</w:t>
            </w:r>
          </w:p>
        </w:tc>
        <w:tc>
          <w:tcPr>
            <w:tcW w:w="1615" w:type="dxa"/>
            <w:tcBorders>
              <w:top w:val="nil"/>
              <w:left w:val="nil"/>
              <w:bottom w:val="single" w:sz="4" w:space="0" w:color="auto"/>
              <w:right w:val="single" w:sz="4" w:space="0" w:color="auto"/>
            </w:tcBorders>
            <w:hideMark/>
          </w:tcPr>
          <w:p w14:paraId="6F84A13A" w14:textId="1C10223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500</w:t>
            </w:r>
          </w:p>
        </w:tc>
      </w:tr>
      <w:tr w:rsidR="00B807EE" w:rsidRPr="00024D5A" w14:paraId="5FE3D722"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4391615A" w14:textId="7CC01CBC"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1.2.5 Ofrimi i ndihmës ligjore për persona me aftësi të kufizuara nga ekipe lëvizëse në terren për ofrimin e ndihmës juridike falas, në bashkëpunim me organizata të licencuara nga MD</w:t>
            </w:r>
            <w:r w:rsidR="0002433B" w:rsidRPr="00024D5A">
              <w:rPr>
                <w:rFonts w:ascii="Garamond" w:eastAsia="Times New Roman" w:hAnsi="Garamond"/>
                <w:sz w:val="6"/>
                <w:szCs w:val="16"/>
                <w:lang w:eastAsia="en-US"/>
              </w:rPr>
              <w:t>-ja.</w:t>
            </w:r>
            <w:r w:rsidRPr="00024D5A">
              <w:rPr>
                <w:rFonts w:ascii="Garamond" w:eastAsia="Times New Roman" w:hAnsi="Garamond"/>
                <w:sz w:val="6"/>
                <w:szCs w:val="16"/>
                <w:lang w:eastAsia="en-US"/>
              </w:rPr>
              <w:t xml:space="preserve"> </w:t>
            </w:r>
          </w:p>
        </w:tc>
        <w:tc>
          <w:tcPr>
            <w:tcW w:w="567" w:type="dxa"/>
            <w:tcBorders>
              <w:top w:val="nil"/>
              <w:left w:val="nil"/>
              <w:bottom w:val="single" w:sz="4" w:space="0" w:color="auto"/>
              <w:right w:val="single" w:sz="4" w:space="0" w:color="auto"/>
            </w:tcBorders>
            <w:hideMark/>
          </w:tcPr>
          <w:p w14:paraId="3B508EAA"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2026</w:t>
            </w:r>
          </w:p>
        </w:tc>
        <w:tc>
          <w:tcPr>
            <w:tcW w:w="567" w:type="dxa"/>
            <w:tcBorders>
              <w:top w:val="nil"/>
              <w:left w:val="nil"/>
              <w:bottom w:val="single" w:sz="4" w:space="0" w:color="auto"/>
              <w:right w:val="nil"/>
            </w:tcBorders>
            <w:hideMark/>
          </w:tcPr>
          <w:p w14:paraId="1C7DE8DA"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2030</w:t>
            </w:r>
          </w:p>
        </w:tc>
        <w:tc>
          <w:tcPr>
            <w:tcW w:w="1134" w:type="dxa"/>
            <w:tcBorders>
              <w:top w:val="nil"/>
              <w:left w:val="single" w:sz="4" w:space="0" w:color="auto"/>
              <w:bottom w:val="single" w:sz="4" w:space="0" w:color="auto"/>
              <w:right w:val="single" w:sz="4" w:space="0" w:color="auto"/>
            </w:tcBorders>
            <w:hideMark/>
          </w:tcPr>
          <w:p w14:paraId="255AA58D"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DNJF</w:t>
            </w:r>
          </w:p>
        </w:tc>
        <w:tc>
          <w:tcPr>
            <w:tcW w:w="1418" w:type="dxa"/>
            <w:tcBorders>
              <w:top w:val="nil"/>
              <w:left w:val="nil"/>
              <w:bottom w:val="single" w:sz="4" w:space="0" w:color="auto"/>
              <w:right w:val="single" w:sz="4" w:space="0" w:color="auto"/>
            </w:tcBorders>
            <w:hideMark/>
          </w:tcPr>
          <w:p w14:paraId="218DC819" w14:textId="25E4F333"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MD/OSHC/Partner</w:t>
            </w:r>
            <w:r w:rsidR="005A46ED">
              <w:rPr>
                <w:rFonts w:ascii="Garamond" w:eastAsia="Times New Roman" w:hAnsi="Garamond"/>
                <w:i/>
                <w:iCs/>
                <w:sz w:val="6"/>
                <w:szCs w:val="16"/>
                <w:lang w:eastAsia="en-US"/>
              </w:rPr>
              <w:t>ë</w:t>
            </w:r>
            <w:r w:rsidRPr="00024D5A">
              <w:rPr>
                <w:rFonts w:ascii="Garamond" w:eastAsia="Times New Roman" w:hAnsi="Garamond"/>
                <w:i/>
                <w:iCs/>
                <w:sz w:val="6"/>
                <w:szCs w:val="16"/>
                <w:lang w:eastAsia="en-US"/>
              </w:rPr>
              <w:t xml:space="preserve"> </w:t>
            </w:r>
            <w:r w:rsidR="003F2F02" w:rsidRPr="00024D5A">
              <w:rPr>
                <w:rFonts w:ascii="Garamond" w:eastAsia="Times New Roman" w:hAnsi="Garamond"/>
                <w:i/>
                <w:iCs/>
                <w:sz w:val="6"/>
                <w:szCs w:val="16"/>
                <w:lang w:eastAsia="en-US"/>
              </w:rPr>
              <w:t>vendës</w:t>
            </w:r>
            <w:r w:rsidRPr="00024D5A">
              <w:rPr>
                <w:rFonts w:ascii="Garamond" w:eastAsia="Times New Roman" w:hAnsi="Garamond"/>
                <w:i/>
                <w:iCs/>
                <w:sz w:val="6"/>
                <w:szCs w:val="16"/>
                <w:lang w:eastAsia="en-US"/>
              </w:rPr>
              <w:t xml:space="preserve"> dhe të huaj</w:t>
            </w:r>
          </w:p>
        </w:tc>
        <w:tc>
          <w:tcPr>
            <w:tcW w:w="708" w:type="dxa"/>
            <w:tcBorders>
              <w:top w:val="nil"/>
              <w:left w:val="nil"/>
              <w:bottom w:val="single" w:sz="4" w:space="0" w:color="auto"/>
              <w:right w:val="single" w:sz="4" w:space="0" w:color="auto"/>
            </w:tcBorders>
            <w:hideMark/>
          </w:tcPr>
          <w:p w14:paraId="5742318F" w14:textId="09F80D5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217429EC" w14:textId="68AE508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0078F697" w14:textId="77EB752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3B98A6A5" w14:textId="7227164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6A3DCCB9" w14:textId="7543F5C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31B5643E"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42C10BD8" w14:textId="049C56F1"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1.2.6</w:t>
            </w:r>
            <w:r w:rsidR="005A46ED">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Trajnimi i punonjësve të qendrave të NJF-së, studentëve të klinikave të ligjit dhe OJF-ve lidhur me të drejtat e personave me aftësi të kufizuara.</w:t>
            </w:r>
          </w:p>
        </w:tc>
        <w:tc>
          <w:tcPr>
            <w:tcW w:w="567" w:type="dxa"/>
            <w:tcBorders>
              <w:top w:val="nil"/>
              <w:left w:val="nil"/>
              <w:bottom w:val="single" w:sz="4" w:space="0" w:color="auto"/>
              <w:right w:val="single" w:sz="4" w:space="0" w:color="auto"/>
            </w:tcBorders>
            <w:hideMark/>
          </w:tcPr>
          <w:p w14:paraId="02F024CE"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2026</w:t>
            </w:r>
          </w:p>
        </w:tc>
        <w:tc>
          <w:tcPr>
            <w:tcW w:w="567" w:type="dxa"/>
            <w:tcBorders>
              <w:top w:val="nil"/>
              <w:left w:val="nil"/>
              <w:bottom w:val="single" w:sz="4" w:space="0" w:color="auto"/>
              <w:right w:val="nil"/>
            </w:tcBorders>
            <w:hideMark/>
          </w:tcPr>
          <w:p w14:paraId="51C0A350"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2028</w:t>
            </w:r>
          </w:p>
        </w:tc>
        <w:tc>
          <w:tcPr>
            <w:tcW w:w="1134" w:type="dxa"/>
            <w:tcBorders>
              <w:top w:val="nil"/>
              <w:left w:val="single" w:sz="4" w:space="0" w:color="auto"/>
              <w:bottom w:val="single" w:sz="4" w:space="0" w:color="auto"/>
              <w:right w:val="single" w:sz="4" w:space="0" w:color="auto"/>
            </w:tcBorders>
            <w:hideMark/>
          </w:tcPr>
          <w:p w14:paraId="664621E8"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DNJF</w:t>
            </w:r>
          </w:p>
        </w:tc>
        <w:tc>
          <w:tcPr>
            <w:tcW w:w="1418" w:type="dxa"/>
            <w:tcBorders>
              <w:top w:val="nil"/>
              <w:left w:val="nil"/>
              <w:bottom w:val="single" w:sz="4" w:space="0" w:color="auto"/>
              <w:right w:val="single" w:sz="4" w:space="0" w:color="auto"/>
            </w:tcBorders>
            <w:hideMark/>
          </w:tcPr>
          <w:p w14:paraId="2B8FBD10" w14:textId="1B367BCD"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MD/OSHC/Partner</w:t>
            </w:r>
            <w:r w:rsidR="005A46ED">
              <w:rPr>
                <w:rFonts w:ascii="Garamond" w:eastAsia="Times New Roman" w:hAnsi="Garamond"/>
                <w:i/>
                <w:iCs/>
                <w:sz w:val="6"/>
                <w:szCs w:val="16"/>
                <w:lang w:eastAsia="en-US"/>
              </w:rPr>
              <w:t>ë</w:t>
            </w:r>
            <w:r w:rsidRPr="00024D5A">
              <w:rPr>
                <w:rFonts w:ascii="Garamond" w:eastAsia="Times New Roman" w:hAnsi="Garamond"/>
                <w:i/>
                <w:iCs/>
                <w:sz w:val="6"/>
                <w:szCs w:val="16"/>
                <w:lang w:eastAsia="en-US"/>
              </w:rPr>
              <w:t xml:space="preserve"> </w:t>
            </w:r>
            <w:r w:rsidR="003F2F02" w:rsidRPr="00024D5A">
              <w:rPr>
                <w:rFonts w:ascii="Garamond" w:eastAsia="Times New Roman" w:hAnsi="Garamond"/>
                <w:i/>
                <w:iCs/>
                <w:sz w:val="6"/>
                <w:szCs w:val="16"/>
                <w:lang w:eastAsia="en-US"/>
              </w:rPr>
              <w:t>vendës</w:t>
            </w:r>
            <w:r w:rsidRPr="00024D5A">
              <w:rPr>
                <w:rFonts w:ascii="Garamond" w:eastAsia="Times New Roman" w:hAnsi="Garamond"/>
                <w:i/>
                <w:iCs/>
                <w:sz w:val="6"/>
                <w:szCs w:val="16"/>
                <w:lang w:eastAsia="en-US"/>
              </w:rPr>
              <w:t xml:space="preserve"> dhe të huaj</w:t>
            </w:r>
          </w:p>
        </w:tc>
        <w:tc>
          <w:tcPr>
            <w:tcW w:w="708" w:type="dxa"/>
            <w:tcBorders>
              <w:top w:val="nil"/>
              <w:left w:val="nil"/>
              <w:bottom w:val="single" w:sz="4" w:space="0" w:color="auto"/>
              <w:right w:val="single" w:sz="4" w:space="0" w:color="auto"/>
            </w:tcBorders>
            <w:hideMark/>
          </w:tcPr>
          <w:p w14:paraId="4454EB59" w14:textId="5D55E97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08D59BB0" w14:textId="1C38977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05C26710" w14:textId="48D782D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0DF8862A" w14:textId="004375F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123FB953" w14:textId="409F7DD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4ED381CC"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16D3761E" w14:textId="3961B0BD"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 1.2.7 Ofrimi i ndihmës juridike dytësore për personat me aftësi të kufizuara, në procesin civil, administrative penal</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dhe qasje sa më efektive në drejtësi.</w:t>
            </w:r>
          </w:p>
        </w:tc>
        <w:tc>
          <w:tcPr>
            <w:tcW w:w="567" w:type="dxa"/>
            <w:tcBorders>
              <w:top w:val="nil"/>
              <w:left w:val="nil"/>
              <w:bottom w:val="single" w:sz="4" w:space="0" w:color="auto"/>
              <w:right w:val="single" w:sz="4" w:space="0" w:color="auto"/>
            </w:tcBorders>
            <w:hideMark/>
          </w:tcPr>
          <w:p w14:paraId="49671D56"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2026</w:t>
            </w:r>
          </w:p>
        </w:tc>
        <w:tc>
          <w:tcPr>
            <w:tcW w:w="567" w:type="dxa"/>
            <w:tcBorders>
              <w:top w:val="nil"/>
              <w:left w:val="nil"/>
              <w:bottom w:val="single" w:sz="4" w:space="0" w:color="auto"/>
              <w:right w:val="nil"/>
            </w:tcBorders>
            <w:hideMark/>
          </w:tcPr>
          <w:p w14:paraId="13DD4E2D"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2030</w:t>
            </w:r>
          </w:p>
        </w:tc>
        <w:tc>
          <w:tcPr>
            <w:tcW w:w="1134" w:type="dxa"/>
            <w:tcBorders>
              <w:top w:val="nil"/>
              <w:left w:val="single" w:sz="4" w:space="0" w:color="auto"/>
              <w:bottom w:val="single" w:sz="4" w:space="0" w:color="auto"/>
              <w:right w:val="single" w:sz="4" w:space="0" w:color="auto"/>
            </w:tcBorders>
            <w:hideMark/>
          </w:tcPr>
          <w:p w14:paraId="2C0CD756"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DNJF/KLGJ/Gjykatat</w:t>
            </w:r>
          </w:p>
        </w:tc>
        <w:tc>
          <w:tcPr>
            <w:tcW w:w="1418" w:type="dxa"/>
            <w:tcBorders>
              <w:top w:val="nil"/>
              <w:left w:val="nil"/>
              <w:bottom w:val="single" w:sz="4" w:space="0" w:color="auto"/>
              <w:right w:val="single" w:sz="4" w:space="0" w:color="auto"/>
            </w:tcBorders>
            <w:hideMark/>
          </w:tcPr>
          <w:p w14:paraId="03ADC08F"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MD</w:t>
            </w:r>
          </w:p>
        </w:tc>
        <w:tc>
          <w:tcPr>
            <w:tcW w:w="708" w:type="dxa"/>
            <w:tcBorders>
              <w:top w:val="nil"/>
              <w:left w:val="nil"/>
              <w:bottom w:val="single" w:sz="4" w:space="0" w:color="auto"/>
              <w:right w:val="single" w:sz="4" w:space="0" w:color="auto"/>
            </w:tcBorders>
            <w:hideMark/>
          </w:tcPr>
          <w:p w14:paraId="3BC0D7E9" w14:textId="65A4C09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5,800</w:t>
            </w:r>
          </w:p>
        </w:tc>
        <w:tc>
          <w:tcPr>
            <w:tcW w:w="567" w:type="dxa"/>
            <w:tcBorders>
              <w:top w:val="nil"/>
              <w:left w:val="nil"/>
              <w:bottom w:val="single" w:sz="4" w:space="0" w:color="auto"/>
              <w:right w:val="single" w:sz="4" w:space="0" w:color="auto"/>
            </w:tcBorders>
            <w:hideMark/>
          </w:tcPr>
          <w:p w14:paraId="7027D4B1" w14:textId="159388E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5,800</w:t>
            </w:r>
          </w:p>
        </w:tc>
        <w:tc>
          <w:tcPr>
            <w:tcW w:w="567" w:type="dxa"/>
            <w:tcBorders>
              <w:top w:val="nil"/>
              <w:left w:val="nil"/>
              <w:bottom w:val="single" w:sz="4" w:space="0" w:color="auto"/>
              <w:right w:val="single" w:sz="4" w:space="0" w:color="auto"/>
            </w:tcBorders>
            <w:hideMark/>
          </w:tcPr>
          <w:p w14:paraId="43177C57" w14:textId="61BC1D2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5,800</w:t>
            </w:r>
          </w:p>
        </w:tc>
        <w:tc>
          <w:tcPr>
            <w:tcW w:w="1134" w:type="dxa"/>
            <w:tcBorders>
              <w:top w:val="nil"/>
              <w:left w:val="nil"/>
              <w:bottom w:val="single" w:sz="4" w:space="0" w:color="auto"/>
              <w:right w:val="single" w:sz="4" w:space="0" w:color="auto"/>
            </w:tcBorders>
            <w:hideMark/>
          </w:tcPr>
          <w:p w14:paraId="770A00FA" w14:textId="183D5E6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5,800</w:t>
            </w:r>
          </w:p>
        </w:tc>
        <w:tc>
          <w:tcPr>
            <w:tcW w:w="1615" w:type="dxa"/>
            <w:tcBorders>
              <w:top w:val="nil"/>
              <w:left w:val="nil"/>
              <w:bottom w:val="single" w:sz="4" w:space="0" w:color="auto"/>
              <w:right w:val="single" w:sz="4" w:space="0" w:color="auto"/>
            </w:tcBorders>
            <w:hideMark/>
          </w:tcPr>
          <w:p w14:paraId="55D45BD3" w14:textId="7282121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5,800</w:t>
            </w:r>
          </w:p>
        </w:tc>
      </w:tr>
      <w:tr w:rsidR="00B807EE" w:rsidRPr="00024D5A" w14:paraId="3678BE73"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23274847" w14:textId="002C2A5C"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1.2.8 Përfaqësimi dhe </w:t>
            </w:r>
            <w:r w:rsidR="0002433B" w:rsidRPr="00024D5A">
              <w:rPr>
                <w:rFonts w:ascii="Garamond" w:eastAsia="Times New Roman" w:hAnsi="Garamond"/>
                <w:sz w:val="6"/>
                <w:szCs w:val="16"/>
                <w:lang w:eastAsia="en-US"/>
              </w:rPr>
              <w:t>mbrojta</w:t>
            </w:r>
            <w:r w:rsidRPr="00024D5A">
              <w:rPr>
                <w:rFonts w:ascii="Garamond" w:eastAsia="Times New Roman" w:hAnsi="Garamond"/>
                <w:sz w:val="6"/>
                <w:szCs w:val="16"/>
                <w:lang w:eastAsia="en-US"/>
              </w:rPr>
              <w:t xml:space="preserve"> personave me aftësi të kufizuara në procesin administrativ, civil dhe penal</w:t>
            </w:r>
            <w:r w:rsidR="0002433B"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350C851D"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2026</w:t>
            </w:r>
          </w:p>
        </w:tc>
        <w:tc>
          <w:tcPr>
            <w:tcW w:w="567" w:type="dxa"/>
            <w:tcBorders>
              <w:top w:val="nil"/>
              <w:left w:val="nil"/>
              <w:bottom w:val="single" w:sz="4" w:space="0" w:color="auto"/>
              <w:right w:val="nil"/>
            </w:tcBorders>
            <w:hideMark/>
          </w:tcPr>
          <w:p w14:paraId="3C5B81A7"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2030</w:t>
            </w:r>
          </w:p>
        </w:tc>
        <w:tc>
          <w:tcPr>
            <w:tcW w:w="1134" w:type="dxa"/>
            <w:tcBorders>
              <w:top w:val="nil"/>
              <w:left w:val="single" w:sz="4" w:space="0" w:color="auto"/>
              <w:bottom w:val="single" w:sz="4" w:space="0" w:color="auto"/>
              <w:right w:val="single" w:sz="4" w:space="0" w:color="auto"/>
            </w:tcBorders>
            <w:hideMark/>
          </w:tcPr>
          <w:p w14:paraId="1D89AE86"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DHASH</w:t>
            </w:r>
          </w:p>
        </w:tc>
        <w:tc>
          <w:tcPr>
            <w:tcW w:w="1418" w:type="dxa"/>
            <w:tcBorders>
              <w:top w:val="nil"/>
              <w:left w:val="nil"/>
              <w:bottom w:val="single" w:sz="4" w:space="0" w:color="auto"/>
              <w:right w:val="single" w:sz="4" w:space="0" w:color="auto"/>
            </w:tcBorders>
            <w:hideMark/>
          </w:tcPr>
          <w:p w14:paraId="45F90FC3"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DNJF/MD</w:t>
            </w:r>
          </w:p>
        </w:tc>
        <w:tc>
          <w:tcPr>
            <w:tcW w:w="708" w:type="dxa"/>
            <w:tcBorders>
              <w:top w:val="nil"/>
              <w:left w:val="nil"/>
              <w:bottom w:val="single" w:sz="4" w:space="0" w:color="auto"/>
              <w:right w:val="single" w:sz="4" w:space="0" w:color="auto"/>
            </w:tcBorders>
            <w:hideMark/>
          </w:tcPr>
          <w:p w14:paraId="7EDE97CF" w14:textId="3958C66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170,800</w:t>
            </w:r>
          </w:p>
        </w:tc>
        <w:tc>
          <w:tcPr>
            <w:tcW w:w="567" w:type="dxa"/>
            <w:tcBorders>
              <w:top w:val="nil"/>
              <w:left w:val="nil"/>
              <w:bottom w:val="single" w:sz="4" w:space="0" w:color="auto"/>
              <w:right w:val="single" w:sz="4" w:space="0" w:color="auto"/>
            </w:tcBorders>
            <w:hideMark/>
          </w:tcPr>
          <w:p w14:paraId="3C72D696" w14:textId="7D3B273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170,800</w:t>
            </w:r>
          </w:p>
        </w:tc>
        <w:tc>
          <w:tcPr>
            <w:tcW w:w="567" w:type="dxa"/>
            <w:tcBorders>
              <w:top w:val="nil"/>
              <w:left w:val="nil"/>
              <w:bottom w:val="single" w:sz="4" w:space="0" w:color="auto"/>
              <w:right w:val="single" w:sz="4" w:space="0" w:color="auto"/>
            </w:tcBorders>
            <w:hideMark/>
          </w:tcPr>
          <w:p w14:paraId="1C9F1209" w14:textId="42F3F5B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170,800</w:t>
            </w:r>
          </w:p>
        </w:tc>
        <w:tc>
          <w:tcPr>
            <w:tcW w:w="1134" w:type="dxa"/>
            <w:tcBorders>
              <w:top w:val="nil"/>
              <w:left w:val="nil"/>
              <w:bottom w:val="single" w:sz="4" w:space="0" w:color="auto"/>
              <w:right w:val="single" w:sz="4" w:space="0" w:color="auto"/>
            </w:tcBorders>
            <w:hideMark/>
          </w:tcPr>
          <w:p w14:paraId="1D839912" w14:textId="1791CB6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170,800</w:t>
            </w:r>
          </w:p>
        </w:tc>
        <w:tc>
          <w:tcPr>
            <w:tcW w:w="1615" w:type="dxa"/>
            <w:tcBorders>
              <w:top w:val="nil"/>
              <w:left w:val="nil"/>
              <w:bottom w:val="single" w:sz="4" w:space="0" w:color="auto"/>
              <w:right w:val="single" w:sz="4" w:space="0" w:color="auto"/>
            </w:tcBorders>
            <w:hideMark/>
          </w:tcPr>
          <w:p w14:paraId="5C940B0C" w14:textId="17131B4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170,800</w:t>
            </w:r>
          </w:p>
        </w:tc>
      </w:tr>
      <w:tr w:rsidR="00B807EE" w:rsidRPr="00024D5A" w14:paraId="573516E5"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512F1B9E" w14:textId="74A56EBC"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1.2.9 Hartimi dhe përditësimi i listës së avokatëve që ofrojnë ndihmë juridike dytësore për personat me aftësi të kufizuara me fokus të shtuar te fëmijët dhe gratë me aftësi të kufizuara </w:t>
            </w:r>
          </w:p>
        </w:tc>
        <w:tc>
          <w:tcPr>
            <w:tcW w:w="567" w:type="dxa"/>
            <w:tcBorders>
              <w:top w:val="nil"/>
              <w:left w:val="nil"/>
              <w:bottom w:val="single" w:sz="4" w:space="0" w:color="auto"/>
              <w:right w:val="single" w:sz="4" w:space="0" w:color="auto"/>
            </w:tcBorders>
            <w:hideMark/>
          </w:tcPr>
          <w:p w14:paraId="17434E13"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2026</w:t>
            </w:r>
          </w:p>
        </w:tc>
        <w:tc>
          <w:tcPr>
            <w:tcW w:w="567" w:type="dxa"/>
            <w:tcBorders>
              <w:top w:val="nil"/>
              <w:left w:val="nil"/>
              <w:bottom w:val="single" w:sz="4" w:space="0" w:color="auto"/>
              <w:right w:val="nil"/>
            </w:tcBorders>
            <w:hideMark/>
          </w:tcPr>
          <w:p w14:paraId="0C16E1EF"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2030</w:t>
            </w:r>
          </w:p>
        </w:tc>
        <w:tc>
          <w:tcPr>
            <w:tcW w:w="1134" w:type="dxa"/>
            <w:tcBorders>
              <w:top w:val="nil"/>
              <w:left w:val="single" w:sz="4" w:space="0" w:color="auto"/>
              <w:bottom w:val="single" w:sz="4" w:space="0" w:color="auto"/>
              <w:right w:val="single" w:sz="4" w:space="0" w:color="auto"/>
            </w:tcBorders>
            <w:hideMark/>
          </w:tcPr>
          <w:p w14:paraId="64E635AF"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DHAAH/DNJF</w:t>
            </w:r>
          </w:p>
        </w:tc>
        <w:tc>
          <w:tcPr>
            <w:tcW w:w="1418" w:type="dxa"/>
            <w:tcBorders>
              <w:top w:val="nil"/>
              <w:left w:val="nil"/>
              <w:bottom w:val="single" w:sz="4" w:space="0" w:color="auto"/>
              <w:right w:val="single" w:sz="4" w:space="0" w:color="auto"/>
            </w:tcBorders>
            <w:hideMark/>
          </w:tcPr>
          <w:p w14:paraId="6EA66CB0"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MD</w:t>
            </w:r>
          </w:p>
        </w:tc>
        <w:tc>
          <w:tcPr>
            <w:tcW w:w="708" w:type="dxa"/>
            <w:tcBorders>
              <w:top w:val="nil"/>
              <w:left w:val="nil"/>
              <w:bottom w:val="single" w:sz="4" w:space="0" w:color="auto"/>
              <w:right w:val="single" w:sz="4" w:space="0" w:color="auto"/>
            </w:tcBorders>
            <w:hideMark/>
          </w:tcPr>
          <w:p w14:paraId="01A48E48" w14:textId="232EF81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20F31AAD" w14:textId="172DE4A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2953335F" w14:textId="18B4ABC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77E67E4A" w14:textId="4C7BD53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6087DCF9" w14:textId="72D87A3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692E7ADF"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2ABC3240" w14:textId="26DC096F"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1.2.10 Organizimi i sesioneve informuese për personat me aftësi të kufizuara dhe familjarët e tyre mbi të drejtën për të marrë shërbime ligjore falas.</w:t>
            </w:r>
          </w:p>
        </w:tc>
        <w:tc>
          <w:tcPr>
            <w:tcW w:w="567" w:type="dxa"/>
            <w:tcBorders>
              <w:top w:val="nil"/>
              <w:left w:val="nil"/>
              <w:bottom w:val="single" w:sz="4" w:space="0" w:color="auto"/>
              <w:right w:val="single" w:sz="4" w:space="0" w:color="auto"/>
            </w:tcBorders>
            <w:hideMark/>
          </w:tcPr>
          <w:p w14:paraId="10E079AD"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2026</w:t>
            </w:r>
          </w:p>
        </w:tc>
        <w:tc>
          <w:tcPr>
            <w:tcW w:w="567" w:type="dxa"/>
            <w:tcBorders>
              <w:top w:val="nil"/>
              <w:left w:val="nil"/>
              <w:bottom w:val="single" w:sz="4" w:space="0" w:color="auto"/>
              <w:right w:val="nil"/>
            </w:tcBorders>
            <w:hideMark/>
          </w:tcPr>
          <w:p w14:paraId="0EA88CB6"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2030</w:t>
            </w:r>
          </w:p>
        </w:tc>
        <w:tc>
          <w:tcPr>
            <w:tcW w:w="1134" w:type="dxa"/>
            <w:tcBorders>
              <w:top w:val="nil"/>
              <w:left w:val="single" w:sz="4" w:space="0" w:color="auto"/>
              <w:bottom w:val="single" w:sz="4" w:space="0" w:color="auto"/>
              <w:right w:val="single" w:sz="4" w:space="0" w:color="auto"/>
            </w:tcBorders>
            <w:hideMark/>
          </w:tcPr>
          <w:p w14:paraId="732AD1B2"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DNJF</w:t>
            </w:r>
          </w:p>
        </w:tc>
        <w:tc>
          <w:tcPr>
            <w:tcW w:w="1418" w:type="dxa"/>
            <w:tcBorders>
              <w:top w:val="nil"/>
              <w:left w:val="nil"/>
              <w:bottom w:val="single" w:sz="4" w:space="0" w:color="auto"/>
              <w:right w:val="single" w:sz="4" w:space="0" w:color="auto"/>
            </w:tcBorders>
            <w:hideMark/>
          </w:tcPr>
          <w:p w14:paraId="4CBB809D"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MD</w:t>
            </w:r>
          </w:p>
        </w:tc>
        <w:tc>
          <w:tcPr>
            <w:tcW w:w="708" w:type="dxa"/>
            <w:tcBorders>
              <w:top w:val="nil"/>
              <w:left w:val="nil"/>
              <w:bottom w:val="single" w:sz="4" w:space="0" w:color="auto"/>
              <w:right w:val="single" w:sz="4" w:space="0" w:color="auto"/>
            </w:tcBorders>
            <w:hideMark/>
          </w:tcPr>
          <w:p w14:paraId="5041F6E7" w14:textId="1B685F8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0DA9DD07" w14:textId="288436F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4891189B" w14:textId="3A475F4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0169BB98" w14:textId="4EF8D35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504E5C0F" w14:textId="4CD77F9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703B1740"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DCE6F1"/>
            <w:hideMark/>
          </w:tcPr>
          <w:p w14:paraId="372CB6FF" w14:textId="2B30AF54"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Masa prioritare 1.3</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Ndërgjegjësimi i profesionistëve të </w:t>
            </w:r>
            <w:r w:rsidR="00C702E7" w:rsidRPr="00024D5A">
              <w:rPr>
                <w:rFonts w:ascii="Garamond" w:eastAsia="Times New Roman" w:hAnsi="Garamond"/>
                <w:b/>
                <w:bCs/>
                <w:sz w:val="6"/>
                <w:szCs w:val="16"/>
                <w:lang w:eastAsia="en-US"/>
              </w:rPr>
              <w:t>sistemit</w:t>
            </w:r>
            <w:r w:rsidRPr="00024D5A">
              <w:rPr>
                <w:rFonts w:ascii="Garamond" w:eastAsia="Times New Roman" w:hAnsi="Garamond"/>
                <w:b/>
                <w:bCs/>
                <w:sz w:val="6"/>
                <w:szCs w:val="16"/>
                <w:lang w:eastAsia="en-US"/>
              </w:rPr>
              <w:t xml:space="preserve"> të drejtësisë mbi të drejtën për të pa</w:t>
            </w:r>
            <w:r w:rsidR="00C702E7" w:rsidRPr="00024D5A">
              <w:rPr>
                <w:rFonts w:ascii="Garamond" w:eastAsia="Times New Roman" w:hAnsi="Garamond"/>
                <w:b/>
                <w:bCs/>
                <w:sz w:val="6"/>
                <w:szCs w:val="16"/>
                <w:lang w:eastAsia="en-US"/>
              </w:rPr>
              <w:t>s</w:t>
            </w:r>
            <w:r w:rsidRPr="00024D5A">
              <w:rPr>
                <w:rFonts w:ascii="Garamond" w:eastAsia="Times New Roman" w:hAnsi="Garamond"/>
                <w:b/>
                <w:bCs/>
                <w:sz w:val="6"/>
                <w:szCs w:val="16"/>
                <w:lang w:eastAsia="en-US"/>
              </w:rPr>
              <w:t xml:space="preserve">ur akses në drejtësi të personave me aftësi të kufizuara, bazuar në praktikat dhe </w:t>
            </w:r>
            <w:r w:rsidR="003E0053" w:rsidRPr="00024D5A">
              <w:rPr>
                <w:rFonts w:ascii="Garamond" w:eastAsia="Times New Roman" w:hAnsi="Garamond"/>
                <w:b/>
                <w:bCs/>
                <w:sz w:val="6"/>
                <w:szCs w:val="16"/>
                <w:lang w:eastAsia="en-US"/>
              </w:rPr>
              <w:t>standardet</w:t>
            </w:r>
            <w:r w:rsidRPr="00024D5A">
              <w:rPr>
                <w:rFonts w:ascii="Garamond" w:eastAsia="Times New Roman" w:hAnsi="Garamond"/>
                <w:b/>
                <w:bCs/>
                <w:sz w:val="6"/>
                <w:szCs w:val="16"/>
                <w:lang w:eastAsia="en-US"/>
              </w:rPr>
              <w:t xml:space="preserve"> më të mira ndërkombëtare.</w:t>
            </w:r>
          </w:p>
        </w:tc>
        <w:tc>
          <w:tcPr>
            <w:tcW w:w="567" w:type="dxa"/>
            <w:tcBorders>
              <w:top w:val="nil"/>
              <w:left w:val="nil"/>
              <w:bottom w:val="single" w:sz="4" w:space="0" w:color="auto"/>
              <w:right w:val="single" w:sz="4" w:space="0" w:color="auto"/>
            </w:tcBorders>
            <w:shd w:val="clear" w:color="000000" w:fill="DCE6F1"/>
            <w:hideMark/>
          </w:tcPr>
          <w:p w14:paraId="49752363"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nil"/>
            </w:tcBorders>
            <w:shd w:val="clear" w:color="000000" w:fill="DCE6F1"/>
            <w:hideMark/>
          </w:tcPr>
          <w:p w14:paraId="2DDB6322"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2028</w:t>
            </w:r>
          </w:p>
        </w:tc>
        <w:tc>
          <w:tcPr>
            <w:tcW w:w="1134" w:type="dxa"/>
            <w:tcBorders>
              <w:top w:val="nil"/>
              <w:left w:val="single" w:sz="4" w:space="0" w:color="auto"/>
              <w:bottom w:val="single" w:sz="4" w:space="0" w:color="auto"/>
              <w:right w:val="single" w:sz="4" w:space="0" w:color="auto"/>
            </w:tcBorders>
            <w:shd w:val="clear" w:color="000000" w:fill="DCE6F1"/>
            <w:hideMark/>
          </w:tcPr>
          <w:p w14:paraId="5476E4D8"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SHM/DHASH/DHKN</w:t>
            </w:r>
          </w:p>
        </w:tc>
        <w:tc>
          <w:tcPr>
            <w:tcW w:w="1418" w:type="dxa"/>
            <w:tcBorders>
              <w:top w:val="nil"/>
              <w:left w:val="nil"/>
              <w:bottom w:val="single" w:sz="4" w:space="0" w:color="auto"/>
              <w:right w:val="single" w:sz="4" w:space="0" w:color="auto"/>
            </w:tcBorders>
            <w:shd w:val="clear" w:color="000000" w:fill="DCE6F1"/>
            <w:hideMark/>
          </w:tcPr>
          <w:p w14:paraId="703615F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MD</w:t>
            </w:r>
          </w:p>
        </w:tc>
        <w:tc>
          <w:tcPr>
            <w:tcW w:w="708" w:type="dxa"/>
            <w:tcBorders>
              <w:top w:val="nil"/>
              <w:left w:val="nil"/>
              <w:bottom w:val="single" w:sz="4" w:space="0" w:color="auto"/>
              <w:right w:val="nil"/>
            </w:tcBorders>
            <w:shd w:val="clear" w:color="000000" w:fill="DCE6F1"/>
            <w:hideMark/>
          </w:tcPr>
          <w:p w14:paraId="65F5D3B0" w14:textId="0D13B49E"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2,467</w:t>
            </w:r>
          </w:p>
        </w:tc>
        <w:tc>
          <w:tcPr>
            <w:tcW w:w="567" w:type="dxa"/>
            <w:tcBorders>
              <w:top w:val="nil"/>
              <w:left w:val="single" w:sz="4" w:space="0" w:color="auto"/>
              <w:bottom w:val="single" w:sz="4" w:space="0" w:color="auto"/>
              <w:right w:val="nil"/>
            </w:tcBorders>
            <w:shd w:val="clear" w:color="000000" w:fill="DCE6F1"/>
            <w:hideMark/>
          </w:tcPr>
          <w:p w14:paraId="22C6E5E0" w14:textId="7CBF0E7B"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1,467</w:t>
            </w:r>
          </w:p>
        </w:tc>
        <w:tc>
          <w:tcPr>
            <w:tcW w:w="567" w:type="dxa"/>
            <w:tcBorders>
              <w:top w:val="nil"/>
              <w:left w:val="single" w:sz="4" w:space="0" w:color="auto"/>
              <w:bottom w:val="single" w:sz="4" w:space="0" w:color="auto"/>
              <w:right w:val="nil"/>
            </w:tcBorders>
            <w:shd w:val="clear" w:color="000000" w:fill="DCE6F1"/>
            <w:hideMark/>
          </w:tcPr>
          <w:p w14:paraId="436D7B2C" w14:textId="1217A0B3"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1,467</w:t>
            </w:r>
          </w:p>
        </w:tc>
        <w:tc>
          <w:tcPr>
            <w:tcW w:w="1134" w:type="dxa"/>
            <w:tcBorders>
              <w:top w:val="nil"/>
              <w:left w:val="single" w:sz="4" w:space="0" w:color="auto"/>
              <w:bottom w:val="single" w:sz="4" w:space="0" w:color="auto"/>
              <w:right w:val="nil"/>
            </w:tcBorders>
            <w:shd w:val="clear" w:color="000000" w:fill="DCE6F1"/>
            <w:hideMark/>
          </w:tcPr>
          <w:p w14:paraId="5A1B14AF" w14:textId="5CE40AD6"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3,950</w:t>
            </w:r>
          </w:p>
        </w:tc>
        <w:tc>
          <w:tcPr>
            <w:tcW w:w="1615" w:type="dxa"/>
            <w:tcBorders>
              <w:top w:val="nil"/>
              <w:left w:val="single" w:sz="4" w:space="0" w:color="auto"/>
              <w:bottom w:val="single" w:sz="4" w:space="0" w:color="auto"/>
              <w:right w:val="nil"/>
            </w:tcBorders>
            <w:shd w:val="clear" w:color="000000" w:fill="DCE6F1"/>
            <w:hideMark/>
          </w:tcPr>
          <w:p w14:paraId="5BF56546" w14:textId="655FC353"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3,950</w:t>
            </w:r>
          </w:p>
        </w:tc>
      </w:tr>
      <w:tr w:rsidR="00B807EE" w:rsidRPr="00024D5A" w14:paraId="342F5BDA"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25F7F6E0" w14:textId="1CBCCBC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1.3.1</w:t>
            </w:r>
            <w:r w:rsidR="0002433B"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Rritja e ndërgjegjësimit te profesionistët e sistemit të drejtësisë (gjyqtarë, prokurorë, avokatë/noterë), përmes konferencave, aktiviteteve, seancave trajnuese lidhur me të drejtën e njohjes të barabartë para ligjit dhe të drejtën për akses efektiv në organet e drejtësisë të të gjithë personave me aftësi të kufizuara.</w:t>
            </w:r>
          </w:p>
        </w:tc>
        <w:tc>
          <w:tcPr>
            <w:tcW w:w="567" w:type="dxa"/>
            <w:tcBorders>
              <w:top w:val="nil"/>
              <w:left w:val="nil"/>
              <w:bottom w:val="single" w:sz="4" w:space="0" w:color="auto"/>
              <w:right w:val="single" w:sz="4" w:space="0" w:color="auto"/>
            </w:tcBorders>
            <w:hideMark/>
          </w:tcPr>
          <w:p w14:paraId="34C6B62F"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nil"/>
            </w:tcBorders>
            <w:hideMark/>
          </w:tcPr>
          <w:p w14:paraId="4647F580"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2028</w:t>
            </w:r>
          </w:p>
        </w:tc>
        <w:tc>
          <w:tcPr>
            <w:tcW w:w="1134" w:type="dxa"/>
            <w:tcBorders>
              <w:top w:val="nil"/>
              <w:left w:val="single" w:sz="4" w:space="0" w:color="auto"/>
              <w:bottom w:val="single" w:sz="4" w:space="0" w:color="auto"/>
              <w:right w:val="single" w:sz="4" w:space="0" w:color="auto"/>
            </w:tcBorders>
            <w:hideMark/>
          </w:tcPr>
          <w:p w14:paraId="51A213D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SHM/DHASH/DHKN</w:t>
            </w:r>
          </w:p>
        </w:tc>
        <w:tc>
          <w:tcPr>
            <w:tcW w:w="1418" w:type="dxa"/>
            <w:tcBorders>
              <w:top w:val="nil"/>
              <w:left w:val="nil"/>
              <w:bottom w:val="single" w:sz="4" w:space="0" w:color="auto"/>
              <w:right w:val="single" w:sz="4" w:space="0" w:color="auto"/>
            </w:tcBorders>
            <w:hideMark/>
          </w:tcPr>
          <w:p w14:paraId="51DF8E2C"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MD</w:t>
            </w:r>
          </w:p>
        </w:tc>
        <w:tc>
          <w:tcPr>
            <w:tcW w:w="708" w:type="dxa"/>
            <w:tcBorders>
              <w:top w:val="nil"/>
              <w:left w:val="nil"/>
              <w:bottom w:val="single" w:sz="4" w:space="0" w:color="auto"/>
              <w:right w:val="single" w:sz="4" w:space="0" w:color="auto"/>
            </w:tcBorders>
            <w:hideMark/>
          </w:tcPr>
          <w:p w14:paraId="085E05E1" w14:textId="00AC706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1,467</w:t>
            </w:r>
          </w:p>
        </w:tc>
        <w:tc>
          <w:tcPr>
            <w:tcW w:w="567" w:type="dxa"/>
            <w:tcBorders>
              <w:top w:val="nil"/>
              <w:left w:val="nil"/>
              <w:bottom w:val="single" w:sz="4" w:space="0" w:color="auto"/>
              <w:right w:val="single" w:sz="4" w:space="0" w:color="auto"/>
            </w:tcBorders>
            <w:hideMark/>
          </w:tcPr>
          <w:p w14:paraId="1A143EB0" w14:textId="1DA34E3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1,467</w:t>
            </w:r>
          </w:p>
        </w:tc>
        <w:tc>
          <w:tcPr>
            <w:tcW w:w="567" w:type="dxa"/>
            <w:tcBorders>
              <w:top w:val="nil"/>
              <w:left w:val="nil"/>
              <w:bottom w:val="single" w:sz="4" w:space="0" w:color="auto"/>
              <w:right w:val="single" w:sz="4" w:space="0" w:color="auto"/>
            </w:tcBorders>
            <w:hideMark/>
          </w:tcPr>
          <w:p w14:paraId="15B5B763" w14:textId="253FED8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1,467</w:t>
            </w:r>
          </w:p>
        </w:tc>
        <w:tc>
          <w:tcPr>
            <w:tcW w:w="1134" w:type="dxa"/>
            <w:tcBorders>
              <w:top w:val="nil"/>
              <w:left w:val="nil"/>
              <w:bottom w:val="single" w:sz="4" w:space="0" w:color="auto"/>
              <w:right w:val="single" w:sz="4" w:space="0" w:color="auto"/>
            </w:tcBorders>
            <w:hideMark/>
          </w:tcPr>
          <w:p w14:paraId="77491572" w14:textId="2BA9E8D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49C8B75E" w14:textId="5525277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03AB96D5"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17E397B5" w14:textId="4D03D3AA"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1.3.2 Fuqizimi i kapaciteteve të profesionistëve të drejtësisë (gjyqtarë, prokurorë, avokatë/noterë) përmes miratimit dhe zbatimit të të programeve të trajnimit/kurrikulave të trajnimit dhe zbatimi i ligjit pa paternalizëm, përmes </w:t>
            </w:r>
            <w:r w:rsidRPr="00024D5A">
              <w:rPr>
                <w:rFonts w:ascii="Garamond" w:eastAsia="Times New Roman" w:hAnsi="Garamond"/>
                <w:i/>
                <w:iCs/>
                <w:sz w:val="6"/>
                <w:szCs w:val="16"/>
                <w:lang w:eastAsia="en-US"/>
              </w:rPr>
              <w:t>e-</w:t>
            </w:r>
            <w:r w:rsidR="0002433B" w:rsidRPr="00024D5A">
              <w:rPr>
                <w:rFonts w:ascii="Garamond" w:eastAsia="Times New Roman" w:hAnsi="Garamond"/>
                <w:i/>
                <w:iCs/>
                <w:sz w:val="6"/>
                <w:szCs w:val="16"/>
                <w:lang w:eastAsia="en-US"/>
              </w:rPr>
              <w:t xml:space="preserve">Learning </w:t>
            </w:r>
            <w:r w:rsidRPr="00024D5A">
              <w:rPr>
                <w:rFonts w:ascii="Garamond" w:eastAsia="Times New Roman" w:hAnsi="Garamond"/>
                <w:sz w:val="6"/>
                <w:szCs w:val="16"/>
                <w:lang w:eastAsia="en-US"/>
              </w:rPr>
              <w:t>dhe certifikim periodik.</w:t>
            </w:r>
          </w:p>
        </w:tc>
        <w:tc>
          <w:tcPr>
            <w:tcW w:w="567" w:type="dxa"/>
            <w:tcBorders>
              <w:top w:val="nil"/>
              <w:left w:val="nil"/>
              <w:bottom w:val="single" w:sz="4" w:space="0" w:color="auto"/>
              <w:right w:val="single" w:sz="4" w:space="0" w:color="auto"/>
            </w:tcBorders>
            <w:hideMark/>
          </w:tcPr>
          <w:p w14:paraId="113FC89C"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2029</w:t>
            </w:r>
          </w:p>
        </w:tc>
        <w:tc>
          <w:tcPr>
            <w:tcW w:w="567" w:type="dxa"/>
            <w:tcBorders>
              <w:top w:val="nil"/>
              <w:left w:val="nil"/>
              <w:bottom w:val="single" w:sz="4" w:space="0" w:color="auto"/>
              <w:right w:val="nil"/>
            </w:tcBorders>
            <w:hideMark/>
          </w:tcPr>
          <w:p w14:paraId="56FFB195"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2030</w:t>
            </w:r>
          </w:p>
        </w:tc>
        <w:tc>
          <w:tcPr>
            <w:tcW w:w="1134" w:type="dxa"/>
            <w:tcBorders>
              <w:top w:val="nil"/>
              <w:left w:val="single" w:sz="4" w:space="0" w:color="auto"/>
              <w:bottom w:val="single" w:sz="4" w:space="0" w:color="auto"/>
              <w:right w:val="single" w:sz="4" w:space="0" w:color="auto"/>
            </w:tcBorders>
            <w:hideMark/>
          </w:tcPr>
          <w:p w14:paraId="2A4C81B7"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SHM/DHASH/DHKN</w:t>
            </w:r>
          </w:p>
        </w:tc>
        <w:tc>
          <w:tcPr>
            <w:tcW w:w="1418" w:type="dxa"/>
            <w:tcBorders>
              <w:top w:val="nil"/>
              <w:left w:val="nil"/>
              <w:bottom w:val="single" w:sz="4" w:space="0" w:color="auto"/>
              <w:right w:val="single" w:sz="4" w:space="0" w:color="auto"/>
            </w:tcBorders>
            <w:hideMark/>
          </w:tcPr>
          <w:p w14:paraId="54190220"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MD</w:t>
            </w:r>
          </w:p>
        </w:tc>
        <w:tc>
          <w:tcPr>
            <w:tcW w:w="708" w:type="dxa"/>
            <w:tcBorders>
              <w:top w:val="nil"/>
              <w:left w:val="nil"/>
              <w:bottom w:val="single" w:sz="4" w:space="0" w:color="auto"/>
              <w:right w:val="single" w:sz="4" w:space="0" w:color="auto"/>
            </w:tcBorders>
            <w:hideMark/>
          </w:tcPr>
          <w:p w14:paraId="5E736BC0" w14:textId="672253C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0CF994B2" w14:textId="3DB3E3E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5DCA3260" w14:textId="0F2394C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30FB722E" w14:textId="690A4C6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3,950</w:t>
            </w:r>
          </w:p>
        </w:tc>
        <w:tc>
          <w:tcPr>
            <w:tcW w:w="1615" w:type="dxa"/>
            <w:tcBorders>
              <w:top w:val="nil"/>
              <w:left w:val="nil"/>
              <w:bottom w:val="single" w:sz="4" w:space="0" w:color="auto"/>
              <w:right w:val="single" w:sz="4" w:space="0" w:color="auto"/>
            </w:tcBorders>
            <w:hideMark/>
          </w:tcPr>
          <w:p w14:paraId="3958185E" w14:textId="13F6F5E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3,950</w:t>
            </w:r>
          </w:p>
        </w:tc>
      </w:tr>
      <w:tr w:rsidR="00B807EE" w:rsidRPr="00024D5A" w14:paraId="63002E89"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68C62432" w14:textId="2DC72C86"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1.3.3</w:t>
            </w:r>
            <w:r w:rsidR="0002433B"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Përgatitja e analizës së nevojave për interpretët e gjuhës së shenjave shqipe në sistemin e drejtësisë,</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bazuar në praktikat më të mira ndërkombëtare.</w:t>
            </w:r>
          </w:p>
        </w:tc>
        <w:tc>
          <w:tcPr>
            <w:tcW w:w="567" w:type="dxa"/>
            <w:tcBorders>
              <w:top w:val="nil"/>
              <w:left w:val="nil"/>
              <w:bottom w:val="single" w:sz="4" w:space="0" w:color="auto"/>
              <w:right w:val="single" w:sz="4" w:space="0" w:color="auto"/>
            </w:tcBorders>
            <w:hideMark/>
          </w:tcPr>
          <w:p w14:paraId="1467828F"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2026</w:t>
            </w:r>
          </w:p>
        </w:tc>
        <w:tc>
          <w:tcPr>
            <w:tcW w:w="567" w:type="dxa"/>
            <w:tcBorders>
              <w:top w:val="nil"/>
              <w:left w:val="nil"/>
              <w:bottom w:val="single" w:sz="4" w:space="0" w:color="auto"/>
              <w:right w:val="nil"/>
            </w:tcBorders>
            <w:hideMark/>
          </w:tcPr>
          <w:p w14:paraId="62086D1B"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2028</w:t>
            </w:r>
          </w:p>
        </w:tc>
        <w:tc>
          <w:tcPr>
            <w:tcW w:w="1134" w:type="dxa"/>
            <w:tcBorders>
              <w:top w:val="nil"/>
              <w:left w:val="single" w:sz="4" w:space="0" w:color="auto"/>
              <w:bottom w:val="single" w:sz="4" w:space="0" w:color="auto"/>
              <w:right w:val="single" w:sz="4" w:space="0" w:color="auto"/>
            </w:tcBorders>
            <w:hideMark/>
          </w:tcPr>
          <w:p w14:paraId="784E97BF"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MD</w:t>
            </w:r>
          </w:p>
        </w:tc>
        <w:tc>
          <w:tcPr>
            <w:tcW w:w="1418" w:type="dxa"/>
            <w:tcBorders>
              <w:top w:val="nil"/>
              <w:left w:val="nil"/>
              <w:bottom w:val="single" w:sz="4" w:space="0" w:color="auto"/>
              <w:right w:val="single" w:sz="4" w:space="0" w:color="auto"/>
            </w:tcBorders>
            <w:hideMark/>
          </w:tcPr>
          <w:p w14:paraId="7A206CA6"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MSHMS</w:t>
            </w:r>
          </w:p>
        </w:tc>
        <w:tc>
          <w:tcPr>
            <w:tcW w:w="708" w:type="dxa"/>
            <w:tcBorders>
              <w:top w:val="nil"/>
              <w:left w:val="nil"/>
              <w:bottom w:val="single" w:sz="4" w:space="0" w:color="auto"/>
              <w:right w:val="single" w:sz="4" w:space="0" w:color="auto"/>
            </w:tcBorders>
            <w:hideMark/>
          </w:tcPr>
          <w:p w14:paraId="48F51CA8" w14:textId="71C88C5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c>
          <w:tcPr>
            <w:tcW w:w="567" w:type="dxa"/>
            <w:tcBorders>
              <w:top w:val="nil"/>
              <w:left w:val="nil"/>
              <w:bottom w:val="single" w:sz="4" w:space="0" w:color="auto"/>
              <w:right w:val="single" w:sz="4" w:space="0" w:color="auto"/>
            </w:tcBorders>
            <w:hideMark/>
          </w:tcPr>
          <w:p w14:paraId="7E5938B6" w14:textId="2D8C282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3FE19C99" w14:textId="2D9FEC6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4D41646F" w14:textId="309ABBD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60B6E1C5" w14:textId="3B4B23D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48978529" w14:textId="77777777" w:rsidTr="002B321E">
        <w:trPr>
          <w:trHeight w:val="20"/>
        </w:trPr>
        <w:tc>
          <w:tcPr>
            <w:tcW w:w="4673" w:type="dxa"/>
            <w:tcBorders>
              <w:top w:val="nil"/>
              <w:left w:val="single" w:sz="4" w:space="0" w:color="auto"/>
              <w:bottom w:val="nil"/>
              <w:right w:val="nil"/>
            </w:tcBorders>
            <w:shd w:val="clear" w:color="000000" w:fill="B8CCE4"/>
            <w:noWrap/>
            <w:hideMark/>
          </w:tcPr>
          <w:p w14:paraId="19063429" w14:textId="25368DCD"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Masa prioritare 1.4</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Garantimi i aksesueshmërisë në mjedise, informacion e komunikim për personat me aftësi të kufizuara në institucione të sistemit të drejtësisë, apo të lidhura me të.</w:t>
            </w:r>
          </w:p>
        </w:tc>
        <w:tc>
          <w:tcPr>
            <w:tcW w:w="567" w:type="dxa"/>
            <w:tcBorders>
              <w:top w:val="nil"/>
              <w:left w:val="single" w:sz="4" w:space="0" w:color="auto"/>
              <w:bottom w:val="single" w:sz="4" w:space="0" w:color="auto"/>
              <w:right w:val="single" w:sz="4" w:space="0" w:color="auto"/>
            </w:tcBorders>
            <w:shd w:val="clear" w:color="000000" w:fill="DCE6F1"/>
            <w:hideMark/>
          </w:tcPr>
          <w:p w14:paraId="1E0BBC13"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nil"/>
            </w:tcBorders>
            <w:shd w:val="clear" w:color="000000" w:fill="DCE6F1"/>
            <w:hideMark/>
          </w:tcPr>
          <w:p w14:paraId="433ADAB3"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single" w:sz="4" w:space="0" w:color="auto"/>
              <w:bottom w:val="single" w:sz="4" w:space="0" w:color="auto"/>
              <w:right w:val="single" w:sz="4" w:space="0" w:color="auto"/>
            </w:tcBorders>
            <w:shd w:val="clear" w:color="000000" w:fill="DCE6F1"/>
            <w:hideMark/>
          </w:tcPr>
          <w:p w14:paraId="43E4EEE7"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KLGJ/KLP/DPP/DHKA/DHKN/SHM</w:t>
            </w:r>
          </w:p>
        </w:tc>
        <w:tc>
          <w:tcPr>
            <w:tcW w:w="1418" w:type="dxa"/>
            <w:tcBorders>
              <w:top w:val="nil"/>
              <w:left w:val="nil"/>
              <w:bottom w:val="single" w:sz="4" w:space="0" w:color="auto"/>
              <w:right w:val="single" w:sz="4" w:space="0" w:color="auto"/>
            </w:tcBorders>
            <w:shd w:val="clear" w:color="000000" w:fill="DCE6F1"/>
            <w:hideMark/>
          </w:tcPr>
          <w:p w14:paraId="40ADE0A5"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708" w:type="dxa"/>
            <w:tcBorders>
              <w:top w:val="nil"/>
              <w:left w:val="nil"/>
              <w:bottom w:val="single" w:sz="4" w:space="0" w:color="auto"/>
              <w:right w:val="nil"/>
            </w:tcBorders>
            <w:shd w:val="clear" w:color="000000" w:fill="DCE6F1"/>
            <w:hideMark/>
          </w:tcPr>
          <w:p w14:paraId="698FF3C7" w14:textId="3BEC1868"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3,600</w:t>
            </w:r>
          </w:p>
        </w:tc>
        <w:tc>
          <w:tcPr>
            <w:tcW w:w="567" w:type="dxa"/>
            <w:tcBorders>
              <w:top w:val="nil"/>
              <w:left w:val="single" w:sz="4" w:space="0" w:color="auto"/>
              <w:bottom w:val="single" w:sz="4" w:space="0" w:color="auto"/>
              <w:right w:val="nil"/>
            </w:tcBorders>
            <w:shd w:val="clear" w:color="000000" w:fill="DCE6F1"/>
            <w:hideMark/>
          </w:tcPr>
          <w:p w14:paraId="52881154" w14:textId="6D94213E"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3,600</w:t>
            </w:r>
          </w:p>
        </w:tc>
        <w:tc>
          <w:tcPr>
            <w:tcW w:w="567" w:type="dxa"/>
            <w:tcBorders>
              <w:top w:val="nil"/>
              <w:left w:val="single" w:sz="4" w:space="0" w:color="auto"/>
              <w:bottom w:val="single" w:sz="4" w:space="0" w:color="auto"/>
              <w:right w:val="nil"/>
            </w:tcBorders>
            <w:shd w:val="clear" w:color="000000" w:fill="DCE6F1"/>
            <w:hideMark/>
          </w:tcPr>
          <w:p w14:paraId="490D9CE8" w14:textId="45A37F6C"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3,600</w:t>
            </w:r>
          </w:p>
        </w:tc>
        <w:tc>
          <w:tcPr>
            <w:tcW w:w="1134" w:type="dxa"/>
            <w:tcBorders>
              <w:top w:val="nil"/>
              <w:left w:val="single" w:sz="4" w:space="0" w:color="auto"/>
              <w:bottom w:val="single" w:sz="4" w:space="0" w:color="auto"/>
              <w:right w:val="nil"/>
            </w:tcBorders>
            <w:shd w:val="clear" w:color="000000" w:fill="DCE6F1"/>
            <w:hideMark/>
          </w:tcPr>
          <w:p w14:paraId="2A493E82" w14:textId="65A0D741"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w:t>
            </w:r>
          </w:p>
        </w:tc>
        <w:tc>
          <w:tcPr>
            <w:tcW w:w="1615" w:type="dxa"/>
            <w:tcBorders>
              <w:top w:val="nil"/>
              <w:left w:val="single" w:sz="4" w:space="0" w:color="auto"/>
              <w:bottom w:val="single" w:sz="4" w:space="0" w:color="auto"/>
              <w:right w:val="nil"/>
            </w:tcBorders>
            <w:shd w:val="clear" w:color="000000" w:fill="DCE6F1"/>
            <w:hideMark/>
          </w:tcPr>
          <w:p w14:paraId="56EFCCFA" w14:textId="449D85D0"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w:t>
            </w:r>
          </w:p>
        </w:tc>
      </w:tr>
      <w:tr w:rsidR="00B807EE" w:rsidRPr="00024D5A" w14:paraId="462A2186" w14:textId="77777777" w:rsidTr="002B321E">
        <w:trPr>
          <w:trHeight w:val="20"/>
        </w:trPr>
        <w:tc>
          <w:tcPr>
            <w:tcW w:w="4673" w:type="dxa"/>
            <w:tcBorders>
              <w:top w:val="nil"/>
              <w:left w:val="single" w:sz="4" w:space="0" w:color="auto"/>
              <w:bottom w:val="nil"/>
              <w:right w:val="nil"/>
            </w:tcBorders>
            <w:noWrap/>
            <w:hideMark/>
          </w:tcPr>
          <w:p w14:paraId="77DC56C6" w14:textId="4264BD83"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1.4.1</w:t>
            </w:r>
            <w:r w:rsidR="0002433B"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Kryerja e analizës për vlerësimin e nevojave të aksesueshmërisë fizike, në informacion</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 xml:space="preserve">dhe komunikim në të gjitha nivelet e institucioneve të sistemit gjyqësor, duke përfshirë të gjitha </w:t>
            </w:r>
            <w:r w:rsidR="0002433B" w:rsidRPr="00024D5A">
              <w:rPr>
                <w:rFonts w:ascii="Garamond" w:eastAsia="Times New Roman" w:hAnsi="Garamond"/>
                <w:sz w:val="6"/>
                <w:szCs w:val="16"/>
                <w:lang w:eastAsia="en-US"/>
              </w:rPr>
              <w:t xml:space="preserve">gjykatat </w:t>
            </w:r>
            <w:r w:rsidRPr="00024D5A">
              <w:rPr>
                <w:rFonts w:ascii="Garamond" w:eastAsia="Times New Roman" w:hAnsi="Garamond"/>
                <w:sz w:val="6"/>
                <w:szCs w:val="16"/>
                <w:lang w:eastAsia="en-US"/>
              </w:rPr>
              <w:t>e vendit. Përfshirja graduale në buxhetet institucionale të nevojave të evidentuara në analizën e vlerësimit.</w:t>
            </w:r>
          </w:p>
        </w:tc>
        <w:tc>
          <w:tcPr>
            <w:tcW w:w="567" w:type="dxa"/>
            <w:tcBorders>
              <w:top w:val="nil"/>
              <w:left w:val="single" w:sz="4" w:space="0" w:color="auto"/>
              <w:bottom w:val="nil"/>
              <w:right w:val="single" w:sz="4" w:space="0" w:color="auto"/>
            </w:tcBorders>
            <w:hideMark/>
          </w:tcPr>
          <w:p w14:paraId="5AF9E4D0"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nil"/>
              <w:right w:val="nil"/>
            </w:tcBorders>
            <w:hideMark/>
          </w:tcPr>
          <w:p w14:paraId="3FCBD535"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2028</w:t>
            </w:r>
          </w:p>
        </w:tc>
        <w:tc>
          <w:tcPr>
            <w:tcW w:w="1134" w:type="dxa"/>
            <w:tcBorders>
              <w:top w:val="nil"/>
              <w:left w:val="single" w:sz="4" w:space="0" w:color="auto"/>
              <w:bottom w:val="single" w:sz="4" w:space="0" w:color="auto"/>
              <w:right w:val="single" w:sz="4" w:space="0" w:color="auto"/>
            </w:tcBorders>
            <w:hideMark/>
          </w:tcPr>
          <w:p w14:paraId="09BF1D56"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KLGJ/Gjykatat</w:t>
            </w:r>
          </w:p>
        </w:tc>
        <w:tc>
          <w:tcPr>
            <w:tcW w:w="1418" w:type="dxa"/>
            <w:tcBorders>
              <w:top w:val="nil"/>
              <w:left w:val="nil"/>
              <w:bottom w:val="single" w:sz="4" w:space="0" w:color="auto"/>
              <w:right w:val="single" w:sz="4" w:space="0" w:color="auto"/>
            </w:tcBorders>
            <w:hideMark/>
          </w:tcPr>
          <w:p w14:paraId="03D51FDF"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708" w:type="dxa"/>
            <w:tcBorders>
              <w:top w:val="nil"/>
              <w:left w:val="nil"/>
              <w:bottom w:val="single" w:sz="4" w:space="0" w:color="auto"/>
              <w:right w:val="single" w:sz="4" w:space="0" w:color="auto"/>
            </w:tcBorders>
            <w:hideMark/>
          </w:tcPr>
          <w:p w14:paraId="22346742" w14:textId="6B70FFA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500</w:t>
            </w:r>
          </w:p>
        </w:tc>
        <w:tc>
          <w:tcPr>
            <w:tcW w:w="567" w:type="dxa"/>
            <w:tcBorders>
              <w:top w:val="nil"/>
              <w:left w:val="nil"/>
              <w:bottom w:val="single" w:sz="4" w:space="0" w:color="auto"/>
              <w:right w:val="single" w:sz="4" w:space="0" w:color="auto"/>
            </w:tcBorders>
            <w:hideMark/>
          </w:tcPr>
          <w:p w14:paraId="4F6A2020" w14:textId="30B384E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500</w:t>
            </w:r>
          </w:p>
        </w:tc>
        <w:tc>
          <w:tcPr>
            <w:tcW w:w="567" w:type="dxa"/>
            <w:tcBorders>
              <w:top w:val="nil"/>
              <w:left w:val="nil"/>
              <w:bottom w:val="single" w:sz="4" w:space="0" w:color="auto"/>
              <w:right w:val="single" w:sz="4" w:space="0" w:color="auto"/>
            </w:tcBorders>
            <w:hideMark/>
          </w:tcPr>
          <w:p w14:paraId="355F3A9A" w14:textId="2D9A18A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500</w:t>
            </w:r>
          </w:p>
        </w:tc>
        <w:tc>
          <w:tcPr>
            <w:tcW w:w="1134" w:type="dxa"/>
            <w:tcBorders>
              <w:top w:val="nil"/>
              <w:left w:val="nil"/>
              <w:bottom w:val="single" w:sz="4" w:space="0" w:color="auto"/>
              <w:right w:val="single" w:sz="4" w:space="0" w:color="auto"/>
            </w:tcBorders>
            <w:hideMark/>
          </w:tcPr>
          <w:p w14:paraId="2157EAA8" w14:textId="68E4110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44D1F829" w14:textId="7C4914B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1045AE3D" w14:textId="77777777" w:rsidTr="002B321E">
        <w:trPr>
          <w:trHeight w:val="20"/>
        </w:trPr>
        <w:tc>
          <w:tcPr>
            <w:tcW w:w="4673" w:type="dxa"/>
            <w:tcBorders>
              <w:top w:val="single" w:sz="4" w:space="0" w:color="auto"/>
              <w:left w:val="single" w:sz="4" w:space="0" w:color="auto"/>
              <w:bottom w:val="single" w:sz="4" w:space="0" w:color="auto"/>
              <w:right w:val="single" w:sz="4" w:space="0" w:color="auto"/>
            </w:tcBorders>
            <w:noWrap/>
            <w:hideMark/>
          </w:tcPr>
          <w:p w14:paraId="5954E958" w14:textId="6D0DB850"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1.4.2</w:t>
            </w:r>
            <w:r w:rsidR="0002433B"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Kryerja e analizës për vlerësimin e nevojave të aksesueshmërisë fizike, në informacion dhe në komunikim në të gjitha nivelet e institucioneve të sistemit të drejtësisë penale</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dhe përfshirja graduale në buxhetet institucionale të nevojave të evidentuara në analizën e vlerësimit.</w:t>
            </w:r>
          </w:p>
        </w:tc>
        <w:tc>
          <w:tcPr>
            <w:tcW w:w="567" w:type="dxa"/>
            <w:tcBorders>
              <w:top w:val="single" w:sz="4" w:space="0" w:color="auto"/>
              <w:left w:val="nil"/>
              <w:bottom w:val="single" w:sz="4" w:space="0" w:color="auto"/>
              <w:right w:val="single" w:sz="4" w:space="0" w:color="auto"/>
            </w:tcBorders>
            <w:hideMark/>
          </w:tcPr>
          <w:p w14:paraId="2988C2BE"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single" w:sz="4" w:space="0" w:color="auto"/>
              <w:left w:val="nil"/>
              <w:bottom w:val="single" w:sz="4" w:space="0" w:color="auto"/>
              <w:right w:val="nil"/>
            </w:tcBorders>
            <w:hideMark/>
          </w:tcPr>
          <w:p w14:paraId="7EA3AA78"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2028</w:t>
            </w:r>
          </w:p>
        </w:tc>
        <w:tc>
          <w:tcPr>
            <w:tcW w:w="1134" w:type="dxa"/>
            <w:tcBorders>
              <w:top w:val="nil"/>
              <w:left w:val="single" w:sz="4" w:space="0" w:color="auto"/>
              <w:bottom w:val="single" w:sz="4" w:space="0" w:color="auto"/>
              <w:right w:val="single" w:sz="4" w:space="0" w:color="auto"/>
            </w:tcBorders>
            <w:hideMark/>
          </w:tcPr>
          <w:p w14:paraId="67CFA751" w14:textId="4B42E1D9"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Prokuroria e </w:t>
            </w:r>
            <w:r w:rsidR="005A46ED" w:rsidRPr="00024D5A">
              <w:rPr>
                <w:rFonts w:ascii="Garamond" w:eastAsia="Times New Roman" w:hAnsi="Garamond"/>
                <w:sz w:val="6"/>
                <w:szCs w:val="16"/>
                <w:lang w:eastAsia="en-US"/>
              </w:rPr>
              <w:t>Përgjithshme</w:t>
            </w:r>
          </w:p>
        </w:tc>
        <w:tc>
          <w:tcPr>
            <w:tcW w:w="1418" w:type="dxa"/>
            <w:tcBorders>
              <w:top w:val="nil"/>
              <w:left w:val="nil"/>
              <w:bottom w:val="single" w:sz="4" w:space="0" w:color="auto"/>
              <w:right w:val="single" w:sz="4" w:space="0" w:color="auto"/>
            </w:tcBorders>
            <w:hideMark/>
          </w:tcPr>
          <w:p w14:paraId="2452B3A8"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708" w:type="dxa"/>
            <w:tcBorders>
              <w:top w:val="nil"/>
              <w:left w:val="nil"/>
              <w:bottom w:val="single" w:sz="4" w:space="0" w:color="auto"/>
              <w:right w:val="single" w:sz="4" w:space="0" w:color="auto"/>
            </w:tcBorders>
            <w:hideMark/>
          </w:tcPr>
          <w:p w14:paraId="13C2F6B8" w14:textId="4CEEB85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500</w:t>
            </w:r>
          </w:p>
        </w:tc>
        <w:tc>
          <w:tcPr>
            <w:tcW w:w="567" w:type="dxa"/>
            <w:tcBorders>
              <w:top w:val="nil"/>
              <w:left w:val="nil"/>
              <w:bottom w:val="single" w:sz="4" w:space="0" w:color="auto"/>
              <w:right w:val="single" w:sz="4" w:space="0" w:color="auto"/>
            </w:tcBorders>
            <w:hideMark/>
          </w:tcPr>
          <w:p w14:paraId="397FBDA5" w14:textId="13E5DB9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500</w:t>
            </w:r>
          </w:p>
        </w:tc>
        <w:tc>
          <w:tcPr>
            <w:tcW w:w="567" w:type="dxa"/>
            <w:tcBorders>
              <w:top w:val="nil"/>
              <w:left w:val="nil"/>
              <w:bottom w:val="single" w:sz="4" w:space="0" w:color="auto"/>
              <w:right w:val="single" w:sz="4" w:space="0" w:color="auto"/>
            </w:tcBorders>
            <w:hideMark/>
          </w:tcPr>
          <w:p w14:paraId="749B43BF" w14:textId="44C3CFE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500</w:t>
            </w:r>
          </w:p>
        </w:tc>
        <w:tc>
          <w:tcPr>
            <w:tcW w:w="1134" w:type="dxa"/>
            <w:tcBorders>
              <w:top w:val="nil"/>
              <w:left w:val="nil"/>
              <w:bottom w:val="single" w:sz="4" w:space="0" w:color="auto"/>
              <w:right w:val="single" w:sz="4" w:space="0" w:color="auto"/>
            </w:tcBorders>
            <w:hideMark/>
          </w:tcPr>
          <w:p w14:paraId="0382EA4E" w14:textId="671DC5A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506365D0" w14:textId="08799A4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7DFB6586"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5C3A0D2F" w14:textId="400A7A9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1.4.3</w:t>
            </w:r>
            <w:r w:rsidR="0002433B"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 xml:space="preserve">Kryerja e analizës për vlerësimin e nevojave të aksesueshmërisë fizike, në informacion dhe në komunikim në të gjitha institucionet e </w:t>
            </w:r>
            <w:r w:rsidR="006B47D1" w:rsidRPr="00024D5A">
              <w:rPr>
                <w:rFonts w:ascii="Garamond" w:eastAsia="Times New Roman" w:hAnsi="Garamond"/>
                <w:sz w:val="6"/>
                <w:szCs w:val="16"/>
                <w:lang w:eastAsia="en-US"/>
              </w:rPr>
              <w:t xml:space="preserve">Policisë </w:t>
            </w:r>
            <w:r w:rsidRPr="00024D5A">
              <w:rPr>
                <w:rFonts w:ascii="Garamond" w:eastAsia="Times New Roman" w:hAnsi="Garamond"/>
                <w:sz w:val="6"/>
                <w:szCs w:val="16"/>
                <w:lang w:eastAsia="en-US"/>
              </w:rPr>
              <w:t xml:space="preserve">të </w:t>
            </w:r>
            <w:r w:rsidR="006B47D1" w:rsidRPr="00024D5A">
              <w:rPr>
                <w:rFonts w:ascii="Garamond" w:eastAsia="Times New Roman" w:hAnsi="Garamond"/>
                <w:sz w:val="6"/>
                <w:szCs w:val="16"/>
                <w:lang w:eastAsia="en-US"/>
              </w:rPr>
              <w:t xml:space="preserve">Shtetit </w:t>
            </w:r>
            <w:r w:rsidRPr="00024D5A">
              <w:rPr>
                <w:rFonts w:ascii="Garamond" w:eastAsia="Times New Roman" w:hAnsi="Garamond"/>
                <w:sz w:val="6"/>
                <w:szCs w:val="16"/>
                <w:lang w:eastAsia="en-US"/>
              </w:rPr>
              <w:t>në rang vendi dhe përfshirja në buxhetet institucionale të nevojave të evidentuara në analizën e vlerësimit.</w:t>
            </w:r>
          </w:p>
        </w:tc>
        <w:tc>
          <w:tcPr>
            <w:tcW w:w="567" w:type="dxa"/>
            <w:tcBorders>
              <w:top w:val="nil"/>
              <w:left w:val="nil"/>
              <w:bottom w:val="single" w:sz="4" w:space="0" w:color="auto"/>
              <w:right w:val="single" w:sz="4" w:space="0" w:color="auto"/>
            </w:tcBorders>
            <w:hideMark/>
          </w:tcPr>
          <w:p w14:paraId="3A18B8AA"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nil"/>
            </w:tcBorders>
            <w:hideMark/>
          </w:tcPr>
          <w:p w14:paraId="61711D82"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2028</w:t>
            </w:r>
          </w:p>
        </w:tc>
        <w:tc>
          <w:tcPr>
            <w:tcW w:w="1134" w:type="dxa"/>
            <w:tcBorders>
              <w:top w:val="nil"/>
              <w:left w:val="single" w:sz="4" w:space="0" w:color="auto"/>
              <w:bottom w:val="single" w:sz="4" w:space="0" w:color="auto"/>
              <w:right w:val="single" w:sz="4" w:space="0" w:color="auto"/>
            </w:tcBorders>
            <w:hideMark/>
          </w:tcPr>
          <w:p w14:paraId="4B85F691"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DPP</w:t>
            </w:r>
          </w:p>
        </w:tc>
        <w:tc>
          <w:tcPr>
            <w:tcW w:w="1418" w:type="dxa"/>
            <w:tcBorders>
              <w:top w:val="nil"/>
              <w:left w:val="nil"/>
              <w:bottom w:val="single" w:sz="4" w:space="0" w:color="auto"/>
              <w:right w:val="single" w:sz="4" w:space="0" w:color="auto"/>
            </w:tcBorders>
            <w:hideMark/>
          </w:tcPr>
          <w:p w14:paraId="6D50F98E"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708" w:type="dxa"/>
            <w:tcBorders>
              <w:top w:val="nil"/>
              <w:left w:val="nil"/>
              <w:bottom w:val="single" w:sz="4" w:space="0" w:color="auto"/>
              <w:right w:val="single" w:sz="4" w:space="0" w:color="auto"/>
            </w:tcBorders>
            <w:hideMark/>
          </w:tcPr>
          <w:p w14:paraId="5682B778" w14:textId="38B126E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500</w:t>
            </w:r>
          </w:p>
        </w:tc>
        <w:tc>
          <w:tcPr>
            <w:tcW w:w="567" w:type="dxa"/>
            <w:tcBorders>
              <w:top w:val="nil"/>
              <w:left w:val="nil"/>
              <w:bottom w:val="single" w:sz="4" w:space="0" w:color="auto"/>
              <w:right w:val="single" w:sz="4" w:space="0" w:color="auto"/>
            </w:tcBorders>
            <w:hideMark/>
          </w:tcPr>
          <w:p w14:paraId="6FC54C3C" w14:textId="2A29185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500</w:t>
            </w:r>
          </w:p>
        </w:tc>
        <w:tc>
          <w:tcPr>
            <w:tcW w:w="567" w:type="dxa"/>
            <w:tcBorders>
              <w:top w:val="nil"/>
              <w:left w:val="nil"/>
              <w:bottom w:val="single" w:sz="4" w:space="0" w:color="auto"/>
              <w:right w:val="single" w:sz="4" w:space="0" w:color="auto"/>
            </w:tcBorders>
            <w:hideMark/>
          </w:tcPr>
          <w:p w14:paraId="7F0A8B3C" w14:textId="0E64F13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500</w:t>
            </w:r>
          </w:p>
        </w:tc>
        <w:tc>
          <w:tcPr>
            <w:tcW w:w="1134" w:type="dxa"/>
            <w:tcBorders>
              <w:top w:val="nil"/>
              <w:left w:val="nil"/>
              <w:bottom w:val="single" w:sz="4" w:space="0" w:color="auto"/>
              <w:right w:val="single" w:sz="4" w:space="0" w:color="auto"/>
            </w:tcBorders>
            <w:hideMark/>
          </w:tcPr>
          <w:p w14:paraId="528C7D26" w14:textId="55A1EB0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72A9FA7C" w14:textId="429B093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47B63726"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3072B6E6" w14:textId="7F8C2F96"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1.4.4 Përgatitja e protokolleve e procedurave për të realizuar aksesueshmërisë në informacion e komunikim, në përputhje me nevojat e personave me aftësi të kufizuara në të gjitha institucionet e sistemit të drejtësisë.</w:t>
            </w:r>
          </w:p>
        </w:tc>
        <w:tc>
          <w:tcPr>
            <w:tcW w:w="567" w:type="dxa"/>
            <w:tcBorders>
              <w:top w:val="nil"/>
              <w:left w:val="nil"/>
              <w:bottom w:val="single" w:sz="4" w:space="0" w:color="auto"/>
              <w:right w:val="single" w:sz="4" w:space="0" w:color="auto"/>
            </w:tcBorders>
            <w:hideMark/>
          </w:tcPr>
          <w:p w14:paraId="3BDF5AB7"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nil"/>
            </w:tcBorders>
            <w:hideMark/>
          </w:tcPr>
          <w:p w14:paraId="02A7EB10"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2028</w:t>
            </w:r>
          </w:p>
        </w:tc>
        <w:tc>
          <w:tcPr>
            <w:tcW w:w="1134" w:type="dxa"/>
            <w:tcBorders>
              <w:top w:val="nil"/>
              <w:left w:val="single" w:sz="4" w:space="0" w:color="auto"/>
              <w:bottom w:val="single" w:sz="4" w:space="0" w:color="auto"/>
              <w:right w:val="single" w:sz="4" w:space="0" w:color="auto"/>
            </w:tcBorders>
            <w:hideMark/>
          </w:tcPr>
          <w:p w14:paraId="7EF16A59"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KLGJ/KLP/DHKA/DHKN/SHM/</w:t>
            </w:r>
          </w:p>
        </w:tc>
        <w:tc>
          <w:tcPr>
            <w:tcW w:w="1418" w:type="dxa"/>
            <w:tcBorders>
              <w:top w:val="nil"/>
              <w:left w:val="nil"/>
              <w:bottom w:val="single" w:sz="4" w:space="0" w:color="auto"/>
              <w:right w:val="single" w:sz="4" w:space="0" w:color="auto"/>
            </w:tcBorders>
            <w:hideMark/>
          </w:tcPr>
          <w:p w14:paraId="0E89D89D"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708" w:type="dxa"/>
            <w:tcBorders>
              <w:top w:val="nil"/>
              <w:left w:val="nil"/>
              <w:bottom w:val="single" w:sz="4" w:space="0" w:color="auto"/>
              <w:right w:val="single" w:sz="4" w:space="0" w:color="auto"/>
            </w:tcBorders>
            <w:hideMark/>
          </w:tcPr>
          <w:p w14:paraId="5947C83D" w14:textId="2A6E531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1,267</w:t>
            </w:r>
          </w:p>
        </w:tc>
        <w:tc>
          <w:tcPr>
            <w:tcW w:w="567" w:type="dxa"/>
            <w:tcBorders>
              <w:top w:val="nil"/>
              <w:left w:val="nil"/>
              <w:bottom w:val="single" w:sz="4" w:space="0" w:color="auto"/>
              <w:right w:val="single" w:sz="4" w:space="0" w:color="auto"/>
            </w:tcBorders>
            <w:hideMark/>
          </w:tcPr>
          <w:p w14:paraId="31D9B7C2" w14:textId="0D75C81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1,267</w:t>
            </w:r>
          </w:p>
        </w:tc>
        <w:tc>
          <w:tcPr>
            <w:tcW w:w="567" w:type="dxa"/>
            <w:tcBorders>
              <w:top w:val="nil"/>
              <w:left w:val="nil"/>
              <w:bottom w:val="single" w:sz="4" w:space="0" w:color="auto"/>
              <w:right w:val="single" w:sz="4" w:space="0" w:color="auto"/>
            </w:tcBorders>
            <w:hideMark/>
          </w:tcPr>
          <w:p w14:paraId="086B6106" w14:textId="1DAE42B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1,267</w:t>
            </w:r>
          </w:p>
        </w:tc>
        <w:tc>
          <w:tcPr>
            <w:tcW w:w="1134" w:type="dxa"/>
            <w:tcBorders>
              <w:top w:val="nil"/>
              <w:left w:val="nil"/>
              <w:bottom w:val="single" w:sz="4" w:space="0" w:color="auto"/>
              <w:right w:val="single" w:sz="4" w:space="0" w:color="auto"/>
            </w:tcBorders>
            <w:hideMark/>
          </w:tcPr>
          <w:p w14:paraId="1A75EAF7" w14:textId="04231DA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38C3B9A8" w14:textId="422F0FB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200C5498"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346E93D5" w14:textId="76D00666"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1.4.5 Përgatitja e protokolleve që ilustrojnë qartë se çfarë është akomodimi i arsyeshëm në aksesin në drejtësi dhe se si</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mund të shfaqet ai në çdo fazë të procesit.</w:t>
            </w:r>
          </w:p>
        </w:tc>
        <w:tc>
          <w:tcPr>
            <w:tcW w:w="567" w:type="dxa"/>
            <w:tcBorders>
              <w:top w:val="nil"/>
              <w:left w:val="nil"/>
              <w:bottom w:val="single" w:sz="4" w:space="0" w:color="auto"/>
              <w:right w:val="single" w:sz="4" w:space="0" w:color="auto"/>
            </w:tcBorders>
            <w:hideMark/>
          </w:tcPr>
          <w:p w14:paraId="112A22DB"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nil"/>
            </w:tcBorders>
            <w:hideMark/>
          </w:tcPr>
          <w:p w14:paraId="1887E22F"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2028</w:t>
            </w:r>
          </w:p>
        </w:tc>
        <w:tc>
          <w:tcPr>
            <w:tcW w:w="1134" w:type="dxa"/>
            <w:tcBorders>
              <w:top w:val="nil"/>
              <w:left w:val="single" w:sz="4" w:space="0" w:color="auto"/>
              <w:bottom w:val="single" w:sz="4" w:space="0" w:color="auto"/>
              <w:right w:val="single" w:sz="4" w:space="0" w:color="auto"/>
            </w:tcBorders>
            <w:hideMark/>
          </w:tcPr>
          <w:p w14:paraId="2FFCE883"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KLGJ/KLP/DHKA/DHKN/SHM/MSHMS</w:t>
            </w:r>
          </w:p>
        </w:tc>
        <w:tc>
          <w:tcPr>
            <w:tcW w:w="1418" w:type="dxa"/>
            <w:tcBorders>
              <w:top w:val="nil"/>
              <w:left w:val="nil"/>
              <w:bottom w:val="single" w:sz="4" w:space="0" w:color="auto"/>
              <w:right w:val="single" w:sz="4" w:space="0" w:color="auto"/>
            </w:tcBorders>
            <w:hideMark/>
          </w:tcPr>
          <w:p w14:paraId="1470AF5A"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708" w:type="dxa"/>
            <w:tcBorders>
              <w:top w:val="nil"/>
              <w:left w:val="nil"/>
              <w:bottom w:val="single" w:sz="4" w:space="0" w:color="auto"/>
              <w:right w:val="single" w:sz="4" w:space="0" w:color="auto"/>
            </w:tcBorders>
            <w:hideMark/>
          </w:tcPr>
          <w:p w14:paraId="4203C74B" w14:textId="7FE1524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833</w:t>
            </w:r>
          </w:p>
        </w:tc>
        <w:tc>
          <w:tcPr>
            <w:tcW w:w="567" w:type="dxa"/>
            <w:tcBorders>
              <w:top w:val="nil"/>
              <w:left w:val="nil"/>
              <w:bottom w:val="single" w:sz="4" w:space="0" w:color="auto"/>
              <w:right w:val="single" w:sz="4" w:space="0" w:color="auto"/>
            </w:tcBorders>
            <w:hideMark/>
          </w:tcPr>
          <w:p w14:paraId="2601598C" w14:textId="6C61C5D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833</w:t>
            </w:r>
          </w:p>
        </w:tc>
        <w:tc>
          <w:tcPr>
            <w:tcW w:w="567" w:type="dxa"/>
            <w:tcBorders>
              <w:top w:val="nil"/>
              <w:left w:val="nil"/>
              <w:bottom w:val="single" w:sz="4" w:space="0" w:color="auto"/>
              <w:right w:val="single" w:sz="4" w:space="0" w:color="auto"/>
            </w:tcBorders>
            <w:hideMark/>
          </w:tcPr>
          <w:p w14:paraId="1CD50669" w14:textId="5135E9F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833</w:t>
            </w:r>
          </w:p>
        </w:tc>
        <w:tc>
          <w:tcPr>
            <w:tcW w:w="1134" w:type="dxa"/>
            <w:tcBorders>
              <w:top w:val="nil"/>
              <w:left w:val="nil"/>
              <w:bottom w:val="single" w:sz="4" w:space="0" w:color="auto"/>
              <w:right w:val="single" w:sz="4" w:space="0" w:color="auto"/>
            </w:tcBorders>
            <w:hideMark/>
          </w:tcPr>
          <w:p w14:paraId="3363A69D" w14:textId="4040619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10FB9EEB" w14:textId="42DDA12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165D6F95" w14:textId="77777777" w:rsidTr="002B321E">
        <w:trPr>
          <w:trHeight w:val="20"/>
        </w:trPr>
        <w:tc>
          <w:tcPr>
            <w:tcW w:w="4673" w:type="dxa"/>
            <w:tcBorders>
              <w:top w:val="nil"/>
              <w:left w:val="single" w:sz="4" w:space="0" w:color="auto"/>
              <w:bottom w:val="single" w:sz="4" w:space="0" w:color="auto"/>
              <w:right w:val="nil"/>
            </w:tcBorders>
            <w:shd w:val="clear" w:color="000000" w:fill="FDE9D9"/>
            <w:hideMark/>
          </w:tcPr>
          <w:p w14:paraId="1416200A" w14:textId="20D76123"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Objektivi </w:t>
            </w:r>
            <w:r w:rsidR="006B47D1" w:rsidRPr="00024D5A">
              <w:rPr>
                <w:rFonts w:ascii="Garamond" w:eastAsia="Times New Roman" w:hAnsi="Garamond"/>
                <w:b/>
                <w:bCs/>
                <w:sz w:val="6"/>
                <w:szCs w:val="16"/>
                <w:lang w:eastAsia="en-US"/>
              </w:rPr>
              <w:t xml:space="preserve">specifik </w:t>
            </w:r>
            <w:r w:rsidRPr="00024D5A">
              <w:rPr>
                <w:rFonts w:ascii="Garamond" w:eastAsia="Times New Roman" w:hAnsi="Garamond"/>
                <w:b/>
                <w:bCs/>
                <w:sz w:val="6"/>
                <w:szCs w:val="16"/>
                <w:lang w:eastAsia="en-US"/>
              </w:rPr>
              <w:t>2</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Të garantohet njohja e barabartë para ligjit dhe ushtrimi i plotë i zotësisë për të vepruar për personat me aftësi të kufizuara, duke zëvendësuar kujdestarinë me mekanizma të vendimmarrjes së mbështetur.</w:t>
            </w:r>
          </w:p>
        </w:tc>
        <w:tc>
          <w:tcPr>
            <w:tcW w:w="567" w:type="dxa"/>
            <w:tcBorders>
              <w:top w:val="nil"/>
              <w:left w:val="single" w:sz="4" w:space="0" w:color="auto"/>
              <w:bottom w:val="single" w:sz="4" w:space="0" w:color="auto"/>
              <w:right w:val="single" w:sz="4" w:space="0" w:color="auto"/>
            </w:tcBorders>
            <w:shd w:val="clear" w:color="000000" w:fill="FDE9D9"/>
            <w:hideMark/>
          </w:tcPr>
          <w:p w14:paraId="2FD7EACA"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nil"/>
            </w:tcBorders>
            <w:shd w:val="clear" w:color="000000" w:fill="FDE9D9"/>
            <w:hideMark/>
          </w:tcPr>
          <w:p w14:paraId="095701FB"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single" w:sz="4" w:space="0" w:color="auto"/>
              <w:bottom w:val="single" w:sz="4" w:space="0" w:color="auto"/>
              <w:right w:val="single" w:sz="4" w:space="0" w:color="auto"/>
            </w:tcBorders>
            <w:shd w:val="clear" w:color="000000" w:fill="FDE9D9"/>
            <w:hideMark/>
          </w:tcPr>
          <w:p w14:paraId="69F3AF4E"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MD/MSHMS</w:t>
            </w:r>
          </w:p>
        </w:tc>
        <w:tc>
          <w:tcPr>
            <w:tcW w:w="1418" w:type="dxa"/>
            <w:tcBorders>
              <w:top w:val="nil"/>
              <w:left w:val="nil"/>
              <w:bottom w:val="single" w:sz="4" w:space="0" w:color="auto"/>
              <w:right w:val="single" w:sz="4" w:space="0" w:color="auto"/>
            </w:tcBorders>
            <w:shd w:val="clear" w:color="000000" w:fill="FDE9D9"/>
            <w:hideMark/>
          </w:tcPr>
          <w:p w14:paraId="44993B39"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708" w:type="dxa"/>
            <w:tcBorders>
              <w:top w:val="nil"/>
              <w:left w:val="nil"/>
              <w:bottom w:val="single" w:sz="4" w:space="0" w:color="auto"/>
              <w:right w:val="single" w:sz="4" w:space="0" w:color="auto"/>
            </w:tcBorders>
            <w:shd w:val="clear" w:color="000000" w:fill="FDE9D9"/>
            <w:hideMark/>
          </w:tcPr>
          <w:p w14:paraId="4581C529" w14:textId="73F0D635"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9,847</w:t>
            </w:r>
          </w:p>
        </w:tc>
        <w:tc>
          <w:tcPr>
            <w:tcW w:w="567" w:type="dxa"/>
            <w:tcBorders>
              <w:top w:val="nil"/>
              <w:left w:val="nil"/>
              <w:bottom w:val="single" w:sz="4" w:space="0" w:color="auto"/>
              <w:right w:val="single" w:sz="4" w:space="0" w:color="auto"/>
            </w:tcBorders>
            <w:shd w:val="clear" w:color="000000" w:fill="FDE9D9"/>
            <w:hideMark/>
          </w:tcPr>
          <w:p w14:paraId="1E758C5D" w14:textId="0CA1982C"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9,847</w:t>
            </w:r>
          </w:p>
        </w:tc>
        <w:tc>
          <w:tcPr>
            <w:tcW w:w="567" w:type="dxa"/>
            <w:tcBorders>
              <w:top w:val="nil"/>
              <w:left w:val="nil"/>
              <w:bottom w:val="single" w:sz="4" w:space="0" w:color="auto"/>
              <w:right w:val="single" w:sz="4" w:space="0" w:color="auto"/>
            </w:tcBorders>
            <w:shd w:val="clear" w:color="000000" w:fill="FDE9D9"/>
            <w:hideMark/>
          </w:tcPr>
          <w:p w14:paraId="1E9696CA" w14:textId="6F0D4F85"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11,347</w:t>
            </w:r>
          </w:p>
        </w:tc>
        <w:tc>
          <w:tcPr>
            <w:tcW w:w="1134" w:type="dxa"/>
            <w:tcBorders>
              <w:top w:val="nil"/>
              <w:left w:val="nil"/>
              <w:bottom w:val="single" w:sz="4" w:space="0" w:color="auto"/>
              <w:right w:val="single" w:sz="4" w:space="0" w:color="auto"/>
            </w:tcBorders>
            <w:shd w:val="clear" w:color="000000" w:fill="FDE9D9"/>
            <w:hideMark/>
          </w:tcPr>
          <w:p w14:paraId="12239668" w14:textId="4B54698D"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12,180</w:t>
            </w:r>
          </w:p>
        </w:tc>
        <w:tc>
          <w:tcPr>
            <w:tcW w:w="1615" w:type="dxa"/>
            <w:tcBorders>
              <w:top w:val="nil"/>
              <w:left w:val="nil"/>
              <w:bottom w:val="single" w:sz="4" w:space="0" w:color="auto"/>
              <w:right w:val="single" w:sz="4" w:space="0" w:color="auto"/>
            </w:tcBorders>
            <w:shd w:val="clear" w:color="000000" w:fill="FDE9D9"/>
            <w:hideMark/>
          </w:tcPr>
          <w:p w14:paraId="7A4DD125" w14:textId="502CCF35"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9,180</w:t>
            </w:r>
          </w:p>
        </w:tc>
      </w:tr>
      <w:tr w:rsidR="00B807EE" w:rsidRPr="00024D5A" w14:paraId="0F6782D0"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DCE6F1"/>
            <w:hideMark/>
          </w:tcPr>
          <w:p w14:paraId="198E5344" w14:textId="45D2B5BF"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Masa </w:t>
            </w:r>
            <w:r w:rsidR="006B47D1" w:rsidRPr="00024D5A">
              <w:rPr>
                <w:rFonts w:ascii="Garamond" w:eastAsia="Times New Roman" w:hAnsi="Garamond"/>
                <w:b/>
                <w:bCs/>
                <w:sz w:val="6"/>
                <w:szCs w:val="16"/>
                <w:lang w:eastAsia="en-US"/>
              </w:rPr>
              <w:t xml:space="preserve">prioritare </w:t>
            </w:r>
            <w:r w:rsidRPr="00024D5A">
              <w:rPr>
                <w:rFonts w:ascii="Garamond" w:eastAsia="Times New Roman" w:hAnsi="Garamond"/>
                <w:b/>
                <w:bCs/>
                <w:sz w:val="6"/>
                <w:szCs w:val="16"/>
                <w:lang w:eastAsia="en-US"/>
              </w:rPr>
              <w:t>2.1</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Përgatitja e kuadrit ligjor dhe fuqizimi i kapaciteteve për të mundësuar vendimmarrjen e mbështetur</w:t>
            </w:r>
            <w:r w:rsidR="006B47D1" w:rsidRPr="00024D5A">
              <w:rPr>
                <w:rFonts w:ascii="Garamond" w:eastAsia="Times New Roman" w:hAnsi="Garamond"/>
                <w:b/>
                <w:bCs/>
                <w:sz w:val="6"/>
                <w:szCs w:val="16"/>
                <w:lang w:eastAsia="en-US"/>
              </w:rPr>
              <w:t>.</w:t>
            </w:r>
          </w:p>
        </w:tc>
        <w:tc>
          <w:tcPr>
            <w:tcW w:w="567" w:type="dxa"/>
            <w:tcBorders>
              <w:top w:val="nil"/>
              <w:left w:val="nil"/>
              <w:bottom w:val="single" w:sz="4" w:space="0" w:color="auto"/>
              <w:right w:val="single" w:sz="4" w:space="0" w:color="auto"/>
            </w:tcBorders>
            <w:shd w:val="clear" w:color="000000" w:fill="C5D9F1"/>
            <w:noWrap/>
            <w:hideMark/>
          </w:tcPr>
          <w:p w14:paraId="041D0AA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nil"/>
            </w:tcBorders>
            <w:shd w:val="clear" w:color="000000" w:fill="C5D9F1"/>
            <w:noWrap/>
            <w:hideMark/>
          </w:tcPr>
          <w:p w14:paraId="692E964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single" w:sz="4" w:space="0" w:color="auto"/>
              <w:bottom w:val="single" w:sz="4" w:space="0" w:color="auto"/>
              <w:right w:val="single" w:sz="4" w:space="0" w:color="auto"/>
            </w:tcBorders>
            <w:shd w:val="clear" w:color="000000" w:fill="C5D9F1"/>
            <w:noWrap/>
            <w:hideMark/>
          </w:tcPr>
          <w:p w14:paraId="3B4864C2"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MD/MSHMS</w:t>
            </w:r>
          </w:p>
        </w:tc>
        <w:tc>
          <w:tcPr>
            <w:tcW w:w="1418" w:type="dxa"/>
            <w:tcBorders>
              <w:top w:val="nil"/>
              <w:left w:val="nil"/>
              <w:bottom w:val="single" w:sz="4" w:space="0" w:color="auto"/>
              <w:right w:val="single" w:sz="4" w:space="0" w:color="auto"/>
            </w:tcBorders>
            <w:shd w:val="clear" w:color="000000" w:fill="C5D9F1"/>
            <w:noWrap/>
            <w:hideMark/>
          </w:tcPr>
          <w:p w14:paraId="634E321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708" w:type="dxa"/>
            <w:tcBorders>
              <w:top w:val="nil"/>
              <w:left w:val="nil"/>
              <w:bottom w:val="single" w:sz="4" w:space="0" w:color="auto"/>
              <w:right w:val="single" w:sz="4" w:space="0" w:color="auto"/>
            </w:tcBorders>
            <w:shd w:val="clear" w:color="000000" w:fill="C5D9F1"/>
            <w:noWrap/>
            <w:hideMark/>
          </w:tcPr>
          <w:p w14:paraId="49E40DAB" w14:textId="01687748"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9,847</w:t>
            </w:r>
          </w:p>
        </w:tc>
        <w:tc>
          <w:tcPr>
            <w:tcW w:w="567" w:type="dxa"/>
            <w:tcBorders>
              <w:top w:val="nil"/>
              <w:left w:val="nil"/>
              <w:bottom w:val="single" w:sz="4" w:space="0" w:color="auto"/>
              <w:right w:val="single" w:sz="4" w:space="0" w:color="auto"/>
            </w:tcBorders>
            <w:shd w:val="clear" w:color="000000" w:fill="C5D9F1"/>
            <w:noWrap/>
            <w:hideMark/>
          </w:tcPr>
          <w:p w14:paraId="4CED423F" w14:textId="70FF88D6"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9,847</w:t>
            </w:r>
          </w:p>
        </w:tc>
        <w:tc>
          <w:tcPr>
            <w:tcW w:w="567" w:type="dxa"/>
            <w:tcBorders>
              <w:top w:val="nil"/>
              <w:left w:val="nil"/>
              <w:bottom w:val="single" w:sz="4" w:space="0" w:color="auto"/>
              <w:right w:val="single" w:sz="4" w:space="0" w:color="auto"/>
            </w:tcBorders>
            <w:shd w:val="clear" w:color="000000" w:fill="C5D9F1"/>
            <w:noWrap/>
            <w:hideMark/>
          </w:tcPr>
          <w:p w14:paraId="45133EA8" w14:textId="0027BCC2"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11,347</w:t>
            </w:r>
          </w:p>
        </w:tc>
        <w:tc>
          <w:tcPr>
            <w:tcW w:w="1134" w:type="dxa"/>
            <w:tcBorders>
              <w:top w:val="nil"/>
              <w:left w:val="nil"/>
              <w:bottom w:val="single" w:sz="4" w:space="0" w:color="auto"/>
              <w:right w:val="single" w:sz="4" w:space="0" w:color="auto"/>
            </w:tcBorders>
            <w:shd w:val="clear" w:color="000000" w:fill="C5D9F1"/>
            <w:noWrap/>
            <w:hideMark/>
          </w:tcPr>
          <w:p w14:paraId="0E578FB9" w14:textId="67639AC0"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12,180</w:t>
            </w:r>
          </w:p>
        </w:tc>
        <w:tc>
          <w:tcPr>
            <w:tcW w:w="1615" w:type="dxa"/>
            <w:tcBorders>
              <w:top w:val="nil"/>
              <w:left w:val="nil"/>
              <w:bottom w:val="single" w:sz="4" w:space="0" w:color="auto"/>
              <w:right w:val="single" w:sz="4" w:space="0" w:color="auto"/>
            </w:tcBorders>
            <w:shd w:val="clear" w:color="000000" w:fill="C5D9F1"/>
            <w:noWrap/>
            <w:hideMark/>
          </w:tcPr>
          <w:p w14:paraId="503153C5" w14:textId="446234D4"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9,180</w:t>
            </w:r>
          </w:p>
        </w:tc>
      </w:tr>
      <w:tr w:rsidR="00B807EE" w:rsidRPr="00024D5A" w14:paraId="6AC93927"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11121BAA" w14:textId="2AB86876"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2.1.1 Përgatitja e një analize ligjore me fokus identifikimin dhe orientimin e boshllëqeve, të cilat pengojnë aplikimin e vendimmarrjes së mbështetur</w:t>
            </w:r>
            <w:r w:rsidR="006B47D1"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7EBC01C6"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nil"/>
            </w:tcBorders>
            <w:hideMark/>
          </w:tcPr>
          <w:p w14:paraId="0D9D11E7"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2028</w:t>
            </w:r>
          </w:p>
        </w:tc>
        <w:tc>
          <w:tcPr>
            <w:tcW w:w="1134" w:type="dxa"/>
            <w:tcBorders>
              <w:top w:val="nil"/>
              <w:left w:val="single" w:sz="4" w:space="0" w:color="auto"/>
              <w:bottom w:val="single" w:sz="4" w:space="0" w:color="auto"/>
              <w:right w:val="single" w:sz="4" w:space="0" w:color="auto"/>
            </w:tcBorders>
            <w:hideMark/>
          </w:tcPr>
          <w:p w14:paraId="5DC47FE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MD/MSHMS</w:t>
            </w:r>
          </w:p>
        </w:tc>
        <w:tc>
          <w:tcPr>
            <w:tcW w:w="1418" w:type="dxa"/>
            <w:tcBorders>
              <w:top w:val="nil"/>
              <w:left w:val="nil"/>
              <w:bottom w:val="single" w:sz="4" w:space="0" w:color="auto"/>
              <w:right w:val="single" w:sz="4" w:space="0" w:color="auto"/>
            </w:tcBorders>
            <w:hideMark/>
          </w:tcPr>
          <w:p w14:paraId="566B37C7"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708" w:type="dxa"/>
            <w:tcBorders>
              <w:top w:val="nil"/>
              <w:left w:val="nil"/>
              <w:bottom w:val="single" w:sz="4" w:space="0" w:color="auto"/>
              <w:right w:val="single" w:sz="4" w:space="0" w:color="auto"/>
            </w:tcBorders>
            <w:hideMark/>
          </w:tcPr>
          <w:p w14:paraId="6A47A0FC" w14:textId="145EFF6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667</w:t>
            </w:r>
          </w:p>
        </w:tc>
        <w:tc>
          <w:tcPr>
            <w:tcW w:w="567" w:type="dxa"/>
            <w:tcBorders>
              <w:top w:val="nil"/>
              <w:left w:val="nil"/>
              <w:bottom w:val="single" w:sz="4" w:space="0" w:color="auto"/>
              <w:right w:val="single" w:sz="4" w:space="0" w:color="auto"/>
            </w:tcBorders>
            <w:hideMark/>
          </w:tcPr>
          <w:p w14:paraId="58F7DFA0" w14:textId="5D0E2C5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667</w:t>
            </w:r>
          </w:p>
        </w:tc>
        <w:tc>
          <w:tcPr>
            <w:tcW w:w="567" w:type="dxa"/>
            <w:tcBorders>
              <w:top w:val="nil"/>
              <w:left w:val="nil"/>
              <w:bottom w:val="single" w:sz="4" w:space="0" w:color="auto"/>
              <w:right w:val="single" w:sz="4" w:space="0" w:color="auto"/>
            </w:tcBorders>
            <w:hideMark/>
          </w:tcPr>
          <w:p w14:paraId="384AF589" w14:textId="308FEE7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667</w:t>
            </w:r>
          </w:p>
        </w:tc>
        <w:tc>
          <w:tcPr>
            <w:tcW w:w="1134" w:type="dxa"/>
            <w:tcBorders>
              <w:top w:val="nil"/>
              <w:left w:val="nil"/>
              <w:bottom w:val="single" w:sz="4" w:space="0" w:color="auto"/>
              <w:right w:val="single" w:sz="4" w:space="0" w:color="auto"/>
            </w:tcBorders>
            <w:hideMark/>
          </w:tcPr>
          <w:p w14:paraId="2EBA5EA4" w14:textId="63972AA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3ECD7333" w14:textId="54DB641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03271112"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44A26DE7" w14:textId="3FF601E5"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2.1.2</w:t>
            </w:r>
            <w:r w:rsidR="006B47D1"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Rishikimi i dispozitave ligjore të Kodit Civil, Kodit të Procedurës Civile, Kodit të Familjes,</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 xml:space="preserve">Kodit Penal dhe Kodit të Procedurës Penale, </w:t>
            </w:r>
            <w:r w:rsidR="00F958F2" w:rsidRPr="00024D5A">
              <w:rPr>
                <w:rFonts w:ascii="Garamond" w:eastAsia="Times New Roman" w:hAnsi="Garamond"/>
                <w:sz w:val="6"/>
                <w:szCs w:val="16"/>
                <w:lang w:eastAsia="en-US"/>
              </w:rPr>
              <w:t xml:space="preserve">ligjit të shëndetit mendor </w:t>
            </w:r>
            <w:r w:rsidRPr="00024D5A">
              <w:rPr>
                <w:rFonts w:ascii="Garamond" w:eastAsia="Times New Roman" w:hAnsi="Garamond"/>
                <w:sz w:val="6"/>
                <w:szCs w:val="16"/>
                <w:lang w:eastAsia="en-US"/>
              </w:rPr>
              <w:t>për të garantuar të drejtën për të ushtruar zotësinë e plotë për të vepruar për personat me aftësi të kufizuara, me një fokus të veçantë te personat me aftësi të kufizuara psikosociale dhe intelektuale, të cilët janë prekur në mënyrë disproporcionale nga heqja e zotësisë juridike, krahasuar me pjesën tjetër të popullsisë, në të gjitha aspektet e jetës</w:t>
            </w:r>
            <w:r w:rsidR="006B47D1"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w:t>
            </w:r>
          </w:p>
        </w:tc>
        <w:tc>
          <w:tcPr>
            <w:tcW w:w="567" w:type="dxa"/>
            <w:tcBorders>
              <w:top w:val="nil"/>
              <w:left w:val="nil"/>
              <w:bottom w:val="single" w:sz="4" w:space="0" w:color="auto"/>
              <w:right w:val="single" w:sz="4" w:space="0" w:color="auto"/>
            </w:tcBorders>
            <w:hideMark/>
          </w:tcPr>
          <w:p w14:paraId="265EFD9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nil"/>
            </w:tcBorders>
            <w:hideMark/>
          </w:tcPr>
          <w:p w14:paraId="2532D542"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2028</w:t>
            </w:r>
          </w:p>
        </w:tc>
        <w:tc>
          <w:tcPr>
            <w:tcW w:w="1134" w:type="dxa"/>
            <w:tcBorders>
              <w:top w:val="nil"/>
              <w:left w:val="single" w:sz="4" w:space="0" w:color="auto"/>
              <w:bottom w:val="single" w:sz="4" w:space="0" w:color="auto"/>
              <w:right w:val="single" w:sz="4" w:space="0" w:color="auto"/>
            </w:tcBorders>
            <w:hideMark/>
          </w:tcPr>
          <w:p w14:paraId="2A2C0B30"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MD/MSHMS</w:t>
            </w:r>
          </w:p>
        </w:tc>
        <w:tc>
          <w:tcPr>
            <w:tcW w:w="1418" w:type="dxa"/>
            <w:tcBorders>
              <w:top w:val="nil"/>
              <w:left w:val="nil"/>
              <w:bottom w:val="single" w:sz="4" w:space="0" w:color="auto"/>
              <w:right w:val="single" w:sz="4" w:space="0" w:color="auto"/>
            </w:tcBorders>
            <w:hideMark/>
          </w:tcPr>
          <w:p w14:paraId="76B5EB7A"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708" w:type="dxa"/>
            <w:tcBorders>
              <w:top w:val="nil"/>
              <w:left w:val="nil"/>
              <w:bottom w:val="single" w:sz="4" w:space="0" w:color="auto"/>
              <w:right w:val="single" w:sz="4" w:space="0" w:color="auto"/>
            </w:tcBorders>
            <w:hideMark/>
          </w:tcPr>
          <w:p w14:paraId="3C17AC9E" w14:textId="20D3723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c>
          <w:tcPr>
            <w:tcW w:w="567" w:type="dxa"/>
            <w:tcBorders>
              <w:top w:val="nil"/>
              <w:left w:val="nil"/>
              <w:bottom w:val="single" w:sz="4" w:space="0" w:color="auto"/>
              <w:right w:val="single" w:sz="4" w:space="0" w:color="auto"/>
            </w:tcBorders>
            <w:hideMark/>
          </w:tcPr>
          <w:p w14:paraId="734608A1" w14:textId="2D97B5D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c>
          <w:tcPr>
            <w:tcW w:w="567" w:type="dxa"/>
            <w:tcBorders>
              <w:top w:val="nil"/>
              <w:left w:val="nil"/>
              <w:bottom w:val="single" w:sz="4" w:space="0" w:color="auto"/>
              <w:right w:val="single" w:sz="4" w:space="0" w:color="auto"/>
            </w:tcBorders>
            <w:hideMark/>
          </w:tcPr>
          <w:p w14:paraId="60C60385" w14:textId="77AB202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c>
          <w:tcPr>
            <w:tcW w:w="1134" w:type="dxa"/>
            <w:tcBorders>
              <w:top w:val="nil"/>
              <w:left w:val="nil"/>
              <w:bottom w:val="single" w:sz="4" w:space="0" w:color="auto"/>
              <w:right w:val="single" w:sz="4" w:space="0" w:color="auto"/>
            </w:tcBorders>
            <w:hideMark/>
          </w:tcPr>
          <w:p w14:paraId="2781E8E6" w14:textId="4AE800D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3DD08264" w14:textId="54D977C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4BCF90BC"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0CC691BF" w14:textId="3DC17A58"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2.1.3 Inicimi, përgatitja, miratimi i kuadrit ligjor në mbështetje të ngritjes së mekanizmave të vendimmarrjes së mbështetur</w:t>
            </w:r>
            <w:r w:rsidR="006B47D1"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38D1F45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2029</w:t>
            </w:r>
          </w:p>
        </w:tc>
        <w:tc>
          <w:tcPr>
            <w:tcW w:w="567" w:type="dxa"/>
            <w:tcBorders>
              <w:top w:val="nil"/>
              <w:left w:val="nil"/>
              <w:bottom w:val="single" w:sz="4" w:space="0" w:color="auto"/>
              <w:right w:val="nil"/>
            </w:tcBorders>
            <w:hideMark/>
          </w:tcPr>
          <w:p w14:paraId="6996FDDD"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single" w:sz="4" w:space="0" w:color="auto"/>
              <w:bottom w:val="single" w:sz="4" w:space="0" w:color="auto"/>
              <w:right w:val="single" w:sz="4" w:space="0" w:color="auto"/>
            </w:tcBorders>
            <w:hideMark/>
          </w:tcPr>
          <w:p w14:paraId="6096038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MD/MSHMS</w:t>
            </w:r>
          </w:p>
        </w:tc>
        <w:tc>
          <w:tcPr>
            <w:tcW w:w="1418" w:type="dxa"/>
            <w:tcBorders>
              <w:top w:val="nil"/>
              <w:left w:val="nil"/>
              <w:bottom w:val="single" w:sz="4" w:space="0" w:color="auto"/>
              <w:right w:val="single" w:sz="4" w:space="0" w:color="auto"/>
            </w:tcBorders>
            <w:hideMark/>
          </w:tcPr>
          <w:p w14:paraId="7611BEEF"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708" w:type="dxa"/>
            <w:tcBorders>
              <w:top w:val="nil"/>
              <w:left w:val="nil"/>
              <w:bottom w:val="single" w:sz="4" w:space="0" w:color="auto"/>
              <w:right w:val="single" w:sz="4" w:space="0" w:color="auto"/>
            </w:tcBorders>
            <w:hideMark/>
          </w:tcPr>
          <w:p w14:paraId="21D6CAD1" w14:textId="695CE34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482F6E4B" w14:textId="06C1175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5EA72031" w14:textId="54177BA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4C8AD5AF" w14:textId="661A314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2,500</w:t>
            </w:r>
          </w:p>
        </w:tc>
        <w:tc>
          <w:tcPr>
            <w:tcW w:w="1615" w:type="dxa"/>
            <w:tcBorders>
              <w:top w:val="nil"/>
              <w:left w:val="nil"/>
              <w:bottom w:val="single" w:sz="4" w:space="0" w:color="auto"/>
              <w:right w:val="single" w:sz="4" w:space="0" w:color="auto"/>
            </w:tcBorders>
            <w:hideMark/>
          </w:tcPr>
          <w:p w14:paraId="05348B45" w14:textId="07FA52C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2,500</w:t>
            </w:r>
          </w:p>
        </w:tc>
      </w:tr>
      <w:tr w:rsidR="00B807EE" w:rsidRPr="00024D5A" w14:paraId="4BD1408B"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74F05EC0" w14:textId="4362BB8A"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2.1.4 Rritja e kapaciteteve të profesionistëve për të kuptuar dhe zbatuar vendimmarrjen e mbështetur në sektorë të lidhur me shëndetësinë, policinë, prokurorinë, gjyqësorin, noterë e avokatë</w:t>
            </w:r>
            <w:r w:rsidR="006B47D1"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446FDF8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nil"/>
            </w:tcBorders>
            <w:hideMark/>
          </w:tcPr>
          <w:p w14:paraId="12DE96DC"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single" w:sz="4" w:space="0" w:color="auto"/>
              <w:bottom w:val="single" w:sz="4" w:space="0" w:color="auto"/>
              <w:right w:val="single" w:sz="4" w:space="0" w:color="auto"/>
            </w:tcBorders>
            <w:hideMark/>
          </w:tcPr>
          <w:p w14:paraId="004E297A" w14:textId="5E6BCEEA"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MD</w:t>
            </w:r>
            <w:r w:rsidR="007675EC"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MSHMS </w:t>
            </w:r>
          </w:p>
        </w:tc>
        <w:tc>
          <w:tcPr>
            <w:tcW w:w="1418" w:type="dxa"/>
            <w:tcBorders>
              <w:top w:val="nil"/>
              <w:left w:val="nil"/>
              <w:bottom w:val="single" w:sz="4" w:space="0" w:color="auto"/>
              <w:right w:val="single" w:sz="4" w:space="0" w:color="auto"/>
            </w:tcBorders>
            <w:hideMark/>
          </w:tcPr>
          <w:p w14:paraId="5199DF99"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MD</w:t>
            </w:r>
          </w:p>
        </w:tc>
        <w:tc>
          <w:tcPr>
            <w:tcW w:w="708" w:type="dxa"/>
            <w:tcBorders>
              <w:top w:val="nil"/>
              <w:left w:val="nil"/>
              <w:bottom w:val="single" w:sz="4" w:space="0" w:color="auto"/>
              <w:right w:val="single" w:sz="4" w:space="0" w:color="auto"/>
            </w:tcBorders>
            <w:hideMark/>
          </w:tcPr>
          <w:p w14:paraId="1723C5DB" w14:textId="367B836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7,500</w:t>
            </w:r>
          </w:p>
        </w:tc>
        <w:tc>
          <w:tcPr>
            <w:tcW w:w="567" w:type="dxa"/>
            <w:tcBorders>
              <w:top w:val="nil"/>
              <w:left w:val="nil"/>
              <w:bottom w:val="single" w:sz="4" w:space="0" w:color="auto"/>
              <w:right w:val="single" w:sz="4" w:space="0" w:color="auto"/>
            </w:tcBorders>
            <w:hideMark/>
          </w:tcPr>
          <w:p w14:paraId="526A192E" w14:textId="3E369FF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7,500</w:t>
            </w:r>
          </w:p>
        </w:tc>
        <w:tc>
          <w:tcPr>
            <w:tcW w:w="567" w:type="dxa"/>
            <w:tcBorders>
              <w:top w:val="nil"/>
              <w:left w:val="nil"/>
              <w:bottom w:val="single" w:sz="4" w:space="0" w:color="auto"/>
              <w:right w:val="single" w:sz="4" w:space="0" w:color="auto"/>
            </w:tcBorders>
            <w:hideMark/>
          </w:tcPr>
          <w:p w14:paraId="4B54E382" w14:textId="158F070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7,500</w:t>
            </w:r>
          </w:p>
        </w:tc>
        <w:tc>
          <w:tcPr>
            <w:tcW w:w="1134" w:type="dxa"/>
            <w:tcBorders>
              <w:top w:val="nil"/>
              <w:left w:val="nil"/>
              <w:bottom w:val="single" w:sz="4" w:space="0" w:color="auto"/>
              <w:right w:val="single" w:sz="4" w:space="0" w:color="auto"/>
            </w:tcBorders>
            <w:hideMark/>
          </w:tcPr>
          <w:p w14:paraId="12A8DE5A" w14:textId="387C8B0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7,500</w:t>
            </w:r>
          </w:p>
        </w:tc>
        <w:tc>
          <w:tcPr>
            <w:tcW w:w="1615" w:type="dxa"/>
            <w:tcBorders>
              <w:top w:val="nil"/>
              <w:left w:val="nil"/>
              <w:bottom w:val="single" w:sz="4" w:space="0" w:color="auto"/>
              <w:right w:val="single" w:sz="4" w:space="0" w:color="auto"/>
            </w:tcBorders>
            <w:hideMark/>
          </w:tcPr>
          <w:p w14:paraId="7366DA4A" w14:textId="2BAFC33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6,000</w:t>
            </w:r>
          </w:p>
        </w:tc>
      </w:tr>
      <w:tr w:rsidR="00B807EE" w:rsidRPr="00024D5A" w14:paraId="4A6A485E"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35A5F17C" w14:textId="4C967712"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2.1.5 Organizimi i vizitave studimore në vende ku aplikimi në praktikë i vendimmarrjes së mbështetur ka rezultuar </w:t>
            </w:r>
            <w:r w:rsidR="006B47D1" w:rsidRPr="00024D5A">
              <w:rPr>
                <w:rFonts w:ascii="Garamond" w:eastAsia="Times New Roman" w:hAnsi="Garamond"/>
                <w:sz w:val="6"/>
                <w:szCs w:val="16"/>
                <w:lang w:eastAsia="en-US"/>
              </w:rPr>
              <w:t>i</w:t>
            </w:r>
            <w:r w:rsidRPr="00024D5A">
              <w:rPr>
                <w:rFonts w:ascii="Garamond" w:eastAsia="Times New Roman" w:hAnsi="Garamond"/>
                <w:sz w:val="6"/>
                <w:szCs w:val="16"/>
                <w:lang w:eastAsia="en-US"/>
              </w:rPr>
              <w:t xml:space="preserve"> suksesshëm.</w:t>
            </w:r>
          </w:p>
        </w:tc>
        <w:tc>
          <w:tcPr>
            <w:tcW w:w="567" w:type="dxa"/>
            <w:tcBorders>
              <w:top w:val="nil"/>
              <w:left w:val="nil"/>
              <w:bottom w:val="single" w:sz="4" w:space="0" w:color="auto"/>
              <w:right w:val="single" w:sz="4" w:space="0" w:color="auto"/>
            </w:tcBorders>
            <w:hideMark/>
          </w:tcPr>
          <w:p w14:paraId="3A2DE57C"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2029</w:t>
            </w:r>
          </w:p>
        </w:tc>
        <w:tc>
          <w:tcPr>
            <w:tcW w:w="567" w:type="dxa"/>
            <w:tcBorders>
              <w:top w:val="nil"/>
              <w:left w:val="nil"/>
              <w:bottom w:val="single" w:sz="4" w:space="0" w:color="auto"/>
              <w:right w:val="nil"/>
            </w:tcBorders>
            <w:hideMark/>
          </w:tcPr>
          <w:p w14:paraId="0DC98BCF"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single" w:sz="4" w:space="0" w:color="auto"/>
              <w:bottom w:val="single" w:sz="4" w:space="0" w:color="auto"/>
              <w:right w:val="single" w:sz="4" w:space="0" w:color="auto"/>
            </w:tcBorders>
            <w:hideMark/>
          </w:tcPr>
          <w:p w14:paraId="08053BCD"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MD/MSHMS</w:t>
            </w:r>
          </w:p>
        </w:tc>
        <w:tc>
          <w:tcPr>
            <w:tcW w:w="1418" w:type="dxa"/>
            <w:tcBorders>
              <w:top w:val="nil"/>
              <w:left w:val="nil"/>
              <w:bottom w:val="single" w:sz="4" w:space="0" w:color="auto"/>
              <w:right w:val="single" w:sz="4" w:space="0" w:color="auto"/>
            </w:tcBorders>
            <w:hideMark/>
          </w:tcPr>
          <w:p w14:paraId="4BD3D268"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MD</w:t>
            </w:r>
          </w:p>
        </w:tc>
        <w:tc>
          <w:tcPr>
            <w:tcW w:w="708" w:type="dxa"/>
            <w:tcBorders>
              <w:top w:val="nil"/>
              <w:left w:val="nil"/>
              <w:bottom w:val="single" w:sz="4" w:space="0" w:color="auto"/>
              <w:right w:val="single" w:sz="4" w:space="0" w:color="auto"/>
            </w:tcBorders>
            <w:hideMark/>
          </w:tcPr>
          <w:p w14:paraId="183BBCB2" w14:textId="1EEF0EB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46C2B522" w14:textId="1C403E9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36ABA33B" w14:textId="142D7A1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1,500</w:t>
            </w:r>
          </w:p>
        </w:tc>
        <w:tc>
          <w:tcPr>
            <w:tcW w:w="1134" w:type="dxa"/>
            <w:tcBorders>
              <w:top w:val="nil"/>
              <w:left w:val="nil"/>
              <w:bottom w:val="single" w:sz="4" w:space="0" w:color="auto"/>
              <w:right w:val="single" w:sz="4" w:space="0" w:color="auto"/>
            </w:tcBorders>
            <w:hideMark/>
          </w:tcPr>
          <w:p w14:paraId="71A1EC04" w14:textId="441B916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1,500</w:t>
            </w:r>
          </w:p>
        </w:tc>
        <w:tc>
          <w:tcPr>
            <w:tcW w:w="1615" w:type="dxa"/>
            <w:tcBorders>
              <w:top w:val="nil"/>
              <w:left w:val="nil"/>
              <w:bottom w:val="single" w:sz="4" w:space="0" w:color="auto"/>
              <w:right w:val="single" w:sz="4" w:space="0" w:color="auto"/>
            </w:tcBorders>
            <w:hideMark/>
          </w:tcPr>
          <w:p w14:paraId="6BE850A2" w14:textId="2464930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292AA933"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6A671F2E" w14:textId="4C434AB9"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2.1.6 Përgatitja e materialeve udhëzuese për aplikimin e vendimmarrjes së mbështetur në formate alternative dhe realizimi i fushatave të informimit për persona me aftësi të kufizuara dhe familjarë të tyre. </w:t>
            </w:r>
          </w:p>
        </w:tc>
        <w:tc>
          <w:tcPr>
            <w:tcW w:w="567" w:type="dxa"/>
            <w:tcBorders>
              <w:top w:val="nil"/>
              <w:left w:val="nil"/>
              <w:bottom w:val="single" w:sz="4" w:space="0" w:color="auto"/>
              <w:right w:val="single" w:sz="4" w:space="0" w:color="auto"/>
            </w:tcBorders>
            <w:hideMark/>
          </w:tcPr>
          <w:p w14:paraId="11240A2B"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nil"/>
            </w:tcBorders>
            <w:hideMark/>
          </w:tcPr>
          <w:p w14:paraId="2EA6E106"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single" w:sz="4" w:space="0" w:color="auto"/>
              <w:bottom w:val="single" w:sz="4" w:space="0" w:color="auto"/>
              <w:right w:val="single" w:sz="4" w:space="0" w:color="auto"/>
            </w:tcBorders>
            <w:hideMark/>
          </w:tcPr>
          <w:p w14:paraId="53136F02"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MD/MSHMS</w:t>
            </w:r>
          </w:p>
        </w:tc>
        <w:tc>
          <w:tcPr>
            <w:tcW w:w="1418" w:type="dxa"/>
            <w:tcBorders>
              <w:top w:val="nil"/>
              <w:left w:val="nil"/>
              <w:bottom w:val="single" w:sz="4" w:space="0" w:color="auto"/>
              <w:right w:val="single" w:sz="4" w:space="0" w:color="auto"/>
            </w:tcBorders>
            <w:hideMark/>
          </w:tcPr>
          <w:p w14:paraId="2B9672AC"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MD</w:t>
            </w:r>
          </w:p>
        </w:tc>
        <w:tc>
          <w:tcPr>
            <w:tcW w:w="708" w:type="dxa"/>
            <w:tcBorders>
              <w:top w:val="nil"/>
              <w:left w:val="nil"/>
              <w:bottom w:val="single" w:sz="4" w:space="0" w:color="auto"/>
              <w:right w:val="single" w:sz="4" w:space="0" w:color="auto"/>
            </w:tcBorders>
            <w:hideMark/>
          </w:tcPr>
          <w:p w14:paraId="45BA0D3F" w14:textId="7223178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680</w:t>
            </w:r>
          </w:p>
        </w:tc>
        <w:tc>
          <w:tcPr>
            <w:tcW w:w="567" w:type="dxa"/>
            <w:tcBorders>
              <w:top w:val="nil"/>
              <w:left w:val="nil"/>
              <w:bottom w:val="single" w:sz="4" w:space="0" w:color="auto"/>
              <w:right w:val="single" w:sz="4" w:space="0" w:color="auto"/>
            </w:tcBorders>
            <w:hideMark/>
          </w:tcPr>
          <w:p w14:paraId="0D9AFEC9" w14:textId="16F9580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680</w:t>
            </w:r>
          </w:p>
        </w:tc>
        <w:tc>
          <w:tcPr>
            <w:tcW w:w="567" w:type="dxa"/>
            <w:tcBorders>
              <w:top w:val="nil"/>
              <w:left w:val="nil"/>
              <w:bottom w:val="single" w:sz="4" w:space="0" w:color="auto"/>
              <w:right w:val="single" w:sz="4" w:space="0" w:color="auto"/>
            </w:tcBorders>
            <w:hideMark/>
          </w:tcPr>
          <w:p w14:paraId="0E2D10C8" w14:textId="43D12C6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680</w:t>
            </w:r>
          </w:p>
        </w:tc>
        <w:tc>
          <w:tcPr>
            <w:tcW w:w="1134" w:type="dxa"/>
            <w:tcBorders>
              <w:top w:val="nil"/>
              <w:left w:val="nil"/>
              <w:bottom w:val="single" w:sz="4" w:space="0" w:color="auto"/>
              <w:right w:val="single" w:sz="4" w:space="0" w:color="auto"/>
            </w:tcBorders>
            <w:hideMark/>
          </w:tcPr>
          <w:p w14:paraId="71E97F20" w14:textId="15A3193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680</w:t>
            </w:r>
          </w:p>
        </w:tc>
        <w:tc>
          <w:tcPr>
            <w:tcW w:w="1615" w:type="dxa"/>
            <w:tcBorders>
              <w:top w:val="nil"/>
              <w:left w:val="nil"/>
              <w:bottom w:val="single" w:sz="4" w:space="0" w:color="auto"/>
              <w:right w:val="single" w:sz="4" w:space="0" w:color="auto"/>
            </w:tcBorders>
            <w:hideMark/>
          </w:tcPr>
          <w:p w14:paraId="25BEF0DA" w14:textId="7D871BC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680</w:t>
            </w:r>
          </w:p>
        </w:tc>
      </w:tr>
      <w:tr w:rsidR="00B807EE" w:rsidRPr="00024D5A" w14:paraId="1EE93FE5" w14:textId="77777777" w:rsidTr="002B321E">
        <w:trPr>
          <w:trHeight w:val="20"/>
        </w:trPr>
        <w:tc>
          <w:tcPr>
            <w:tcW w:w="4673" w:type="dxa"/>
            <w:tcBorders>
              <w:top w:val="nil"/>
              <w:left w:val="single" w:sz="4" w:space="0" w:color="auto"/>
              <w:bottom w:val="single" w:sz="4" w:space="0" w:color="auto"/>
              <w:right w:val="nil"/>
            </w:tcBorders>
            <w:shd w:val="clear" w:color="000000" w:fill="FDE9D9"/>
            <w:hideMark/>
          </w:tcPr>
          <w:p w14:paraId="64A9C05F" w14:textId="107DD11B"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 Objektivi specifik 3</w:t>
            </w:r>
            <w:r w:rsidR="003526AF">
              <w:rPr>
                <w:rFonts w:ascii="Garamond" w:eastAsia="Times New Roman" w:hAnsi="Garamond"/>
                <w:b/>
                <w:bCs/>
                <w:sz w:val="6"/>
                <w:szCs w:val="16"/>
                <w:lang w:eastAsia="en-US"/>
              </w:rPr>
              <w:t>:</w:t>
            </w:r>
            <w:r w:rsidR="006B47D1" w:rsidRPr="00024D5A">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Të sigurohet që personat me aftësi të kufizuara në paraburgim dhe në institucionet e vuajtjes së dënimit të kenë ambiente të aksesueshme, shërbime shëndetësore e psikosociale dhe plane individuale mbështetjeje, për të garantuar trajtim dinjitoz dhe të barabartë.</w:t>
            </w:r>
          </w:p>
        </w:tc>
        <w:tc>
          <w:tcPr>
            <w:tcW w:w="567" w:type="dxa"/>
            <w:tcBorders>
              <w:top w:val="nil"/>
              <w:left w:val="single" w:sz="4" w:space="0" w:color="auto"/>
              <w:bottom w:val="single" w:sz="4" w:space="0" w:color="auto"/>
              <w:right w:val="single" w:sz="4" w:space="0" w:color="auto"/>
            </w:tcBorders>
            <w:shd w:val="clear" w:color="000000" w:fill="FDE9D9"/>
            <w:hideMark/>
          </w:tcPr>
          <w:p w14:paraId="5F45FB37"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nil"/>
            </w:tcBorders>
            <w:shd w:val="clear" w:color="000000" w:fill="FDE9D9"/>
            <w:hideMark/>
          </w:tcPr>
          <w:p w14:paraId="1AC34CBE"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single" w:sz="4" w:space="0" w:color="auto"/>
              <w:bottom w:val="single" w:sz="4" w:space="0" w:color="auto"/>
              <w:right w:val="single" w:sz="4" w:space="0" w:color="auto"/>
            </w:tcBorders>
            <w:shd w:val="clear" w:color="000000" w:fill="FDE9D9"/>
            <w:hideMark/>
          </w:tcPr>
          <w:p w14:paraId="5163CDBE"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DPB</w:t>
            </w:r>
          </w:p>
        </w:tc>
        <w:tc>
          <w:tcPr>
            <w:tcW w:w="1418" w:type="dxa"/>
            <w:tcBorders>
              <w:top w:val="nil"/>
              <w:left w:val="nil"/>
              <w:bottom w:val="single" w:sz="4" w:space="0" w:color="auto"/>
              <w:right w:val="single" w:sz="4" w:space="0" w:color="auto"/>
            </w:tcBorders>
            <w:shd w:val="clear" w:color="000000" w:fill="FDE9D9"/>
            <w:hideMark/>
          </w:tcPr>
          <w:p w14:paraId="7CD8DF1E"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MD/MSHMS</w:t>
            </w:r>
          </w:p>
        </w:tc>
        <w:tc>
          <w:tcPr>
            <w:tcW w:w="708" w:type="dxa"/>
            <w:tcBorders>
              <w:top w:val="nil"/>
              <w:left w:val="nil"/>
              <w:bottom w:val="single" w:sz="4" w:space="0" w:color="auto"/>
              <w:right w:val="nil"/>
            </w:tcBorders>
            <w:shd w:val="clear" w:color="000000" w:fill="FDE9D9"/>
            <w:hideMark/>
          </w:tcPr>
          <w:p w14:paraId="26F46DB9" w14:textId="4E100F7F"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2,085</w:t>
            </w:r>
          </w:p>
        </w:tc>
        <w:tc>
          <w:tcPr>
            <w:tcW w:w="567" w:type="dxa"/>
            <w:tcBorders>
              <w:top w:val="nil"/>
              <w:left w:val="single" w:sz="4" w:space="0" w:color="auto"/>
              <w:bottom w:val="single" w:sz="4" w:space="0" w:color="auto"/>
              <w:right w:val="nil"/>
            </w:tcBorders>
            <w:shd w:val="clear" w:color="000000" w:fill="FDE9D9"/>
            <w:hideMark/>
          </w:tcPr>
          <w:p w14:paraId="0A22145F" w14:textId="0720F4E7"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2,085</w:t>
            </w:r>
          </w:p>
        </w:tc>
        <w:tc>
          <w:tcPr>
            <w:tcW w:w="567" w:type="dxa"/>
            <w:tcBorders>
              <w:top w:val="nil"/>
              <w:left w:val="single" w:sz="4" w:space="0" w:color="auto"/>
              <w:bottom w:val="single" w:sz="4" w:space="0" w:color="auto"/>
              <w:right w:val="nil"/>
            </w:tcBorders>
            <w:shd w:val="clear" w:color="000000" w:fill="FDE9D9"/>
            <w:hideMark/>
          </w:tcPr>
          <w:p w14:paraId="587442E6" w14:textId="7A2AD74D"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2,000</w:t>
            </w:r>
          </w:p>
        </w:tc>
        <w:tc>
          <w:tcPr>
            <w:tcW w:w="1134" w:type="dxa"/>
            <w:tcBorders>
              <w:top w:val="nil"/>
              <w:left w:val="single" w:sz="4" w:space="0" w:color="auto"/>
              <w:bottom w:val="single" w:sz="4" w:space="0" w:color="auto"/>
              <w:right w:val="nil"/>
            </w:tcBorders>
            <w:shd w:val="clear" w:color="000000" w:fill="FDE9D9"/>
            <w:hideMark/>
          </w:tcPr>
          <w:p w14:paraId="7F3748D8" w14:textId="0A8A3B89"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11,500</w:t>
            </w:r>
          </w:p>
        </w:tc>
        <w:tc>
          <w:tcPr>
            <w:tcW w:w="1615" w:type="dxa"/>
            <w:tcBorders>
              <w:top w:val="nil"/>
              <w:left w:val="single" w:sz="4" w:space="0" w:color="auto"/>
              <w:bottom w:val="single" w:sz="4" w:space="0" w:color="auto"/>
              <w:right w:val="nil"/>
            </w:tcBorders>
            <w:shd w:val="clear" w:color="000000" w:fill="FDE9D9"/>
            <w:hideMark/>
          </w:tcPr>
          <w:p w14:paraId="06F277C4" w14:textId="3E1063EA"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11,500</w:t>
            </w:r>
          </w:p>
        </w:tc>
      </w:tr>
      <w:tr w:rsidR="00B807EE" w:rsidRPr="00024D5A" w14:paraId="2E4437D8"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DCE6F1"/>
            <w:hideMark/>
          </w:tcPr>
          <w:p w14:paraId="7544F5AD" w14:textId="6225AA4F"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Masa </w:t>
            </w:r>
            <w:r w:rsidR="006B47D1" w:rsidRPr="00024D5A">
              <w:rPr>
                <w:rFonts w:ascii="Garamond" w:eastAsia="Times New Roman" w:hAnsi="Garamond"/>
                <w:b/>
                <w:bCs/>
                <w:sz w:val="6"/>
                <w:szCs w:val="16"/>
                <w:lang w:eastAsia="en-US"/>
              </w:rPr>
              <w:t xml:space="preserve">prioritare </w:t>
            </w:r>
            <w:r w:rsidRPr="00024D5A">
              <w:rPr>
                <w:rFonts w:ascii="Garamond" w:eastAsia="Times New Roman" w:hAnsi="Garamond"/>
                <w:b/>
                <w:bCs/>
                <w:sz w:val="6"/>
                <w:szCs w:val="16"/>
                <w:lang w:eastAsia="en-US"/>
              </w:rPr>
              <w:t>3.1</w:t>
            </w:r>
            <w:r w:rsidR="003526AF">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 xml:space="preserve">Realizimi i aksesueshmërisë fizike dhe aksesueshmërisë në informacion e komunikim për të gjitha kategoritë e personave me aftësi të kufizuara në të gjitha institucionet e vuajtjes së dënimeve. </w:t>
            </w:r>
          </w:p>
        </w:tc>
        <w:tc>
          <w:tcPr>
            <w:tcW w:w="567" w:type="dxa"/>
            <w:tcBorders>
              <w:top w:val="nil"/>
              <w:left w:val="nil"/>
              <w:bottom w:val="single" w:sz="4" w:space="0" w:color="auto"/>
              <w:right w:val="single" w:sz="4" w:space="0" w:color="auto"/>
            </w:tcBorders>
            <w:shd w:val="clear" w:color="000000" w:fill="C5D9F1"/>
            <w:noWrap/>
            <w:hideMark/>
          </w:tcPr>
          <w:p w14:paraId="7191E49B"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nil"/>
            </w:tcBorders>
            <w:shd w:val="clear" w:color="000000" w:fill="C5D9F1"/>
            <w:noWrap/>
            <w:hideMark/>
          </w:tcPr>
          <w:p w14:paraId="04FC0AC5"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single" w:sz="4" w:space="0" w:color="auto"/>
              <w:bottom w:val="single" w:sz="4" w:space="0" w:color="auto"/>
              <w:right w:val="single" w:sz="4" w:space="0" w:color="auto"/>
            </w:tcBorders>
            <w:shd w:val="clear" w:color="000000" w:fill="C5D9F1"/>
            <w:noWrap/>
            <w:hideMark/>
          </w:tcPr>
          <w:p w14:paraId="5435CFCD"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DPB</w:t>
            </w:r>
          </w:p>
        </w:tc>
        <w:tc>
          <w:tcPr>
            <w:tcW w:w="1418" w:type="dxa"/>
            <w:tcBorders>
              <w:top w:val="nil"/>
              <w:left w:val="nil"/>
              <w:bottom w:val="single" w:sz="4" w:space="0" w:color="auto"/>
              <w:right w:val="single" w:sz="4" w:space="0" w:color="auto"/>
            </w:tcBorders>
            <w:shd w:val="clear" w:color="000000" w:fill="C5D9F1"/>
            <w:noWrap/>
            <w:hideMark/>
          </w:tcPr>
          <w:p w14:paraId="2F71DA11"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MD/MSHMS</w:t>
            </w:r>
          </w:p>
        </w:tc>
        <w:tc>
          <w:tcPr>
            <w:tcW w:w="708" w:type="dxa"/>
            <w:tcBorders>
              <w:top w:val="nil"/>
              <w:left w:val="nil"/>
              <w:bottom w:val="single" w:sz="4" w:space="0" w:color="auto"/>
              <w:right w:val="single" w:sz="4" w:space="0" w:color="auto"/>
            </w:tcBorders>
            <w:shd w:val="clear" w:color="000000" w:fill="C5D9F1"/>
            <w:noWrap/>
            <w:hideMark/>
          </w:tcPr>
          <w:p w14:paraId="3DC79BE9" w14:textId="462137B7"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1,000</w:t>
            </w:r>
          </w:p>
        </w:tc>
        <w:tc>
          <w:tcPr>
            <w:tcW w:w="567" w:type="dxa"/>
            <w:tcBorders>
              <w:top w:val="nil"/>
              <w:left w:val="nil"/>
              <w:bottom w:val="single" w:sz="4" w:space="0" w:color="auto"/>
              <w:right w:val="single" w:sz="4" w:space="0" w:color="auto"/>
            </w:tcBorders>
            <w:shd w:val="clear" w:color="000000" w:fill="C5D9F1"/>
            <w:noWrap/>
            <w:hideMark/>
          </w:tcPr>
          <w:p w14:paraId="2DB51C67" w14:textId="122F7411"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1,000</w:t>
            </w:r>
          </w:p>
        </w:tc>
        <w:tc>
          <w:tcPr>
            <w:tcW w:w="567" w:type="dxa"/>
            <w:tcBorders>
              <w:top w:val="nil"/>
              <w:left w:val="nil"/>
              <w:bottom w:val="single" w:sz="4" w:space="0" w:color="auto"/>
              <w:right w:val="single" w:sz="4" w:space="0" w:color="auto"/>
            </w:tcBorders>
            <w:shd w:val="clear" w:color="000000" w:fill="C5D9F1"/>
            <w:noWrap/>
            <w:hideMark/>
          </w:tcPr>
          <w:p w14:paraId="180F5E55" w14:textId="10DE3919"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1,000</w:t>
            </w:r>
          </w:p>
        </w:tc>
        <w:tc>
          <w:tcPr>
            <w:tcW w:w="1134" w:type="dxa"/>
            <w:tcBorders>
              <w:top w:val="nil"/>
              <w:left w:val="nil"/>
              <w:bottom w:val="single" w:sz="4" w:space="0" w:color="auto"/>
              <w:right w:val="single" w:sz="4" w:space="0" w:color="auto"/>
            </w:tcBorders>
            <w:shd w:val="clear" w:color="000000" w:fill="C5D9F1"/>
            <w:noWrap/>
            <w:hideMark/>
          </w:tcPr>
          <w:p w14:paraId="20A29E39" w14:textId="398888BD"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2,500</w:t>
            </w:r>
          </w:p>
        </w:tc>
        <w:tc>
          <w:tcPr>
            <w:tcW w:w="1615" w:type="dxa"/>
            <w:tcBorders>
              <w:top w:val="nil"/>
              <w:left w:val="nil"/>
              <w:bottom w:val="single" w:sz="4" w:space="0" w:color="auto"/>
              <w:right w:val="single" w:sz="4" w:space="0" w:color="auto"/>
            </w:tcBorders>
            <w:shd w:val="clear" w:color="000000" w:fill="C5D9F1"/>
            <w:noWrap/>
            <w:hideMark/>
          </w:tcPr>
          <w:p w14:paraId="199CC527" w14:textId="0551CE86"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2,500</w:t>
            </w:r>
          </w:p>
        </w:tc>
      </w:tr>
      <w:tr w:rsidR="00B807EE" w:rsidRPr="00024D5A" w14:paraId="55DC4492"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0A1F28AC" w14:textId="4377213F"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3.1.1</w:t>
            </w:r>
            <w:r w:rsidR="00C62D77"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Përgatitja e analizës lidhur me vlerësimin e nevojave të aksesueshmërisë fizike, në informacion e komunikim në të gjitha institucionet e vuajtjes të dënimeve.</w:t>
            </w:r>
          </w:p>
        </w:tc>
        <w:tc>
          <w:tcPr>
            <w:tcW w:w="567" w:type="dxa"/>
            <w:tcBorders>
              <w:top w:val="nil"/>
              <w:left w:val="nil"/>
              <w:bottom w:val="single" w:sz="4" w:space="0" w:color="auto"/>
              <w:right w:val="single" w:sz="4" w:space="0" w:color="auto"/>
            </w:tcBorders>
            <w:noWrap/>
            <w:hideMark/>
          </w:tcPr>
          <w:p w14:paraId="686801BC"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nil"/>
            </w:tcBorders>
            <w:noWrap/>
            <w:hideMark/>
          </w:tcPr>
          <w:p w14:paraId="79176C6D"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2028</w:t>
            </w:r>
          </w:p>
        </w:tc>
        <w:tc>
          <w:tcPr>
            <w:tcW w:w="1134" w:type="dxa"/>
            <w:tcBorders>
              <w:top w:val="nil"/>
              <w:left w:val="single" w:sz="4" w:space="0" w:color="auto"/>
              <w:bottom w:val="single" w:sz="4" w:space="0" w:color="auto"/>
              <w:right w:val="single" w:sz="4" w:space="0" w:color="auto"/>
            </w:tcBorders>
            <w:noWrap/>
            <w:hideMark/>
          </w:tcPr>
          <w:p w14:paraId="12A7775A"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DPB</w:t>
            </w:r>
          </w:p>
        </w:tc>
        <w:tc>
          <w:tcPr>
            <w:tcW w:w="1418" w:type="dxa"/>
            <w:tcBorders>
              <w:top w:val="nil"/>
              <w:left w:val="nil"/>
              <w:bottom w:val="single" w:sz="4" w:space="0" w:color="auto"/>
              <w:right w:val="single" w:sz="4" w:space="0" w:color="auto"/>
            </w:tcBorders>
            <w:noWrap/>
            <w:hideMark/>
          </w:tcPr>
          <w:p w14:paraId="3D9A84CC"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MD/MSHMS</w:t>
            </w:r>
          </w:p>
        </w:tc>
        <w:tc>
          <w:tcPr>
            <w:tcW w:w="708" w:type="dxa"/>
            <w:tcBorders>
              <w:top w:val="nil"/>
              <w:left w:val="nil"/>
              <w:bottom w:val="single" w:sz="4" w:space="0" w:color="auto"/>
              <w:right w:val="single" w:sz="4" w:space="0" w:color="auto"/>
            </w:tcBorders>
            <w:hideMark/>
          </w:tcPr>
          <w:p w14:paraId="6BE55C6D" w14:textId="159511E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c>
          <w:tcPr>
            <w:tcW w:w="567" w:type="dxa"/>
            <w:tcBorders>
              <w:top w:val="nil"/>
              <w:left w:val="nil"/>
              <w:bottom w:val="single" w:sz="4" w:space="0" w:color="auto"/>
              <w:right w:val="single" w:sz="4" w:space="0" w:color="auto"/>
            </w:tcBorders>
            <w:hideMark/>
          </w:tcPr>
          <w:p w14:paraId="5917A507" w14:textId="130886F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c>
          <w:tcPr>
            <w:tcW w:w="567" w:type="dxa"/>
            <w:tcBorders>
              <w:top w:val="nil"/>
              <w:left w:val="nil"/>
              <w:bottom w:val="single" w:sz="4" w:space="0" w:color="auto"/>
              <w:right w:val="single" w:sz="4" w:space="0" w:color="auto"/>
            </w:tcBorders>
            <w:hideMark/>
          </w:tcPr>
          <w:p w14:paraId="7B22D8E1" w14:textId="3DC3D20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c>
          <w:tcPr>
            <w:tcW w:w="1134" w:type="dxa"/>
            <w:tcBorders>
              <w:top w:val="nil"/>
              <w:left w:val="nil"/>
              <w:bottom w:val="single" w:sz="4" w:space="0" w:color="auto"/>
              <w:right w:val="single" w:sz="4" w:space="0" w:color="auto"/>
            </w:tcBorders>
            <w:hideMark/>
          </w:tcPr>
          <w:p w14:paraId="02E719B1" w14:textId="6A8CF12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76D148A1" w14:textId="2F0A607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794FE390"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7E3F7E03" w14:textId="5F2C599F"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3.1.2</w:t>
            </w:r>
            <w:r w:rsidR="00C62D77"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Vlerësimi i nevojave të evidentuara dhe përfshirja në buxhetet institucionale e prioriteve të orientuara nga analiza e aksesueshmërisë në institucionet e vuajtjes të dënimit.</w:t>
            </w:r>
          </w:p>
        </w:tc>
        <w:tc>
          <w:tcPr>
            <w:tcW w:w="567" w:type="dxa"/>
            <w:tcBorders>
              <w:top w:val="nil"/>
              <w:left w:val="nil"/>
              <w:bottom w:val="single" w:sz="4" w:space="0" w:color="auto"/>
              <w:right w:val="single" w:sz="4" w:space="0" w:color="auto"/>
            </w:tcBorders>
            <w:noWrap/>
            <w:hideMark/>
          </w:tcPr>
          <w:p w14:paraId="64D22549"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2029</w:t>
            </w:r>
          </w:p>
        </w:tc>
        <w:tc>
          <w:tcPr>
            <w:tcW w:w="567" w:type="dxa"/>
            <w:tcBorders>
              <w:top w:val="nil"/>
              <w:left w:val="nil"/>
              <w:bottom w:val="single" w:sz="4" w:space="0" w:color="auto"/>
              <w:right w:val="nil"/>
            </w:tcBorders>
            <w:noWrap/>
            <w:hideMark/>
          </w:tcPr>
          <w:p w14:paraId="6CED4672"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single" w:sz="4" w:space="0" w:color="auto"/>
              <w:bottom w:val="single" w:sz="4" w:space="0" w:color="auto"/>
              <w:right w:val="single" w:sz="4" w:space="0" w:color="auto"/>
            </w:tcBorders>
            <w:noWrap/>
            <w:hideMark/>
          </w:tcPr>
          <w:p w14:paraId="65B476F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DPB</w:t>
            </w:r>
          </w:p>
        </w:tc>
        <w:tc>
          <w:tcPr>
            <w:tcW w:w="1418" w:type="dxa"/>
            <w:tcBorders>
              <w:top w:val="nil"/>
              <w:left w:val="nil"/>
              <w:bottom w:val="single" w:sz="4" w:space="0" w:color="auto"/>
              <w:right w:val="single" w:sz="4" w:space="0" w:color="auto"/>
            </w:tcBorders>
            <w:noWrap/>
            <w:hideMark/>
          </w:tcPr>
          <w:p w14:paraId="57444BED"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MD/MSHMS</w:t>
            </w:r>
          </w:p>
        </w:tc>
        <w:tc>
          <w:tcPr>
            <w:tcW w:w="708" w:type="dxa"/>
            <w:tcBorders>
              <w:top w:val="nil"/>
              <w:left w:val="nil"/>
              <w:bottom w:val="single" w:sz="4" w:space="0" w:color="auto"/>
              <w:right w:val="single" w:sz="4" w:space="0" w:color="auto"/>
            </w:tcBorders>
            <w:hideMark/>
          </w:tcPr>
          <w:p w14:paraId="7221A267" w14:textId="41A0AD3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0F604B6C" w14:textId="6CFE4AE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7C3A2767" w14:textId="3C121F3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5E068AF5" w14:textId="525121A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2,500</w:t>
            </w:r>
          </w:p>
        </w:tc>
        <w:tc>
          <w:tcPr>
            <w:tcW w:w="1615" w:type="dxa"/>
            <w:tcBorders>
              <w:top w:val="nil"/>
              <w:left w:val="nil"/>
              <w:bottom w:val="single" w:sz="4" w:space="0" w:color="auto"/>
              <w:right w:val="single" w:sz="4" w:space="0" w:color="auto"/>
            </w:tcBorders>
            <w:hideMark/>
          </w:tcPr>
          <w:p w14:paraId="3C0DD277" w14:textId="46BDE7F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2,500</w:t>
            </w:r>
          </w:p>
        </w:tc>
      </w:tr>
      <w:tr w:rsidR="00B807EE" w:rsidRPr="00024D5A" w14:paraId="59EEEB5F" w14:textId="77777777" w:rsidTr="002B321E">
        <w:trPr>
          <w:trHeight w:val="20"/>
        </w:trPr>
        <w:tc>
          <w:tcPr>
            <w:tcW w:w="4673" w:type="dxa"/>
            <w:tcBorders>
              <w:top w:val="nil"/>
              <w:left w:val="single" w:sz="4" w:space="0" w:color="auto"/>
              <w:bottom w:val="nil"/>
              <w:right w:val="nil"/>
            </w:tcBorders>
            <w:shd w:val="clear" w:color="000000" w:fill="C5D9F1"/>
            <w:hideMark/>
          </w:tcPr>
          <w:p w14:paraId="08D9FE55" w14:textId="55F9B401"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Masa </w:t>
            </w:r>
            <w:r w:rsidR="00C62D77" w:rsidRPr="00024D5A">
              <w:rPr>
                <w:rFonts w:ascii="Garamond" w:eastAsia="Times New Roman" w:hAnsi="Garamond"/>
                <w:b/>
                <w:bCs/>
                <w:sz w:val="6"/>
                <w:szCs w:val="16"/>
                <w:lang w:eastAsia="en-US"/>
              </w:rPr>
              <w:t xml:space="preserve">prioritare </w:t>
            </w:r>
            <w:r w:rsidRPr="00024D5A">
              <w:rPr>
                <w:rFonts w:ascii="Garamond" w:eastAsia="Times New Roman" w:hAnsi="Garamond"/>
                <w:b/>
                <w:bCs/>
                <w:sz w:val="6"/>
                <w:szCs w:val="16"/>
                <w:lang w:eastAsia="en-US"/>
              </w:rPr>
              <w:t>3.2</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Fuqizimi i kapaciteteve në institucionet e paraburgimit dhe ato të vuajtjes së dënimit, duke mundësuar mbështetjen bazuar në nevojat e personave me aftësi të kufizuara. </w:t>
            </w:r>
          </w:p>
        </w:tc>
        <w:tc>
          <w:tcPr>
            <w:tcW w:w="567" w:type="dxa"/>
            <w:tcBorders>
              <w:top w:val="nil"/>
              <w:left w:val="single" w:sz="4" w:space="0" w:color="auto"/>
              <w:bottom w:val="nil"/>
              <w:right w:val="single" w:sz="4" w:space="0" w:color="auto"/>
            </w:tcBorders>
            <w:shd w:val="clear" w:color="000000" w:fill="C5D9F1"/>
            <w:noWrap/>
            <w:hideMark/>
          </w:tcPr>
          <w:p w14:paraId="2DFEAF76"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nil"/>
              <w:right w:val="nil"/>
            </w:tcBorders>
            <w:shd w:val="clear" w:color="000000" w:fill="C5D9F1"/>
            <w:noWrap/>
            <w:hideMark/>
          </w:tcPr>
          <w:p w14:paraId="1E9E1EA1"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single" w:sz="4" w:space="0" w:color="auto"/>
              <w:bottom w:val="single" w:sz="4" w:space="0" w:color="auto"/>
              <w:right w:val="single" w:sz="4" w:space="0" w:color="auto"/>
            </w:tcBorders>
            <w:shd w:val="clear" w:color="000000" w:fill="C5D9F1"/>
            <w:noWrap/>
            <w:hideMark/>
          </w:tcPr>
          <w:p w14:paraId="3309DB62"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DPB</w:t>
            </w:r>
          </w:p>
        </w:tc>
        <w:tc>
          <w:tcPr>
            <w:tcW w:w="1418" w:type="dxa"/>
            <w:tcBorders>
              <w:top w:val="nil"/>
              <w:left w:val="nil"/>
              <w:bottom w:val="single" w:sz="4" w:space="0" w:color="auto"/>
              <w:right w:val="single" w:sz="4" w:space="0" w:color="auto"/>
            </w:tcBorders>
            <w:shd w:val="clear" w:color="000000" w:fill="C5D9F1"/>
            <w:noWrap/>
            <w:hideMark/>
          </w:tcPr>
          <w:p w14:paraId="1C3210BA"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MD/MSHMS</w:t>
            </w:r>
          </w:p>
        </w:tc>
        <w:tc>
          <w:tcPr>
            <w:tcW w:w="708" w:type="dxa"/>
            <w:tcBorders>
              <w:top w:val="nil"/>
              <w:left w:val="nil"/>
              <w:bottom w:val="single" w:sz="4" w:space="0" w:color="auto"/>
              <w:right w:val="single" w:sz="4" w:space="0" w:color="auto"/>
            </w:tcBorders>
            <w:shd w:val="clear" w:color="000000" w:fill="C5D9F1"/>
            <w:noWrap/>
            <w:hideMark/>
          </w:tcPr>
          <w:p w14:paraId="47B8660B" w14:textId="045B6B7F"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1,085</w:t>
            </w:r>
          </w:p>
        </w:tc>
        <w:tc>
          <w:tcPr>
            <w:tcW w:w="567" w:type="dxa"/>
            <w:tcBorders>
              <w:top w:val="nil"/>
              <w:left w:val="nil"/>
              <w:bottom w:val="single" w:sz="4" w:space="0" w:color="auto"/>
              <w:right w:val="single" w:sz="4" w:space="0" w:color="auto"/>
            </w:tcBorders>
            <w:shd w:val="clear" w:color="000000" w:fill="C5D9F1"/>
            <w:noWrap/>
            <w:hideMark/>
          </w:tcPr>
          <w:p w14:paraId="082F8FDD" w14:textId="67EEA4D4"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1,085</w:t>
            </w:r>
          </w:p>
        </w:tc>
        <w:tc>
          <w:tcPr>
            <w:tcW w:w="567" w:type="dxa"/>
            <w:tcBorders>
              <w:top w:val="nil"/>
              <w:left w:val="nil"/>
              <w:bottom w:val="single" w:sz="4" w:space="0" w:color="auto"/>
              <w:right w:val="single" w:sz="4" w:space="0" w:color="auto"/>
            </w:tcBorders>
            <w:shd w:val="clear" w:color="000000" w:fill="C5D9F1"/>
            <w:noWrap/>
            <w:hideMark/>
          </w:tcPr>
          <w:p w14:paraId="23AEB8ED" w14:textId="433D9FB5"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1,000</w:t>
            </w:r>
          </w:p>
        </w:tc>
        <w:tc>
          <w:tcPr>
            <w:tcW w:w="1134" w:type="dxa"/>
            <w:tcBorders>
              <w:top w:val="nil"/>
              <w:left w:val="nil"/>
              <w:bottom w:val="single" w:sz="4" w:space="0" w:color="auto"/>
              <w:right w:val="single" w:sz="4" w:space="0" w:color="auto"/>
            </w:tcBorders>
            <w:shd w:val="clear" w:color="000000" w:fill="C5D9F1"/>
            <w:noWrap/>
            <w:hideMark/>
          </w:tcPr>
          <w:p w14:paraId="00F912F3" w14:textId="53669940"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9,000</w:t>
            </w:r>
          </w:p>
        </w:tc>
        <w:tc>
          <w:tcPr>
            <w:tcW w:w="1615" w:type="dxa"/>
            <w:tcBorders>
              <w:top w:val="nil"/>
              <w:left w:val="nil"/>
              <w:bottom w:val="single" w:sz="4" w:space="0" w:color="auto"/>
              <w:right w:val="single" w:sz="4" w:space="0" w:color="auto"/>
            </w:tcBorders>
            <w:shd w:val="clear" w:color="000000" w:fill="C5D9F1"/>
            <w:noWrap/>
            <w:hideMark/>
          </w:tcPr>
          <w:p w14:paraId="6E58A641" w14:textId="2A57DCD2"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9,000</w:t>
            </w:r>
          </w:p>
        </w:tc>
      </w:tr>
      <w:tr w:rsidR="00B807EE" w:rsidRPr="00024D5A" w14:paraId="024D48E0" w14:textId="77777777" w:rsidTr="002B321E">
        <w:trPr>
          <w:trHeight w:val="20"/>
        </w:trPr>
        <w:tc>
          <w:tcPr>
            <w:tcW w:w="4673" w:type="dxa"/>
            <w:tcBorders>
              <w:top w:val="single" w:sz="4" w:space="0" w:color="auto"/>
              <w:left w:val="single" w:sz="4" w:space="0" w:color="auto"/>
              <w:bottom w:val="single" w:sz="4" w:space="0" w:color="auto"/>
              <w:right w:val="single" w:sz="4" w:space="0" w:color="auto"/>
            </w:tcBorders>
            <w:hideMark/>
          </w:tcPr>
          <w:p w14:paraId="3DC88623" w14:textId="311A75F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3.2.1 Përgatitja e miratimi i procedurave/formularëve për identifikimin e hershëm të personave me aftësi të kufizuara, me qëllim garantimin e aksesueshmërisë, akomodimit të arsyeshëm dhe mbështetjes së nevojshme, në mënyrë që të paraburgosurit dhe të burgosurit me aftësi të kufizuara të kenë qasje të barabartë në të gjitha shërbimet dhe mjediset e qendrës së ndalimit.</w:t>
            </w:r>
          </w:p>
        </w:tc>
        <w:tc>
          <w:tcPr>
            <w:tcW w:w="567" w:type="dxa"/>
            <w:tcBorders>
              <w:top w:val="single" w:sz="4" w:space="0" w:color="auto"/>
              <w:left w:val="nil"/>
              <w:bottom w:val="single" w:sz="4" w:space="0" w:color="auto"/>
              <w:right w:val="single" w:sz="4" w:space="0" w:color="auto"/>
            </w:tcBorders>
            <w:noWrap/>
            <w:hideMark/>
          </w:tcPr>
          <w:p w14:paraId="50CEB266"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single" w:sz="4" w:space="0" w:color="auto"/>
              <w:left w:val="nil"/>
              <w:bottom w:val="single" w:sz="4" w:space="0" w:color="auto"/>
              <w:right w:val="nil"/>
            </w:tcBorders>
            <w:noWrap/>
            <w:hideMark/>
          </w:tcPr>
          <w:p w14:paraId="249ECA0C"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2028</w:t>
            </w:r>
          </w:p>
        </w:tc>
        <w:tc>
          <w:tcPr>
            <w:tcW w:w="1134" w:type="dxa"/>
            <w:tcBorders>
              <w:top w:val="nil"/>
              <w:left w:val="single" w:sz="4" w:space="0" w:color="auto"/>
              <w:bottom w:val="single" w:sz="4" w:space="0" w:color="auto"/>
              <w:right w:val="single" w:sz="4" w:space="0" w:color="auto"/>
            </w:tcBorders>
            <w:noWrap/>
            <w:hideMark/>
          </w:tcPr>
          <w:p w14:paraId="7ABA03C6"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DPB</w:t>
            </w:r>
          </w:p>
        </w:tc>
        <w:tc>
          <w:tcPr>
            <w:tcW w:w="1418" w:type="dxa"/>
            <w:tcBorders>
              <w:top w:val="nil"/>
              <w:left w:val="nil"/>
              <w:bottom w:val="single" w:sz="4" w:space="0" w:color="auto"/>
              <w:right w:val="single" w:sz="4" w:space="0" w:color="auto"/>
            </w:tcBorders>
            <w:noWrap/>
            <w:hideMark/>
          </w:tcPr>
          <w:p w14:paraId="4D2FC5D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MD/MSHMS</w:t>
            </w:r>
          </w:p>
        </w:tc>
        <w:tc>
          <w:tcPr>
            <w:tcW w:w="708" w:type="dxa"/>
            <w:tcBorders>
              <w:top w:val="nil"/>
              <w:left w:val="nil"/>
              <w:bottom w:val="single" w:sz="4" w:space="0" w:color="auto"/>
              <w:right w:val="single" w:sz="4" w:space="0" w:color="auto"/>
            </w:tcBorders>
            <w:hideMark/>
          </w:tcPr>
          <w:p w14:paraId="3CC53C71" w14:textId="4B21B34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c>
          <w:tcPr>
            <w:tcW w:w="567" w:type="dxa"/>
            <w:tcBorders>
              <w:top w:val="nil"/>
              <w:left w:val="nil"/>
              <w:bottom w:val="single" w:sz="4" w:space="0" w:color="auto"/>
              <w:right w:val="single" w:sz="4" w:space="0" w:color="auto"/>
            </w:tcBorders>
            <w:hideMark/>
          </w:tcPr>
          <w:p w14:paraId="75ACA080" w14:textId="00A958F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c>
          <w:tcPr>
            <w:tcW w:w="567" w:type="dxa"/>
            <w:tcBorders>
              <w:top w:val="nil"/>
              <w:left w:val="nil"/>
              <w:bottom w:val="single" w:sz="4" w:space="0" w:color="auto"/>
              <w:right w:val="single" w:sz="4" w:space="0" w:color="auto"/>
            </w:tcBorders>
            <w:hideMark/>
          </w:tcPr>
          <w:p w14:paraId="7A964C74" w14:textId="05D68DB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c>
          <w:tcPr>
            <w:tcW w:w="1134" w:type="dxa"/>
            <w:tcBorders>
              <w:top w:val="nil"/>
              <w:left w:val="nil"/>
              <w:bottom w:val="single" w:sz="4" w:space="0" w:color="auto"/>
              <w:right w:val="single" w:sz="4" w:space="0" w:color="auto"/>
            </w:tcBorders>
            <w:hideMark/>
          </w:tcPr>
          <w:p w14:paraId="72FFE504" w14:textId="724F9FF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5E01B36D" w14:textId="01FF510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3FA3C0DF"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69F1588B" w14:textId="5AF982C4"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3.2.2 Identifikimi dhe mbështetja e nevojave përmes hartimit dhe aplikimit të Protokollit të Vlerësimit dhe Planit Individual.</w:t>
            </w:r>
          </w:p>
        </w:tc>
        <w:tc>
          <w:tcPr>
            <w:tcW w:w="567" w:type="dxa"/>
            <w:tcBorders>
              <w:top w:val="nil"/>
              <w:left w:val="nil"/>
              <w:bottom w:val="single" w:sz="4" w:space="0" w:color="auto"/>
              <w:right w:val="single" w:sz="4" w:space="0" w:color="auto"/>
            </w:tcBorders>
            <w:noWrap/>
            <w:hideMark/>
          </w:tcPr>
          <w:p w14:paraId="6ADEBBEA"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2029</w:t>
            </w:r>
          </w:p>
        </w:tc>
        <w:tc>
          <w:tcPr>
            <w:tcW w:w="567" w:type="dxa"/>
            <w:tcBorders>
              <w:top w:val="nil"/>
              <w:left w:val="nil"/>
              <w:bottom w:val="single" w:sz="4" w:space="0" w:color="auto"/>
              <w:right w:val="nil"/>
            </w:tcBorders>
            <w:noWrap/>
            <w:hideMark/>
          </w:tcPr>
          <w:p w14:paraId="7DDBF4AB"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single" w:sz="4" w:space="0" w:color="auto"/>
              <w:bottom w:val="single" w:sz="4" w:space="0" w:color="auto"/>
              <w:right w:val="single" w:sz="4" w:space="0" w:color="auto"/>
            </w:tcBorders>
            <w:noWrap/>
            <w:hideMark/>
          </w:tcPr>
          <w:p w14:paraId="7A463D47"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DPB</w:t>
            </w:r>
          </w:p>
        </w:tc>
        <w:tc>
          <w:tcPr>
            <w:tcW w:w="1418" w:type="dxa"/>
            <w:tcBorders>
              <w:top w:val="nil"/>
              <w:left w:val="nil"/>
              <w:bottom w:val="single" w:sz="4" w:space="0" w:color="auto"/>
              <w:right w:val="single" w:sz="4" w:space="0" w:color="auto"/>
            </w:tcBorders>
            <w:noWrap/>
            <w:hideMark/>
          </w:tcPr>
          <w:p w14:paraId="73A9C20E"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MD/MSHMS</w:t>
            </w:r>
          </w:p>
        </w:tc>
        <w:tc>
          <w:tcPr>
            <w:tcW w:w="708" w:type="dxa"/>
            <w:tcBorders>
              <w:top w:val="nil"/>
              <w:left w:val="nil"/>
              <w:bottom w:val="single" w:sz="4" w:space="0" w:color="auto"/>
              <w:right w:val="single" w:sz="4" w:space="0" w:color="auto"/>
            </w:tcBorders>
            <w:hideMark/>
          </w:tcPr>
          <w:p w14:paraId="52867744" w14:textId="61E7F25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0B9A4000" w14:textId="51F05F5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379600BD" w14:textId="08DE53B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10A72A1B" w14:textId="2474AAF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7807004F" w14:textId="76B13DA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6019BA63"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082B13B1" w14:textId="1EDE8DFA"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3.2.3 Ofrimi i shërbimeve shëndetësore dhe psikosociale në institucionin e posaçëm të vuajtjes së dënimit, përmes sistemit të referimit në mjekë, psikologë, terapi të vazhdueshme, dhe sigurimi i bashkëpunimit me shërbimet komunitare.</w:t>
            </w:r>
          </w:p>
        </w:tc>
        <w:tc>
          <w:tcPr>
            <w:tcW w:w="567" w:type="dxa"/>
            <w:tcBorders>
              <w:top w:val="nil"/>
              <w:left w:val="nil"/>
              <w:bottom w:val="single" w:sz="4" w:space="0" w:color="auto"/>
              <w:right w:val="single" w:sz="4" w:space="0" w:color="auto"/>
            </w:tcBorders>
            <w:noWrap/>
            <w:hideMark/>
          </w:tcPr>
          <w:p w14:paraId="779F1742"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nil"/>
            </w:tcBorders>
            <w:noWrap/>
            <w:hideMark/>
          </w:tcPr>
          <w:p w14:paraId="2D4C346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single" w:sz="4" w:space="0" w:color="auto"/>
              <w:bottom w:val="single" w:sz="4" w:space="0" w:color="auto"/>
              <w:right w:val="single" w:sz="4" w:space="0" w:color="auto"/>
            </w:tcBorders>
            <w:noWrap/>
            <w:hideMark/>
          </w:tcPr>
          <w:p w14:paraId="5F82AC1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DPB</w:t>
            </w:r>
          </w:p>
        </w:tc>
        <w:tc>
          <w:tcPr>
            <w:tcW w:w="1418" w:type="dxa"/>
            <w:tcBorders>
              <w:top w:val="nil"/>
              <w:left w:val="nil"/>
              <w:bottom w:val="single" w:sz="4" w:space="0" w:color="auto"/>
              <w:right w:val="single" w:sz="4" w:space="0" w:color="auto"/>
            </w:tcBorders>
            <w:noWrap/>
            <w:hideMark/>
          </w:tcPr>
          <w:p w14:paraId="33106D9B"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MD/MSHMS</w:t>
            </w:r>
          </w:p>
        </w:tc>
        <w:tc>
          <w:tcPr>
            <w:tcW w:w="708" w:type="dxa"/>
            <w:tcBorders>
              <w:top w:val="nil"/>
              <w:left w:val="nil"/>
              <w:bottom w:val="single" w:sz="4" w:space="0" w:color="auto"/>
              <w:right w:val="single" w:sz="4" w:space="0" w:color="auto"/>
            </w:tcBorders>
            <w:hideMark/>
          </w:tcPr>
          <w:p w14:paraId="1849B432" w14:textId="431E9AC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5E929051" w14:textId="1C8F251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37B76F6F" w14:textId="004A992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133AC068" w14:textId="1EB6201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4FF40968" w14:textId="2897199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2EB98F0B"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56105F79" w14:textId="31BF9C5E"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3.2.4 Rritja e ndërgjegjësimit të punonjësve të policisë dhe të institucioneve të vuajtjes së dënimit, mbi aksesin në drejtësi të të gjitha kategorive të personave me aftësisë të kufizuar, bazuar në </w:t>
            </w:r>
            <w:r w:rsidR="00C62D77" w:rsidRPr="00024D5A">
              <w:rPr>
                <w:rFonts w:ascii="Garamond" w:eastAsia="Times New Roman" w:hAnsi="Garamond"/>
                <w:sz w:val="6"/>
                <w:szCs w:val="16"/>
                <w:lang w:eastAsia="en-US"/>
              </w:rPr>
              <w:t>standardet</w:t>
            </w:r>
            <w:r w:rsidRPr="00024D5A">
              <w:rPr>
                <w:rFonts w:ascii="Garamond" w:eastAsia="Times New Roman" w:hAnsi="Garamond"/>
                <w:sz w:val="6"/>
                <w:szCs w:val="16"/>
                <w:lang w:eastAsia="en-US"/>
              </w:rPr>
              <w:t xml:space="preserve"> ndërkombëtare për aksesin në drejtësi për personat me aftësi të kufizuara.</w:t>
            </w:r>
          </w:p>
        </w:tc>
        <w:tc>
          <w:tcPr>
            <w:tcW w:w="567" w:type="dxa"/>
            <w:tcBorders>
              <w:top w:val="nil"/>
              <w:left w:val="nil"/>
              <w:bottom w:val="single" w:sz="4" w:space="0" w:color="auto"/>
              <w:right w:val="single" w:sz="4" w:space="0" w:color="auto"/>
            </w:tcBorders>
            <w:noWrap/>
            <w:hideMark/>
          </w:tcPr>
          <w:p w14:paraId="4D2B9A4B"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nil"/>
            </w:tcBorders>
            <w:noWrap/>
            <w:hideMark/>
          </w:tcPr>
          <w:p w14:paraId="1CCB1A52"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2028</w:t>
            </w:r>
          </w:p>
        </w:tc>
        <w:tc>
          <w:tcPr>
            <w:tcW w:w="1134" w:type="dxa"/>
            <w:tcBorders>
              <w:top w:val="nil"/>
              <w:left w:val="single" w:sz="4" w:space="0" w:color="auto"/>
              <w:bottom w:val="single" w:sz="4" w:space="0" w:color="auto"/>
              <w:right w:val="single" w:sz="4" w:space="0" w:color="auto"/>
            </w:tcBorders>
            <w:noWrap/>
            <w:hideMark/>
          </w:tcPr>
          <w:p w14:paraId="36BD84EC"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DPB</w:t>
            </w:r>
          </w:p>
        </w:tc>
        <w:tc>
          <w:tcPr>
            <w:tcW w:w="1418" w:type="dxa"/>
            <w:tcBorders>
              <w:top w:val="nil"/>
              <w:left w:val="nil"/>
              <w:bottom w:val="single" w:sz="4" w:space="0" w:color="auto"/>
              <w:right w:val="single" w:sz="4" w:space="0" w:color="auto"/>
            </w:tcBorders>
            <w:noWrap/>
            <w:hideMark/>
          </w:tcPr>
          <w:p w14:paraId="1FA11001"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MD/MSHMS</w:t>
            </w:r>
          </w:p>
        </w:tc>
        <w:tc>
          <w:tcPr>
            <w:tcW w:w="708" w:type="dxa"/>
            <w:tcBorders>
              <w:top w:val="nil"/>
              <w:left w:val="nil"/>
              <w:bottom w:val="single" w:sz="4" w:space="0" w:color="auto"/>
              <w:right w:val="single" w:sz="4" w:space="0" w:color="auto"/>
            </w:tcBorders>
            <w:hideMark/>
          </w:tcPr>
          <w:p w14:paraId="00EFA7AC" w14:textId="4836D6C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85</w:t>
            </w:r>
          </w:p>
        </w:tc>
        <w:tc>
          <w:tcPr>
            <w:tcW w:w="567" w:type="dxa"/>
            <w:tcBorders>
              <w:top w:val="nil"/>
              <w:left w:val="nil"/>
              <w:bottom w:val="single" w:sz="4" w:space="0" w:color="auto"/>
              <w:right w:val="single" w:sz="4" w:space="0" w:color="auto"/>
            </w:tcBorders>
            <w:hideMark/>
          </w:tcPr>
          <w:p w14:paraId="05001288" w14:textId="31C5DD3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85</w:t>
            </w:r>
          </w:p>
        </w:tc>
        <w:tc>
          <w:tcPr>
            <w:tcW w:w="567" w:type="dxa"/>
            <w:tcBorders>
              <w:top w:val="nil"/>
              <w:left w:val="nil"/>
              <w:bottom w:val="single" w:sz="4" w:space="0" w:color="auto"/>
              <w:right w:val="single" w:sz="4" w:space="0" w:color="auto"/>
            </w:tcBorders>
            <w:hideMark/>
          </w:tcPr>
          <w:p w14:paraId="6ED3A2DA" w14:textId="7BDD3BE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481B7A6C" w14:textId="263F799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61344EA2" w14:textId="55C4CFF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252FD712"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1FB16BF2" w14:textId="11E24D63"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3.2.5</w:t>
            </w:r>
            <w:r w:rsidR="00C62D77"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Fuqizimi i kapaciteteve të punonjësve të institucioneve të vuajtjes së dënimit përmes hartimit dhe zbatimit të programeve të trajnimit/kurrikulave të trajnimit, mbi aksesin në drejtësi të të gjitha kategorive të personave me aftësisë të kufizuar.</w:t>
            </w:r>
          </w:p>
        </w:tc>
        <w:tc>
          <w:tcPr>
            <w:tcW w:w="567" w:type="dxa"/>
            <w:tcBorders>
              <w:top w:val="nil"/>
              <w:left w:val="nil"/>
              <w:bottom w:val="single" w:sz="4" w:space="0" w:color="auto"/>
              <w:right w:val="single" w:sz="4" w:space="0" w:color="auto"/>
            </w:tcBorders>
            <w:noWrap/>
            <w:hideMark/>
          </w:tcPr>
          <w:p w14:paraId="7486D94F"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2029</w:t>
            </w:r>
          </w:p>
        </w:tc>
        <w:tc>
          <w:tcPr>
            <w:tcW w:w="567" w:type="dxa"/>
            <w:tcBorders>
              <w:top w:val="nil"/>
              <w:left w:val="nil"/>
              <w:bottom w:val="single" w:sz="4" w:space="0" w:color="auto"/>
              <w:right w:val="nil"/>
            </w:tcBorders>
            <w:noWrap/>
            <w:hideMark/>
          </w:tcPr>
          <w:p w14:paraId="744BA6F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single" w:sz="4" w:space="0" w:color="auto"/>
              <w:bottom w:val="single" w:sz="4" w:space="0" w:color="auto"/>
              <w:right w:val="single" w:sz="4" w:space="0" w:color="auto"/>
            </w:tcBorders>
            <w:noWrap/>
            <w:hideMark/>
          </w:tcPr>
          <w:p w14:paraId="1550D73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DPB</w:t>
            </w:r>
          </w:p>
        </w:tc>
        <w:tc>
          <w:tcPr>
            <w:tcW w:w="1418" w:type="dxa"/>
            <w:tcBorders>
              <w:top w:val="nil"/>
              <w:left w:val="nil"/>
              <w:bottom w:val="single" w:sz="4" w:space="0" w:color="auto"/>
              <w:right w:val="single" w:sz="4" w:space="0" w:color="auto"/>
            </w:tcBorders>
            <w:noWrap/>
            <w:hideMark/>
          </w:tcPr>
          <w:p w14:paraId="595CA368"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MD/MSHMS</w:t>
            </w:r>
          </w:p>
        </w:tc>
        <w:tc>
          <w:tcPr>
            <w:tcW w:w="708" w:type="dxa"/>
            <w:tcBorders>
              <w:top w:val="nil"/>
              <w:left w:val="nil"/>
              <w:bottom w:val="single" w:sz="4" w:space="0" w:color="auto"/>
              <w:right w:val="single" w:sz="4" w:space="0" w:color="auto"/>
            </w:tcBorders>
            <w:hideMark/>
          </w:tcPr>
          <w:p w14:paraId="51F5AB7D" w14:textId="748AAF3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58C0CB07" w14:textId="7100D8C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7739A59B" w14:textId="4CBE063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799311E2" w14:textId="4366113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9,000</w:t>
            </w:r>
          </w:p>
        </w:tc>
        <w:tc>
          <w:tcPr>
            <w:tcW w:w="1615" w:type="dxa"/>
            <w:tcBorders>
              <w:top w:val="nil"/>
              <w:left w:val="nil"/>
              <w:bottom w:val="single" w:sz="4" w:space="0" w:color="auto"/>
              <w:right w:val="single" w:sz="4" w:space="0" w:color="auto"/>
            </w:tcBorders>
            <w:hideMark/>
          </w:tcPr>
          <w:p w14:paraId="1A21FE92" w14:textId="77BC189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9,000</w:t>
            </w:r>
          </w:p>
        </w:tc>
      </w:tr>
      <w:tr w:rsidR="00B807EE" w:rsidRPr="00024D5A" w14:paraId="4D8DAF34" w14:textId="77777777" w:rsidTr="002B321E">
        <w:trPr>
          <w:trHeight w:val="20"/>
        </w:trPr>
        <w:tc>
          <w:tcPr>
            <w:tcW w:w="4673" w:type="dxa"/>
            <w:tcBorders>
              <w:top w:val="single" w:sz="8" w:space="0" w:color="auto"/>
              <w:left w:val="single" w:sz="4" w:space="0" w:color="auto"/>
              <w:bottom w:val="single" w:sz="8" w:space="0" w:color="auto"/>
              <w:right w:val="single" w:sz="4" w:space="0" w:color="auto"/>
            </w:tcBorders>
            <w:shd w:val="clear" w:color="000000" w:fill="F276AB"/>
            <w:hideMark/>
          </w:tcPr>
          <w:p w14:paraId="375A9193"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III. PUNËSIMI DHE AFTËSIMI</w:t>
            </w:r>
          </w:p>
        </w:tc>
        <w:tc>
          <w:tcPr>
            <w:tcW w:w="567" w:type="dxa"/>
            <w:tcBorders>
              <w:top w:val="single" w:sz="8" w:space="0" w:color="auto"/>
              <w:left w:val="nil"/>
              <w:bottom w:val="single" w:sz="8" w:space="0" w:color="auto"/>
              <w:right w:val="single" w:sz="4" w:space="0" w:color="auto"/>
            </w:tcBorders>
            <w:shd w:val="clear" w:color="000000" w:fill="F276AB"/>
            <w:hideMark/>
          </w:tcPr>
          <w:p w14:paraId="288F8B8C"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567" w:type="dxa"/>
            <w:tcBorders>
              <w:top w:val="single" w:sz="8" w:space="0" w:color="auto"/>
              <w:left w:val="nil"/>
              <w:bottom w:val="single" w:sz="8" w:space="0" w:color="auto"/>
              <w:right w:val="single" w:sz="4" w:space="0" w:color="auto"/>
            </w:tcBorders>
            <w:shd w:val="clear" w:color="000000" w:fill="F276AB"/>
            <w:hideMark/>
          </w:tcPr>
          <w:p w14:paraId="25E936DA"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1134" w:type="dxa"/>
            <w:tcBorders>
              <w:top w:val="single" w:sz="8" w:space="0" w:color="auto"/>
              <w:left w:val="nil"/>
              <w:bottom w:val="single" w:sz="8" w:space="0" w:color="auto"/>
              <w:right w:val="single" w:sz="4" w:space="0" w:color="auto"/>
            </w:tcBorders>
            <w:shd w:val="clear" w:color="000000" w:fill="F276AB"/>
            <w:hideMark/>
          </w:tcPr>
          <w:p w14:paraId="7EEA1D7C"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1418" w:type="dxa"/>
            <w:tcBorders>
              <w:top w:val="single" w:sz="8" w:space="0" w:color="auto"/>
              <w:left w:val="nil"/>
              <w:bottom w:val="single" w:sz="8" w:space="0" w:color="auto"/>
              <w:right w:val="single" w:sz="4" w:space="0" w:color="auto"/>
            </w:tcBorders>
            <w:shd w:val="clear" w:color="000000" w:fill="F276AB"/>
            <w:hideMark/>
          </w:tcPr>
          <w:p w14:paraId="767A2B82"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708" w:type="dxa"/>
            <w:tcBorders>
              <w:top w:val="single" w:sz="8" w:space="0" w:color="auto"/>
              <w:left w:val="nil"/>
              <w:bottom w:val="single" w:sz="8" w:space="0" w:color="auto"/>
              <w:right w:val="single" w:sz="4" w:space="0" w:color="auto"/>
            </w:tcBorders>
            <w:shd w:val="clear" w:color="000000" w:fill="F276AB"/>
            <w:hideMark/>
          </w:tcPr>
          <w:p w14:paraId="47E41808" w14:textId="724B8F1B"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366,299</w:t>
            </w:r>
          </w:p>
        </w:tc>
        <w:tc>
          <w:tcPr>
            <w:tcW w:w="567" w:type="dxa"/>
            <w:tcBorders>
              <w:top w:val="single" w:sz="8" w:space="0" w:color="auto"/>
              <w:left w:val="nil"/>
              <w:bottom w:val="single" w:sz="8" w:space="0" w:color="auto"/>
              <w:right w:val="single" w:sz="4" w:space="0" w:color="auto"/>
            </w:tcBorders>
            <w:shd w:val="clear" w:color="000000" w:fill="F276AB"/>
            <w:hideMark/>
          </w:tcPr>
          <w:p w14:paraId="147AC3D9" w14:textId="2F79C16D"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385,865</w:t>
            </w:r>
          </w:p>
        </w:tc>
        <w:tc>
          <w:tcPr>
            <w:tcW w:w="567" w:type="dxa"/>
            <w:tcBorders>
              <w:top w:val="single" w:sz="8" w:space="0" w:color="auto"/>
              <w:left w:val="nil"/>
              <w:bottom w:val="single" w:sz="8" w:space="0" w:color="auto"/>
              <w:right w:val="single" w:sz="4" w:space="0" w:color="auto"/>
            </w:tcBorders>
            <w:shd w:val="clear" w:color="000000" w:fill="F276AB"/>
            <w:hideMark/>
          </w:tcPr>
          <w:p w14:paraId="44B8269C" w14:textId="7131E897"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346,515</w:t>
            </w:r>
          </w:p>
        </w:tc>
        <w:tc>
          <w:tcPr>
            <w:tcW w:w="1134" w:type="dxa"/>
            <w:tcBorders>
              <w:top w:val="single" w:sz="8" w:space="0" w:color="auto"/>
              <w:left w:val="nil"/>
              <w:bottom w:val="single" w:sz="8" w:space="0" w:color="auto"/>
              <w:right w:val="single" w:sz="4" w:space="0" w:color="auto"/>
            </w:tcBorders>
            <w:shd w:val="clear" w:color="000000" w:fill="F276AB"/>
            <w:hideMark/>
          </w:tcPr>
          <w:p w14:paraId="67AE1326" w14:textId="1226ED25"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349,002</w:t>
            </w:r>
          </w:p>
        </w:tc>
        <w:tc>
          <w:tcPr>
            <w:tcW w:w="1615" w:type="dxa"/>
            <w:tcBorders>
              <w:top w:val="single" w:sz="8" w:space="0" w:color="auto"/>
              <w:left w:val="nil"/>
              <w:bottom w:val="single" w:sz="8" w:space="0" w:color="auto"/>
              <w:right w:val="single" w:sz="4" w:space="0" w:color="auto"/>
            </w:tcBorders>
            <w:shd w:val="clear" w:color="000000" w:fill="F276AB"/>
            <w:hideMark/>
          </w:tcPr>
          <w:p w14:paraId="1C2188E6" w14:textId="7A4AD8F9"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356,300</w:t>
            </w:r>
          </w:p>
        </w:tc>
      </w:tr>
      <w:tr w:rsidR="00B807EE" w:rsidRPr="00024D5A" w14:paraId="3548722B" w14:textId="77777777" w:rsidTr="002B321E">
        <w:trPr>
          <w:trHeight w:val="20"/>
        </w:trPr>
        <w:tc>
          <w:tcPr>
            <w:tcW w:w="4673" w:type="dxa"/>
            <w:tcBorders>
              <w:top w:val="single" w:sz="4" w:space="0" w:color="auto"/>
              <w:left w:val="single" w:sz="4" w:space="0" w:color="auto"/>
              <w:bottom w:val="single" w:sz="4" w:space="0" w:color="auto"/>
              <w:right w:val="single" w:sz="4" w:space="0" w:color="auto"/>
            </w:tcBorders>
            <w:shd w:val="clear" w:color="000000" w:fill="FDE9D9"/>
            <w:hideMark/>
          </w:tcPr>
          <w:p w14:paraId="4F873AF3" w14:textId="057A9CA6"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Objektivi </w:t>
            </w:r>
            <w:r w:rsidR="00C62D77" w:rsidRPr="00024D5A">
              <w:rPr>
                <w:rFonts w:ascii="Garamond" w:eastAsia="Times New Roman" w:hAnsi="Garamond"/>
                <w:b/>
                <w:bCs/>
                <w:sz w:val="6"/>
                <w:szCs w:val="16"/>
                <w:lang w:eastAsia="en-US"/>
              </w:rPr>
              <w:t xml:space="preserve">specifik </w:t>
            </w:r>
            <w:r w:rsidRPr="00024D5A">
              <w:rPr>
                <w:rFonts w:ascii="Garamond" w:eastAsia="Times New Roman" w:hAnsi="Garamond"/>
                <w:b/>
                <w:bCs/>
                <w:sz w:val="6"/>
                <w:szCs w:val="16"/>
                <w:lang w:eastAsia="en-US"/>
              </w:rPr>
              <w:t>1</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Nxitja e pjesëmarrjes, zgjerimi i aksesit dhe përfitimit të nxënësve dhe kursantëve me aftësi të kufizuara nga programet e arsimit dhe formimit profesional, në përputhje me nevojat e tregut të punës dhe parimet e arsimit gjithëpërfshirës.</w:t>
            </w:r>
          </w:p>
        </w:tc>
        <w:tc>
          <w:tcPr>
            <w:tcW w:w="567" w:type="dxa"/>
            <w:tcBorders>
              <w:top w:val="single" w:sz="4" w:space="0" w:color="auto"/>
              <w:left w:val="nil"/>
              <w:bottom w:val="single" w:sz="4" w:space="0" w:color="auto"/>
              <w:right w:val="single" w:sz="4" w:space="0" w:color="auto"/>
            </w:tcBorders>
            <w:shd w:val="clear" w:color="000000" w:fill="FDE9D9"/>
            <w:hideMark/>
          </w:tcPr>
          <w:p w14:paraId="11ED6D0C"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single" w:sz="4" w:space="0" w:color="auto"/>
              <w:left w:val="nil"/>
              <w:bottom w:val="single" w:sz="4" w:space="0" w:color="auto"/>
              <w:right w:val="single" w:sz="4" w:space="0" w:color="auto"/>
            </w:tcBorders>
            <w:shd w:val="clear" w:color="000000" w:fill="FDE9D9"/>
            <w:hideMark/>
          </w:tcPr>
          <w:p w14:paraId="5C7D26FF"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single" w:sz="4" w:space="0" w:color="auto"/>
              <w:left w:val="nil"/>
              <w:bottom w:val="single" w:sz="4" w:space="0" w:color="auto"/>
              <w:right w:val="single" w:sz="4" w:space="0" w:color="auto"/>
            </w:tcBorders>
            <w:shd w:val="clear" w:color="000000" w:fill="FDE9D9"/>
            <w:hideMark/>
          </w:tcPr>
          <w:p w14:paraId="484DE2F9"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MEI, MA, AKPA AKAFPK,IOAFP</w:t>
            </w:r>
          </w:p>
        </w:tc>
        <w:tc>
          <w:tcPr>
            <w:tcW w:w="1418" w:type="dxa"/>
            <w:tcBorders>
              <w:top w:val="single" w:sz="4" w:space="0" w:color="auto"/>
              <w:left w:val="nil"/>
              <w:bottom w:val="single" w:sz="4" w:space="0" w:color="auto"/>
              <w:right w:val="single" w:sz="4" w:space="0" w:color="auto"/>
            </w:tcBorders>
            <w:shd w:val="clear" w:color="000000" w:fill="FDE9D9"/>
            <w:hideMark/>
          </w:tcPr>
          <w:p w14:paraId="6F09383B"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AKPA/ASCAP/AKAFPK/AKAP/ASCAP/IOAFP/MEI/NJVV</w:t>
            </w:r>
          </w:p>
        </w:tc>
        <w:tc>
          <w:tcPr>
            <w:tcW w:w="708" w:type="dxa"/>
            <w:tcBorders>
              <w:top w:val="single" w:sz="4" w:space="0" w:color="auto"/>
              <w:left w:val="nil"/>
              <w:bottom w:val="single" w:sz="4" w:space="0" w:color="auto"/>
              <w:right w:val="single" w:sz="4" w:space="0" w:color="auto"/>
            </w:tcBorders>
            <w:shd w:val="clear" w:color="000000" w:fill="EEECE1"/>
            <w:noWrap/>
            <w:hideMark/>
          </w:tcPr>
          <w:p w14:paraId="4FBF1E1A" w14:textId="63CABEA8"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126,789</w:t>
            </w:r>
          </w:p>
        </w:tc>
        <w:tc>
          <w:tcPr>
            <w:tcW w:w="567" w:type="dxa"/>
            <w:tcBorders>
              <w:top w:val="single" w:sz="4" w:space="0" w:color="auto"/>
              <w:left w:val="nil"/>
              <w:bottom w:val="single" w:sz="4" w:space="0" w:color="auto"/>
              <w:right w:val="single" w:sz="4" w:space="0" w:color="auto"/>
            </w:tcBorders>
            <w:shd w:val="clear" w:color="000000" w:fill="EEECE1"/>
            <w:noWrap/>
            <w:hideMark/>
          </w:tcPr>
          <w:p w14:paraId="71F2B039" w14:textId="6823AF80"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134,665</w:t>
            </w:r>
          </w:p>
        </w:tc>
        <w:tc>
          <w:tcPr>
            <w:tcW w:w="567" w:type="dxa"/>
            <w:tcBorders>
              <w:top w:val="single" w:sz="4" w:space="0" w:color="auto"/>
              <w:left w:val="nil"/>
              <w:bottom w:val="single" w:sz="4" w:space="0" w:color="auto"/>
              <w:right w:val="single" w:sz="4" w:space="0" w:color="auto"/>
            </w:tcBorders>
            <w:shd w:val="clear" w:color="000000" w:fill="EEECE1"/>
            <w:noWrap/>
            <w:hideMark/>
          </w:tcPr>
          <w:p w14:paraId="065F6050" w14:textId="663AD238"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96,051</w:t>
            </w:r>
          </w:p>
        </w:tc>
        <w:tc>
          <w:tcPr>
            <w:tcW w:w="1134" w:type="dxa"/>
            <w:tcBorders>
              <w:top w:val="single" w:sz="4" w:space="0" w:color="auto"/>
              <w:left w:val="nil"/>
              <w:bottom w:val="single" w:sz="4" w:space="0" w:color="auto"/>
              <w:right w:val="single" w:sz="4" w:space="0" w:color="auto"/>
            </w:tcBorders>
            <w:shd w:val="clear" w:color="000000" w:fill="EEECE1"/>
            <w:noWrap/>
            <w:hideMark/>
          </w:tcPr>
          <w:p w14:paraId="13FE9C3B" w14:textId="7E038203"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95,588</w:t>
            </w:r>
          </w:p>
        </w:tc>
        <w:tc>
          <w:tcPr>
            <w:tcW w:w="1615" w:type="dxa"/>
            <w:tcBorders>
              <w:top w:val="single" w:sz="4" w:space="0" w:color="auto"/>
              <w:left w:val="nil"/>
              <w:bottom w:val="single" w:sz="4" w:space="0" w:color="auto"/>
              <w:right w:val="single" w:sz="4" w:space="0" w:color="auto"/>
            </w:tcBorders>
            <w:shd w:val="clear" w:color="000000" w:fill="EEECE1"/>
            <w:noWrap/>
            <w:hideMark/>
          </w:tcPr>
          <w:p w14:paraId="29BC3BA2" w14:textId="713E4538"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95,588</w:t>
            </w:r>
          </w:p>
        </w:tc>
      </w:tr>
      <w:tr w:rsidR="00B807EE" w:rsidRPr="00024D5A" w14:paraId="0EB70402"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DCE6F1"/>
            <w:hideMark/>
          </w:tcPr>
          <w:p w14:paraId="3750BDEE" w14:textId="44A30FD8"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Masa </w:t>
            </w:r>
            <w:r w:rsidR="00C62D77" w:rsidRPr="00024D5A">
              <w:rPr>
                <w:rFonts w:ascii="Garamond" w:eastAsia="Times New Roman" w:hAnsi="Garamond"/>
                <w:b/>
                <w:bCs/>
                <w:sz w:val="6"/>
                <w:szCs w:val="16"/>
                <w:lang w:eastAsia="en-US"/>
              </w:rPr>
              <w:t xml:space="preserve">prioritare </w:t>
            </w:r>
            <w:r w:rsidRPr="00024D5A">
              <w:rPr>
                <w:rFonts w:ascii="Garamond" w:eastAsia="Times New Roman" w:hAnsi="Garamond"/>
                <w:b/>
                <w:bCs/>
                <w:sz w:val="6"/>
                <w:szCs w:val="16"/>
                <w:lang w:eastAsia="en-US"/>
              </w:rPr>
              <w:t>1.1</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Përmirësimi i kornizës politike, ligjore dhe institucionale për arsim e formim profesional gjithëpërfshirës për nxënësit e kursantët me aftësi të kufizuara</w:t>
            </w:r>
            <w:r w:rsidR="00C62D77" w:rsidRPr="00024D5A">
              <w:rPr>
                <w:rFonts w:ascii="Garamond" w:eastAsia="Times New Roman" w:hAnsi="Garamond"/>
                <w:b/>
                <w:bCs/>
                <w:sz w:val="6"/>
                <w:szCs w:val="16"/>
                <w:lang w:eastAsia="en-US"/>
              </w:rPr>
              <w:t>.</w:t>
            </w:r>
          </w:p>
        </w:tc>
        <w:tc>
          <w:tcPr>
            <w:tcW w:w="567" w:type="dxa"/>
            <w:tcBorders>
              <w:top w:val="nil"/>
              <w:left w:val="nil"/>
              <w:bottom w:val="single" w:sz="4" w:space="0" w:color="auto"/>
              <w:right w:val="single" w:sz="4" w:space="0" w:color="auto"/>
            </w:tcBorders>
            <w:shd w:val="clear" w:color="000000" w:fill="DCE6F1"/>
            <w:hideMark/>
          </w:tcPr>
          <w:p w14:paraId="2F9312ED"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shd w:val="clear" w:color="000000" w:fill="DCE6F1"/>
            <w:hideMark/>
          </w:tcPr>
          <w:p w14:paraId="3849E22B"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shd w:val="clear" w:color="000000" w:fill="DCE6F1"/>
            <w:hideMark/>
          </w:tcPr>
          <w:p w14:paraId="05765DD2"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MEI, MA, AKAFPK</w:t>
            </w:r>
          </w:p>
        </w:tc>
        <w:tc>
          <w:tcPr>
            <w:tcW w:w="1418" w:type="dxa"/>
            <w:tcBorders>
              <w:top w:val="nil"/>
              <w:left w:val="nil"/>
              <w:bottom w:val="single" w:sz="4" w:space="0" w:color="auto"/>
              <w:right w:val="single" w:sz="4" w:space="0" w:color="auto"/>
            </w:tcBorders>
            <w:shd w:val="clear" w:color="000000" w:fill="DCE6F1"/>
            <w:hideMark/>
          </w:tcPr>
          <w:p w14:paraId="28F9FEBB" w14:textId="5FDF2962"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AKPA, ASCAP,</w:t>
            </w:r>
            <w:r w:rsidR="005A46ED">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AKAFPK; AKAP, ASCAP/IoAFP</w:t>
            </w:r>
          </w:p>
        </w:tc>
        <w:tc>
          <w:tcPr>
            <w:tcW w:w="708" w:type="dxa"/>
            <w:tcBorders>
              <w:top w:val="nil"/>
              <w:left w:val="nil"/>
              <w:bottom w:val="single" w:sz="4" w:space="0" w:color="auto"/>
              <w:right w:val="single" w:sz="4" w:space="0" w:color="auto"/>
            </w:tcBorders>
            <w:shd w:val="clear" w:color="000000" w:fill="DCE6F1"/>
            <w:hideMark/>
          </w:tcPr>
          <w:p w14:paraId="19AE23AD" w14:textId="7966D221"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38,773</w:t>
            </w:r>
          </w:p>
        </w:tc>
        <w:tc>
          <w:tcPr>
            <w:tcW w:w="567" w:type="dxa"/>
            <w:tcBorders>
              <w:top w:val="nil"/>
              <w:left w:val="nil"/>
              <w:bottom w:val="single" w:sz="4" w:space="0" w:color="auto"/>
              <w:right w:val="single" w:sz="4" w:space="0" w:color="auto"/>
            </w:tcBorders>
            <w:shd w:val="clear" w:color="000000" w:fill="DCE6F1"/>
            <w:hideMark/>
          </w:tcPr>
          <w:p w14:paraId="489B7239" w14:textId="7FC91DE5"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46,377</w:t>
            </w:r>
          </w:p>
        </w:tc>
        <w:tc>
          <w:tcPr>
            <w:tcW w:w="567" w:type="dxa"/>
            <w:tcBorders>
              <w:top w:val="nil"/>
              <w:left w:val="nil"/>
              <w:bottom w:val="single" w:sz="4" w:space="0" w:color="auto"/>
              <w:right w:val="single" w:sz="4" w:space="0" w:color="auto"/>
            </w:tcBorders>
            <w:shd w:val="clear" w:color="000000" w:fill="DCE6F1"/>
            <w:hideMark/>
          </w:tcPr>
          <w:p w14:paraId="0E79CE66" w14:textId="71D73B21"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7,088</w:t>
            </w:r>
          </w:p>
        </w:tc>
        <w:tc>
          <w:tcPr>
            <w:tcW w:w="1134" w:type="dxa"/>
            <w:tcBorders>
              <w:top w:val="nil"/>
              <w:left w:val="nil"/>
              <w:bottom w:val="single" w:sz="4" w:space="0" w:color="auto"/>
              <w:right w:val="single" w:sz="4" w:space="0" w:color="auto"/>
            </w:tcBorders>
            <w:shd w:val="clear" w:color="000000" w:fill="DCE6F1"/>
            <w:hideMark/>
          </w:tcPr>
          <w:p w14:paraId="71EFE2CA" w14:textId="645FB105"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6,843</w:t>
            </w:r>
          </w:p>
        </w:tc>
        <w:tc>
          <w:tcPr>
            <w:tcW w:w="1615" w:type="dxa"/>
            <w:tcBorders>
              <w:top w:val="nil"/>
              <w:left w:val="nil"/>
              <w:bottom w:val="single" w:sz="4" w:space="0" w:color="auto"/>
              <w:right w:val="single" w:sz="4" w:space="0" w:color="auto"/>
            </w:tcBorders>
            <w:shd w:val="clear" w:color="000000" w:fill="DCE6F1"/>
            <w:hideMark/>
          </w:tcPr>
          <w:p w14:paraId="1ADC4104" w14:textId="798156D8"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6,843</w:t>
            </w:r>
          </w:p>
        </w:tc>
      </w:tr>
      <w:tr w:rsidR="00B807EE" w:rsidRPr="00024D5A" w14:paraId="786AB74F"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1E217421" w14:textId="55B4DFEA"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1.1.1 Rishikim dhe përmirësimi i dhe </w:t>
            </w:r>
            <w:r w:rsidR="00F958F2" w:rsidRPr="00024D5A">
              <w:rPr>
                <w:rFonts w:ascii="Garamond" w:eastAsia="Times New Roman" w:hAnsi="Garamond"/>
                <w:sz w:val="6"/>
                <w:szCs w:val="16"/>
                <w:lang w:eastAsia="en-US"/>
              </w:rPr>
              <w:t>ligjit për arsimin dhe formimin profesional</w:t>
            </w:r>
            <w:r w:rsidRPr="00024D5A">
              <w:rPr>
                <w:rFonts w:ascii="Garamond" w:eastAsia="Times New Roman" w:hAnsi="Garamond"/>
                <w:sz w:val="6"/>
                <w:szCs w:val="16"/>
                <w:lang w:eastAsia="en-US"/>
              </w:rPr>
              <w:t>, për të garantuar AFP gjithëpërfshirës</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dhe cilësor për nxënësit dhe kursantët me aftësi të kufizuara.</w:t>
            </w:r>
          </w:p>
        </w:tc>
        <w:tc>
          <w:tcPr>
            <w:tcW w:w="567" w:type="dxa"/>
            <w:tcBorders>
              <w:top w:val="nil"/>
              <w:left w:val="nil"/>
              <w:bottom w:val="single" w:sz="4" w:space="0" w:color="auto"/>
              <w:right w:val="single" w:sz="4" w:space="0" w:color="auto"/>
            </w:tcBorders>
            <w:hideMark/>
          </w:tcPr>
          <w:p w14:paraId="0470E0B2"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7968C3CF"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1134" w:type="dxa"/>
            <w:tcBorders>
              <w:top w:val="nil"/>
              <w:left w:val="nil"/>
              <w:bottom w:val="single" w:sz="4" w:space="0" w:color="auto"/>
              <w:right w:val="single" w:sz="4" w:space="0" w:color="auto"/>
            </w:tcBorders>
            <w:hideMark/>
          </w:tcPr>
          <w:p w14:paraId="432CD06A"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MEI, MA</w:t>
            </w:r>
          </w:p>
        </w:tc>
        <w:tc>
          <w:tcPr>
            <w:tcW w:w="1418" w:type="dxa"/>
            <w:tcBorders>
              <w:top w:val="nil"/>
              <w:left w:val="nil"/>
              <w:bottom w:val="single" w:sz="4" w:space="0" w:color="auto"/>
              <w:right w:val="single" w:sz="4" w:space="0" w:color="auto"/>
            </w:tcBorders>
            <w:hideMark/>
          </w:tcPr>
          <w:p w14:paraId="294441DC" w14:textId="0F436F7E"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AKPA, ASCAP,</w:t>
            </w:r>
            <w:r w:rsidR="005A46ED">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AKAFPK; AKAP, ASCAP</w:t>
            </w:r>
          </w:p>
        </w:tc>
        <w:tc>
          <w:tcPr>
            <w:tcW w:w="708" w:type="dxa"/>
            <w:tcBorders>
              <w:top w:val="nil"/>
              <w:left w:val="nil"/>
              <w:bottom w:val="single" w:sz="4" w:space="0" w:color="auto"/>
              <w:right w:val="single" w:sz="4" w:space="0" w:color="auto"/>
            </w:tcBorders>
            <w:hideMark/>
          </w:tcPr>
          <w:p w14:paraId="3A9F561C" w14:textId="42ABEF26"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995</w:t>
            </w:r>
          </w:p>
        </w:tc>
        <w:tc>
          <w:tcPr>
            <w:tcW w:w="567" w:type="dxa"/>
            <w:tcBorders>
              <w:top w:val="nil"/>
              <w:left w:val="nil"/>
              <w:bottom w:val="single" w:sz="4" w:space="0" w:color="auto"/>
              <w:right w:val="single" w:sz="4" w:space="0" w:color="auto"/>
            </w:tcBorders>
            <w:hideMark/>
          </w:tcPr>
          <w:p w14:paraId="0DB74B10" w14:textId="4BA7E99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723</w:t>
            </w:r>
          </w:p>
        </w:tc>
        <w:tc>
          <w:tcPr>
            <w:tcW w:w="567" w:type="dxa"/>
            <w:tcBorders>
              <w:top w:val="nil"/>
              <w:left w:val="nil"/>
              <w:bottom w:val="single" w:sz="4" w:space="0" w:color="auto"/>
              <w:right w:val="single" w:sz="4" w:space="0" w:color="auto"/>
            </w:tcBorders>
            <w:hideMark/>
          </w:tcPr>
          <w:p w14:paraId="4BC764F3" w14:textId="77A4696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3B78AAB3" w14:textId="43F8F40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1F396880" w14:textId="3DEC06E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1A945FB9"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31075679" w14:textId="6AFD9825"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1.1.2</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Përfshirje e elementeve të AFP</w:t>
            </w:r>
            <w:r w:rsidR="00C62D77" w:rsidRPr="00024D5A">
              <w:rPr>
                <w:rFonts w:ascii="Garamond" w:eastAsia="Times New Roman" w:hAnsi="Garamond"/>
                <w:sz w:val="6"/>
                <w:szCs w:val="16"/>
                <w:lang w:eastAsia="en-US"/>
              </w:rPr>
              <w:t>-së</w:t>
            </w:r>
            <w:r w:rsidRPr="00024D5A">
              <w:rPr>
                <w:rFonts w:ascii="Garamond" w:eastAsia="Times New Roman" w:hAnsi="Garamond"/>
                <w:sz w:val="6"/>
                <w:szCs w:val="16"/>
                <w:lang w:eastAsia="en-US"/>
              </w:rPr>
              <w:t xml:space="preserve"> në </w:t>
            </w:r>
            <w:r w:rsidR="00F958F2" w:rsidRPr="00024D5A">
              <w:rPr>
                <w:rFonts w:ascii="Garamond" w:eastAsia="Times New Roman" w:hAnsi="Garamond"/>
                <w:sz w:val="6"/>
                <w:szCs w:val="16"/>
                <w:lang w:eastAsia="en-US"/>
              </w:rPr>
              <w:t>ligjin për arsimin parauniversitar</w:t>
            </w:r>
            <w:r w:rsidRPr="00024D5A">
              <w:rPr>
                <w:rFonts w:ascii="Garamond" w:eastAsia="Times New Roman" w:hAnsi="Garamond"/>
                <w:sz w:val="6"/>
                <w:szCs w:val="16"/>
                <w:lang w:eastAsia="en-US"/>
              </w:rPr>
              <w:t>, për të garantuar AFP cilësor për nxënësit dhe kursantët me aftësi të kufizuara.</w:t>
            </w:r>
          </w:p>
        </w:tc>
        <w:tc>
          <w:tcPr>
            <w:tcW w:w="567" w:type="dxa"/>
            <w:tcBorders>
              <w:top w:val="nil"/>
              <w:left w:val="nil"/>
              <w:bottom w:val="single" w:sz="4" w:space="0" w:color="auto"/>
              <w:right w:val="single" w:sz="4" w:space="0" w:color="auto"/>
            </w:tcBorders>
            <w:hideMark/>
          </w:tcPr>
          <w:p w14:paraId="018D34B4"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212BA194"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1134" w:type="dxa"/>
            <w:tcBorders>
              <w:top w:val="nil"/>
              <w:left w:val="nil"/>
              <w:bottom w:val="single" w:sz="4" w:space="0" w:color="auto"/>
              <w:right w:val="single" w:sz="4" w:space="0" w:color="auto"/>
            </w:tcBorders>
            <w:hideMark/>
          </w:tcPr>
          <w:p w14:paraId="21E2697C"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MEI, MA</w:t>
            </w:r>
          </w:p>
        </w:tc>
        <w:tc>
          <w:tcPr>
            <w:tcW w:w="1418" w:type="dxa"/>
            <w:tcBorders>
              <w:top w:val="nil"/>
              <w:left w:val="nil"/>
              <w:bottom w:val="single" w:sz="4" w:space="0" w:color="auto"/>
              <w:right w:val="single" w:sz="4" w:space="0" w:color="auto"/>
            </w:tcBorders>
            <w:hideMark/>
          </w:tcPr>
          <w:p w14:paraId="05F57A4D" w14:textId="2918F4EA"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AKPA, ASCAP,</w:t>
            </w:r>
            <w:r w:rsidR="005A46ED">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AKAFPK; AKAP, ASCAP</w:t>
            </w:r>
          </w:p>
        </w:tc>
        <w:tc>
          <w:tcPr>
            <w:tcW w:w="708" w:type="dxa"/>
            <w:tcBorders>
              <w:top w:val="nil"/>
              <w:left w:val="nil"/>
              <w:bottom w:val="single" w:sz="4" w:space="0" w:color="auto"/>
              <w:right w:val="single" w:sz="4" w:space="0" w:color="auto"/>
            </w:tcBorders>
            <w:hideMark/>
          </w:tcPr>
          <w:p w14:paraId="3561994D" w14:textId="0F78304B"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995</w:t>
            </w:r>
          </w:p>
        </w:tc>
        <w:tc>
          <w:tcPr>
            <w:tcW w:w="567" w:type="dxa"/>
            <w:tcBorders>
              <w:top w:val="nil"/>
              <w:left w:val="nil"/>
              <w:bottom w:val="single" w:sz="4" w:space="0" w:color="auto"/>
              <w:right w:val="single" w:sz="4" w:space="0" w:color="auto"/>
            </w:tcBorders>
            <w:hideMark/>
          </w:tcPr>
          <w:p w14:paraId="7C42FF71" w14:textId="31CCA4E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723</w:t>
            </w:r>
          </w:p>
        </w:tc>
        <w:tc>
          <w:tcPr>
            <w:tcW w:w="567" w:type="dxa"/>
            <w:tcBorders>
              <w:top w:val="nil"/>
              <w:left w:val="nil"/>
              <w:bottom w:val="single" w:sz="4" w:space="0" w:color="auto"/>
              <w:right w:val="single" w:sz="4" w:space="0" w:color="auto"/>
            </w:tcBorders>
            <w:hideMark/>
          </w:tcPr>
          <w:p w14:paraId="314E79CA" w14:textId="3A56108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2AA31379" w14:textId="3A2861F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4D2EE1AC" w14:textId="4397460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6F884DED"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492906AF" w14:textId="04F98495" w:rsidR="00700D7D" w:rsidRPr="00024D5A" w:rsidRDefault="00C62D77"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1.1.3 </w:t>
            </w:r>
            <w:r w:rsidR="00700D7D" w:rsidRPr="00024D5A">
              <w:rPr>
                <w:rFonts w:ascii="Garamond" w:eastAsia="Times New Roman" w:hAnsi="Garamond"/>
                <w:sz w:val="6"/>
                <w:szCs w:val="16"/>
                <w:lang w:eastAsia="en-US"/>
              </w:rPr>
              <w:t xml:space="preserve">Hartimi </w:t>
            </w:r>
            <w:r w:rsidRPr="00024D5A">
              <w:rPr>
                <w:rFonts w:ascii="Garamond" w:eastAsia="Times New Roman" w:hAnsi="Garamond"/>
                <w:sz w:val="6"/>
                <w:szCs w:val="16"/>
                <w:lang w:eastAsia="en-US"/>
              </w:rPr>
              <w:t xml:space="preserve">Dhe Aprovimi I Një Udhëzimi Të Përbashkët Me Ministrinë E </w:t>
            </w:r>
            <w:r w:rsidR="00700D7D" w:rsidRPr="00024D5A">
              <w:rPr>
                <w:rFonts w:ascii="Garamond" w:eastAsia="Times New Roman" w:hAnsi="Garamond"/>
                <w:sz w:val="6"/>
                <w:szCs w:val="16"/>
                <w:lang w:eastAsia="en-US"/>
              </w:rPr>
              <w:t xml:space="preserve">Arsimit </w:t>
            </w:r>
            <w:r w:rsidRPr="00024D5A">
              <w:rPr>
                <w:rFonts w:ascii="Garamond" w:eastAsia="Times New Roman" w:hAnsi="Garamond"/>
                <w:sz w:val="6"/>
                <w:szCs w:val="16"/>
                <w:lang w:eastAsia="en-US"/>
              </w:rPr>
              <w:t xml:space="preserve">Dhe </w:t>
            </w:r>
            <w:r w:rsidR="00700D7D" w:rsidRPr="00024D5A">
              <w:rPr>
                <w:rFonts w:ascii="Garamond" w:eastAsia="Times New Roman" w:hAnsi="Garamond"/>
                <w:sz w:val="6"/>
                <w:szCs w:val="16"/>
                <w:lang w:eastAsia="en-US"/>
              </w:rPr>
              <w:t xml:space="preserve">Ministrinë </w:t>
            </w:r>
            <w:r w:rsidRPr="00024D5A">
              <w:rPr>
                <w:rFonts w:ascii="Garamond" w:eastAsia="Times New Roman" w:hAnsi="Garamond"/>
                <w:sz w:val="6"/>
                <w:szCs w:val="16"/>
                <w:lang w:eastAsia="en-US"/>
              </w:rPr>
              <w:t xml:space="preserve">E </w:t>
            </w:r>
            <w:r w:rsidR="00700D7D" w:rsidRPr="00024D5A">
              <w:rPr>
                <w:rFonts w:ascii="Garamond" w:eastAsia="Times New Roman" w:hAnsi="Garamond"/>
                <w:sz w:val="6"/>
                <w:szCs w:val="16"/>
                <w:lang w:eastAsia="en-US"/>
              </w:rPr>
              <w:t>Shëndetësisë</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Në zbatim të nenit 64, “</w:t>
            </w:r>
            <w:r w:rsidR="00700D7D" w:rsidRPr="00024D5A">
              <w:rPr>
                <w:rFonts w:ascii="Garamond" w:eastAsia="Times New Roman" w:hAnsi="Garamond"/>
                <w:sz w:val="6"/>
                <w:szCs w:val="16"/>
                <w:lang w:eastAsia="en-US"/>
              </w:rPr>
              <w:t xml:space="preserve">Ndjekja </w:t>
            </w:r>
            <w:r w:rsidRPr="00024D5A">
              <w:rPr>
                <w:rFonts w:ascii="Garamond" w:eastAsia="Times New Roman" w:hAnsi="Garamond"/>
                <w:sz w:val="6"/>
                <w:szCs w:val="16"/>
                <w:lang w:eastAsia="en-US"/>
              </w:rPr>
              <w:t>e institucioneve arsimore nga fëmijët me aftësi të kufizuara”.</w:t>
            </w:r>
          </w:p>
        </w:tc>
        <w:tc>
          <w:tcPr>
            <w:tcW w:w="567" w:type="dxa"/>
            <w:tcBorders>
              <w:top w:val="nil"/>
              <w:left w:val="nil"/>
              <w:bottom w:val="single" w:sz="4" w:space="0" w:color="auto"/>
              <w:right w:val="single" w:sz="4" w:space="0" w:color="auto"/>
            </w:tcBorders>
            <w:hideMark/>
          </w:tcPr>
          <w:p w14:paraId="45F2568B"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7CEEECB5"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1134" w:type="dxa"/>
            <w:tcBorders>
              <w:top w:val="nil"/>
              <w:left w:val="nil"/>
              <w:bottom w:val="single" w:sz="4" w:space="0" w:color="auto"/>
              <w:right w:val="single" w:sz="4" w:space="0" w:color="auto"/>
            </w:tcBorders>
            <w:hideMark/>
          </w:tcPr>
          <w:p w14:paraId="74FBD04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MEI, MA</w:t>
            </w:r>
          </w:p>
        </w:tc>
        <w:tc>
          <w:tcPr>
            <w:tcW w:w="1418" w:type="dxa"/>
            <w:tcBorders>
              <w:top w:val="nil"/>
              <w:left w:val="nil"/>
              <w:bottom w:val="single" w:sz="4" w:space="0" w:color="auto"/>
              <w:right w:val="single" w:sz="4" w:space="0" w:color="auto"/>
            </w:tcBorders>
            <w:hideMark/>
          </w:tcPr>
          <w:p w14:paraId="7B71ABEC" w14:textId="3D787B11"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AKPA, ASCAP,</w:t>
            </w:r>
            <w:r w:rsidR="005A46ED">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AKAFPK; AKAP, ASCAP</w:t>
            </w:r>
          </w:p>
        </w:tc>
        <w:tc>
          <w:tcPr>
            <w:tcW w:w="708" w:type="dxa"/>
            <w:tcBorders>
              <w:top w:val="nil"/>
              <w:left w:val="nil"/>
              <w:bottom w:val="single" w:sz="4" w:space="0" w:color="auto"/>
              <w:right w:val="single" w:sz="4" w:space="0" w:color="auto"/>
            </w:tcBorders>
            <w:hideMark/>
          </w:tcPr>
          <w:p w14:paraId="52DD7A3D" w14:textId="12CA24E1"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182</w:t>
            </w:r>
          </w:p>
        </w:tc>
        <w:tc>
          <w:tcPr>
            <w:tcW w:w="567" w:type="dxa"/>
            <w:tcBorders>
              <w:top w:val="nil"/>
              <w:left w:val="nil"/>
              <w:bottom w:val="single" w:sz="4" w:space="0" w:color="auto"/>
              <w:right w:val="single" w:sz="4" w:space="0" w:color="auto"/>
            </w:tcBorders>
            <w:hideMark/>
          </w:tcPr>
          <w:p w14:paraId="15A75998" w14:textId="3AA215A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5024D11E" w14:textId="2276DD1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2F774EE1" w14:textId="14EBA9F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0F19E58F" w14:textId="638CE4B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37A2CC70"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5B227907" w14:textId="6261E3B6"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1.1.4</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 xml:space="preserve">Aprovimi i </w:t>
            </w:r>
            <w:r w:rsidR="00C62D77" w:rsidRPr="00024D5A">
              <w:rPr>
                <w:rFonts w:ascii="Garamond" w:eastAsia="Times New Roman" w:hAnsi="Garamond"/>
                <w:sz w:val="6"/>
                <w:szCs w:val="16"/>
                <w:lang w:eastAsia="en-US"/>
              </w:rPr>
              <w:t xml:space="preserve">udhëzuesit </w:t>
            </w:r>
            <w:r w:rsidRPr="00024D5A">
              <w:rPr>
                <w:rFonts w:ascii="Garamond" w:eastAsia="Times New Roman" w:hAnsi="Garamond"/>
                <w:sz w:val="6"/>
                <w:szCs w:val="16"/>
                <w:lang w:eastAsia="en-US"/>
              </w:rPr>
              <w:t>për ofrimin e arsimit dhe formimit profesional gjithëpërfshirës për nxënësit dhe kursantët me aftësi të kufizuara</w:t>
            </w:r>
            <w:r w:rsidR="00C62D77"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5489EC04"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4A303390"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1134" w:type="dxa"/>
            <w:tcBorders>
              <w:top w:val="nil"/>
              <w:left w:val="nil"/>
              <w:bottom w:val="single" w:sz="4" w:space="0" w:color="auto"/>
              <w:right w:val="single" w:sz="4" w:space="0" w:color="auto"/>
            </w:tcBorders>
            <w:hideMark/>
          </w:tcPr>
          <w:p w14:paraId="3636FA8C"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MEI, AKPA</w:t>
            </w:r>
          </w:p>
        </w:tc>
        <w:tc>
          <w:tcPr>
            <w:tcW w:w="1418" w:type="dxa"/>
            <w:tcBorders>
              <w:top w:val="nil"/>
              <w:left w:val="nil"/>
              <w:bottom w:val="single" w:sz="4" w:space="0" w:color="auto"/>
              <w:right w:val="single" w:sz="4" w:space="0" w:color="auto"/>
            </w:tcBorders>
            <w:hideMark/>
          </w:tcPr>
          <w:p w14:paraId="7636A186"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IoAFP</w:t>
            </w:r>
          </w:p>
        </w:tc>
        <w:tc>
          <w:tcPr>
            <w:tcW w:w="708" w:type="dxa"/>
            <w:tcBorders>
              <w:top w:val="nil"/>
              <w:left w:val="nil"/>
              <w:bottom w:val="single" w:sz="4" w:space="0" w:color="auto"/>
              <w:right w:val="single" w:sz="4" w:space="0" w:color="auto"/>
            </w:tcBorders>
            <w:hideMark/>
          </w:tcPr>
          <w:p w14:paraId="28DF9BA0" w14:textId="1C760507"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273</w:t>
            </w:r>
          </w:p>
        </w:tc>
        <w:tc>
          <w:tcPr>
            <w:tcW w:w="567" w:type="dxa"/>
            <w:tcBorders>
              <w:top w:val="nil"/>
              <w:left w:val="nil"/>
              <w:bottom w:val="single" w:sz="4" w:space="0" w:color="auto"/>
              <w:right w:val="single" w:sz="4" w:space="0" w:color="auto"/>
            </w:tcBorders>
            <w:hideMark/>
          </w:tcPr>
          <w:p w14:paraId="25620C0A" w14:textId="2E91025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3D7496FA" w14:textId="1100929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3CD0C944" w14:textId="131B0B7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30C60461" w14:textId="0B6D5A2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5D97F447"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7B89BE4C" w14:textId="31BF60FC"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1.1.5 Rishikimi i procesit të vetëvlerësimit si instrument plotësues dhe efektiv i garantimit të cilësisë duke</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 xml:space="preserve">përfshirë tregues specifik për </w:t>
            </w:r>
            <w:r w:rsidR="00C62D77" w:rsidRPr="00024D5A">
              <w:rPr>
                <w:rFonts w:ascii="Garamond" w:eastAsia="Times New Roman" w:hAnsi="Garamond"/>
                <w:sz w:val="6"/>
                <w:szCs w:val="16"/>
                <w:lang w:eastAsia="en-US"/>
              </w:rPr>
              <w:t>gatishmërinë</w:t>
            </w:r>
            <w:r w:rsidRPr="00024D5A">
              <w:rPr>
                <w:rFonts w:ascii="Garamond" w:eastAsia="Times New Roman" w:hAnsi="Garamond"/>
                <w:sz w:val="6"/>
                <w:szCs w:val="16"/>
                <w:lang w:eastAsia="en-US"/>
              </w:rPr>
              <w:t xml:space="preserve"> e IOAFP për arsimimin gjithëpërfshirës</w:t>
            </w:r>
            <w:r w:rsidR="00C62D77"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w:t>
            </w:r>
          </w:p>
        </w:tc>
        <w:tc>
          <w:tcPr>
            <w:tcW w:w="567" w:type="dxa"/>
            <w:tcBorders>
              <w:top w:val="nil"/>
              <w:left w:val="nil"/>
              <w:bottom w:val="single" w:sz="4" w:space="0" w:color="auto"/>
              <w:right w:val="single" w:sz="4" w:space="0" w:color="auto"/>
            </w:tcBorders>
            <w:hideMark/>
          </w:tcPr>
          <w:p w14:paraId="6E56731A"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567" w:type="dxa"/>
            <w:tcBorders>
              <w:top w:val="nil"/>
              <w:left w:val="nil"/>
              <w:bottom w:val="single" w:sz="4" w:space="0" w:color="auto"/>
              <w:right w:val="single" w:sz="4" w:space="0" w:color="auto"/>
            </w:tcBorders>
            <w:hideMark/>
          </w:tcPr>
          <w:p w14:paraId="058A9247"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1134" w:type="dxa"/>
            <w:tcBorders>
              <w:top w:val="nil"/>
              <w:left w:val="nil"/>
              <w:bottom w:val="single" w:sz="4" w:space="0" w:color="auto"/>
              <w:right w:val="single" w:sz="4" w:space="0" w:color="auto"/>
            </w:tcBorders>
            <w:hideMark/>
          </w:tcPr>
          <w:p w14:paraId="301A5B93"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AKAFPK</w:t>
            </w:r>
          </w:p>
        </w:tc>
        <w:tc>
          <w:tcPr>
            <w:tcW w:w="1418" w:type="dxa"/>
            <w:tcBorders>
              <w:top w:val="nil"/>
              <w:left w:val="nil"/>
              <w:bottom w:val="single" w:sz="4" w:space="0" w:color="auto"/>
              <w:right w:val="single" w:sz="4" w:space="0" w:color="auto"/>
            </w:tcBorders>
            <w:hideMark/>
          </w:tcPr>
          <w:p w14:paraId="7E37EF90"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AKPA</w:t>
            </w:r>
          </w:p>
        </w:tc>
        <w:tc>
          <w:tcPr>
            <w:tcW w:w="708" w:type="dxa"/>
            <w:tcBorders>
              <w:top w:val="nil"/>
              <w:left w:val="nil"/>
              <w:bottom w:val="single" w:sz="4" w:space="0" w:color="auto"/>
              <w:right w:val="single" w:sz="4" w:space="0" w:color="auto"/>
            </w:tcBorders>
            <w:hideMark/>
          </w:tcPr>
          <w:p w14:paraId="42EE6D5C" w14:textId="663425DA"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4FE63A9D" w14:textId="1A7CD08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623</w:t>
            </w:r>
          </w:p>
        </w:tc>
        <w:tc>
          <w:tcPr>
            <w:tcW w:w="567" w:type="dxa"/>
            <w:tcBorders>
              <w:top w:val="nil"/>
              <w:left w:val="nil"/>
              <w:bottom w:val="single" w:sz="4" w:space="0" w:color="auto"/>
              <w:right w:val="single" w:sz="4" w:space="0" w:color="auto"/>
            </w:tcBorders>
            <w:hideMark/>
          </w:tcPr>
          <w:p w14:paraId="4E636ADB" w14:textId="29D8AA2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57073AE2" w14:textId="09A24A8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4B6ADC73" w14:textId="0FEFA59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5044DEB6"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29833318" w14:textId="6F316110"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1.1.6 Rishikim i kritereve të cilësisë dhe modelit të akreditimit për të garantuar </w:t>
            </w:r>
            <w:r w:rsidR="00AF1EBE" w:rsidRPr="00024D5A">
              <w:rPr>
                <w:rFonts w:ascii="Garamond" w:eastAsia="Times New Roman" w:hAnsi="Garamond"/>
                <w:sz w:val="6"/>
                <w:szCs w:val="16"/>
                <w:lang w:eastAsia="en-US"/>
              </w:rPr>
              <w:t>standarde</w:t>
            </w:r>
            <w:r w:rsidRPr="00024D5A">
              <w:rPr>
                <w:rFonts w:ascii="Garamond" w:eastAsia="Times New Roman" w:hAnsi="Garamond"/>
                <w:sz w:val="6"/>
                <w:szCs w:val="16"/>
                <w:lang w:eastAsia="en-US"/>
              </w:rPr>
              <w:t xml:space="preserve"> e arsimit gjithëpërfshirës për nxënësit e kursantët me aftësi të </w:t>
            </w:r>
            <w:r w:rsidR="00AF1EBE" w:rsidRPr="00024D5A">
              <w:rPr>
                <w:rFonts w:ascii="Garamond" w:eastAsia="Times New Roman" w:hAnsi="Garamond"/>
                <w:sz w:val="6"/>
                <w:szCs w:val="16"/>
                <w:lang w:eastAsia="en-US"/>
              </w:rPr>
              <w:t>kufizuar</w:t>
            </w:r>
            <w:r w:rsidRPr="00024D5A">
              <w:rPr>
                <w:rFonts w:ascii="Garamond" w:eastAsia="Times New Roman" w:hAnsi="Garamond"/>
                <w:sz w:val="6"/>
                <w:szCs w:val="16"/>
                <w:lang w:eastAsia="en-US"/>
              </w:rPr>
              <w:t>, si kusht për akreditimin për të gjithë ofruesit publikë të AFP-së, si dhe ofrues privat</w:t>
            </w:r>
            <w:r w:rsidR="00AF1EB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që ofrojnë kualifikime profesionale të niveleve 2</w:t>
            </w:r>
            <w:r w:rsidR="00AF1EBE"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5</w:t>
            </w:r>
            <w:r w:rsidR="00AF1EBE"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të KSHK-së.</w:t>
            </w:r>
          </w:p>
        </w:tc>
        <w:tc>
          <w:tcPr>
            <w:tcW w:w="567" w:type="dxa"/>
            <w:tcBorders>
              <w:top w:val="nil"/>
              <w:left w:val="nil"/>
              <w:bottom w:val="single" w:sz="4" w:space="0" w:color="auto"/>
              <w:right w:val="single" w:sz="4" w:space="0" w:color="auto"/>
            </w:tcBorders>
            <w:hideMark/>
          </w:tcPr>
          <w:p w14:paraId="294BD764"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567" w:type="dxa"/>
            <w:tcBorders>
              <w:top w:val="nil"/>
              <w:left w:val="nil"/>
              <w:bottom w:val="single" w:sz="4" w:space="0" w:color="auto"/>
              <w:right w:val="single" w:sz="4" w:space="0" w:color="auto"/>
            </w:tcBorders>
            <w:hideMark/>
          </w:tcPr>
          <w:p w14:paraId="5D92EF98"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1134" w:type="dxa"/>
            <w:tcBorders>
              <w:top w:val="nil"/>
              <w:left w:val="nil"/>
              <w:bottom w:val="single" w:sz="4" w:space="0" w:color="auto"/>
              <w:right w:val="single" w:sz="4" w:space="0" w:color="auto"/>
            </w:tcBorders>
            <w:hideMark/>
          </w:tcPr>
          <w:p w14:paraId="68FE7302"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AKAFPK</w:t>
            </w:r>
          </w:p>
        </w:tc>
        <w:tc>
          <w:tcPr>
            <w:tcW w:w="1418" w:type="dxa"/>
            <w:tcBorders>
              <w:top w:val="nil"/>
              <w:left w:val="nil"/>
              <w:bottom w:val="single" w:sz="4" w:space="0" w:color="auto"/>
              <w:right w:val="single" w:sz="4" w:space="0" w:color="auto"/>
            </w:tcBorders>
            <w:hideMark/>
          </w:tcPr>
          <w:p w14:paraId="048EF6F0"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AKPA, MEI</w:t>
            </w:r>
          </w:p>
        </w:tc>
        <w:tc>
          <w:tcPr>
            <w:tcW w:w="708" w:type="dxa"/>
            <w:tcBorders>
              <w:top w:val="nil"/>
              <w:left w:val="nil"/>
              <w:bottom w:val="single" w:sz="4" w:space="0" w:color="auto"/>
              <w:right w:val="single" w:sz="4" w:space="0" w:color="auto"/>
            </w:tcBorders>
            <w:hideMark/>
          </w:tcPr>
          <w:p w14:paraId="7BA3F52E" w14:textId="6E530E59"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5C01D50E" w14:textId="3BA9FC0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623</w:t>
            </w:r>
          </w:p>
        </w:tc>
        <w:tc>
          <w:tcPr>
            <w:tcW w:w="567" w:type="dxa"/>
            <w:tcBorders>
              <w:top w:val="nil"/>
              <w:left w:val="nil"/>
              <w:bottom w:val="single" w:sz="4" w:space="0" w:color="auto"/>
              <w:right w:val="single" w:sz="4" w:space="0" w:color="auto"/>
            </w:tcBorders>
            <w:hideMark/>
          </w:tcPr>
          <w:p w14:paraId="4D5750C7" w14:textId="04186FB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29C2C234" w14:textId="2D7C181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2FA10B8D" w14:textId="0FBADC8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05BD63F1"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7D20D8AF" w14:textId="5465A0C4"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1.1.7 Rishikim i qasjes dhe modelit të inspektimit në AFP të harmonizuar me kornizën e garantimit dhe zhvillimit të cilësisë, dhe plotësimi me tregues specifik që garantojnë cilësinë në arsim për nxënësit me aftësi të kufizuara</w:t>
            </w:r>
            <w:r w:rsidR="00AF1EBE"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7025B957"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567" w:type="dxa"/>
            <w:tcBorders>
              <w:top w:val="nil"/>
              <w:left w:val="nil"/>
              <w:bottom w:val="single" w:sz="4" w:space="0" w:color="auto"/>
              <w:right w:val="single" w:sz="4" w:space="0" w:color="auto"/>
            </w:tcBorders>
            <w:hideMark/>
          </w:tcPr>
          <w:p w14:paraId="724443E6"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1134" w:type="dxa"/>
            <w:tcBorders>
              <w:top w:val="nil"/>
              <w:left w:val="nil"/>
              <w:bottom w:val="single" w:sz="4" w:space="0" w:color="auto"/>
              <w:right w:val="single" w:sz="4" w:space="0" w:color="auto"/>
            </w:tcBorders>
            <w:hideMark/>
          </w:tcPr>
          <w:p w14:paraId="3FEDD427"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MEI</w:t>
            </w:r>
          </w:p>
        </w:tc>
        <w:tc>
          <w:tcPr>
            <w:tcW w:w="1418" w:type="dxa"/>
            <w:tcBorders>
              <w:top w:val="nil"/>
              <w:left w:val="nil"/>
              <w:bottom w:val="single" w:sz="4" w:space="0" w:color="auto"/>
              <w:right w:val="single" w:sz="4" w:space="0" w:color="auto"/>
            </w:tcBorders>
            <w:hideMark/>
          </w:tcPr>
          <w:p w14:paraId="21F0B0EA"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AKPA, AKAFPK</w:t>
            </w:r>
          </w:p>
        </w:tc>
        <w:tc>
          <w:tcPr>
            <w:tcW w:w="708" w:type="dxa"/>
            <w:tcBorders>
              <w:top w:val="nil"/>
              <w:left w:val="nil"/>
              <w:bottom w:val="single" w:sz="4" w:space="0" w:color="auto"/>
              <w:right w:val="single" w:sz="4" w:space="0" w:color="auto"/>
            </w:tcBorders>
            <w:hideMark/>
          </w:tcPr>
          <w:p w14:paraId="29BFC532" w14:textId="77B4757A"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3CFCCDE1" w14:textId="19FA458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623</w:t>
            </w:r>
          </w:p>
        </w:tc>
        <w:tc>
          <w:tcPr>
            <w:tcW w:w="567" w:type="dxa"/>
            <w:tcBorders>
              <w:top w:val="nil"/>
              <w:left w:val="nil"/>
              <w:bottom w:val="single" w:sz="4" w:space="0" w:color="auto"/>
              <w:right w:val="single" w:sz="4" w:space="0" w:color="auto"/>
            </w:tcBorders>
            <w:hideMark/>
          </w:tcPr>
          <w:p w14:paraId="49730BDA" w14:textId="2659FC2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5D9A7F3D" w14:textId="4247FA5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0B102739" w14:textId="6CCE5D1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7F4677F5"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4DAFCACC" w14:textId="7E87D008"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1.1.8 Sistem i kualifikimit fillestar dhe zhvillimit të vazhduar profesional të mësimdhë</w:t>
            </w:r>
            <w:r w:rsidR="00AF1EBE" w:rsidRPr="00024D5A">
              <w:rPr>
                <w:rFonts w:ascii="Garamond" w:eastAsia="Times New Roman" w:hAnsi="Garamond"/>
                <w:sz w:val="6"/>
                <w:szCs w:val="16"/>
                <w:lang w:eastAsia="en-US"/>
              </w:rPr>
              <w:t>në</w:t>
            </w:r>
            <w:r w:rsidRPr="00024D5A">
              <w:rPr>
                <w:rFonts w:ascii="Garamond" w:eastAsia="Times New Roman" w:hAnsi="Garamond"/>
                <w:sz w:val="6"/>
                <w:szCs w:val="16"/>
                <w:lang w:eastAsia="en-US"/>
              </w:rPr>
              <w:t>sve, përfshirë atë të kulturave profesinale dhe mësuesit ndihmës, për të garantuar aftësi teknike në drejtim ofrimit të një arsimi cilësor për nxënësit/kursantët me aftësi të kufizuara, i rishikuar</w:t>
            </w:r>
            <w:r w:rsidR="007675EC"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aprovuar</w:t>
            </w:r>
            <w:r w:rsidR="00AF1EBE"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6C03E16D"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567" w:type="dxa"/>
            <w:tcBorders>
              <w:top w:val="nil"/>
              <w:left w:val="nil"/>
              <w:bottom w:val="single" w:sz="4" w:space="0" w:color="auto"/>
              <w:right w:val="single" w:sz="4" w:space="0" w:color="auto"/>
            </w:tcBorders>
            <w:hideMark/>
          </w:tcPr>
          <w:p w14:paraId="6BEC1352"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2028</w:t>
            </w:r>
          </w:p>
        </w:tc>
        <w:tc>
          <w:tcPr>
            <w:tcW w:w="1134" w:type="dxa"/>
            <w:tcBorders>
              <w:top w:val="nil"/>
              <w:left w:val="nil"/>
              <w:bottom w:val="single" w:sz="4" w:space="0" w:color="auto"/>
              <w:right w:val="single" w:sz="4" w:space="0" w:color="auto"/>
            </w:tcBorders>
            <w:hideMark/>
          </w:tcPr>
          <w:p w14:paraId="5AAE333D"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AKAFPK</w:t>
            </w:r>
          </w:p>
        </w:tc>
        <w:tc>
          <w:tcPr>
            <w:tcW w:w="1418" w:type="dxa"/>
            <w:tcBorders>
              <w:top w:val="nil"/>
              <w:left w:val="nil"/>
              <w:bottom w:val="single" w:sz="4" w:space="0" w:color="auto"/>
              <w:right w:val="single" w:sz="4" w:space="0" w:color="auto"/>
            </w:tcBorders>
            <w:hideMark/>
          </w:tcPr>
          <w:p w14:paraId="67F08E23"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AKPA</w:t>
            </w:r>
          </w:p>
        </w:tc>
        <w:tc>
          <w:tcPr>
            <w:tcW w:w="708" w:type="dxa"/>
            <w:tcBorders>
              <w:top w:val="nil"/>
              <w:left w:val="nil"/>
              <w:bottom w:val="single" w:sz="4" w:space="0" w:color="auto"/>
              <w:right w:val="single" w:sz="4" w:space="0" w:color="auto"/>
            </w:tcBorders>
            <w:hideMark/>
          </w:tcPr>
          <w:p w14:paraId="1289D2E6" w14:textId="00B6D8E0"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4C6C7089" w14:textId="0D1634A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245</w:t>
            </w:r>
          </w:p>
        </w:tc>
        <w:tc>
          <w:tcPr>
            <w:tcW w:w="567" w:type="dxa"/>
            <w:tcBorders>
              <w:top w:val="nil"/>
              <w:left w:val="nil"/>
              <w:bottom w:val="single" w:sz="4" w:space="0" w:color="auto"/>
              <w:right w:val="single" w:sz="4" w:space="0" w:color="auto"/>
            </w:tcBorders>
            <w:hideMark/>
          </w:tcPr>
          <w:p w14:paraId="77260D56" w14:textId="7753DE8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245</w:t>
            </w:r>
          </w:p>
        </w:tc>
        <w:tc>
          <w:tcPr>
            <w:tcW w:w="1134" w:type="dxa"/>
            <w:tcBorders>
              <w:top w:val="nil"/>
              <w:left w:val="nil"/>
              <w:bottom w:val="single" w:sz="4" w:space="0" w:color="auto"/>
              <w:right w:val="single" w:sz="4" w:space="0" w:color="auto"/>
            </w:tcBorders>
            <w:hideMark/>
          </w:tcPr>
          <w:p w14:paraId="09DA86B8" w14:textId="4E88A64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1F6EF8AB" w14:textId="5C7FE20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6B3E221B"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4D74E8EA" w14:textId="4100FF2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1.1.9</w:t>
            </w:r>
            <w:r w:rsidR="00F34824"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Rishikimi dhe konsolidimi (administrativ, me kapacitete dhe mjete në formate të aksesueshme për lloje të ndryshme të aftësisë së kufizuar) i të gjitha njësive të zhvillimit brenda ofruesve publikë të AFP-së, për t’iu përgjigjur nevojave të nxënësve me aftësi të kufizuara.</w:t>
            </w:r>
          </w:p>
        </w:tc>
        <w:tc>
          <w:tcPr>
            <w:tcW w:w="567" w:type="dxa"/>
            <w:tcBorders>
              <w:top w:val="nil"/>
              <w:left w:val="nil"/>
              <w:bottom w:val="single" w:sz="4" w:space="0" w:color="auto"/>
              <w:right w:val="single" w:sz="4" w:space="0" w:color="auto"/>
            </w:tcBorders>
            <w:hideMark/>
          </w:tcPr>
          <w:p w14:paraId="19183D0A"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51EA6EEA"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29ADEF62"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AKAFPK</w:t>
            </w:r>
          </w:p>
        </w:tc>
        <w:tc>
          <w:tcPr>
            <w:tcW w:w="1418" w:type="dxa"/>
            <w:tcBorders>
              <w:top w:val="nil"/>
              <w:left w:val="nil"/>
              <w:bottom w:val="single" w:sz="4" w:space="0" w:color="auto"/>
              <w:right w:val="single" w:sz="4" w:space="0" w:color="auto"/>
            </w:tcBorders>
            <w:hideMark/>
          </w:tcPr>
          <w:p w14:paraId="10C55D6B"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AKPA</w:t>
            </w:r>
          </w:p>
        </w:tc>
        <w:tc>
          <w:tcPr>
            <w:tcW w:w="708" w:type="dxa"/>
            <w:tcBorders>
              <w:top w:val="nil"/>
              <w:left w:val="nil"/>
              <w:bottom w:val="single" w:sz="4" w:space="0" w:color="auto"/>
              <w:right w:val="single" w:sz="4" w:space="0" w:color="auto"/>
            </w:tcBorders>
            <w:hideMark/>
          </w:tcPr>
          <w:p w14:paraId="7E9D8B0A" w14:textId="38B6BBAA"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900</w:t>
            </w:r>
          </w:p>
        </w:tc>
        <w:tc>
          <w:tcPr>
            <w:tcW w:w="567" w:type="dxa"/>
            <w:tcBorders>
              <w:top w:val="nil"/>
              <w:left w:val="nil"/>
              <w:bottom w:val="single" w:sz="4" w:space="0" w:color="auto"/>
              <w:right w:val="single" w:sz="4" w:space="0" w:color="auto"/>
            </w:tcBorders>
            <w:hideMark/>
          </w:tcPr>
          <w:p w14:paraId="7CEBEF2C" w14:textId="1C09835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6,690</w:t>
            </w:r>
          </w:p>
        </w:tc>
        <w:tc>
          <w:tcPr>
            <w:tcW w:w="567" w:type="dxa"/>
            <w:tcBorders>
              <w:top w:val="nil"/>
              <w:left w:val="nil"/>
              <w:bottom w:val="single" w:sz="4" w:space="0" w:color="auto"/>
              <w:right w:val="single" w:sz="4" w:space="0" w:color="auto"/>
            </w:tcBorders>
            <w:hideMark/>
          </w:tcPr>
          <w:p w14:paraId="02436472" w14:textId="1382A0C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6,515</w:t>
            </w:r>
          </w:p>
        </w:tc>
        <w:tc>
          <w:tcPr>
            <w:tcW w:w="1134" w:type="dxa"/>
            <w:tcBorders>
              <w:top w:val="nil"/>
              <w:left w:val="nil"/>
              <w:bottom w:val="single" w:sz="4" w:space="0" w:color="auto"/>
              <w:right w:val="single" w:sz="4" w:space="0" w:color="auto"/>
            </w:tcBorders>
            <w:hideMark/>
          </w:tcPr>
          <w:p w14:paraId="6E712DD2" w14:textId="69D995F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6,515</w:t>
            </w:r>
          </w:p>
        </w:tc>
        <w:tc>
          <w:tcPr>
            <w:tcW w:w="1615" w:type="dxa"/>
            <w:tcBorders>
              <w:top w:val="nil"/>
              <w:left w:val="nil"/>
              <w:bottom w:val="single" w:sz="4" w:space="0" w:color="auto"/>
              <w:right w:val="single" w:sz="4" w:space="0" w:color="auto"/>
            </w:tcBorders>
            <w:hideMark/>
          </w:tcPr>
          <w:p w14:paraId="06F7CB47" w14:textId="324E2AF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6,515</w:t>
            </w:r>
          </w:p>
        </w:tc>
      </w:tr>
      <w:tr w:rsidR="00B807EE" w:rsidRPr="00024D5A" w14:paraId="04708A75"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49AF524E" w14:textId="51BD0851"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1.1.10</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Ngritja e kapaciteteve të stafeve drejtuese dhe mbështetëse në ofruesit publik të AFP-së përfshirë në lidhje me aftësinë e kufizuar dhe arsimin gjithëpërfshirës për nxënësit dhe kursantët me aftësi të kufizuara.</w:t>
            </w:r>
          </w:p>
        </w:tc>
        <w:tc>
          <w:tcPr>
            <w:tcW w:w="567" w:type="dxa"/>
            <w:tcBorders>
              <w:top w:val="nil"/>
              <w:left w:val="nil"/>
              <w:bottom w:val="single" w:sz="4" w:space="0" w:color="auto"/>
              <w:right w:val="single" w:sz="4" w:space="0" w:color="auto"/>
            </w:tcBorders>
            <w:hideMark/>
          </w:tcPr>
          <w:p w14:paraId="65F554C6"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0FC212FD"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1134" w:type="dxa"/>
            <w:tcBorders>
              <w:top w:val="nil"/>
              <w:left w:val="nil"/>
              <w:bottom w:val="single" w:sz="4" w:space="0" w:color="auto"/>
              <w:right w:val="single" w:sz="4" w:space="0" w:color="auto"/>
            </w:tcBorders>
            <w:hideMark/>
          </w:tcPr>
          <w:p w14:paraId="235F2C55"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AKPA</w:t>
            </w:r>
          </w:p>
        </w:tc>
        <w:tc>
          <w:tcPr>
            <w:tcW w:w="1418" w:type="dxa"/>
            <w:tcBorders>
              <w:top w:val="nil"/>
              <w:left w:val="nil"/>
              <w:bottom w:val="single" w:sz="4" w:space="0" w:color="auto"/>
              <w:right w:val="single" w:sz="4" w:space="0" w:color="auto"/>
            </w:tcBorders>
            <w:hideMark/>
          </w:tcPr>
          <w:p w14:paraId="15348A1B"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AKAFPK</w:t>
            </w:r>
          </w:p>
        </w:tc>
        <w:tc>
          <w:tcPr>
            <w:tcW w:w="708" w:type="dxa"/>
            <w:tcBorders>
              <w:top w:val="nil"/>
              <w:left w:val="nil"/>
              <w:bottom w:val="single" w:sz="4" w:space="0" w:color="auto"/>
              <w:right w:val="single" w:sz="4" w:space="0" w:color="auto"/>
            </w:tcBorders>
            <w:hideMark/>
          </w:tcPr>
          <w:p w14:paraId="1BA2DD64" w14:textId="5E46644D"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35,100</w:t>
            </w:r>
          </w:p>
        </w:tc>
        <w:tc>
          <w:tcPr>
            <w:tcW w:w="567" w:type="dxa"/>
            <w:tcBorders>
              <w:top w:val="nil"/>
              <w:left w:val="nil"/>
              <w:bottom w:val="single" w:sz="4" w:space="0" w:color="auto"/>
              <w:right w:val="single" w:sz="4" w:space="0" w:color="auto"/>
            </w:tcBorders>
            <w:hideMark/>
          </w:tcPr>
          <w:p w14:paraId="521405EA" w14:textId="2ADDF7B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35,100</w:t>
            </w:r>
          </w:p>
        </w:tc>
        <w:tc>
          <w:tcPr>
            <w:tcW w:w="567" w:type="dxa"/>
            <w:tcBorders>
              <w:top w:val="nil"/>
              <w:left w:val="nil"/>
              <w:bottom w:val="single" w:sz="4" w:space="0" w:color="auto"/>
              <w:right w:val="single" w:sz="4" w:space="0" w:color="auto"/>
            </w:tcBorders>
            <w:hideMark/>
          </w:tcPr>
          <w:p w14:paraId="6533D1E0" w14:textId="46F6937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10075F7C" w14:textId="7F55EC3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05E6DB1D" w14:textId="70A1253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52EC80A7"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6C7C5057" w14:textId="6DA9DCB2"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1.1.11 Krijimi dhe fuqizimi i rrjeteve të e të praktikës mes institucioneve të AFP</w:t>
            </w:r>
            <w:r w:rsidR="00F34824" w:rsidRPr="00024D5A">
              <w:rPr>
                <w:rFonts w:ascii="Garamond" w:eastAsia="Times New Roman" w:hAnsi="Garamond"/>
                <w:sz w:val="6"/>
                <w:szCs w:val="16"/>
                <w:lang w:eastAsia="en-US"/>
              </w:rPr>
              <w:t>-së</w:t>
            </w:r>
            <w:r w:rsidRPr="00024D5A">
              <w:rPr>
                <w:rFonts w:ascii="Garamond" w:eastAsia="Times New Roman" w:hAnsi="Garamond"/>
                <w:sz w:val="6"/>
                <w:szCs w:val="16"/>
                <w:lang w:eastAsia="en-US"/>
              </w:rPr>
              <w:t xml:space="preserve"> për shkëmbim përvojash në lidhje me arsimin dhe formimin profesional gjithëpërfshirës për nxënësit dhe kursantët me aftësi të kufizuara.</w:t>
            </w:r>
          </w:p>
        </w:tc>
        <w:tc>
          <w:tcPr>
            <w:tcW w:w="567" w:type="dxa"/>
            <w:tcBorders>
              <w:top w:val="nil"/>
              <w:left w:val="nil"/>
              <w:bottom w:val="single" w:sz="4" w:space="0" w:color="auto"/>
              <w:right w:val="single" w:sz="4" w:space="0" w:color="auto"/>
            </w:tcBorders>
            <w:hideMark/>
          </w:tcPr>
          <w:p w14:paraId="78230F64"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74125DD8"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7FA724AC"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AKPA</w:t>
            </w:r>
          </w:p>
        </w:tc>
        <w:tc>
          <w:tcPr>
            <w:tcW w:w="1418" w:type="dxa"/>
            <w:tcBorders>
              <w:top w:val="nil"/>
              <w:left w:val="nil"/>
              <w:bottom w:val="single" w:sz="4" w:space="0" w:color="auto"/>
              <w:right w:val="single" w:sz="4" w:space="0" w:color="auto"/>
            </w:tcBorders>
            <w:hideMark/>
          </w:tcPr>
          <w:p w14:paraId="4A36C867"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AKAFPK</w:t>
            </w:r>
          </w:p>
        </w:tc>
        <w:tc>
          <w:tcPr>
            <w:tcW w:w="708" w:type="dxa"/>
            <w:tcBorders>
              <w:top w:val="nil"/>
              <w:left w:val="nil"/>
              <w:bottom w:val="single" w:sz="4" w:space="0" w:color="auto"/>
              <w:right w:val="single" w:sz="4" w:space="0" w:color="auto"/>
            </w:tcBorders>
            <w:hideMark/>
          </w:tcPr>
          <w:p w14:paraId="32B3033E" w14:textId="33BB3108"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327</w:t>
            </w:r>
          </w:p>
        </w:tc>
        <w:tc>
          <w:tcPr>
            <w:tcW w:w="567" w:type="dxa"/>
            <w:tcBorders>
              <w:top w:val="nil"/>
              <w:left w:val="nil"/>
              <w:bottom w:val="single" w:sz="4" w:space="0" w:color="auto"/>
              <w:right w:val="single" w:sz="4" w:space="0" w:color="auto"/>
            </w:tcBorders>
            <w:hideMark/>
          </w:tcPr>
          <w:p w14:paraId="1890239D" w14:textId="6440D0E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1,027</w:t>
            </w:r>
          </w:p>
        </w:tc>
        <w:tc>
          <w:tcPr>
            <w:tcW w:w="567" w:type="dxa"/>
            <w:tcBorders>
              <w:top w:val="nil"/>
              <w:left w:val="nil"/>
              <w:bottom w:val="single" w:sz="4" w:space="0" w:color="auto"/>
              <w:right w:val="single" w:sz="4" w:space="0" w:color="auto"/>
            </w:tcBorders>
            <w:hideMark/>
          </w:tcPr>
          <w:p w14:paraId="6CB2F973" w14:textId="6455634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327</w:t>
            </w:r>
          </w:p>
        </w:tc>
        <w:tc>
          <w:tcPr>
            <w:tcW w:w="1134" w:type="dxa"/>
            <w:tcBorders>
              <w:top w:val="nil"/>
              <w:left w:val="nil"/>
              <w:bottom w:val="single" w:sz="4" w:space="0" w:color="auto"/>
              <w:right w:val="single" w:sz="4" w:space="0" w:color="auto"/>
            </w:tcBorders>
            <w:hideMark/>
          </w:tcPr>
          <w:p w14:paraId="2918B28E" w14:textId="3C15DAB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327</w:t>
            </w:r>
          </w:p>
        </w:tc>
        <w:tc>
          <w:tcPr>
            <w:tcW w:w="1615" w:type="dxa"/>
            <w:tcBorders>
              <w:top w:val="nil"/>
              <w:left w:val="nil"/>
              <w:bottom w:val="single" w:sz="4" w:space="0" w:color="auto"/>
              <w:right w:val="single" w:sz="4" w:space="0" w:color="auto"/>
            </w:tcBorders>
            <w:hideMark/>
          </w:tcPr>
          <w:p w14:paraId="3386BC24" w14:textId="40733D8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327</w:t>
            </w:r>
          </w:p>
        </w:tc>
      </w:tr>
      <w:tr w:rsidR="00B807EE" w:rsidRPr="00024D5A" w14:paraId="0D3CE08A"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B8CCE4"/>
            <w:noWrap/>
            <w:hideMark/>
          </w:tcPr>
          <w:p w14:paraId="56105CC2" w14:textId="250A28BD"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Masa </w:t>
            </w:r>
            <w:r w:rsidR="00FD2E93" w:rsidRPr="00024D5A">
              <w:rPr>
                <w:rFonts w:ascii="Garamond" w:eastAsia="Times New Roman" w:hAnsi="Garamond"/>
                <w:b/>
                <w:bCs/>
                <w:sz w:val="6"/>
                <w:szCs w:val="16"/>
                <w:lang w:eastAsia="en-US"/>
              </w:rPr>
              <w:t xml:space="preserve">prioritare </w:t>
            </w:r>
            <w:r w:rsidRPr="00024D5A">
              <w:rPr>
                <w:rFonts w:ascii="Garamond" w:eastAsia="Times New Roman" w:hAnsi="Garamond"/>
                <w:b/>
                <w:bCs/>
                <w:sz w:val="6"/>
                <w:szCs w:val="16"/>
                <w:lang w:eastAsia="en-US"/>
              </w:rPr>
              <w:t>1.2</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Përmirësimi i infrastrukturës dhe teknologjisë </w:t>
            </w:r>
            <w:r w:rsidRPr="00024D5A">
              <w:rPr>
                <w:rFonts w:ascii="Garamond" w:eastAsia="Times New Roman" w:hAnsi="Garamond"/>
                <w:b/>
                <w:bCs/>
                <w:i/>
                <w:iCs/>
                <w:sz w:val="6"/>
                <w:szCs w:val="16"/>
                <w:lang w:eastAsia="en-US"/>
              </w:rPr>
              <w:t>asis</w:t>
            </w:r>
            <w:r w:rsidR="00A74194">
              <w:rPr>
                <w:rFonts w:ascii="Garamond" w:eastAsia="Times New Roman" w:hAnsi="Garamond"/>
                <w:b/>
                <w:bCs/>
                <w:i/>
                <w:iCs/>
                <w:sz w:val="6"/>
                <w:szCs w:val="16"/>
                <w:lang w:eastAsia="en-US"/>
              </w:rPr>
              <w:t>s</w:t>
            </w:r>
            <w:r w:rsidRPr="00024D5A">
              <w:rPr>
                <w:rFonts w:ascii="Garamond" w:eastAsia="Times New Roman" w:hAnsi="Garamond"/>
                <w:b/>
                <w:bCs/>
                <w:i/>
                <w:iCs/>
                <w:sz w:val="6"/>
                <w:szCs w:val="16"/>
                <w:lang w:eastAsia="en-US"/>
              </w:rPr>
              <w:t>tive</w:t>
            </w:r>
            <w:r w:rsidRPr="00A74194">
              <w:rPr>
                <w:rFonts w:ascii="Garamond" w:eastAsia="Times New Roman" w:hAnsi="Garamond"/>
                <w:b/>
                <w:bCs/>
                <w:i/>
                <w:iCs/>
                <w:sz w:val="6"/>
                <w:szCs w:val="16"/>
                <w:lang w:eastAsia="en-US"/>
              </w:rPr>
              <w:t xml:space="preserve">: </w:t>
            </w:r>
            <w:r w:rsidRPr="00024D5A">
              <w:rPr>
                <w:rFonts w:ascii="Garamond" w:eastAsia="Times New Roman" w:hAnsi="Garamond"/>
                <w:b/>
                <w:bCs/>
                <w:sz w:val="6"/>
                <w:szCs w:val="16"/>
                <w:lang w:eastAsia="en-US"/>
              </w:rPr>
              <w:t>Krijimi i mjediseve mësimore të aksesueshme dhe të pajisura me teknologji mbështetëse.</w:t>
            </w:r>
          </w:p>
        </w:tc>
        <w:tc>
          <w:tcPr>
            <w:tcW w:w="567" w:type="dxa"/>
            <w:tcBorders>
              <w:top w:val="nil"/>
              <w:left w:val="nil"/>
              <w:bottom w:val="single" w:sz="4" w:space="0" w:color="auto"/>
              <w:right w:val="single" w:sz="4" w:space="0" w:color="auto"/>
            </w:tcBorders>
            <w:shd w:val="clear" w:color="000000" w:fill="B8CCE4"/>
            <w:hideMark/>
          </w:tcPr>
          <w:p w14:paraId="4CC3735D"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single" w:sz="4" w:space="0" w:color="auto"/>
            </w:tcBorders>
            <w:shd w:val="clear" w:color="000000" w:fill="B8CCE4"/>
            <w:hideMark/>
          </w:tcPr>
          <w:p w14:paraId="012D9E6A"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shd w:val="clear" w:color="000000" w:fill="B8CCE4"/>
            <w:hideMark/>
          </w:tcPr>
          <w:p w14:paraId="4E230400"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AKPA/AKAFPK</w:t>
            </w:r>
          </w:p>
        </w:tc>
        <w:tc>
          <w:tcPr>
            <w:tcW w:w="1418" w:type="dxa"/>
            <w:tcBorders>
              <w:top w:val="nil"/>
              <w:left w:val="nil"/>
              <w:bottom w:val="single" w:sz="4" w:space="0" w:color="auto"/>
              <w:right w:val="single" w:sz="4" w:space="0" w:color="auto"/>
            </w:tcBorders>
            <w:shd w:val="clear" w:color="000000" w:fill="B8CCE4"/>
            <w:hideMark/>
          </w:tcPr>
          <w:p w14:paraId="305D5662" w14:textId="5A4EF5CA"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MEI</w:t>
            </w:r>
            <w:r w:rsidR="007675EC" w:rsidRPr="00024D5A">
              <w:rPr>
                <w:rFonts w:ascii="Garamond" w:eastAsia="Times New Roman" w:hAnsi="Garamond"/>
                <w:i/>
                <w:iCs/>
                <w:sz w:val="6"/>
                <w:szCs w:val="16"/>
                <w:lang w:eastAsia="en-US"/>
              </w:rPr>
              <w:t>/</w:t>
            </w:r>
            <w:r w:rsidRPr="00024D5A">
              <w:rPr>
                <w:rFonts w:ascii="Garamond" w:eastAsia="Times New Roman" w:hAnsi="Garamond"/>
                <w:i/>
                <w:iCs/>
                <w:sz w:val="6"/>
                <w:szCs w:val="16"/>
                <w:lang w:eastAsia="en-US"/>
              </w:rPr>
              <w:t>AKPA</w:t>
            </w:r>
          </w:p>
        </w:tc>
        <w:tc>
          <w:tcPr>
            <w:tcW w:w="708" w:type="dxa"/>
            <w:tcBorders>
              <w:top w:val="nil"/>
              <w:left w:val="nil"/>
              <w:bottom w:val="single" w:sz="4" w:space="0" w:color="auto"/>
              <w:right w:val="single" w:sz="4" w:space="0" w:color="auto"/>
            </w:tcBorders>
            <w:shd w:val="clear" w:color="000000" w:fill="B8CCE4"/>
            <w:hideMark/>
          </w:tcPr>
          <w:p w14:paraId="07C7BF80" w14:textId="192BF701"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1,875</w:t>
            </w:r>
          </w:p>
        </w:tc>
        <w:tc>
          <w:tcPr>
            <w:tcW w:w="567" w:type="dxa"/>
            <w:tcBorders>
              <w:top w:val="nil"/>
              <w:left w:val="nil"/>
              <w:bottom w:val="single" w:sz="4" w:space="0" w:color="auto"/>
              <w:right w:val="single" w:sz="4" w:space="0" w:color="auto"/>
            </w:tcBorders>
            <w:shd w:val="clear" w:color="000000" w:fill="B8CCE4"/>
            <w:hideMark/>
          </w:tcPr>
          <w:p w14:paraId="150A596F" w14:textId="5D65DA4E"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2,148</w:t>
            </w:r>
          </w:p>
        </w:tc>
        <w:tc>
          <w:tcPr>
            <w:tcW w:w="567" w:type="dxa"/>
            <w:tcBorders>
              <w:top w:val="nil"/>
              <w:left w:val="nil"/>
              <w:bottom w:val="single" w:sz="4" w:space="0" w:color="auto"/>
              <w:right w:val="single" w:sz="4" w:space="0" w:color="auto"/>
            </w:tcBorders>
            <w:shd w:val="clear" w:color="000000" w:fill="B8CCE4"/>
            <w:hideMark/>
          </w:tcPr>
          <w:p w14:paraId="4915B930" w14:textId="45BCCC80"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1,875</w:t>
            </w:r>
          </w:p>
        </w:tc>
        <w:tc>
          <w:tcPr>
            <w:tcW w:w="1134" w:type="dxa"/>
            <w:tcBorders>
              <w:top w:val="nil"/>
              <w:left w:val="nil"/>
              <w:bottom w:val="single" w:sz="4" w:space="0" w:color="auto"/>
              <w:right w:val="single" w:sz="4" w:space="0" w:color="auto"/>
            </w:tcBorders>
            <w:shd w:val="clear" w:color="000000" w:fill="B8CCE4"/>
            <w:hideMark/>
          </w:tcPr>
          <w:p w14:paraId="616E3350" w14:textId="0F54A8D0"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2,525</w:t>
            </w:r>
          </w:p>
        </w:tc>
        <w:tc>
          <w:tcPr>
            <w:tcW w:w="1615" w:type="dxa"/>
            <w:tcBorders>
              <w:top w:val="nil"/>
              <w:left w:val="nil"/>
              <w:bottom w:val="single" w:sz="4" w:space="0" w:color="auto"/>
              <w:right w:val="single" w:sz="4" w:space="0" w:color="auto"/>
            </w:tcBorders>
            <w:shd w:val="clear" w:color="000000" w:fill="B8CCE4"/>
            <w:hideMark/>
          </w:tcPr>
          <w:p w14:paraId="5BB36BD6" w14:textId="62249370"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2,525</w:t>
            </w:r>
          </w:p>
        </w:tc>
      </w:tr>
      <w:tr w:rsidR="00B807EE" w:rsidRPr="00024D5A" w14:paraId="22D52BD9"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737EC1E8" w14:textId="3BA15AE1"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1.2.1 Pajisja, mirëmbajtja dhe përditësimi i vazhdueshëm i pajisjeve ndihmëse dhe teknologjike që garantojnë akses për nxënësit/kursantët me aftësi të kufizuara në IOAFP p</w:t>
            </w:r>
            <w:r w:rsidR="00FD2E93"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sh. pajisje dhe softuerë ndihmës (lexues ekrani, tastiera të përshtatura, pajisje ndihmëse).</w:t>
            </w:r>
          </w:p>
        </w:tc>
        <w:tc>
          <w:tcPr>
            <w:tcW w:w="567" w:type="dxa"/>
            <w:tcBorders>
              <w:top w:val="nil"/>
              <w:left w:val="nil"/>
              <w:bottom w:val="single" w:sz="4" w:space="0" w:color="auto"/>
              <w:right w:val="single" w:sz="4" w:space="0" w:color="auto"/>
            </w:tcBorders>
            <w:hideMark/>
          </w:tcPr>
          <w:p w14:paraId="60E1CED3"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single" w:sz="4" w:space="0" w:color="auto"/>
            </w:tcBorders>
            <w:hideMark/>
          </w:tcPr>
          <w:p w14:paraId="51C863EC"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0FAE2476"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AKPA</w:t>
            </w:r>
          </w:p>
        </w:tc>
        <w:tc>
          <w:tcPr>
            <w:tcW w:w="1418" w:type="dxa"/>
            <w:tcBorders>
              <w:top w:val="nil"/>
              <w:left w:val="nil"/>
              <w:bottom w:val="single" w:sz="4" w:space="0" w:color="auto"/>
              <w:right w:val="single" w:sz="4" w:space="0" w:color="auto"/>
            </w:tcBorders>
            <w:hideMark/>
          </w:tcPr>
          <w:p w14:paraId="26B98089"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MEI</w:t>
            </w:r>
          </w:p>
        </w:tc>
        <w:tc>
          <w:tcPr>
            <w:tcW w:w="708" w:type="dxa"/>
            <w:tcBorders>
              <w:top w:val="nil"/>
              <w:left w:val="nil"/>
              <w:bottom w:val="single" w:sz="4" w:space="0" w:color="auto"/>
              <w:right w:val="single" w:sz="4" w:space="0" w:color="auto"/>
            </w:tcBorders>
            <w:hideMark/>
          </w:tcPr>
          <w:p w14:paraId="3584CE0E" w14:textId="176E8EDF"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1,350</w:t>
            </w:r>
          </w:p>
        </w:tc>
        <w:tc>
          <w:tcPr>
            <w:tcW w:w="567" w:type="dxa"/>
            <w:tcBorders>
              <w:top w:val="nil"/>
              <w:left w:val="nil"/>
              <w:bottom w:val="single" w:sz="4" w:space="0" w:color="auto"/>
              <w:right w:val="single" w:sz="4" w:space="0" w:color="auto"/>
            </w:tcBorders>
            <w:hideMark/>
          </w:tcPr>
          <w:p w14:paraId="42E1B119" w14:textId="4D8FC7B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1,350</w:t>
            </w:r>
          </w:p>
        </w:tc>
        <w:tc>
          <w:tcPr>
            <w:tcW w:w="567" w:type="dxa"/>
            <w:tcBorders>
              <w:top w:val="nil"/>
              <w:left w:val="nil"/>
              <w:bottom w:val="single" w:sz="4" w:space="0" w:color="auto"/>
              <w:right w:val="single" w:sz="4" w:space="0" w:color="auto"/>
            </w:tcBorders>
            <w:hideMark/>
          </w:tcPr>
          <w:p w14:paraId="6753E6E5" w14:textId="5EB4AAE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1,350</w:t>
            </w:r>
          </w:p>
        </w:tc>
        <w:tc>
          <w:tcPr>
            <w:tcW w:w="1134" w:type="dxa"/>
            <w:tcBorders>
              <w:top w:val="nil"/>
              <w:left w:val="nil"/>
              <w:bottom w:val="single" w:sz="4" w:space="0" w:color="auto"/>
              <w:right w:val="single" w:sz="4" w:space="0" w:color="auto"/>
            </w:tcBorders>
            <w:hideMark/>
          </w:tcPr>
          <w:p w14:paraId="18CDBEBA" w14:textId="3E677AC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2,000</w:t>
            </w:r>
          </w:p>
        </w:tc>
        <w:tc>
          <w:tcPr>
            <w:tcW w:w="1615" w:type="dxa"/>
            <w:tcBorders>
              <w:top w:val="nil"/>
              <w:left w:val="nil"/>
              <w:bottom w:val="single" w:sz="4" w:space="0" w:color="auto"/>
              <w:right w:val="single" w:sz="4" w:space="0" w:color="auto"/>
            </w:tcBorders>
            <w:hideMark/>
          </w:tcPr>
          <w:p w14:paraId="281AAFC0" w14:textId="4990B60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2,000</w:t>
            </w:r>
          </w:p>
        </w:tc>
      </w:tr>
      <w:tr w:rsidR="00B807EE" w:rsidRPr="00024D5A" w14:paraId="52E120E9"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66FFE82A" w14:textId="606ADAF2"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1.2.2 Sigurimi i aksesit fizik dhe digjital në Shkollat e Mesme Profesionale dhe QFP përfshirë laboratorët e TIK</w:t>
            </w:r>
            <w:r w:rsidR="00FD2E93" w:rsidRPr="00024D5A">
              <w:rPr>
                <w:rFonts w:ascii="Garamond" w:eastAsia="Times New Roman" w:hAnsi="Garamond"/>
                <w:sz w:val="6"/>
                <w:szCs w:val="16"/>
                <w:lang w:eastAsia="en-US"/>
              </w:rPr>
              <w:t>-ut</w:t>
            </w:r>
            <w:r w:rsidRPr="00024D5A">
              <w:rPr>
                <w:rFonts w:ascii="Garamond" w:eastAsia="Times New Roman" w:hAnsi="Garamond"/>
                <w:sz w:val="6"/>
                <w:szCs w:val="16"/>
                <w:lang w:eastAsia="en-US"/>
              </w:rPr>
              <w:t xml:space="preserve"> dhe të aftësive të gjelbra</w:t>
            </w:r>
            <w:r w:rsidR="00FD2E93"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027A8647"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single" w:sz="4" w:space="0" w:color="auto"/>
            </w:tcBorders>
            <w:hideMark/>
          </w:tcPr>
          <w:p w14:paraId="317DFE4D"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4991A5C5"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AKPA</w:t>
            </w:r>
          </w:p>
        </w:tc>
        <w:tc>
          <w:tcPr>
            <w:tcW w:w="1418" w:type="dxa"/>
            <w:tcBorders>
              <w:top w:val="nil"/>
              <w:left w:val="nil"/>
              <w:bottom w:val="single" w:sz="4" w:space="0" w:color="auto"/>
              <w:right w:val="single" w:sz="4" w:space="0" w:color="auto"/>
            </w:tcBorders>
            <w:hideMark/>
          </w:tcPr>
          <w:p w14:paraId="73914038"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MEI</w:t>
            </w:r>
          </w:p>
        </w:tc>
        <w:tc>
          <w:tcPr>
            <w:tcW w:w="708" w:type="dxa"/>
            <w:tcBorders>
              <w:top w:val="nil"/>
              <w:left w:val="nil"/>
              <w:bottom w:val="single" w:sz="4" w:space="0" w:color="auto"/>
              <w:right w:val="single" w:sz="4" w:space="0" w:color="auto"/>
            </w:tcBorders>
            <w:hideMark/>
          </w:tcPr>
          <w:p w14:paraId="26599364" w14:textId="07BE45D9"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55781E25" w14:textId="370905F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273</w:t>
            </w:r>
          </w:p>
        </w:tc>
        <w:tc>
          <w:tcPr>
            <w:tcW w:w="567" w:type="dxa"/>
            <w:tcBorders>
              <w:top w:val="nil"/>
              <w:left w:val="nil"/>
              <w:bottom w:val="single" w:sz="4" w:space="0" w:color="auto"/>
              <w:right w:val="single" w:sz="4" w:space="0" w:color="auto"/>
            </w:tcBorders>
            <w:hideMark/>
          </w:tcPr>
          <w:p w14:paraId="7C2961D5" w14:textId="5C9FDB9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5A9B13E6" w14:textId="07042EE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0A575193" w14:textId="07C53A8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71ECFB8A"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21B86071" w14:textId="2933BC2C"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1.2.3 Zhvillimi i platformave </w:t>
            </w:r>
            <w:r w:rsidRPr="00024D5A">
              <w:rPr>
                <w:rFonts w:ascii="Garamond" w:eastAsia="Times New Roman" w:hAnsi="Garamond"/>
                <w:i/>
                <w:iCs/>
                <w:sz w:val="6"/>
                <w:szCs w:val="16"/>
                <w:lang w:eastAsia="en-US"/>
              </w:rPr>
              <w:t>online</w:t>
            </w:r>
            <w:r w:rsidRPr="00024D5A">
              <w:rPr>
                <w:rFonts w:ascii="Garamond" w:eastAsia="Times New Roman" w:hAnsi="Garamond"/>
                <w:sz w:val="6"/>
                <w:szCs w:val="16"/>
                <w:lang w:eastAsia="en-US"/>
              </w:rPr>
              <w:t xml:space="preserve"> për lehtësimin e mësimit të kombinuar dhe mësimit </w:t>
            </w:r>
            <w:r w:rsidRPr="00024D5A">
              <w:rPr>
                <w:rFonts w:ascii="Garamond" w:eastAsia="Times New Roman" w:hAnsi="Garamond"/>
                <w:i/>
                <w:iCs/>
                <w:sz w:val="6"/>
                <w:szCs w:val="16"/>
                <w:lang w:eastAsia="en-US"/>
              </w:rPr>
              <w:t>online</w:t>
            </w:r>
            <w:r w:rsidRPr="00024D5A">
              <w:rPr>
                <w:rFonts w:ascii="Garamond" w:eastAsia="Times New Roman" w:hAnsi="Garamond"/>
                <w:sz w:val="6"/>
                <w:szCs w:val="16"/>
                <w:lang w:eastAsia="en-US"/>
              </w:rPr>
              <w:t xml:space="preserve">, për të rinj dhe të rritur me aftësi të kufizuara. Përgatitja në mënyrë graduale e </w:t>
            </w:r>
            <w:r w:rsidR="00FD2E93" w:rsidRPr="00024D5A">
              <w:rPr>
                <w:rFonts w:ascii="Garamond" w:eastAsia="Times New Roman" w:hAnsi="Garamond"/>
                <w:sz w:val="6"/>
                <w:szCs w:val="16"/>
                <w:lang w:eastAsia="en-US"/>
              </w:rPr>
              <w:t>platformave</w:t>
            </w:r>
            <w:r w:rsidRPr="00024D5A">
              <w:rPr>
                <w:rFonts w:ascii="Garamond" w:eastAsia="Times New Roman" w:hAnsi="Garamond"/>
                <w:sz w:val="6"/>
                <w:szCs w:val="16"/>
                <w:lang w:eastAsia="en-US"/>
              </w:rPr>
              <w:t xml:space="preserve"> të aksesueshme</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 xml:space="preserve">dhe me informacion në formate alternative për tipologji të ndryshme të aftësisë së kufizuara, për të garantuar akses dhe mundësi të barabarta për nxënësit, kursantët dhe të rriturit me aftësi të kufizuara. </w:t>
            </w:r>
          </w:p>
        </w:tc>
        <w:tc>
          <w:tcPr>
            <w:tcW w:w="567" w:type="dxa"/>
            <w:tcBorders>
              <w:top w:val="nil"/>
              <w:left w:val="nil"/>
              <w:bottom w:val="single" w:sz="4" w:space="0" w:color="auto"/>
              <w:right w:val="single" w:sz="4" w:space="0" w:color="auto"/>
            </w:tcBorders>
            <w:hideMark/>
          </w:tcPr>
          <w:p w14:paraId="395881B4"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single" w:sz="4" w:space="0" w:color="auto"/>
            </w:tcBorders>
            <w:hideMark/>
          </w:tcPr>
          <w:p w14:paraId="1374A824"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7D632712"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AKAFPK</w:t>
            </w:r>
          </w:p>
        </w:tc>
        <w:tc>
          <w:tcPr>
            <w:tcW w:w="1418" w:type="dxa"/>
            <w:tcBorders>
              <w:top w:val="nil"/>
              <w:left w:val="nil"/>
              <w:bottom w:val="single" w:sz="4" w:space="0" w:color="auto"/>
              <w:right w:val="single" w:sz="4" w:space="0" w:color="auto"/>
            </w:tcBorders>
            <w:hideMark/>
          </w:tcPr>
          <w:p w14:paraId="5FDECE01" w14:textId="61B1346A"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AKPA</w:t>
            </w:r>
            <w:r w:rsidR="007675EC" w:rsidRPr="00024D5A">
              <w:rPr>
                <w:rFonts w:ascii="Garamond" w:eastAsia="Times New Roman" w:hAnsi="Garamond"/>
                <w:i/>
                <w:iCs/>
                <w:sz w:val="6"/>
                <w:szCs w:val="16"/>
                <w:lang w:eastAsia="en-US"/>
              </w:rPr>
              <w:t>/</w:t>
            </w:r>
            <w:r w:rsidRPr="00024D5A">
              <w:rPr>
                <w:rFonts w:ascii="Garamond" w:eastAsia="Times New Roman" w:hAnsi="Garamond"/>
                <w:i/>
                <w:iCs/>
                <w:sz w:val="6"/>
                <w:szCs w:val="16"/>
                <w:lang w:eastAsia="en-US"/>
              </w:rPr>
              <w:t>MEI</w:t>
            </w:r>
          </w:p>
        </w:tc>
        <w:tc>
          <w:tcPr>
            <w:tcW w:w="708" w:type="dxa"/>
            <w:tcBorders>
              <w:top w:val="nil"/>
              <w:left w:val="nil"/>
              <w:bottom w:val="single" w:sz="4" w:space="0" w:color="auto"/>
              <w:right w:val="single" w:sz="4" w:space="0" w:color="auto"/>
            </w:tcBorders>
            <w:hideMark/>
          </w:tcPr>
          <w:p w14:paraId="0191EEEF" w14:textId="2DAE45EC"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525</w:t>
            </w:r>
          </w:p>
        </w:tc>
        <w:tc>
          <w:tcPr>
            <w:tcW w:w="567" w:type="dxa"/>
            <w:tcBorders>
              <w:top w:val="nil"/>
              <w:left w:val="nil"/>
              <w:bottom w:val="single" w:sz="4" w:space="0" w:color="auto"/>
              <w:right w:val="single" w:sz="4" w:space="0" w:color="auto"/>
            </w:tcBorders>
            <w:hideMark/>
          </w:tcPr>
          <w:p w14:paraId="5687EFE2" w14:textId="25CF7E7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525</w:t>
            </w:r>
          </w:p>
        </w:tc>
        <w:tc>
          <w:tcPr>
            <w:tcW w:w="567" w:type="dxa"/>
            <w:tcBorders>
              <w:top w:val="nil"/>
              <w:left w:val="nil"/>
              <w:bottom w:val="single" w:sz="4" w:space="0" w:color="auto"/>
              <w:right w:val="single" w:sz="4" w:space="0" w:color="auto"/>
            </w:tcBorders>
            <w:hideMark/>
          </w:tcPr>
          <w:p w14:paraId="380A9F9F" w14:textId="06B1C28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525</w:t>
            </w:r>
          </w:p>
        </w:tc>
        <w:tc>
          <w:tcPr>
            <w:tcW w:w="1134" w:type="dxa"/>
            <w:tcBorders>
              <w:top w:val="nil"/>
              <w:left w:val="nil"/>
              <w:bottom w:val="single" w:sz="4" w:space="0" w:color="auto"/>
              <w:right w:val="single" w:sz="4" w:space="0" w:color="auto"/>
            </w:tcBorders>
            <w:hideMark/>
          </w:tcPr>
          <w:p w14:paraId="0A9A78FF" w14:textId="19CB533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525</w:t>
            </w:r>
          </w:p>
        </w:tc>
        <w:tc>
          <w:tcPr>
            <w:tcW w:w="1615" w:type="dxa"/>
            <w:tcBorders>
              <w:top w:val="nil"/>
              <w:left w:val="nil"/>
              <w:bottom w:val="single" w:sz="4" w:space="0" w:color="auto"/>
              <w:right w:val="single" w:sz="4" w:space="0" w:color="auto"/>
            </w:tcBorders>
            <w:hideMark/>
          </w:tcPr>
          <w:p w14:paraId="63208721" w14:textId="699600E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525</w:t>
            </w:r>
          </w:p>
        </w:tc>
      </w:tr>
      <w:tr w:rsidR="00B807EE" w:rsidRPr="00024D5A" w14:paraId="54BA8174"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B8CCE4"/>
            <w:noWrap/>
            <w:hideMark/>
          </w:tcPr>
          <w:p w14:paraId="2B7AD552" w14:textId="006977D5"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Masa </w:t>
            </w:r>
            <w:r w:rsidR="00FD2E93" w:rsidRPr="00024D5A">
              <w:rPr>
                <w:rFonts w:ascii="Garamond" w:eastAsia="Times New Roman" w:hAnsi="Garamond"/>
                <w:b/>
                <w:bCs/>
                <w:sz w:val="6"/>
                <w:szCs w:val="16"/>
                <w:lang w:eastAsia="en-US"/>
              </w:rPr>
              <w:t xml:space="preserve">prioritare </w:t>
            </w:r>
            <w:r w:rsidRPr="00024D5A">
              <w:rPr>
                <w:rFonts w:ascii="Garamond" w:eastAsia="Times New Roman" w:hAnsi="Garamond"/>
                <w:b/>
                <w:bCs/>
                <w:sz w:val="6"/>
                <w:szCs w:val="16"/>
                <w:lang w:eastAsia="en-US"/>
              </w:rPr>
              <w:t>1.3</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Përshtatja e kurrikulave dhe programeve mësimore </w:t>
            </w:r>
            <w:r w:rsidR="00FD2E93"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Sigurimi që programet përfshirë programet digjitale dhe të gjelbra në AFP janë të aksesueshme dhe gjithëpërfshirëse</w:t>
            </w:r>
            <w:r w:rsidR="00FD2E93" w:rsidRPr="00024D5A">
              <w:rPr>
                <w:rFonts w:ascii="Garamond" w:eastAsia="Times New Roman" w:hAnsi="Garamond"/>
                <w:b/>
                <w:bCs/>
                <w:sz w:val="6"/>
                <w:szCs w:val="16"/>
                <w:lang w:eastAsia="en-US"/>
              </w:rPr>
              <w:t>.</w:t>
            </w:r>
          </w:p>
        </w:tc>
        <w:tc>
          <w:tcPr>
            <w:tcW w:w="567" w:type="dxa"/>
            <w:tcBorders>
              <w:top w:val="nil"/>
              <w:left w:val="nil"/>
              <w:bottom w:val="single" w:sz="4" w:space="0" w:color="auto"/>
              <w:right w:val="single" w:sz="4" w:space="0" w:color="auto"/>
            </w:tcBorders>
            <w:shd w:val="clear" w:color="000000" w:fill="B8CCE4"/>
            <w:hideMark/>
          </w:tcPr>
          <w:p w14:paraId="22566BC1"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single" w:sz="4" w:space="0" w:color="auto"/>
            </w:tcBorders>
            <w:shd w:val="clear" w:color="000000" w:fill="B8CCE4"/>
            <w:hideMark/>
          </w:tcPr>
          <w:p w14:paraId="68709118"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shd w:val="clear" w:color="000000" w:fill="B8CCE4"/>
            <w:hideMark/>
          </w:tcPr>
          <w:p w14:paraId="417B3896"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AKAFPK/AKPA</w:t>
            </w:r>
          </w:p>
        </w:tc>
        <w:tc>
          <w:tcPr>
            <w:tcW w:w="1418" w:type="dxa"/>
            <w:tcBorders>
              <w:top w:val="nil"/>
              <w:left w:val="nil"/>
              <w:bottom w:val="single" w:sz="4" w:space="0" w:color="auto"/>
              <w:right w:val="single" w:sz="4" w:space="0" w:color="auto"/>
            </w:tcBorders>
            <w:shd w:val="clear" w:color="000000" w:fill="B8CCE4"/>
            <w:hideMark/>
          </w:tcPr>
          <w:p w14:paraId="2F36976D" w14:textId="72443A1F"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AKPA</w:t>
            </w:r>
            <w:r w:rsidR="007675EC" w:rsidRPr="00024D5A">
              <w:rPr>
                <w:rFonts w:ascii="Garamond" w:eastAsia="Times New Roman" w:hAnsi="Garamond"/>
                <w:i/>
                <w:iCs/>
                <w:sz w:val="6"/>
                <w:szCs w:val="16"/>
                <w:lang w:eastAsia="en-US"/>
              </w:rPr>
              <w:t>/</w:t>
            </w:r>
            <w:r w:rsidRPr="00024D5A">
              <w:rPr>
                <w:rFonts w:ascii="Garamond" w:eastAsia="Times New Roman" w:hAnsi="Garamond"/>
                <w:i/>
                <w:iCs/>
                <w:sz w:val="6"/>
                <w:szCs w:val="16"/>
                <w:lang w:eastAsia="en-US"/>
              </w:rPr>
              <w:t>MEI</w:t>
            </w:r>
            <w:r w:rsidR="007675EC" w:rsidRPr="00024D5A">
              <w:rPr>
                <w:rFonts w:ascii="Garamond" w:eastAsia="Times New Roman" w:hAnsi="Garamond"/>
                <w:i/>
                <w:iCs/>
                <w:sz w:val="6"/>
                <w:szCs w:val="16"/>
                <w:lang w:eastAsia="en-US"/>
              </w:rPr>
              <w:t>/</w:t>
            </w:r>
            <w:r w:rsidRPr="00024D5A">
              <w:rPr>
                <w:rFonts w:ascii="Garamond" w:eastAsia="Times New Roman" w:hAnsi="Garamond"/>
                <w:i/>
                <w:iCs/>
                <w:sz w:val="6"/>
                <w:szCs w:val="16"/>
                <w:lang w:eastAsia="en-US"/>
              </w:rPr>
              <w:t>A, AKAFPK, ASCAP</w:t>
            </w:r>
          </w:p>
        </w:tc>
        <w:tc>
          <w:tcPr>
            <w:tcW w:w="708" w:type="dxa"/>
            <w:tcBorders>
              <w:top w:val="nil"/>
              <w:left w:val="nil"/>
              <w:bottom w:val="single" w:sz="4" w:space="0" w:color="auto"/>
              <w:right w:val="single" w:sz="4" w:space="0" w:color="auto"/>
            </w:tcBorders>
            <w:shd w:val="clear" w:color="000000" w:fill="B8CCE4"/>
            <w:hideMark/>
          </w:tcPr>
          <w:p w14:paraId="5C5C0EA2" w14:textId="4F5F05F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500</w:t>
            </w:r>
          </w:p>
        </w:tc>
        <w:tc>
          <w:tcPr>
            <w:tcW w:w="567" w:type="dxa"/>
            <w:tcBorders>
              <w:top w:val="nil"/>
              <w:left w:val="nil"/>
              <w:bottom w:val="single" w:sz="4" w:space="0" w:color="auto"/>
              <w:right w:val="single" w:sz="4" w:space="0" w:color="auto"/>
            </w:tcBorders>
            <w:shd w:val="clear" w:color="000000" w:fill="B8CCE4"/>
            <w:hideMark/>
          </w:tcPr>
          <w:p w14:paraId="52AA351E" w14:textId="113563F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500</w:t>
            </w:r>
          </w:p>
        </w:tc>
        <w:tc>
          <w:tcPr>
            <w:tcW w:w="567" w:type="dxa"/>
            <w:tcBorders>
              <w:top w:val="nil"/>
              <w:left w:val="nil"/>
              <w:bottom w:val="single" w:sz="4" w:space="0" w:color="auto"/>
              <w:right w:val="single" w:sz="4" w:space="0" w:color="auto"/>
            </w:tcBorders>
            <w:shd w:val="clear" w:color="000000" w:fill="B8CCE4"/>
            <w:hideMark/>
          </w:tcPr>
          <w:p w14:paraId="66C498B0" w14:textId="0BA5379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c>
          <w:tcPr>
            <w:tcW w:w="1134" w:type="dxa"/>
            <w:tcBorders>
              <w:top w:val="nil"/>
              <w:left w:val="nil"/>
              <w:bottom w:val="single" w:sz="4" w:space="0" w:color="auto"/>
              <w:right w:val="single" w:sz="4" w:space="0" w:color="auto"/>
            </w:tcBorders>
            <w:shd w:val="clear" w:color="000000" w:fill="B8CCE4"/>
            <w:hideMark/>
          </w:tcPr>
          <w:p w14:paraId="1F227B25" w14:textId="5ADD170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c>
          <w:tcPr>
            <w:tcW w:w="1615" w:type="dxa"/>
            <w:tcBorders>
              <w:top w:val="nil"/>
              <w:left w:val="nil"/>
              <w:bottom w:val="single" w:sz="4" w:space="0" w:color="auto"/>
              <w:right w:val="single" w:sz="4" w:space="0" w:color="auto"/>
            </w:tcBorders>
            <w:shd w:val="clear" w:color="000000" w:fill="B8CCE4"/>
            <w:hideMark/>
          </w:tcPr>
          <w:p w14:paraId="08DB00CE" w14:textId="2D562E9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r>
      <w:tr w:rsidR="00B807EE" w:rsidRPr="00024D5A" w14:paraId="3A134ACE"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120515D6"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1.3.1 Zhvillimi i moduleve të reja përfshirë ato digjitale dhe të gjelbra, të përshtatura edhe për nxënësit me lloje të ndryshme aftësish të kufizuara.</w:t>
            </w:r>
          </w:p>
        </w:tc>
        <w:tc>
          <w:tcPr>
            <w:tcW w:w="567" w:type="dxa"/>
            <w:tcBorders>
              <w:top w:val="nil"/>
              <w:left w:val="nil"/>
              <w:bottom w:val="single" w:sz="4" w:space="0" w:color="auto"/>
              <w:right w:val="single" w:sz="4" w:space="0" w:color="auto"/>
            </w:tcBorders>
            <w:hideMark/>
          </w:tcPr>
          <w:p w14:paraId="68236C49"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single" w:sz="4" w:space="0" w:color="auto"/>
            </w:tcBorders>
            <w:hideMark/>
          </w:tcPr>
          <w:p w14:paraId="31FE198B"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7C26A7FC"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AKAFPK</w:t>
            </w:r>
          </w:p>
        </w:tc>
        <w:tc>
          <w:tcPr>
            <w:tcW w:w="1418" w:type="dxa"/>
            <w:tcBorders>
              <w:top w:val="nil"/>
              <w:left w:val="nil"/>
              <w:bottom w:val="single" w:sz="4" w:space="0" w:color="auto"/>
              <w:right w:val="single" w:sz="4" w:space="0" w:color="auto"/>
            </w:tcBorders>
            <w:hideMark/>
          </w:tcPr>
          <w:p w14:paraId="72075B1E"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AKPA, MEI</w:t>
            </w:r>
          </w:p>
        </w:tc>
        <w:tc>
          <w:tcPr>
            <w:tcW w:w="708" w:type="dxa"/>
            <w:tcBorders>
              <w:top w:val="nil"/>
              <w:left w:val="nil"/>
              <w:bottom w:val="single" w:sz="4" w:space="0" w:color="auto"/>
              <w:right w:val="single" w:sz="4" w:space="0" w:color="auto"/>
            </w:tcBorders>
            <w:hideMark/>
          </w:tcPr>
          <w:p w14:paraId="1F3F6F62" w14:textId="5648703A"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500</w:t>
            </w:r>
          </w:p>
        </w:tc>
        <w:tc>
          <w:tcPr>
            <w:tcW w:w="567" w:type="dxa"/>
            <w:tcBorders>
              <w:top w:val="nil"/>
              <w:left w:val="nil"/>
              <w:bottom w:val="single" w:sz="4" w:space="0" w:color="auto"/>
              <w:right w:val="single" w:sz="4" w:space="0" w:color="auto"/>
            </w:tcBorders>
            <w:hideMark/>
          </w:tcPr>
          <w:p w14:paraId="5FA0C237" w14:textId="6E81C92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500</w:t>
            </w:r>
          </w:p>
        </w:tc>
        <w:tc>
          <w:tcPr>
            <w:tcW w:w="567" w:type="dxa"/>
            <w:tcBorders>
              <w:top w:val="nil"/>
              <w:left w:val="nil"/>
              <w:bottom w:val="single" w:sz="4" w:space="0" w:color="auto"/>
              <w:right w:val="single" w:sz="4" w:space="0" w:color="auto"/>
            </w:tcBorders>
            <w:hideMark/>
          </w:tcPr>
          <w:p w14:paraId="354799FD" w14:textId="3649F25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c>
          <w:tcPr>
            <w:tcW w:w="1134" w:type="dxa"/>
            <w:tcBorders>
              <w:top w:val="nil"/>
              <w:left w:val="nil"/>
              <w:bottom w:val="single" w:sz="4" w:space="0" w:color="auto"/>
              <w:right w:val="single" w:sz="4" w:space="0" w:color="auto"/>
            </w:tcBorders>
            <w:hideMark/>
          </w:tcPr>
          <w:p w14:paraId="16EB48DE" w14:textId="0C0278D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c>
          <w:tcPr>
            <w:tcW w:w="1615" w:type="dxa"/>
            <w:tcBorders>
              <w:top w:val="nil"/>
              <w:left w:val="nil"/>
              <w:bottom w:val="single" w:sz="4" w:space="0" w:color="auto"/>
              <w:right w:val="single" w:sz="4" w:space="0" w:color="auto"/>
            </w:tcBorders>
            <w:hideMark/>
          </w:tcPr>
          <w:p w14:paraId="5B572AD6" w14:textId="1134C5D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r>
      <w:tr w:rsidR="00B807EE" w:rsidRPr="00024D5A" w14:paraId="764808EE"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11298C5E" w14:textId="4DEE8581"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1.3.2 Përgatitja e moduleve e mjeteve didaktike</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mësimore në formate të aksesueshme (Braille, audio, gjuhë e thjeshtuar, gjuhë e shenjave/titra) përfshirë ofrimin e teknologjisë</w:t>
            </w:r>
            <w:r w:rsidRPr="00024D5A">
              <w:rPr>
                <w:rFonts w:ascii="Garamond" w:eastAsia="Times New Roman" w:hAnsi="Garamond"/>
                <w:i/>
                <w:iCs/>
                <w:sz w:val="6"/>
                <w:szCs w:val="16"/>
                <w:lang w:eastAsia="en-US"/>
              </w:rPr>
              <w:t xml:space="preserve"> as</w:t>
            </w:r>
            <w:r w:rsidR="00FD2E93" w:rsidRPr="00024D5A">
              <w:rPr>
                <w:rFonts w:ascii="Garamond" w:eastAsia="Times New Roman" w:hAnsi="Garamond"/>
                <w:i/>
                <w:iCs/>
                <w:sz w:val="6"/>
                <w:szCs w:val="16"/>
                <w:lang w:eastAsia="en-US"/>
              </w:rPr>
              <w:t>s</w:t>
            </w:r>
            <w:r w:rsidRPr="00024D5A">
              <w:rPr>
                <w:rFonts w:ascii="Garamond" w:eastAsia="Times New Roman" w:hAnsi="Garamond"/>
                <w:i/>
                <w:iCs/>
                <w:sz w:val="6"/>
                <w:szCs w:val="16"/>
                <w:lang w:eastAsia="en-US"/>
              </w:rPr>
              <w:t>istive</w:t>
            </w:r>
            <w:r w:rsidRPr="00024D5A">
              <w:rPr>
                <w:rFonts w:ascii="Garamond" w:eastAsia="Times New Roman" w:hAnsi="Garamond"/>
                <w:sz w:val="6"/>
                <w:szCs w:val="16"/>
                <w:lang w:eastAsia="en-US"/>
              </w:rPr>
              <w:t xml:space="preserve"> të shoqëruar edhe me trajnim të mësimdhënësve dhe formuesve/instruktorëve mbi përdorimin e teknologjive </w:t>
            </w:r>
            <w:r w:rsidRPr="00024D5A">
              <w:rPr>
                <w:rFonts w:ascii="Garamond" w:eastAsia="Times New Roman" w:hAnsi="Garamond"/>
                <w:i/>
                <w:iCs/>
                <w:sz w:val="6"/>
                <w:szCs w:val="16"/>
                <w:lang w:eastAsia="en-US"/>
              </w:rPr>
              <w:t>asi</w:t>
            </w:r>
            <w:r w:rsidR="00FD2E93" w:rsidRPr="00024D5A">
              <w:rPr>
                <w:rFonts w:ascii="Garamond" w:eastAsia="Times New Roman" w:hAnsi="Garamond"/>
                <w:i/>
                <w:iCs/>
                <w:sz w:val="6"/>
                <w:szCs w:val="16"/>
                <w:lang w:eastAsia="en-US"/>
              </w:rPr>
              <w:t>s</w:t>
            </w:r>
            <w:r w:rsidRPr="00024D5A">
              <w:rPr>
                <w:rFonts w:ascii="Garamond" w:eastAsia="Times New Roman" w:hAnsi="Garamond"/>
                <w:i/>
                <w:iCs/>
                <w:sz w:val="6"/>
                <w:szCs w:val="16"/>
                <w:lang w:eastAsia="en-US"/>
              </w:rPr>
              <w:t>stive</w:t>
            </w:r>
            <w:r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01FAA93A"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single" w:sz="4" w:space="0" w:color="auto"/>
            </w:tcBorders>
            <w:hideMark/>
          </w:tcPr>
          <w:p w14:paraId="083AB698"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4F7B9241"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AKPA</w:t>
            </w:r>
          </w:p>
        </w:tc>
        <w:tc>
          <w:tcPr>
            <w:tcW w:w="1418" w:type="dxa"/>
            <w:tcBorders>
              <w:top w:val="nil"/>
              <w:left w:val="nil"/>
              <w:bottom w:val="single" w:sz="4" w:space="0" w:color="auto"/>
              <w:right w:val="single" w:sz="4" w:space="0" w:color="auto"/>
            </w:tcBorders>
            <w:hideMark/>
          </w:tcPr>
          <w:p w14:paraId="52A69873"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MEI, MA, AKAFPK, ASCAP</w:t>
            </w:r>
          </w:p>
        </w:tc>
        <w:tc>
          <w:tcPr>
            <w:tcW w:w="708" w:type="dxa"/>
            <w:tcBorders>
              <w:top w:val="nil"/>
              <w:left w:val="nil"/>
              <w:bottom w:val="single" w:sz="4" w:space="0" w:color="auto"/>
              <w:right w:val="single" w:sz="4" w:space="0" w:color="auto"/>
            </w:tcBorders>
            <w:hideMark/>
          </w:tcPr>
          <w:p w14:paraId="5C336451" w14:textId="7553239D"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3A9C70E3" w14:textId="7E0FAC8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1EA378CD" w14:textId="2D52B0A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005E1D21" w14:textId="6EFAA88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3590277F" w14:textId="0415F85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61A5BB87"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B8CCE4"/>
            <w:noWrap/>
            <w:hideMark/>
          </w:tcPr>
          <w:p w14:paraId="448B79DD" w14:textId="14522349"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Masa prioritare 1.4</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Mbështetja e nxënësve dhe kursantëve me aftësi të kufizuara </w:t>
            </w:r>
            <w:r w:rsidR="00FD2E93"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Sigurimi i pjesëmarrjes së barabartë dhe përfundimit me sukses të programeve mësimore në institucionet ofruese të AFP-së</w:t>
            </w:r>
            <w:r w:rsidR="00FD2E93"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w:t>
            </w:r>
          </w:p>
        </w:tc>
        <w:tc>
          <w:tcPr>
            <w:tcW w:w="567" w:type="dxa"/>
            <w:tcBorders>
              <w:top w:val="nil"/>
              <w:left w:val="nil"/>
              <w:bottom w:val="single" w:sz="4" w:space="0" w:color="auto"/>
              <w:right w:val="single" w:sz="4" w:space="0" w:color="auto"/>
            </w:tcBorders>
            <w:shd w:val="clear" w:color="000000" w:fill="B8CCE4"/>
            <w:hideMark/>
          </w:tcPr>
          <w:p w14:paraId="35CEE03D"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single" w:sz="4" w:space="0" w:color="auto"/>
            </w:tcBorders>
            <w:shd w:val="clear" w:color="000000" w:fill="B8CCE4"/>
            <w:hideMark/>
          </w:tcPr>
          <w:p w14:paraId="5C7D4C8A"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shd w:val="clear" w:color="000000" w:fill="B8CCE4"/>
            <w:hideMark/>
          </w:tcPr>
          <w:p w14:paraId="4DEE35CE"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IOAFP/AKPA</w:t>
            </w:r>
          </w:p>
        </w:tc>
        <w:tc>
          <w:tcPr>
            <w:tcW w:w="1418" w:type="dxa"/>
            <w:tcBorders>
              <w:top w:val="nil"/>
              <w:left w:val="nil"/>
              <w:bottom w:val="single" w:sz="4" w:space="0" w:color="auto"/>
              <w:right w:val="single" w:sz="4" w:space="0" w:color="auto"/>
            </w:tcBorders>
            <w:shd w:val="clear" w:color="000000" w:fill="B8CCE4"/>
            <w:hideMark/>
          </w:tcPr>
          <w:p w14:paraId="4692FA59"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MEI/MA/AKAFPK/ASCAP/NJVV/AKPA</w:t>
            </w:r>
          </w:p>
        </w:tc>
        <w:tc>
          <w:tcPr>
            <w:tcW w:w="708" w:type="dxa"/>
            <w:tcBorders>
              <w:top w:val="nil"/>
              <w:left w:val="nil"/>
              <w:bottom w:val="single" w:sz="4" w:space="0" w:color="auto"/>
              <w:right w:val="single" w:sz="4" w:space="0" w:color="auto"/>
            </w:tcBorders>
            <w:shd w:val="clear" w:color="000000" w:fill="B8CCE4"/>
            <w:hideMark/>
          </w:tcPr>
          <w:p w14:paraId="0F9B125C" w14:textId="312FE722"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84,580</w:t>
            </w:r>
          </w:p>
        </w:tc>
        <w:tc>
          <w:tcPr>
            <w:tcW w:w="567" w:type="dxa"/>
            <w:tcBorders>
              <w:top w:val="nil"/>
              <w:left w:val="nil"/>
              <w:bottom w:val="single" w:sz="4" w:space="0" w:color="auto"/>
              <w:right w:val="single" w:sz="4" w:space="0" w:color="auto"/>
            </w:tcBorders>
            <w:shd w:val="clear" w:color="000000" w:fill="B8CCE4"/>
            <w:hideMark/>
          </w:tcPr>
          <w:p w14:paraId="4B1C07B9" w14:textId="6FF44F3D"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84,580</w:t>
            </w:r>
          </w:p>
        </w:tc>
        <w:tc>
          <w:tcPr>
            <w:tcW w:w="567" w:type="dxa"/>
            <w:tcBorders>
              <w:top w:val="nil"/>
              <w:left w:val="nil"/>
              <w:bottom w:val="single" w:sz="4" w:space="0" w:color="auto"/>
              <w:right w:val="single" w:sz="4" w:space="0" w:color="auto"/>
            </w:tcBorders>
            <w:shd w:val="clear" w:color="000000" w:fill="B8CCE4"/>
            <w:hideMark/>
          </w:tcPr>
          <w:p w14:paraId="0D6115CF" w14:textId="6DA0AAA0"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84,580</w:t>
            </w:r>
          </w:p>
        </w:tc>
        <w:tc>
          <w:tcPr>
            <w:tcW w:w="1134" w:type="dxa"/>
            <w:tcBorders>
              <w:top w:val="nil"/>
              <w:left w:val="nil"/>
              <w:bottom w:val="single" w:sz="4" w:space="0" w:color="auto"/>
              <w:right w:val="single" w:sz="4" w:space="0" w:color="auto"/>
            </w:tcBorders>
            <w:shd w:val="clear" w:color="000000" w:fill="B8CCE4"/>
            <w:hideMark/>
          </w:tcPr>
          <w:p w14:paraId="608E5241" w14:textId="777D4007"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84,580</w:t>
            </w:r>
          </w:p>
        </w:tc>
        <w:tc>
          <w:tcPr>
            <w:tcW w:w="1615" w:type="dxa"/>
            <w:tcBorders>
              <w:top w:val="nil"/>
              <w:left w:val="nil"/>
              <w:bottom w:val="single" w:sz="4" w:space="0" w:color="auto"/>
              <w:right w:val="single" w:sz="4" w:space="0" w:color="auto"/>
            </w:tcBorders>
            <w:shd w:val="clear" w:color="000000" w:fill="B8CCE4"/>
            <w:hideMark/>
          </w:tcPr>
          <w:p w14:paraId="4EF68052" w14:textId="0B365482"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84,580</w:t>
            </w:r>
          </w:p>
        </w:tc>
      </w:tr>
      <w:tr w:rsidR="00B807EE" w:rsidRPr="00024D5A" w14:paraId="7C701DC0"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2E181FE8" w14:textId="6AA5AAC5"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1.4.1 Identifikimi i nevojave individuale për mbështetje, hartimi</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dhe zbatimi i planeve individuale të të nxënit nga Komisionet Multifunksionate pranë institucioneve ofruese të AFP-së. Vlerësimi dhe rishikimi periodik i tyre, bazuar në ecurinë e nxënësit</w:t>
            </w:r>
            <w:r w:rsidR="007675EC"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kursantit me aftësi të kufizuara.</w:t>
            </w:r>
          </w:p>
        </w:tc>
        <w:tc>
          <w:tcPr>
            <w:tcW w:w="567" w:type="dxa"/>
            <w:tcBorders>
              <w:top w:val="nil"/>
              <w:left w:val="nil"/>
              <w:bottom w:val="single" w:sz="4" w:space="0" w:color="auto"/>
              <w:right w:val="single" w:sz="4" w:space="0" w:color="auto"/>
            </w:tcBorders>
            <w:hideMark/>
          </w:tcPr>
          <w:p w14:paraId="6E8CD667"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single" w:sz="4" w:space="0" w:color="auto"/>
            </w:tcBorders>
            <w:hideMark/>
          </w:tcPr>
          <w:p w14:paraId="2C0A266E"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1C710AED"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IOAFP</w:t>
            </w:r>
          </w:p>
        </w:tc>
        <w:tc>
          <w:tcPr>
            <w:tcW w:w="1418" w:type="dxa"/>
            <w:tcBorders>
              <w:top w:val="nil"/>
              <w:left w:val="nil"/>
              <w:bottom w:val="single" w:sz="4" w:space="0" w:color="auto"/>
              <w:right w:val="single" w:sz="4" w:space="0" w:color="auto"/>
            </w:tcBorders>
            <w:hideMark/>
          </w:tcPr>
          <w:p w14:paraId="37BCEC15" w14:textId="52C387B4"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AKPA, AKAFPK</w:t>
            </w:r>
            <w:r w:rsidR="00B47620" w:rsidRPr="00024D5A">
              <w:rPr>
                <w:rFonts w:ascii="Garamond" w:eastAsia="Times New Roman" w:hAnsi="Garamond"/>
                <w:i/>
                <w:iCs/>
                <w:sz w:val="6"/>
                <w:szCs w:val="16"/>
                <w:lang w:eastAsia="en-US"/>
              </w:rPr>
              <w:t>,</w:t>
            </w:r>
            <w:r w:rsidRPr="00024D5A">
              <w:rPr>
                <w:rFonts w:ascii="Garamond" w:eastAsia="Times New Roman" w:hAnsi="Garamond"/>
                <w:i/>
                <w:iCs/>
                <w:sz w:val="6"/>
                <w:szCs w:val="16"/>
                <w:lang w:eastAsia="en-US"/>
              </w:rPr>
              <w:t xml:space="preserve"> ASCAP</w:t>
            </w:r>
          </w:p>
        </w:tc>
        <w:tc>
          <w:tcPr>
            <w:tcW w:w="708" w:type="dxa"/>
            <w:tcBorders>
              <w:top w:val="nil"/>
              <w:left w:val="nil"/>
              <w:bottom w:val="single" w:sz="4" w:space="0" w:color="auto"/>
              <w:right w:val="single" w:sz="4" w:space="0" w:color="auto"/>
            </w:tcBorders>
            <w:hideMark/>
          </w:tcPr>
          <w:p w14:paraId="65B9AE21" w14:textId="50EB657C"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1F5A134A" w14:textId="50F18F5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5DA2B58E" w14:textId="04A1446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461BE0DA" w14:textId="0E8DE92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368DE3FC" w14:textId="2EAC491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370D251A"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74323B78" w14:textId="3E3BE8AC"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1.4.2 Ofrimi i këshillimit profesional dhe orientimit në karrierë</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i personalizuar për nxënësit/kursantët me aftësi të kufizuar</w:t>
            </w:r>
            <w:r w:rsidR="00170447" w:rsidRPr="00024D5A">
              <w:rPr>
                <w:rFonts w:ascii="Garamond" w:eastAsia="Times New Roman" w:hAnsi="Garamond"/>
                <w:sz w:val="6"/>
                <w:szCs w:val="16"/>
                <w:lang w:eastAsia="en-US"/>
              </w:rPr>
              <w:t>a</w:t>
            </w:r>
            <w:r w:rsidRPr="00024D5A">
              <w:rPr>
                <w:rFonts w:ascii="Garamond" w:eastAsia="Times New Roman" w:hAnsi="Garamond"/>
                <w:sz w:val="6"/>
                <w:szCs w:val="16"/>
                <w:lang w:eastAsia="en-US"/>
              </w:rPr>
              <w:t xml:space="preserve"> për gjithë sektorët përfshirë sektorët digjitalë dhe të gjelbra.</w:t>
            </w:r>
          </w:p>
        </w:tc>
        <w:tc>
          <w:tcPr>
            <w:tcW w:w="567" w:type="dxa"/>
            <w:tcBorders>
              <w:top w:val="nil"/>
              <w:left w:val="nil"/>
              <w:bottom w:val="single" w:sz="4" w:space="0" w:color="auto"/>
              <w:right w:val="single" w:sz="4" w:space="0" w:color="auto"/>
            </w:tcBorders>
            <w:hideMark/>
          </w:tcPr>
          <w:p w14:paraId="46205A03"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single" w:sz="4" w:space="0" w:color="auto"/>
            </w:tcBorders>
            <w:hideMark/>
          </w:tcPr>
          <w:p w14:paraId="622A02D3"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00BB3B69"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IOAFP</w:t>
            </w:r>
          </w:p>
        </w:tc>
        <w:tc>
          <w:tcPr>
            <w:tcW w:w="1418" w:type="dxa"/>
            <w:tcBorders>
              <w:top w:val="nil"/>
              <w:left w:val="nil"/>
              <w:bottom w:val="single" w:sz="4" w:space="0" w:color="auto"/>
              <w:right w:val="single" w:sz="4" w:space="0" w:color="auto"/>
            </w:tcBorders>
            <w:hideMark/>
          </w:tcPr>
          <w:p w14:paraId="29E2EE0F"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AKPA</w:t>
            </w:r>
          </w:p>
        </w:tc>
        <w:tc>
          <w:tcPr>
            <w:tcW w:w="708" w:type="dxa"/>
            <w:tcBorders>
              <w:top w:val="nil"/>
              <w:left w:val="nil"/>
              <w:bottom w:val="single" w:sz="4" w:space="0" w:color="auto"/>
              <w:right w:val="single" w:sz="4" w:space="0" w:color="auto"/>
            </w:tcBorders>
            <w:hideMark/>
          </w:tcPr>
          <w:p w14:paraId="01D370CC" w14:textId="321D58FF"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72,000</w:t>
            </w:r>
          </w:p>
        </w:tc>
        <w:tc>
          <w:tcPr>
            <w:tcW w:w="567" w:type="dxa"/>
            <w:tcBorders>
              <w:top w:val="nil"/>
              <w:left w:val="nil"/>
              <w:bottom w:val="single" w:sz="4" w:space="0" w:color="auto"/>
              <w:right w:val="single" w:sz="4" w:space="0" w:color="auto"/>
            </w:tcBorders>
            <w:hideMark/>
          </w:tcPr>
          <w:p w14:paraId="279AFBB2" w14:textId="3C643E1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72,000</w:t>
            </w:r>
          </w:p>
        </w:tc>
        <w:tc>
          <w:tcPr>
            <w:tcW w:w="567" w:type="dxa"/>
            <w:tcBorders>
              <w:top w:val="nil"/>
              <w:left w:val="nil"/>
              <w:bottom w:val="single" w:sz="4" w:space="0" w:color="auto"/>
              <w:right w:val="single" w:sz="4" w:space="0" w:color="auto"/>
            </w:tcBorders>
            <w:hideMark/>
          </w:tcPr>
          <w:p w14:paraId="7FB6929F" w14:textId="2AE81C1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72,000</w:t>
            </w:r>
          </w:p>
        </w:tc>
        <w:tc>
          <w:tcPr>
            <w:tcW w:w="1134" w:type="dxa"/>
            <w:tcBorders>
              <w:top w:val="nil"/>
              <w:left w:val="nil"/>
              <w:bottom w:val="single" w:sz="4" w:space="0" w:color="auto"/>
              <w:right w:val="single" w:sz="4" w:space="0" w:color="auto"/>
            </w:tcBorders>
            <w:hideMark/>
          </w:tcPr>
          <w:p w14:paraId="1A23EABE" w14:textId="29013D2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72,000</w:t>
            </w:r>
          </w:p>
        </w:tc>
        <w:tc>
          <w:tcPr>
            <w:tcW w:w="1615" w:type="dxa"/>
            <w:tcBorders>
              <w:top w:val="nil"/>
              <w:left w:val="nil"/>
              <w:bottom w:val="single" w:sz="4" w:space="0" w:color="auto"/>
              <w:right w:val="single" w:sz="4" w:space="0" w:color="auto"/>
            </w:tcBorders>
            <w:hideMark/>
          </w:tcPr>
          <w:p w14:paraId="6EF13863" w14:textId="48C0C91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72,000</w:t>
            </w:r>
          </w:p>
        </w:tc>
      </w:tr>
      <w:tr w:rsidR="00B807EE" w:rsidRPr="00024D5A" w14:paraId="2C7247DD"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0E5528F2"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1.4.3 Rritja e mbështetjes financiare (bursa, transport, pajisje personale, mjete e teknologji ndihmëse) për nxënësit dhe kursantët me aftësi të kufizuara.</w:t>
            </w:r>
          </w:p>
        </w:tc>
        <w:tc>
          <w:tcPr>
            <w:tcW w:w="567" w:type="dxa"/>
            <w:tcBorders>
              <w:top w:val="nil"/>
              <w:left w:val="nil"/>
              <w:bottom w:val="single" w:sz="4" w:space="0" w:color="auto"/>
              <w:right w:val="single" w:sz="4" w:space="0" w:color="auto"/>
            </w:tcBorders>
            <w:hideMark/>
          </w:tcPr>
          <w:p w14:paraId="74107EDD"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single" w:sz="4" w:space="0" w:color="auto"/>
            </w:tcBorders>
            <w:hideMark/>
          </w:tcPr>
          <w:p w14:paraId="37DFD1E8"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2084813B"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AKPA</w:t>
            </w:r>
          </w:p>
        </w:tc>
        <w:tc>
          <w:tcPr>
            <w:tcW w:w="1418" w:type="dxa"/>
            <w:tcBorders>
              <w:top w:val="nil"/>
              <w:left w:val="nil"/>
              <w:bottom w:val="single" w:sz="4" w:space="0" w:color="auto"/>
              <w:right w:val="single" w:sz="4" w:space="0" w:color="auto"/>
            </w:tcBorders>
            <w:hideMark/>
          </w:tcPr>
          <w:p w14:paraId="165E8702"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MEI,MA,AKAFPK,ASCAP, NJVV</w:t>
            </w:r>
          </w:p>
        </w:tc>
        <w:tc>
          <w:tcPr>
            <w:tcW w:w="708" w:type="dxa"/>
            <w:tcBorders>
              <w:top w:val="nil"/>
              <w:left w:val="nil"/>
              <w:bottom w:val="single" w:sz="4" w:space="0" w:color="auto"/>
              <w:right w:val="single" w:sz="4" w:space="0" w:color="auto"/>
            </w:tcBorders>
            <w:hideMark/>
          </w:tcPr>
          <w:p w14:paraId="436E11A5" w14:textId="5EE6DE82"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12,580</w:t>
            </w:r>
          </w:p>
        </w:tc>
        <w:tc>
          <w:tcPr>
            <w:tcW w:w="567" w:type="dxa"/>
            <w:tcBorders>
              <w:top w:val="nil"/>
              <w:left w:val="nil"/>
              <w:bottom w:val="single" w:sz="4" w:space="0" w:color="auto"/>
              <w:right w:val="single" w:sz="4" w:space="0" w:color="auto"/>
            </w:tcBorders>
            <w:hideMark/>
          </w:tcPr>
          <w:p w14:paraId="70A7D070" w14:textId="5A7C828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12,580</w:t>
            </w:r>
          </w:p>
        </w:tc>
        <w:tc>
          <w:tcPr>
            <w:tcW w:w="567" w:type="dxa"/>
            <w:tcBorders>
              <w:top w:val="nil"/>
              <w:left w:val="nil"/>
              <w:bottom w:val="single" w:sz="4" w:space="0" w:color="auto"/>
              <w:right w:val="single" w:sz="4" w:space="0" w:color="auto"/>
            </w:tcBorders>
            <w:hideMark/>
          </w:tcPr>
          <w:p w14:paraId="70F44F4C" w14:textId="2EED7B2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12,580</w:t>
            </w:r>
          </w:p>
        </w:tc>
        <w:tc>
          <w:tcPr>
            <w:tcW w:w="1134" w:type="dxa"/>
            <w:tcBorders>
              <w:top w:val="nil"/>
              <w:left w:val="nil"/>
              <w:bottom w:val="single" w:sz="4" w:space="0" w:color="auto"/>
              <w:right w:val="single" w:sz="4" w:space="0" w:color="auto"/>
            </w:tcBorders>
            <w:hideMark/>
          </w:tcPr>
          <w:p w14:paraId="67930520" w14:textId="2A31C84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12,580</w:t>
            </w:r>
          </w:p>
        </w:tc>
        <w:tc>
          <w:tcPr>
            <w:tcW w:w="1615" w:type="dxa"/>
            <w:tcBorders>
              <w:top w:val="nil"/>
              <w:left w:val="nil"/>
              <w:bottom w:val="single" w:sz="4" w:space="0" w:color="auto"/>
              <w:right w:val="single" w:sz="4" w:space="0" w:color="auto"/>
            </w:tcBorders>
            <w:hideMark/>
          </w:tcPr>
          <w:p w14:paraId="0E3899D5" w14:textId="6CBF0EA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12,580</w:t>
            </w:r>
          </w:p>
        </w:tc>
      </w:tr>
      <w:tr w:rsidR="00B807EE" w:rsidRPr="00024D5A" w14:paraId="6DF472B6"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373BA7B4" w14:textId="25FD920C"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1.4.4 Forcimi i partneritetit shkollë–familje–komunitet për arsimin gjithëpërfshirës në AFP, përmes krijimit të mekanizmave të strukturuar të bashkëpunimit si takime periodike shkollë–familje për ndjekjen e planeve individuale; përfshirjes së komunitetit dhe bizneseve në praktika profesionale të përshtatura; informimit dhe ndërgjegjësimit të familjeve mbi arsimin gjithëpërfshirës</w:t>
            </w:r>
            <w:r w:rsidR="00FD2E93"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069D63A2"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single" w:sz="4" w:space="0" w:color="auto"/>
            </w:tcBorders>
            <w:hideMark/>
          </w:tcPr>
          <w:p w14:paraId="5F03FD04"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370E6103"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IOAFP</w:t>
            </w:r>
          </w:p>
        </w:tc>
        <w:tc>
          <w:tcPr>
            <w:tcW w:w="1418" w:type="dxa"/>
            <w:tcBorders>
              <w:top w:val="nil"/>
              <w:left w:val="nil"/>
              <w:bottom w:val="single" w:sz="4" w:space="0" w:color="auto"/>
              <w:right w:val="single" w:sz="4" w:space="0" w:color="auto"/>
            </w:tcBorders>
            <w:hideMark/>
          </w:tcPr>
          <w:p w14:paraId="3DAC92C5"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AKPA</w:t>
            </w:r>
          </w:p>
        </w:tc>
        <w:tc>
          <w:tcPr>
            <w:tcW w:w="708" w:type="dxa"/>
            <w:tcBorders>
              <w:top w:val="nil"/>
              <w:left w:val="nil"/>
              <w:bottom w:val="single" w:sz="4" w:space="0" w:color="auto"/>
              <w:right w:val="single" w:sz="4" w:space="0" w:color="auto"/>
            </w:tcBorders>
            <w:hideMark/>
          </w:tcPr>
          <w:p w14:paraId="208771E0" w14:textId="72FFEA15"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07285DD8" w14:textId="23E3030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32A4D52D" w14:textId="7FF4AA7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7892F18A" w14:textId="0185BC0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3849454D" w14:textId="2E2A6D0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2048613F"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B8CCE4"/>
            <w:noWrap/>
            <w:hideMark/>
          </w:tcPr>
          <w:p w14:paraId="55E1A4DB" w14:textId="2A163CE6"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Masa prioritare 1.5</w:t>
            </w:r>
            <w:r w:rsidR="003526AF">
              <w:rPr>
                <w:rFonts w:ascii="Garamond" w:eastAsia="Times New Roman" w:hAnsi="Garamond"/>
                <w:b/>
                <w:bCs/>
                <w:sz w:val="6"/>
                <w:szCs w:val="16"/>
                <w:lang w:eastAsia="en-US"/>
              </w:rPr>
              <w:t>:</w:t>
            </w:r>
            <w:r w:rsidR="00FD2E93" w:rsidRPr="00024D5A">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 xml:space="preserve">Bashkëpunimi me sektorin privat dhe tregun e punës </w:t>
            </w:r>
            <w:r w:rsidR="00FD2E93"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Lidhja e aftësive të fituara me punësimin real.</w:t>
            </w:r>
          </w:p>
        </w:tc>
        <w:tc>
          <w:tcPr>
            <w:tcW w:w="567" w:type="dxa"/>
            <w:tcBorders>
              <w:top w:val="nil"/>
              <w:left w:val="nil"/>
              <w:bottom w:val="single" w:sz="4" w:space="0" w:color="auto"/>
              <w:right w:val="single" w:sz="4" w:space="0" w:color="auto"/>
            </w:tcBorders>
            <w:shd w:val="clear" w:color="000000" w:fill="B8CCE4"/>
            <w:hideMark/>
          </w:tcPr>
          <w:p w14:paraId="4C7E3F3F"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single" w:sz="4" w:space="0" w:color="auto"/>
            </w:tcBorders>
            <w:shd w:val="clear" w:color="000000" w:fill="B8CCE4"/>
            <w:hideMark/>
          </w:tcPr>
          <w:p w14:paraId="224D3DFD"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shd w:val="clear" w:color="000000" w:fill="B8CCE4"/>
            <w:hideMark/>
          </w:tcPr>
          <w:p w14:paraId="084FCE2F"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IOAFP</w:t>
            </w:r>
          </w:p>
        </w:tc>
        <w:tc>
          <w:tcPr>
            <w:tcW w:w="1418" w:type="dxa"/>
            <w:tcBorders>
              <w:top w:val="nil"/>
              <w:left w:val="nil"/>
              <w:bottom w:val="single" w:sz="4" w:space="0" w:color="auto"/>
              <w:right w:val="single" w:sz="4" w:space="0" w:color="auto"/>
            </w:tcBorders>
            <w:shd w:val="clear" w:color="000000" w:fill="B8CCE4"/>
            <w:hideMark/>
          </w:tcPr>
          <w:p w14:paraId="78A5882F"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IOAFP/AKPA/MEI/MA/ASCAP</w:t>
            </w:r>
          </w:p>
        </w:tc>
        <w:tc>
          <w:tcPr>
            <w:tcW w:w="708" w:type="dxa"/>
            <w:tcBorders>
              <w:top w:val="nil"/>
              <w:left w:val="nil"/>
              <w:bottom w:val="single" w:sz="4" w:space="0" w:color="auto"/>
              <w:right w:val="single" w:sz="4" w:space="0" w:color="auto"/>
            </w:tcBorders>
            <w:shd w:val="clear" w:color="000000" w:fill="B8CCE4"/>
            <w:hideMark/>
          </w:tcPr>
          <w:p w14:paraId="01666C3D" w14:textId="65F327BC"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520</w:t>
            </w:r>
          </w:p>
        </w:tc>
        <w:tc>
          <w:tcPr>
            <w:tcW w:w="567" w:type="dxa"/>
            <w:tcBorders>
              <w:top w:val="nil"/>
              <w:left w:val="nil"/>
              <w:bottom w:val="single" w:sz="4" w:space="0" w:color="auto"/>
              <w:right w:val="single" w:sz="4" w:space="0" w:color="auto"/>
            </w:tcBorders>
            <w:shd w:val="clear" w:color="000000" w:fill="B8CCE4"/>
            <w:hideMark/>
          </w:tcPr>
          <w:p w14:paraId="515308B2" w14:textId="3D6475E1"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520</w:t>
            </w:r>
          </w:p>
        </w:tc>
        <w:tc>
          <w:tcPr>
            <w:tcW w:w="567" w:type="dxa"/>
            <w:tcBorders>
              <w:top w:val="nil"/>
              <w:left w:val="nil"/>
              <w:bottom w:val="single" w:sz="4" w:space="0" w:color="auto"/>
              <w:right w:val="single" w:sz="4" w:space="0" w:color="auto"/>
            </w:tcBorders>
            <w:shd w:val="clear" w:color="000000" w:fill="B8CCE4"/>
            <w:hideMark/>
          </w:tcPr>
          <w:p w14:paraId="798178C4" w14:textId="0D7E4D52"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373</w:t>
            </w:r>
          </w:p>
        </w:tc>
        <w:tc>
          <w:tcPr>
            <w:tcW w:w="1134" w:type="dxa"/>
            <w:tcBorders>
              <w:top w:val="nil"/>
              <w:left w:val="nil"/>
              <w:bottom w:val="single" w:sz="4" w:space="0" w:color="auto"/>
              <w:right w:val="single" w:sz="4" w:space="0" w:color="auto"/>
            </w:tcBorders>
            <w:shd w:val="clear" w:color="000000" w:fill="B8CCE4"/>
            <w:hideMark/>
          </w:tcPr>
          <w:p w14:paraId="7702F647" w14:textId="73F2D268"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100</w:t>
            </w:r>
          </w:p>
        </w:tc>
        <w:tc>
          <w:tcPr>
            <w:tcW w:w="1615" w:type="dxa"/>
            <w:tcBorders>
              <w:top w:val="nil"/>
              <w:left w:val="nil"/>
              <w:bottom w:val="single" w:sz="4" w:space="0" w:color="auto"/>
              <w:right w:val="single" w:sz="4" w:space="0" w:color="auto"/>
            </w:tcBorders>
            <w:shd w:val="clear" w:color="000000" w:fill="B8CCE4"/>
            <w:hideMark/>
          </w:tcPr>
          <w:p w14:paraId="47AF0465" w14:textId="2BDD00E7"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100</w:t>
            </w:r>
          </w:p>
        </w:tc>
      </w:tr>
      <w:tr w:rsidR="00B807EE" w:rsidRPr="00024D5A" w14:paraId="7144E248"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13C77D77"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1.5.1 Fuqizimi i partneriteteve me kompani të ndryshme përfshirë ato të sektorit digjital dhe të ekonomisë së gjelbër për praktika dhe mësim në punë të përshtatura për nxënësit e kursantët më aftësi të kufizuara.</w:t>
            </w:r>
          </w:p>
        </w:tc>
        <w:tc>
          <w:tcPr>
            <w:tcW w:w="567" w:type="dxa"/>
            <w:tcBorders>
              <w:top w:val="nil"/>
              <w:left w:val="nil"/>
              <w:bottom w:val="single" w:sz="4" w:space="0" w:color="auto"/>
              <w:right w:val="single" w:sz="4" w:space="0" w:color="auto"/>
            </w:tcBorders>
            <w:hideMark/>
          </w:tcPr>
          <w:p w14:paraId="6724EDF5"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single" w:sz="4" w:space="0" w:color="auto"/>
            </w:tcBorders>
            <w:hideMark/>
          </w:tcPr>
          <w:p w14:paraId="0EC9C4E5"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6D934674"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IOAFP</w:t>
            </w:r>
          </w:p>
        </w:tc>
        <w:tc>
          <w:tcPr>
            <w:tcW w:w="1418" w:type="dxa"/>
            <w:tcBorders>
              <w:top w:val="nil"/>
              <w:left w:val="nil"/>
              <w:bottom w:val="single" w:sz="4" w:space="0" w:color="auto"/>
              <w:right w:val="single" w:sz="4" w:space="0" w:color="auto"/>
            </w:tcBorders>
            <w:hideMark/>
          </w:tcPr>
          <w:p w14:paraId="4602B1FF"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AKPA</w:t>
            </w:r>
          </w:p>
        </w:tc>
        <w:tc>
          <w:tcPr>
            <w:tcW w:w="708" w:type="dxa"/>
            <w:tcBorders>
              <w:top w:val="nil"/>
              <w:left w:val="nil"/>
              <w:bottom w:val="single" w:sz="4" w:space="0" w:color="auto"/>
              <w:right w:val="single" w:sz="4" w:space="0" w:color="auto"/>
            </w:tcBorders>
            <w:hideMark/>
          </w:tcPr>
          <w:p w14:paraId="70736604" w14:textId="200485BF"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161D9440" w14:textId="52C9280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07CD2B34" w14:textId="7851F76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64FF1619" w14:textId="47A76B3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28FF9D5E" w14:textId="6C1B220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6D4459ED"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7AA9DAC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1.5.2 Zhvillimi i programeve të praktikës së asistuar për nxënësit me aftësi të kufizuara.</w:t>
            </w:r>
          </w:p>
        </w:tc>
        <w:tc>
          <w:tcPr>
            <w:tcW w:w="567" w:type="dxa"/>
            <w:tcBorders>
              <w:top w:val="nil"/>
              <w:left w:val="nil"/>
              <w:bottom w:val="single" w:sz="4" w:space="0" w:color="auto"/>
              <w:right w:val="single" w:sz="4" w:space="0" w:color="auto"/>
            </w:tcBorders>
            <w:hideMark/>
          </w:tcPr>
          <w:p w14:paraId="613A7FB8"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single" w:sz="4" w:space="0" w:color="auto"/>
            </w:tcBorders>
            <w:hideMark/>
          </w:tcPr>
          <w:p w14:paraId="1C42B30D"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45DBC134"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AKPA</w:t>
            </w:r>
          </w:p>
        </w:tc>
        <w:tc>
          <w:tcPr>
            <w:tcW w:w="1418" w:type="dxa"/>
            <w:tcBorders>
              <w:top w:val="nil"/>
              <w:left w:val="nil"/>
              <w:bottom w:val="single" w:sz="4" w:space="0" w:color="auto"/>
              <w:right w:val="single" w:sz="4" w:space="0" w:color="auto"/>
            </w:tcBorders>
            <w:hideMark/>
          </w:tcPr>
          <w:p w14:paraId="1A8FCCAC"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IOAFP</w:t>
            </w:r>
          </w:p>
        </w:tc>
        <w:tc>
          <w:tcPr>
            <w:tcW w:w="708" w:type="dxa"/>
            <w:tcBorders>
              <w:top w:val="nil"/>
              <w:left w:val="nil"/>
              <w:bottom w:val="single" w:sz="4" w:space="0" w:color="auto"/>
              <w:right w:val="single" w:sz="4" w:space="0" w:color="auto"/>
            </w:tcBorders>
            <w:hideMark/>
          </w:tcPr>
          <w:p w14:paraId="19ABA1BA" w14:textId="4657C57D"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68681BBC" w14:textId="25C670E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7CFCD9DA" w14:textId="5525021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0B3E893E" w14:textId="0C0BD61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7923CB8A" w14:textId="0BB24B1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71E792C9"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723ACF68" w14:textId="424B997D"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1.5.3 Sensibilizimi i punëdhënësve për potencialin e PAK</w:t>
            </w:r>
            <w:r w:rsidR="00FD2E93" w:rsidRPr="00024D5A">
              <w:rPr>
                <w:rFonts w:ascii="Garamond" w:eastAsia="Times New Roman" w:hAnsi="Garamond"/>
                <w:sz w:val="6"/>
                <w:szCs w:val="16"/>
                <w:lang w:eastAsia="en-US"/>
              </w:rPr>
              <w:t>-së</w:t>
            </w:r>
            <w:r w:rsidRPr="00024D5A">
              <w:rPr>
                <w:rFonts w:ascii="Garamond" w:eastAsia="Times New Roman" w:hAnsi="Garamond"/>
                <w:sz w:val="6"/>
                <w:szCs w:val="16"/>
                <w:lang w:eastAsia="en-US"/>
              </w:rPr>
              <w:t xml:space="preserve"> dhe përfitimet e punësimit gjithëpërfshirës.</w:t>
            </w:r>
          </w:p>
        </w:tc>
        <w:tc>
          <w:tcPr>
            <w:tcW w:w="567" w:type="dxa"/>
            <w:tcBorders>
              <w:top w:val="nil"/>
              <w:left w:val="nil"/>
              <w:bottom w:val="single" w:sz="4" w:space="0" w:color="auto"/>
              <w:right w:val="single" w:sz="4" w:space="0" w:color="auto"/>
            </w:tcBorders>
            <w:hideMark/>
          </w:tcPr>
          <w:p w14:paraId="5533C1CA"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single" w:sz="4" w:space="0" w:color="auto"/>
            </w:tcBorders>
            <w:hideMark/>
          </w:tcPr>
          <w:p w14:paraId="3D9E49B6"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7C7E9119"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AKPA</w:t>
            </w:r>
          </w:p>
        </w:tc>
        <w:tc>
          <w:tcPr>
            <w:tcW w:w="1418" w:type="dxa"/>
            <w:tcBorders>
              <w:top w:val="nil"/>
              <w:left w:val="nil"/>
              <w:bottom w:val="single" w:sz="4" w:space="0" w:color="auto"/>
              <w:right w:val="single" w:sz="4" w:space="0" w:color="auto"/>
            </w:tcBorders>
            <w:hideMark/>
          </w:tcPr>
          <w:p w14:paraId="1E915EF3"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IOAFP</w:t>
            </w:r>
          </w:p>
        </w:tc>
        <w:tc>
          <w:tcPr>
            <w:tcW w:w="708" w:type="dxa"/>
            <w:tcBorders>
              <w:top w:val="nil"/>
              <w:left w:val="nil"/>
              <w:bottom w:val="single" w:sz="4" w:space="0" w:color="auto"/>
              <w:right w:val="single" w:sz="4" w:space="0" w:color="auto"/>
            </w:tcBorders>
            <w:hideMark/>
          </w:tcPr>
          <w:p w14:paraId="49F45549" w14:textId="4153765E"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100</w:t>
            </w:r>
          </w:p>
        </w:tc>
        <w:tc>
          <w:tcPr>
            <w:tcW w:w="567" w:type="dxa"/>
            <w:tcBorders>
              <w:top w:val="nil"/>
              <w:left w:val="nil"/>
              <w:bottom w:val="single" w:sz="4" w:space="0" w:color="auto"/>
              <w:right w:val="single" w:sz="4" w:space="0" w:color="auto"/>
            </w:tcBorders>
            <w:hideMark/>
          </w:tcPr>
          <w:p w14:paraId="3D78B686" w14:textId="67BC01D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w:t>
            </w:r>
          </w:p>
        </w:tc>
        <w:tc>
          <w:tcPr>
            <w:tcW w:w="567" w:type="dxa"/>
            <w:tcBorders>
              <w:top w:val="nil"/>
              <w:left w:val="nil"/>
              <w:bottom w:val="single" w:sz="4" w:space="0" w:color="auto"/>
              <w:right w:val="single" w:sz="4" w:space="0" w:color="auto"/>
            </w:tcBorders>
            <w:hideMark/>
          </w:tcPr>
          <w:p w14:paraId="5AFF06D3" w14:textId="1A8F56F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w:t>
            </w:r>
          </w:p>
        </w:tc>
        <w:tc>
          <w:tcPr>
            <w:tcW w:w="1134" w:type="dxa"/>
            <w:tcBorders>
              <w:top w:val="nil"/>
              <w:left w:val="nil"/>
              <w:bottom w:val="single" w:sz="4" w:space="0" w:color="auto"/>
              <w:right w:val="single" w:sz="4" w:space="0" w:color="auto"/>
            </w:tcBorders>
            <w:hideMark/>
          </w:tcPr>
          <w:p w14:paraId="04B5A5D2" w14:textId="197259A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w:t>
            </w:r>
          </w:p>
        </w:tc>
        <w:tc>
          <w:tcPr>
            <w:tcW w:w="1615" w:type="dxa"/>
            <w:tcBorders>
              <w:top w:val="nil"/>
              <w:left w:val="nil"/>
              <w:bottom w:val="single" w:sz="4" w:space="0" w:color="auto"/>
              <w:right w:val="single" w:sz="4" w:space="0" w:color="auto"/>
            </w:tcBorders>
            <w:hideMark/>
          </w:tcPr>
          <w:p w14:paraId="47A7229C" w14:textId="71A3180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w:t>
            </w:r>
          </w:p>
        </w:tc>
      </w:tr>
      <w:tr w:rsidR="00B807EE" w:rsidRPr="00024D5A" w14:paraId="5C00FB5A"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5BF71A3C" w14:textId="26E9E50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1.5.4 Standardizim i certifikimit të njohurive dhe aftësive përfshirë të aftësive digjitale dhe të gjelbra për nxënësit</w:t>
            </w:r>
            <w:r w:rsidR="007675EC"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kursantët me aftësi të kufizuara.</w:t>
            </w:r>
          </w:p>
        </w:tc>
        <w:tc>
          <w:tcPr>
            <w:tcW w:w="567" w:type="dxa"/>
            <w:tcBorders>
              <w:top w:val="nil"/>
              <w:left w:val="nil"/>
              <w:bottom w:val="single" w:sz="4" w:space="0" w:color="auto"/>
              <w:right w:val="single" w:sz="4" w:space="0" w:color="auto"/>
            </w:tcBorders>
            <w:hideMark/>
          </w:tcPr>
          <w:p w14:paraId="31B65B52"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single" w:sz="4" w:space="0" w:color="auto"/>
            </w:tcBorders>
            <w:hideMark/>
          </w:tcPr>
          <w:p w14:paraId="3BDA255E"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2028</w:t>
            </w:r>
          </w:p>
        </w:tc>
        <w:tc>
          <w:tcPr>
            <w:tcW w:w="1134" w:type="dxa"/>
            <w:tcBorders>
              <w:top w:val="nil"/>
              <w:left w:val="nil"/>
              <w:bottom w:val="single" w:sz="4" w:space="0" w:color="auto"/>
              <w:right w:val="single" w:sz="4" w:space="0" w:color="auto"/>
            </w:tcBorders>
            <w:hideMark/>
          </w:tcPr>
          <w:p w14:paraId="3AD8530D"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AKAFPK</w:t>
            </w:r>
          </w:p>
        </w:tc>
        <w:tc>
          <w:tcPr>
            <w:tcW w:w="1418" w:type="dxa"/>
            <w:tcBorders>
              <w:top w:val="nil"/>
              <w:left w:val="nil"/>
              <w:bottom w:val="single" w:sz="4" w:space="0" w:color="auto"/>
              <w:right w:val="single" w:sz="4" w:space="0" w:color="auto"/>
            </w:tcBorders>
            <w:hideMark/>
          </w:tcPr>
          <w:p w14:paraId="17F6F3A4"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AKPA, MEI, MA, ASCAP</w:t>
            </w:r>
          </w:p>
        </w:tc>
        <w:tc>
          <w:tcPr>
            <w:tcW w:w="708" w:type="dxa"/>
            <w:tcBorders>
              <w:top w:val="nil"/>
              <w:left w:val="nil"/>
              <w:bottom w:val="single" w:sz="4" w:space="0" w:color="auto"/>
              <w:right w:val="single" w:sz="4" w:space="0" w:color="auto"/>
            </w:tcBorders>
            <w:hideMark/>
          </w:tcPr>
          <w:p w14:paraId="77ED8CDA" w14:textId="6F1EF225"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420</w:t>
            </w:r>
          </w:p>
        </w:tc>
        <w:tc>
          <w:tcPr>
            <w:tcW w:w="567" w:type="dxa"/>
            <w:tcBorders>
              <w:top w:val="nil"/>
              <w:left w:val="nil"/>
              <w:bottom w:val="single" w:sz="4" w:space="0" w:color="auto"/>
              <w:right w:val="single" w:sz="4" w:space="0" w:color="auto"/>
            </w:tcBorders>
            <w:hideMark/>
          </w:tcPr>
          <w:p w14:paraId="6F4182D3" w14:textId="531BDEE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420</w:t>
            </w:r>
          </w:p>
        </w:tc>
        <w:tc>
          <w:tcPr>
            <w:tcW w:w="567" w:type="dxa"/>
            <w:tcBorders>
              <w:top w:val="nil"/>
              <w:left w:val="nil"/>
              <w:bottom w:val="single" w:sz="4" w:space="0" w:color="auto"/>
              <w:right w:val="single" w:sz="4" w:space="0" w:color="auto"/>
            </w:tcBorders>
            <w:hideMark/>
          </w:tcPr>
          <w:p w14:paraId="3F44CD9E" w14:textId="184D90F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273</w:t>
            </w:r>
          </w:p>
        </w:tc>
        <w:tc>
          <w:tcPr>
            <w:tcW w:w="1134" w:type="dxa"/>
            <w:tcBorders>
              <w:top w:val="nil"/>
              <w:left w:val="nil"/>
              <w:bottom w:val="single" w:sz="4" w:space="0" w:color="auto"/>
              <w:right w:val="single" w:sz="4" w:space="0" w:color="auto"/>
            </w:tcBorders>
            <w:hideMark/>
          </w:tcPr>
          <w:p w14:paraId="4D90EEB4" w14:textId="107F400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4C225418" w14:textId="202E4C0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6F547765"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B8CCE4"/>
            <w:noWrap/>
            <w:hideMark/>
          </w:tcPr>
          <w:p w14:paraId="2CB79559" w14:textId="361CF68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Masa prioritare 1.6</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Monitorimi, vlerësimi dhe administrimi i të dhënave</w:t>
            </w:r>
            <w:r w:rsidR="000D5DF3" w:rsidRPr="00024D5A">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 xml:space="preserve"> Matja e progresit dhe përmirësimi i vazhdueshëm i masave të parashikuara në këtë sektor/objektiv të planit të veprimit</w:t>
            </w:r>
            <w:r w:rsidR="004A25B6" w:rsidRPr="00024D5A">
              <w:rPr>
                <w:rFonts w:ascii="Garamond" w:eastAsia="Times New Roman" w:hAnsi="Garamond"/>
                <w:b/>
                <w:bCs/>
                <w:sz w:val="6"/>
                <w:szCs w:val="16"/>
                <w:lang w:eastAsia="en-US"/>
              </w:rPr>
              <w:t>.</w:t>
            </w:r>
          </w:p>
        </w:tc>
        <w:tc>
          <w:tcPr>
            <w:tcW w:w="567" w:type="dxa"/>
            <w:tcBorders>
              <w:top w:val="nil"/>
              <w:left w:val="nil"/>
              <w:bottom w:val="single" w:sz="4" w:space="0" w:color="auto"/>
              <w:right w:val="single" w:sz="4" w:space="0" w:color="auto"/>
            </w:tcBorders>
            <w:shd w:val="clear" w:color="000000" w:fill="B8CCE4"/>
            <w:hideMark/>
          </w:tcPr>
          <w:p w14:paraId="19E92F28"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single" w:sz="4" w:space="0" w:color="auto"/>
            </w:tcBorders>
            <w:shd w:val="clear" w:color="000000" w:fill="B8CCE4"/>
            <w:hideMark/>
          </w:tcPr>
          <w:p w14:paraId="21C2D15F"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shd w:val="clear" w:color="000000" w:fill="B8CCE4"/>
            <w:hideMark/>
          </w:tcPr>
          <w:p w14:paraId="49E6FA0F"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IOAFP/AKPA</w:t>
            </w:r>
          </w:p>
        </w:tc>
        <w:tc>
          <w:tcPr>
            <w:tcW w:w="1418" w:type="dxa"/>
            <w:tcBorders>
              <w:top w:val="nil"/>
              <w:left w:val="nil"/>
              <w:bottom w:val="single" w:sz="4" w:space="0" w:color="auto"/>
              <w:right w:val="single" w:sz="4" w:space="0" w:color="auto"/>
            </w:tcBorders>
            <w:shd w:val="clear" w:color="000000" w:fill="B8CCE4"/>
            <w:hideMark/>
          </w:tcPr>
          <w:p w14:paraId="3D13F567"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IOAFP/AKPA</w:t>
            </w:r>
          </w:p>
        </w:tc>
        <w:tc>
          <w:tcPr>
            <w:tcW w:w="708" w:type="dxa"/>
            <w:tcBorders>
              <w:top w:val="nil"/>
              <w:left w:val="nil"/>
              <w:bottom w:val="single" w:sz="4" w:space="0" w:color="auto"/>
              <w:right w:val="single" w:sz="4" w:space="0" w:color="auto"/>
            </w:tcBorders>
            <w:shd w:val="clear" w:color="000000" w:fill="B8CCE4"/>
            <w:hideMark/>
          </w:tcPr>
          <w:p w14:paraId="41BA5619" w14:textId="50BD4C37"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540</w:t>
            </w:r>
          </w:p>
        </w:tc>
        <w:tc>
          <w:tcPr>
            <w:tcW w:w="567" w:type="dxa"/>
            <w:tcBorders>
              <w:top w:val="nil"/>
              <w:left w:val="nil"/>
              <w:bottom w:val="single" w:sz="4" w:space="0" w:color="auto"/>
              <w:right w:val="single" w:sz="4" w:space="0" w:color="auto"/>
            </w:tcBorders>
            <w:shd w:val="clear" w:color="000000" w:fill="B8CCE4"/>
            <w:hideMark/>
          </w:tcPr>
          <w:p w14:paraId="2485C338" w14:textId="6BB49FB4"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540</w:t>
            </w:r>
          </w:p>
        </w:tc>
        <w:tc>
          <w:tcPr>
            <w:tcW w:w="567" w:type="dxa"/>
            <w:tcBorders>
              <w:top w:val="nil"/>
              <w:left w:val="nil"/>
              <w:bottom w:val="single" w:sz="4" w:space="0" w:color="auto"/>
              <w:right w:val="single" w:sz="4" w:space="0" w:color="auto"/>
            </w:tcBorders>
            <w:shd w:val="clear" w:color="000000" w:fill="B8CCE4"/>
            <w:hideMark/>
          </w:tcPr>
          <w:p w14:paraId="3A9EEF6B" w14:textId="6E6C17A9"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1,135</w:t>
            </w:r>
          </w:p>
        </w:tc>
        <w:tc>
          <w:tcPr>
            <w:tcW w:w="1134" w:type="dxa"/>
            <w:tcBorders>
              <w:top w:val="nil"/>
              <w:left w:val="nil"/>
              <w:bottom w:val="single" w:sz="4" w:space="0" w:color="auto"/>
              <w:right w:val="single" w:sz="4" w:space="0" w:color="auto"/>
            </w:tcBorders>
            <w:shd w:val="clear" w:color="000000" w:fill="B8CCE4"/>
            <w:hideMark/>
          </w:tcPr>
          <w:p w14:paraId="7E53BEEC" w14:textId="4D1644FA"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540</w:t>
            </w:r>
          </w:p>
        </w:tc>
        <w:tc>
          <w:tcPr>
            <w:tcW w:w="1615" w:type="dxa"/>
            <w:tcBorders>
              <w:top w:val="nil"/>
              <w:left w:val="nil"/>
              <w:bottom w:val="single" w:sz="4" w:space="0" w:color="auto"/>
              <w:right w:val="single" w:sz="4" w:space="0" w:color="auto"/>
            </w:tcBorders>
            <w:shd w:val="clear" w:color="000000" w:fill="B8CCE4"/>
            <w:hideMark/>
          </w:tcPr>
          <w:p w14:paraId="6DD068E1" w14:textId="24D791C5"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540</w:t>
            </w:r>
          </w:p>
        </w:tc>
      </w:tr>
      <w:tr w:rsidR="00B807EE" w:rsidRPr="00024D5A" w14:paraId="06C86ADE"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1675610B" w14:textId="2D65BF3A"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1.6.1 Rishikimi dhe administrimi i të dhënave të ndara sipas llojit të aftësisë së kufizuar, gjinisë, moshës,</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kualifikimit/profesionit, regjistrimit, përfundimit dhe gjurmimit pas përfundimit të AFP</w:t>
            </w:r>
            <w:r w:rsidR="004A25B6" w:rsidRPr="00024D5A">
              <w:rPr>
                <w:rFonts w:ascii="Garamond" w:eastAsia="Times New Roman" w:hAnsi="Garamond"/>
                <w:sz w:val="6"/>
                <w:szCs w:val="16"/>
                <w:lang w:eastAsia="en-US"/>
              </w:rPr>
              <w:t>-së</w:t>
            </w:r>
            <w:r w:rsidRPr="00024D5A">
              <w:rPr>
                <w:rFonts w:ascii="Garamond" w:eastAsia="Times New Roman" w:hAnsi="Garamond"/>
                <w:sz w:val="6"/>
                <w:szCs w:val="16"/>
                <w:lang w:eastAsia="en-US"/>
              </w:rPr>
              <w:t>.</w:t>
            </w:r>
            <w:r w:rsidR="008F29FA" w:rsidRPr="00024D5A">
              <w:rPr>
                <w:rFonts w:ascii="Garamond" w:eastAsia="Times New Roman" w:hAnsi="Garamond"/>
                <w:sz w:val="6"/>
                <w:szCs w:val="16"/>
                <w:lang w:eastAsia="en-US"/>
              </w:rPr>
              <w:t xml:space="preserve"> </w:t>
            </w:r>
          </w:p>
        </w:tc>
        <w:tc>
          <w:tcPr>
            <w:tcW w:w="567" w:type="dxa"/>
            <w:tcBorders>
              <w:top w:val="nil"/>
              <w:left w:val="nil"/>
              <w:bottom w:val="single" w:sz="4" w:space="0" w:color="auto"/>
              <w:right w:val="single" w:sz="4" w:space="0" w:color="auto"/>
            </w:tcBorders>
            <w:hideMark/>
          </w:tcPr>
          <w:p w14:paraId="3018A682"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2028</w:t>
            </w:r>
          </w:p>
        </w:tc>
        <w:tc>
          <w:tcPr>
            <w:tcW w:w="567" w:type="dxa"/>
            <w:tcBorders>
              <w:top w:val="nil"/>
              <w:left w:val="nil"/>
              <w:bottom w:val="single" w:sz="4" w:space="0" w:color="auto"/>
              <w:right w:val="single" w:sz="4" w:space="0" w:color="auto"/>
            </w:tcBorders>
            <w:hideMark/>
          </w:tcPr>
          <w:p w14:paraId="3CB895F4"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2028</w:t>
            </w:r>
          </w:p>
        </w:tc>
        <w:tc>
          <w:tcPr>
            <w:tcW w:w="1134" w:type="dxa"/>
            <w:tcBorders>
              <w:top w:val="nil"/>
              <w:left w:val="nil"/>
              <w:bottom w:val="single" w:sz="4" w:space="0" w:color="auto"/>
              <w:right w:val="single" w:sz="4" w:space="0" w:color="auto"/>
            </w:tcBorders>
            <w:hideMark/>
          </w:tcPr>
          <w:p w14:paraId="105D8B7C"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IOAFP</w:t>
            </w:r>
          </w:p>
        </w:tc>
        <w:tc>
          <w:tcPr>
            <w:tcW w:w="1418" w:type="dxa"/>
            <w:tcBorders>
              <w:top w:val="nil"/>
              <w:left w:val="nil"/>
              <w:bottom w:val="single" w:sz="4" w:space="0" w:color="auto"/>
              <w:right w:val="single" w:sz="4" w:space="0" w:color="auto"/>
            </w:tcBorders>
            <w:hideMark/>
          </w:tcPr>
          <w:p w14:paraId="6FBCBF5A"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AKPA</w:t>
            </w:r>
          </w:p>
        </w:tc>
        <w:tc>
          <w:tcPr>
            <w:tcW w:w="708" w:type="dxa"/>
            <w:tcBorders>
              <w:top w:val="nil"/>
              <w:left w:val="nil"/>
              <w:bottom w:val="single" w:sz="4" w:space="0" w:color="auto"/>
              <w:right w:val="single" w:sz="4" w:space="0" w:color="auto"/>
            </w:tcBorders>
            <w:hideMark/>
          </w:tcPr>
          <w:p w14:paraId="3705DF73" w14:textId="0311842D"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775A0D13" w14:textId="282E563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54B48AFC" w14:textId="6FE27A7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595</w:t>
            </w:r>
          </w:p>
        </w:tc>
        <w:tc>
          <w:tcPr>
            <w:tcW w:w="1134" w:type="dxa"/>
            <w:tcBorders>
              <w:top w:val="nil"/>
              <w:left w:val="nil"/>
              <w:bottom w:val="single" w:sz="4" w:space="0" w:color="auto"/>
              <w:right w:val="single" w:sz="4" w:space="0" w:color="auto"/>
            </w:tcBorders>
            <w:hideMark/>
          </w:tcPr>
          <w:p w14:paraId="2D44D3C5" w14:textId="0931D58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447CE776" w14:textId="6A72F86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1AFA285F"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51B887AF"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1.6.2 Raportim periodik dhe rishikim i politikave bazuar në evidenca.</w:t>
            </w:r>
          </w:p>
        </w:tc>
        <w:tc>
          <w:tcPr>
            <w:tcW w:w="567" w:type="dxa"/>
            <w:tcBorders>
              <w:top w:val="nil"/>
              <w:left w:val="nil"/>
              <w:bottom w:val="single" w:sz="4" w:space="0" w:color="auto"/>
              <w:right w:val="single" w:sz="4" w:space="0" w:color="auto"/>
            </w:tcBorders>
            <w:hideMark/>
          </w:tcPr>
          <w:p w14:paraId="2F3A37E4"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single" w:sz="4" w:space="0" w:color="auto"/>
            </w:tcBorders>
            <w:hideMark/>
          </w:tcPr>
          <w:p w14:paraId="677EEE35"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0B8552EE"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AKPA</w:t>
            </w:r>
          </w:p>
        </w:tc>
        <w:tc>
          <w:tcPr>
            <w:tcW w:w="1418" w:type="dxa"/>
            <w:tcBorders>
              <w:top w:val="nil"/>
              <w:left w:val="nil"/>
              <w:bottom w:val="single" w:sz="4" w:space="0" w:color="auto"/>
              <w:right w:val="single" w:sz="4" w:space="0" w:color="auto"/>
            </w:tcBorders>
            <w:hideMark/>
          </w:tcPr>
          <w:p w14:paraId="14CB289D"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IOAFP</w:t>
            </w:r>
          </w:p>
        </w:tc>
        <w:tc>
          <w:tcPr>
            <w:tcW w:w="708" w:type="dxa"/>
            <w:tcBorders>
              <w:top w:val="nil"/>
              <w:left w:val="nil"/>
              <w:bottom w:val="single" w:sz="4" w:space="0" w:color="auto"/>
              <w:right w:val="single" w:sz="4" w:space="0" w:color="auto"/>
            </w:tcBorders>
            <w:hideMark/>
          </w:tcPr>
          <w:p w14:paraId="50E1D2B2" w14:textId="01A164FC"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540</w:t>
            </w:r>
          </w:p>
        </w:tc>
        <w:tc>
          <w:tcPr>
            <w:tcW w:w="567" w:type="dxa"/>
            <w:tcBorders>
              <w:top w:val="nil"/>
              <w:left w:val="nil"/>
              <w:bottom w:val="single" w:sz="4" w:space="0" w:color="auto"/>
              <w:right w:val="single" w:sz="4" w:space="0" w:color="auto"/>
            </w:tcBorders>
            <w:hideMark/>
          </w:tcPr>
          <w:p w14:paraId="025CD155" w14:textId="059E0B1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540</w:t>
            </w:r>
          </w:p>
        </w:tc>
        <w:tc>
          <w:tcPr>
            <w:tcW w:w="567" w:type="dxa"/>
            <w:tcBorders>
              <w:top w:val="nil"/>
              <w:left w:val="nil"/>
              <w:bottom w:val="single" w:sz="4" w:space="0" w:color="auto"/>
              <w:right w:val="single" w:sz="4" w:space="0" w:color="auto"/>
            </w:tcBorders>
            <w:hideMark/>
          </w:tcPr>
          <w:p w14:paraId="3DD7551D" w14:textId="1EF0A15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540</w:t>
            </w:r>
          </w:p>
        </w:tc>
        <w:tc>
          <w:tcPr>
            <w:tcW w:w="1134" w:type="dxa"/>
            <w:tcBorders>
              <w:top w:val="nil"/>
              <w:left w:val="nil"/>
              <w:bottom w:val="single" w:sz="4" w:space="0" w:color="auto"/>
              <w:right w:val="single" w:sz="4" w:space="0" w:color="auto"/>
            </w:tcBorders>
            <w:hideMark/>
          </w:tcPr>
          <w:p w14:paraId="08E90BF6" w14:textId="3B2F312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540</w:t>
            </w:r>
          </w:p>
        </w:tc>
        <w:tc>
          <w:tcPr>
            <w:tcW w:w="1615" w:type="dxa"/>
            <w:tcBorders>
              <w:top w:val="nil"/>
              <w:left w:val="nil"/>
              <w:bottom w:val="single" w:sz="4" w:space="0" w:color="auto"/>
              <w:right w:val="single" w:sz="4" w:space="0" w:color="auto"/>
            </w:tcBorders>
            <w:hideMark/>
          </w:tcPr>
          <w:p w14:paraId="6F7C9F5A" w14:textId="2F92451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540</w:t>
            </w:r>
          </w:p>
        </w:tc>
      </w:tr>
      <w:tr w:rsidR="00B807EE" w:rsidRPr="00024D5A" w14:paraId="17539713"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FDE9D9"/>
            <w:hideMark/>
          </w:tcPr>
          <w:p w14:paraId="09EB94EA" w14:textId="44783CF3"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Objektivi Specifik</w:t>
            </w:r>
            <w:r w:rsidR="008F29FA" w:rsidRPr="00024D5A">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2</w:t>
            </w:r>
            <w:r w:rsidR="003526AF">
              <w:rPr>
                <w:rFonts w:ascii="Garamond" w:eastAsia="Times New Roman" w:hAnsi="Garamond"/>
                <w:b/>
                <w:bCs/>
                <w:sz w:val="6"/>
                <w:szCs w:val="16"/>
                <w:lang w:eastAsia="en-US"/>
              </w:rPr>
              <w:t>:</w:t>
            </w:r>
            <w:r w:rsidR="009C20F4" w:rsidRPr="00024D5A">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Zgjerimi dhe konsolidimi i shërbimeve të punësimit që synojnë fuqizimin ekonomik dhe përfshirjen në tregun e punës të personave me aftësi të kufizuara, përmes programeve gjithëpërfshirëse dhe atyre specifike të aftësimit dhe punësimit dhe ngritjes dhe konsolidimit të</w:t>
            </w:r>
            <w:r w:rsidR="008F29FA" w:rsidRPr="00024D5A">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 xml:space="preserve">Fondit Social të Punësimit. </w:t>
            </w:r>
          </w:p>
        </w:tc>
        <w:tc>
          <w:tcPr>
            <w:tcW w:w="567" w:type="dxa"/>
            <w:tcBorders>
              <w:top w:val="nil"/>
              <w:left w:val="nil"/>
              <w:bottom w:val="single" w:sz="4" w:space="0" w:color="auto"/>
              <w:right w:val="single" w:sz="4" w:space="0" w:color="auto"/>
            </w:tcBorders>
            <w:shd w:val="clear" w:color="000000" w:fill="FDE9D9"/>
            <w:hideMark/>
          </w:tcPr>
          <w:p w14:paraId="2DBC84AA"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shd w:val="clear" w:color="000000" w:fill="FDE9D9"/>
            <w:hideMark/>
          </w:tcPr>
          <w:p w14:paraId="343A3551"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shd w:val="clear" w:color="000000" w:fill="FDE9D9"/>
            <w:hideMark/>
          </w:tcPr>
          <w:p w14:paraId="381C29CF"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MEI/MF/AKPA</w:t>
            </w:r>
          </w:p>
        </w:tc>
        <w:tc>
          <w:tcPr>
            <w:tcW w:w="1418" w:type="dxa"/>
            <w:tcBorders>
              <w:top w:val="nil"/>
              <w:left w:val="nil"/>
              <w:bottom w:val="single" w:sz="4" w:space="0" w:color="auto"/>
              <w:right w:val="single" w:sz="4" w:space="0" w:color="auto"/>
            </w:tcBorders>
            <w:shd w:val="clear" w:color="000000" w:fill="FDE9D9"/>
            <w:hideMark/>
          </w:tcPr>
          <w:p w14:paraId="2B7CCBAF"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AKPA/ISSH/MF/DPT/MEI/AKAFPK</w:t>
            </w:r>
          </w:p>
        </w:tc>
        <w:tc>
          <w:tcPr>
            <w:tcW w:w="708" w:type="dxa"/>
            <w:tcBorders>
              <w:top w:val="nil"/>
              <w:left w:val="nil"/>
              <w:bottom w:val="single" w:sz="4" w:space="0" w:color="auto"/>
              <w:right w:val="single" w:sz="4" w:space="0" w:color="auto"/>
            </w:tcBorders>
            <w:shd w:val="clear" w:color="000000" w:fill="FDE9D9"/>
            <w:hideMark/>
          </w:tcPr>
          <w:p w14:paraId="6D9EB81C" w14:textId="19791A83"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239,510</w:t>
            </w:r>
          </w:p>
        </w:tc>
        <w:tc>
          <w:tcPr>
            <w:tcW w:w="567" w:type="dxa"/>
            <w:tcBorders>
              <w:top w:val="nil"/>
              <w:left w:val="nil"/>
              <w:bottom w:val="single" w:sz="4" w:space="0" w:color="auto"/>
              <w:right w:val="single" w:sz="4" w:space="0" w:color="auto"/>
            </w:tcBorders>
            <w:shd w:val="clear" w:color="000000" w:fill="FDE9D9"/>
            <w:hideMark/>
          </w:tcPr>
          <w:p w14:paraId="7D0A0B92" w14:textId="133A6BC1"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251,200</w:t>
            </w:r>
          </w:p>
        </w:tc>
        <w:tc>
          <w:tcPr>
            <w:tcW w:w="567" w:type="dxa"/>
            <w:tcBorders>
              <w:top w:val="nil"/>
              <w:left w:val="nil"/>
              <w:bottom w:val="single" w:sz="4" w:space="0" w:color="auto"/>
              <w:right w:val="single" w:sz="4" w:space="0" w:color="auto"/>
            </w:tcBorders>
            <w:shd w:val="clear" w:color="000000" w:fill="FDE9D9"/>
            <w:hideMark/>
          </w:tcPr>
          <w:p w14:paraId="056AD48E" w14:textId="34ADE48E"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250,463</w:t>
            </w:r>
          </w:p>
        </w:tc>
        <w:tc>
          <w:tcPr>
            <w:tcW w:w="1134" w:type="dxa"/>
            <w:tcBorders>
              <w:top w:val="nil"/>
              <w:left w:val="nil"/>
              <w:bottom w:val="single" w:sz="4" w:space="0" w:color="auto"/>
              <w:right w:val="single" w:sz="4" w:space="0" w:color="auto"/>
            </w:tcBorders>
            <w:shd w:val="clear" w:color="000000" w:fill="FDE9D9"/>
            <w:hideMark/>
          </w:tcPr>
          <w:p w14:paraId="6E691071" w14:textId="612589B1"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253,414</w:t>
            </w:r>
          </w:p>
        </w:tc>
        <w:tc>
          <w:tcPr>
            <w:tcW w:w="1615" w:type="dxa"/>
            <w:tcBorders>
              <w:top w:val="nil"/>
              <w:left w:val="nil"/>
              <w:bottom w:val="single" w:sz="4" w:space="0" w:color="auto"/>
              <w:right w:val="single" w:sz="4" w:space="0" w:color="auto"/>
            </w:tcBorders>
            <w:shd w:val="clear" w:color="000000" w:fill="FDE9D9"/>
            <w:hideMark/>
          </w:tcPr>
          <w:p w14:paraId="4FA8BC7B" w14:textId="0537BC81"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260,712</w:t>
            </w:r>
          </w:p>
        </w:tc>
      </w:tr>
      <w:tr w:rsidR="00B807EE" w:rsidRPr="00024D5A" w14:paraId="3B52BC3A"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DCE6F1"/>
            <w:hideMark/>
          </w:tcPr>
          <w:p w14:paraId="7CD765F3" w14:textId="17F2D2DD"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Masa Prioritare 2.1</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Plotësimi i kuadrit ligjor dhe institucional për të nxitur punësimin e punëkërkuesve me aftësi të kufizuara.</w:t>
            </w:r>
          </w:p>
        </w:tc>
        <w:tc>
          <w:tcPr>
            <w:tcW w:w="567" w:type="dxa"/>
            <w:tcBorders>
              <w:top w:val="nil"/>
              <w:left w:val="nil"/>
              <w:bottom w:val="single" w:sz="4" w:space="0" w:color="auto"/>
              <w:right w:val="single" w:sz="4" w:space="0" w:color="auto"/>
            </w:tcBorders>
            <w:shd w:val="clear" w:color="000000" w:fill="DCE6F1"/>
            <w:hideMark/>
          </w:tcPr>
          <w:p w14:paraId="6E6F285D"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shd w:val="clear" w:color="000000" w:fill="DCE6F1"/>
            <w:hideMark/>
          </w:tcPr>
          <w:p w14:paraId="396C7930"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shd w:val="clear" w:color="000000" w:fill="DCE6F1"/>
            <w:hideMark/>
          </w:tcPr>
          <w:p w14:paraId="1171F497"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MEI/MF/AKPA</w:t>
            </w:r>
          </w:p>
        </w:tc>
        <w:tc>
          <w:tcPr>
            <w:tcW w:w="1418" w:type="dxa"/>
            <w:tcBorders>
              <w:top w:val="nil"/>
              <w:left w:val="nil"/>
              <w:bottom w:val="single" w:sz="4" w:space="0" w:color="auto"/>
              <w:right w:val="single" w:sz="4" w:space="0" w:color="auto"/>
            </w:tcBorders>
            <w:shd w:val="clear" w:color="000000" w:fill="DCE6F1"/>
            <w:hideMark/>
          </w:tcPr>
          <w:p w14:paraId="5BC109A3"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AKPA/ISSH/MF/DPT/MEI</w:t>
            </w:r>
          </w:p>
        </w:tc>
        <w:tc>
          <w:tcPr>
            <w:tcW w:w="708" w:type="dxa"/>
            <w:tcBorders>
              <w:top w:val="nil"/>
              <w:left w:val="nil"/>
              <w:bottom w:val="single" w:sz="4" w:space="0" w:color="auto"/>
              <w:right w:val="single" w:sz="4" w:space="0" w:color="auto"/>
            </w:tcBorders>
            <w:shd w:val="clear" w:color="000000" w:fill="C5D9F1"/>
            <w:noWrap/>
            <w:hideMark/>
          </w:tcPr>
          <w:p w14:paraId="179BA8AE" w14:textId="377036D1"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3,645</w:t>
            </w:r>
          </w:p>
        </w:tc>
        <w:tc>
          <w:tcPr>
            <w:tcW w:w="567" w:type="dxa"/>
            <w:tcBorders>
              <w:top w:val="nil"/>
              <w:left w:val="nil"/>
              <w:bottom w:val="single" w:sz="4" w:space="0" w:color="auto"/>
              <w:right w:val="single" w:sz="4" w:space="0" w:color="auto"/>
            </w:tcBorders>
            <w:shd w:val="clear" w:color="000000" w:fill="C5D9F1"/>
            <w:noWrap/>
            <w:hideMark/>
          </w:tcPr>
          <w:p w14:paraId="49A2D55B" w14:textId="2EE9D466"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5,031</w:t>
            </w:r>
          </w:p>
        </w:tc>
        <w:tc>
          <w:tcPr>
            <w:tcW w:w="567" w:type="dxa"/>
            <w:tcBorders>
              <w:top w:val="nil"/>
              <w:left w:val="nil"/>
              <w:bottom w:val="single" w:sz="4" w:space="0" w:color="auto"/>
              <w:right w:val="single" w:sz="4" w:space="0" w:color="auto"/>
            </w:tcBorders>
            <w:shd w:val="clear" w:color="000000" w:fill="C5D9F1"/>
            <w:noWrap/>
            <w:hideMark/>
          </w:tcPr>
          <w:p w14:paraId="06DFDC1A" w14:textId="40C35C93"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w:t>
            </w:r>
          </w:p>
        </w:tc>
        <w:tc>
          <w:tcPr>
            <w:tcW w:w="1134" w:type="dxa"/>
            <w:tcBorders>
              <w:top w:val="nil"/>
              <w:left w:val="nil"/>
              <w:bottom w:val="single" w:sz="4" w:space="0" w:color="auto"/>
              <w:right w:val="single" w:sz="4" w:space="0" w:color="auto"/>
            </w:tcBorders>
            <w:shd w:val="clear" w:color="000000" w:fill="C5D9F1"/>
            <w:noWrap/>
            <w:hideMark/>
          </w:tcPr>
          <w:p w14:paraId="550B9554" w14:textId="5E2C0189"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w:t>
            </w:r>
          </w:p>
        </w:tc>
        <w:tc>
          <w:tcPr>
            <w:tcW w:w="1615" w:type="dxa"/>
            <w:tcBorders>
              <w:top w:val="nil"/>
              <w:left w:val="nil"/>
              <w:bottom w:val="single" w:sz="4" w:space="0" w:color="auto"/>
              <w:right w:val="single" w:sz="4" w:space="0" w:color="auto"/>
            </w:tcBorders>
            <w:shd w:val="clear" w:color="000000" w:fill="C5D9F1"/>
            <w:noWrap/>
            <w:hideMark/>
          </w:tcPr>
          <w:p w14:paraId="386CA716" w14:textId="1ABFCCA2"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w:t>
            </w:r>
          </w:p>
        </w:tc>
      </w:tr>
      <w:tr w:rsidR="00B807EE" w:rsidRPr="00024D5A" w14:paraId="5AFC66E3"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700BD09D" w14:textId="3351469C"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br/>
              <w:t>2.1.1</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 xml:space="preserve">Rishikimi i </w:t>
            </w:r>
            <w:r w:rsidR="009C20F4" w:rsidRPr="00024D5A">
              <w:rPr>
                <w:rFonts w:ascii="Garamond" w:eastAsia="Times New Roman" w:hAnsi="Garamond"/>
                <w:sz w:val="6"/>
                <w:szCs w:val="16"/>
                <w:lang w:eastAsia="en-US"/>
              </w:rPr>
              <w:t xml:space="preserve">ligjit </w:t>
            </w:r>
            <w:r w:rsidRPr="00024D5A">
              <w:rPr>
                <w:rFonts w:ascii="Garamond" w:eastAsia="Times New Roman" w:hAnsi="Garamond"/>
                <w:sz w:val="6"/>
                <w:szCs w:val="16"/>
                <w:lang w:eastAsia="en-US"/>
              </w:rPr>
              <w:t>për nxitjen e punësimit për të garantuar mekanizmat e duhur që garantojnë rehabilitim për punë dhe punësim të denjë për personat me aftësi të kufizuara në tregun e punës.</w:t>
            </w:r>
          </w:p>
        </w:tc>
        <w:tc>
          <w:tcPr>
            <w:tcW w:w="567" w:type="dxa"/>
            <w:tcBorders>
              <w:top w:val="nil"/>
              <w:left w:val="nil"/>
              <w:bottom w:val="single" w:sz="4" w:space="0" w:color="auto"/>
              <w:right w:val="single" w:sz="4" w:space="0" w:color="auto"/>
            </w:tcBorders>
            <w:hideMark/>
          </w:tcPr>
          <w:p w14:paraId="104F052F"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single" w:sz="4" w:space="0" w:color="auto"/>
            </w:tcBorders>
            <w:hideMark/>
          </w:tcPr>
          <w:p w14:paraId="42869000"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2027</w:t>
            </w:r>
          </w:p>
        </w:tc>
        <w:tc>
          <w:tcPr>
            <w:tcW w:w="1134" w:type="dxa"/>
            <w:tcBorders>
              <w:top w:val="nil"/>
              <w:left w:val="nil"/>
              <w:bottom w:val="single" w:sz="4" w:space="0" w:color="auto"/>
              <w:right w:val="single" w:sz="4" w:space="0" w:color="auto"/>
            </w:tcBorders>
            <w:hideMark/>
          </w:tcPr>
          <w:p w14:paraId="3F4F251E"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MEI</w:t>
            </w:r>
          </w:p>
        </w:tc>
        <w:tc>
          <w:tcPr>
            <w:tcW w:w="1418" w:type="dxa"/>
            <w:tcBorders>
              <w:top w:val="nil"/>
              <w:left w:val="nil"/>
              <w:bottom w:val="single" w:sz="4" w:space="0" w:color="auto"/>
              <w:right w:val="single" w:sz="4" w:space="0" w:color="auto"/>
            </w:tcBorders>
            <w:hideMark/>
          </w:tcPr>
          <w:p w14:paraId="5A4FD6EC"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AKPA</w:t>
            </w:r>
          </w:p>
        </w:tc>
        <w:tc>
          <w:tcPr>
            <w:tcW w:w="708" w:type="dxa"/>
            <w:tcBorders>
              <w:top w:val="nil"/>
              <w:left w:val="nil"/>
              <w:bottom w:val="single" w:sz="4" w:space="0" w:color="auto"/>
              <w:right w:val="single" w:sz="4" w:space="0" w:color="auto"/>
            </w:tcBorders>
            <w:hideMark/>
          </w:tcPr>
          <w:p w14:paraId="43F51292" w14:textId="46BFB92F"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1,386</w:t>
            </w:r>
          </w:p>
        </w:tc>
        <w:tc>
          <w:tcPr>
            <w:tcW w:w="567" w:type="dxa"/>
            <w:tcBorders>
              <w:top w:val="nil"/>
              <w:left w:val="nil"/>
              <w:bottom w:val="single" w:sz="4" w:space="0" w:color="auto"/>
              <w:right w:val="single" w:sz="4" w:space="0" w:color="auto"/>
            </w:tcBorders>
            <w:hideMark/>
          </w:tcPr>
          <w:p w14:paraId="2BD64807" w14:textId="021A51C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2,772</w:t>
            </w:r>
          </w:p>
        </w:tc>
        <w:tc>
          <w:tcPr>
            <w:tcW w:w="567" w:type="dxa"/>
            <w:tcBorders>
              <w:top w:val="nil"/>
              <w:left w:val="nil"/>
              <w:bottom w:val="single" w:sz="4" w:space="0" w:color="auto"/>
              <w:right w:val="single" w:sz="4" w:space="0" w:color="auto"/>
            </w:tcBorders>
            <w:hideMark/>
          </w:tcPr>
          <w:p w14:paraId="5695F7FA" w14:textId="7903443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52571DF1" w14:textId="3AB977D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73248482" w14:textId="73073F6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0550F55E"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2003EF74" w14:textId="571DD97E"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2.1.2. 2.1.2</w:t>
            </w:r>
            <w:r w:rsidR="009C20F4"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 xml:space="preserve">.Rishikimi i </w:t>
            </w:r>
            <w:r w:rsidR="009C20F4" w:rsidRPr="00024D5A">
              <w:rPr>
                <w:rFonts w:ascii="Garamond" w:eastAsia="Times New Roman" w:hAnsi="Garamond"/>
                <w:sz w:val="6"/>
                <w:szCs w:val="16"/>
                <w:lang w:eastAsia="en-US"/>
              </w:rPr>
              <w:t xml:space="preserve">ligjit të sigurimeve shoqërore </w:t>
            </w:r>
            <w:r w:rsidRPr="00024D5A">
              <w:rPr>
                <w:rFonts w:ascii="Garamond" w:eastAsia="Times New Roman" w:hAnsi="Garamond"/>
                <w:sz w:val="6"/>
                <w:szCs w:val="16"/>
                <w:lang w:eastAsia="en-US"/>
              </w:rPr>
              <w:t xml:space="preserve">për të rregulluar vlerësimin e aftësive për punë, duke </w:t>
            </w:r>
            <w:r w:rsidR="009C20F4" w:rsidRPr="00024D5A">
              <w:rPr>
                <w:rFonts w:ascii="Garamond" w:eastAsia="Times New Roman" w:hAnsi="Garamond"/>
                <w:sz w:val="6"/>
                <w:szCs w:val="16"/>
                <w:lang w:eastAsia="en-US"/>
              </w:rPr>
              <w:t>mundësuar</w:t>
            </w:r>
            <w:r w:rsidRPr="00024D5A">
              <w:rPr>
                <w:rFonts w:ascii="Garamond" w:eastAsia="Times New Roman" w:hAnsi="Garamond"/>
                <w:sz w:val="6"/>
                <w:szCs w:val="16"/>
                <w:lang w:eastAsia="en-US"/>
              </w:rPr>
              <w:t xml:space="preserve"> vazhdim t</w:t>
            </w:r>
            <w:r w:rsidR="00070BC1" w:rsidRPr="00024D5A">
              <w:rPr>
                <w:rFonts w:ascii="Garamond" w:eastAsia="Times New Roman" w:hAnsi="Garamond"/>
                <w:sz w:val="6"/>
                <w:szCs w:val="16"/>
                <w:lang w:eastAsia="en-US"/>
              </w:rPr>
              <w:t>ë</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pun</w:t>
            </w:r>
            <w:r w:rsidR="00070BC1"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simit</w:t>
            </w:r>
            <w:r w:rsidR="009C20F4"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5205F893"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single" w:sz="4" w:space="0" w:color="auto"/>
            </w:tcBorders>
            <w:hideMark/>
          </w:tcPr>
          <w:p w14:paraId="4A1E0B86"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2027</w:t>
            </w:r>
          </w:p>
        </w:tc>
        <w:tc>
          <w:tcPr>
            <w:tcW w:w="1134" w:type="dxa"/>
            <w:tcBorders>
              <w:top w:val="nil"/>
              <w:left w:val="nil"/>
              <w:bottom w:val="single" w:sz="4" w:space="0" w:color="auto"/>
              <w:right w:val="single" w:sz="4" w:space="0" w:color="auto"/>
            </w:tcBorders>
            <w:hideMark/>
          </w:tcPr>
          <w:p w14:paraId="7DACF1A3"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MF</w:t>
            </w:r>
          </w:p>
        </w:tc>
        <w:tc>
          <w:tcPr>
            <w:tcW w:w="1418" w:type="dxa"/>
            <w:tcBorders>
              <w:top w:val="nil"/>
              <w:left w:val="nil"/>
              <w:bottom w:val="single" w:sz="4" w:space="0" w:color="auto"/>
              <w:right w:val="single" w:sz="4" w:space="0" w:color="auto"/>
            </w:tcBorders>
            <w:hideMark/>
          </w:tcPr>
          <w:p w14:paraId="6EBEF1DF"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ISSH</w:t>
            </w:r>
          </w:p>
        </w:tc>
        <w:tc>
          <w:tcPr>
            <w:tcW w:w="708" w:type="dxa"/>
            <w:tcBorders>
              <w:top w:val="nil"/>
              <w:left w:val="nil"/>
              <w:bottom w:val="single" w:sz="4" w:space="0" w:color="auto"/>
              <w:right w:val="single" w:sz="4" w:space="0" w:color="auto"/>
            </w:tcBorders>
            <w:hideMark/>
          </w:tcPr>
          <w:p w14:paraId="2E51FB5D" w14:textId="36C1B020"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420</w:t>
            </w:r>
          </w:p>
        </w:tc>
        <w:tc>
          <w:tcPr>
            <w:tcW w:w="567" w:type="dxa"/>
            <w:tcBorders>
              <w:top w:val="nil"/>
              <w:left w:val="nil"/>
              <w:bottom w:val="single" w:sz="4" w:space="0" w:color="auto"/>
              <w:right w:val="single" w:sz="4" w:space="0" w:color="auto"/>
            </w:tcBorders>
            <w:hideMark/>
          </w:tcPr>
          <w:p w14:paraId="1A24E24C" w14:textId="59FD9F7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420</w:t>
            </w:r>
          </w:p>
        </w:tc>
        <w:tc>
          <w:tcPr>
            <w:tcW w:w="567" w:type="dxa"/>
            <w:tcBorders>
              <w:top w:val="nil"/>
              <w:left w:val="nil"/>
              <w:bottom w:val="single" w:sz="4" w:space="0" w:color="auto"/>
              <w:right w:val="single" w:sz="4" w:space="0" w:color="auto"/>
            </w:tcBorders>
            <w:hideMark/>
          </w:tcPr>
          <w:p w14:paraId="140A4A57" w14:textId="658F1A0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69D29F14" w14:textId="3F4E273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502DBA4D" w14:textId="7E1D392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4F9322AA"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0DE1BF04" w14:textId="7E6F8B69"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2.1.2. Krijimi i bazës rregullatorë për ngritjen, funksionimin dhe monitorimin e zbatimit të Fondit Social të Punësimit, përmes një procesi përfshirës me gjithë aktorët e tregut të punës,</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përfshirë organizatat që përfaqësojnë e mbrojnë të drejtat e personave me aftësi të kufizuara.</w:t>
            </w:r>
          </w:p>
        </w:tc>
        <w:tc>
          <w:tcPr>
            <w:tcW w:w="567" w:type="dxa"/>
            <w:tcBorders>
              <w:top w:val="nil"/>
              <w:left w:val="nil"/>
              <w:bottom w:val="single" w:sz="4" w:space="0" w:color="auto"/>
              <w:right w:val="single" w:sz="4" w:space="0" w:color="auto"/>
            </w:tcBorders>
            <w:hideMark/>
          </w:tcPr>
          <w:p w14:paraId="2869A1D8"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single" w:sz="4" w:space="0" w:color="auto"/>
            </w:tcBorders>
            <w:hideMark/>
          </w:tcPr>
          <w:p w14:paraId="7772A771"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2027</w:t>
            </w:r>
          </w:p>
        </w:tc>
        <w:tc>
          <w:tcPr>
            <w:tcW w:w="1134" w:type="dxa"/>
            <w:tcBorders>
              <w:top w:val="nil"/>
              <w:left w:val="nil"/>
              <w:bottom w:val="single" w:sz="4" w:space="0" w:color="auto"/>
              <w:right w:val="single" w:sz="4" w:space="0" w:color="auto"/>
            </w:tcBorders>
            <w:hideMark/>
          </w:tcPr>
          <w:p w14:paraId="048EA14D"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MEI</w:t>
            </w:r>
          </w:p>
        </w:tc>
        <w:tc>
          <w:tcPr>
            <w:tcW w:w="1418" w:type="dxa"/>
            <w:tcBorders>
              <w:top w:val="nil"/>
              <w:left w:val="nil"/>
              <w:bottom w:val="single" w:sz="4" w:space="0" w:color="auto"/>
              <w:right w:val="single" w:sz="4" w:space="0" w:color="auto"/>
            </w:tcBorders>
            <w:hideMark/>
          </w:tcPr>
          <w:p w14:paraId="6ECEB533"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AKPA</w:t>
            </w:r>
          </w:p>
        </w:tc>
        <w:tc>
          <w:tcPr>
            <w:tcW w:w="708" w:type="dxa"/>
            <w:tcBorders>
              <w:top w:val="nil"/>
              <w:left w:val="nil"/>
              <w:bottom w:val="single" w:sz="4" w:space="0" w:color="auto"/>
              <w:right w:val="single" w:sz="4" w:space="0" w:color="auto"/>
            </w:tcBorders>
            <w:hideMark/>
          </w:tcPr>
          <w:p w14:paraId="0B0A6881" w14:textId="65959954"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595</w:t>
            </w:r>
          </w:p>
        </w:tc>
        <w:tc>
          <w:tcPr>
            <w:tcW w:w="567" w:type="dxa"/>
            <w:tcBorders>
              <w:top w:val="nil"/>
              <w:left w:val="nil"/>
              <w:bottom w:val="single" w:sz="4" w:space="0" w:color="auto"/>
              <w:right w:val="single" w:sz="4" w:space="0" w:color="auto"/>
            </w:tcBorders>
            <w:hideMark/>
          </w:tcPr>
          <w:p w14:paraId="2957E3D2" w14:textId="1A55ECB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595</w:t>
            </w:r>
          </w:p>
        </w:tc>
        <w:tc>
          <w:tcPr>
            <w:tcW w:w="567" w:type="dxa"/>
            <w:tcBorders>
              <w:top w:val="nil"/>
              <w:left w:val="nil"/>
              <w:bottom w:val="single" w:sz="4" w:space="0" w:color="auto"/>
              <w:right w:val="single" w:sz="4" w:space="0" w:color="auto"/>
            </w:tcBorders>
            <w:hideMark/>
          </w:tcPr>
          <w:p w14:paraId="2BCBC9A7" w14:textId="0A9B97C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4403E7C1" w14:textId="485DDFD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64DEBA04" w14:textId="4BACE62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74D2EB95"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5AA5AD39" w14:textId="2F2D975B"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2.1.3.</w:t>
            </w:r>
            <w:r w:rsidR="009C20F4"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 xml:space="preserve">Krijimi i mekanizmit për mbledhjen e kontributeve nga punëdhënësit, në bashkëpunim me Ministrinë e Financave dhe Drejtorinë e Përgjithshme të Tatimeve. </w:t>
            </w:r>
          </w:p>
        </w:tc>
        <w:tc>
          <w:tcPr>
            <w:tcW w:w="567" w:type="dxa"/>
            <w:tcBorders>
              <w:top w:val="nil"/>
              <w:left w:val="nil"/>
              <w:bottom w:val="single" w:sz="4" w:space="0" w:color="auto"/>
              <w:right w:val="single" w:sz="4" w:space="0" w:color="auto"/>
            </w:tcBorders>
            <w:hideMark/>
          </w:tcPr>
          <w:p w14:paraId="20F338E7"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single" w:sz="4" w:space="0" w:color="auto"/>
            </w:tcBorders>
            <w:hideMark/>
          </w:tcPr>
          <w:p w14:paraId="2DDABD8D"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2027</w:t>
            </w:r>
          </w:p>
        </w:tc>
        <w:tc>
          <w:tcPr>
            <w:tcW w:w="1134" w:type="dxa"/>
            <w:tcBorders>
              <w:top w:val="nil"/>
              <w:left w:val="nil"/>
              <w:bottom w:val="single" w:sz="4" w:space="0" w:color="auto"/>
              <w:right w:val="single" w:sz="4" w:space="0" w:color="auto"/>
            </w:tcBorders>
            <w:hideMark/>
          </w:tcPr>
          <w:p w14:paraId="3BA69693"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MEI</w:t>
            </w:r>
          </w:p>
        </w:tc>
        <w:tc>
          <w:tcPr>
            <w:tcW w:w="1418" w:type="dxa"/>
            <w:tcBorders>
              <w:top w:val="nil"/>
              <w:left w:val="nil"/>
              <w:bottom w:val="single" w:sz="4" w:space="0" w:color="auto"/>
              <w:right w:val="single" w:sz="4" w:space="0" w:color="auto"/>
            </w:tcBorders>
            <w:hideMark/>
          </w:tcPr>
          <w:p w14:paraId="00EB62C4"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MF; DPT</w:t>
            </w:r>
          </w:p>
        </w:tc>
        <w:tc>
          <w:tcPr>
            <w:tcW w:w="708" w:type="dxa"/>
            <w:tcBorders>
              <w:top w:val="nil"/>
              <w:left w:val="nil"/>
              <w:bottom w:val="single" w:sz="4" w:space="0" w:color="auto"/>
              <w:right w:val="single" w:sz="4" w:space="0" w:color="auto"/>
            </w:tcBorders>
            <w:hideMark/>
          </w:tcPr>
          <w:p w14:paraId="6138B91E" w14:textId="70097AAB"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1,168</w:t>
            </w:r>
          </w:p>
        </w:tc>
        <w:tc>
          <w:tcPr>
            <w:tcW w:w="567" w:type="dxa"/>
            <w:tcBorders>
              <w:top w:val="nil"/>
              <w:left w:val="nil"/>
              <w:bottom w:val="single" w:sz="4" w:space="0" w:color="auto"/>
              <w:right w:val="single" w:sz="4" w:space="0" w:color="auto"/>
            </w:tcBorders>
            <w:hideMark/>
          </w:tcPr>
          <w:p w14:paraId="58228B6A" w14:textId="3058AC6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1,168</w:t>
            </w:r>
          </w:p>
        </w:tc>
        <w:tc>
          <w:tcPr>
            <w:tcW w:w="567" w:type="dxa"/>
            <w:tcBorders>
              <w:top w:val="nil"/>
              <w:left w:val="nil"/>
              <w:bottom w:val="single" w:sz="4" w:space="0" w:color="auto"/>
              <w:right w:val="single" w:sz="4" w:space="0" w:color="auto"/>
            </w:tcBorders>
            <w:hideMark/>
          </w:tcPr>
          <w:p w14:paraId="404B4CCE" w14:textId="7C7FF84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23CE58DF" w14:textId="545A0B9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3E343B47" w14:textId="21D0B7A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61E6B190"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5AA49655" w14:textId="58D73F3F"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2.1.4. Funksionimi i Fondit Social të Punësimit dhe pilotimi i mbështetjes përmes këtij fondi së programeve të ndryshme që nxisin aftësimin, punësimin, vetëpunësimin, sipërmarrjen sociale dh</w:t>
            </w:r>
            <w:r w:rsidR="009C20F4" w:rsidRPr="00024D5A">
              <w:rPr>
                <w:rFonts w:ascii="Garamond" w:eastAsia="Times New Roman" w:hAnsi="Garamond"/>
                <w:sz w:val="6"/>
                <w:szCs w:val="16"/>
                <w:lang w:eastAsia="en-US"/>
              </w:rPr>
              <w:t>e</w:t>
            </w:r>
            <w:r w:rsidRPr="00024D5A">
              <w:rPr>
                <w:rFonts w:ascii="Garamond" w:eastAsia="Times New Roman" w:hAnsi="Garamond"/>
                <w:sz w:val="6"/>
                <w:szCs w:val="16"/>
                <w:lang w:eastAsia="en-US"/>
              </w:rPr>
              <w:t xml:space="preserve"> përshtatjen e arsyeshme për personat me aftësi të kufizuara (</w:t>
            </w:r>
            <w:r w:rsidR="009C20F4" w:rsidRPr="00024D5A">
              <w:rPr>
                <w:rFonts w:ascii="Garamond" w:eastAsia="Times New Roman" w:hAnsi="Garamond"/>
                <w:sz w:val="6"/>
                <w:szCs w:val="16"/>
                <w:lang w:eastAsia="en-US"/>
              </w:rPr>
              <w:t xml:space="preserve">ref. </w:t>
            </w:r>
            <w:r w:rsidRPr="00024D5A">
              <w:rPr>
                <w:rFonts w:ascii="Garamond" w:eastAsia="Times New Roman" w:hAnsi="Garamond"/>
                <w:sz w:val="6"/>
                <w:szCs w:val="16"/>
                <w:lang w:eastAsia="en-US"/>
              </w:rPr>
              <w:t>2.4.3)</w:t>
            </w:r>
            <w:r w:rsidR="009C20F4"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7728279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567" w:type="dxa"/>
            <w:tcBorders>
              <w:top w:val="nil"/>
              <w:left w:val="nil"/>
              <w:bottom w:val="single" w:sz="4" w:space="0" w:color="auto"/>
              <w:right w:val="single" w:sz="4" w:space="0" w:color="auto"/>
            </w:tcBorders>
            <w:hideMark/>
          </w:tcPr>
          <w:p w14:paraId="5A8407ED"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1134" w:type="dxa"/>
            <w:tcBorders>
              <w:top w:val="nil"/>
              <w:left w:val="nil"/>
              <w:bottom w:val="single" w:sz="4" w:space="0" w:color="auto"/>
              <w:right w:val="single" w:sz="4" w:space="0" w:color="auto"/>
            </w:tcBorders>
            <w:hideMark/>
          </w:tcPr>
          <w:p w14:paraId="1630E5CB"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1418" w:type="dxa"/>
            <w:tcBorders>
              <w:top w:val="nil"/>
              <w:left w:val="nil"/>
              <w:bottom w:val="single" w:sz="4" w:space="0" w:color="auto"/>
              <w:right w:val="single" w:sz="4" w:space="0" w:color="auto"/>
            </w:tcBorders>
            <w:hideMark/>
          </w:tcPr>
          <w:p w14:paraId="6CEC564A"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708" w:type="dxa"/>
            <w:tcBorders>
              <w:top w:val="nil"/>
              <w:left w:val="nil"/>
              <w:bottom w:val="single" w:sz="4" w:space="0" w:color="auto"/>
              <w:right w:val="single" w:sz="4" w:space="0" w:color="auto"/>
            </w:tcBorders>
            <w:hideMark/>
          </w:tcPr>
          <w:p w14:paraId="41B741E7" w14:textId="679BA319"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2E681FD9" w14:textId="46C6E61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6B9A9501" w14:textId="566A479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24534B04" w14:textId="298CFF0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2A71917A" w14:textId="4F4FFDE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022501B8"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6A36BCA6"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2.1.5 Krijimi i Bordit për Administrimin e Fondit Social të Punësimit.</w:t>
            </w:r>
          </w:p>
        </w:tc>
        <w:tc>
          <w:tcPr>
            <w:tcW w:w="567" w:type="dxa"/>
            <w:tcBorders>
              <w:top w:val="nil"/>
              <w:left w:val="nil"/>
              <w:bottom w:val="single" w:sz="4" w:space="0" w:color="auto"/>
              <w:right w:val="single" w:sz="4" w:space="0" w:color="auto"/>
            </w:tcBorders>
            <w:hideMark/>
          </w:tcPr>
          <w:p w14:paraId="50F01641"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25928F4F"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1134" w:type="dxa"/>
            <w:tcBorders>
              <w:top w:val="nil"/>
              <w:left w:val="nil"/>
              <w:bottom w:val="single" w:sz="4" w:space="0" w:color="auto"/>
              <w:right w:val="single" w:sz="4" w:space="0" w:color="auto"/>
            </w:tcBorders>
            <w:hideMark/>
          </w:tcPr>
          <w:p w14:paraId="02909F6C"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AKPA</w:t>
            </w:r>
          </w:p>
        </w:tc>
        <w:tc>
          <w:tcPr>
            <w:tcW w:w="1418" w:type="dxa"/>
            <w:tcBorders>
              <w:top w:val="nil"/>
              <w:left w:val="nil"/>
              <w:bottom w:val="single" w:sz="4" w:space="0" w:color="auto"/>
              <w:right w:val="single" w:sz="4" w:space="0" w:color="auto"/>
            </w:tcBorders>
            <w:hideMark/>
          </w:tcPr>
          <w:p w14:paraId="01409DEC"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MEI</w:t>
            </w:r>
          </w:p>
        </w:tc>
        <w:tc>
          <w:tcPr>
            <w:tcW w:w="708" w:type="dxa"/>
            <w:tcBorders>
              <w:top w:val="nil"/>
              <w:left w:val="nil"/>
              <w:bottom w:val="single" w:sz="4" w:space="0" w:color="auto"/>
              <w:right w:val="single" w:sz="4" w:space="0" w:color="auto"/>
            </w:tcBorders>
            <w:hideMark/>
          </w:tcPr>
          <w:p w14:paraId="26F7163E" w14:textId="3EBFE707"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75</w:t>
            </w:r>
          </w:p>
        </w:tc>
        <w:tc>
          <w:tcPr>
            <w:tcW w:w="567" w:type="dxa"/>
            <w:tcBorders>
              <w:top w:val="nil"/>
              <w:left w:val="nil"/>
              <w:bottom w:val="single" w:sz="4" w:space="0" w:color="auto"/>
              <w:right w:val="single" w:sz="4" w:space="0" w:color="auto"/>
            </w:tcBorders>
            <w:hideMark/>
          </w:tcPr>
          <w:p w14:paraId="701D1923" w14:textId="4727F4F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75</w:t>
            </w:r>
          </w:p>
        </w:tc>
        <w:tc>
          <w:tcPr>
            <w:tcW w:w="567" w:type="dxa"/>
            <w:tcBorders>
              <w:top w:val="nil"/>
              <w:left w:val="nil"/>
              <w:bottom w:val="single" w:sz="4" w:space="0" w:color="auto"/>
              <w:right w:val="single" w:sz="4" w:space="0" w:color="auto"/>
            </w:tcBorders>
            <w:hideMark/>
          </w:tcPr>
          <w:p w14:paraId="275A51E5" w14:textId="2AB035E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4F049389" w14:textId="17039FB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7D9CC456" w14:textId="4475A07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22FDDBC3"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60BFA7AA" w14:textId="72F035C4"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2.1.6 Hartimi dhe aprovimi i VKM</w:t>
            </w:r>
            <w:r w:rsidR="006C287E"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ve përkatëse, udhëzimeve dhe udhëzuesve, përfshirë VKM për zbatimin e programit të </w:t>
            </w:r>
            <w:r w:rsidR="009C20F4" w:rsidRPr="00024D5A">
              <w:rPr>
                <w:rFonts w:ascii="Garamond" w:eastAsia="Times New Roman" w:hAnsi="Garamond"/>
                <w:sz w:val="6"/>
                <w:szCs w:val="16"/>
                <w:lang w:eastAsia="en-US"/>
              </w:rPr>
              <w:t>posaçëm</w:t>
            </w:r>
            <w:r w:rsidRPr="00024D5A">
              <w:rPr>
                <w:rFonts w:ascii="Garamond" w:eastAsia="Times New Roman" w:hAnsi="Garamond"/>
                <w:sz w:val="6"/>
                <w:szCs w:val="16"/>
                <w:lang w:eastAsia="en-US"/>
              </w:rPr>
              <w:t xml:space="preserve"> për </w:t>
            </w:r>
            <w:r w:rsidR="0078161D"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Punësimin me </w:t>
            </w:r>
            <w:r w:rsidR="009C20F4" w:rsidRPr="00024D5A">
              <w:rPr>
                <w:rFonts w:ascii="Garamond" w:eastAsia="Times New Roman" w:hAnsi="Garamond"/>
                <w:sz w:val="6"/>
                <w:szCs w:val="16"/>
                <w:lang w:eastAsia="en-US"/>
              </w:rPr>
              <w:t>mbështetje</w:t>
            </w:r>
            <w:r w:rsidR="0078161D" w:rsidRPr="00024D5A">
              <w:rPr>
                <w:rFonts w:ascii="Garamond" w:eastAsia="Times New Roman" w:hAnsi="Garamond"/>
                <w:sz w:val="6"/>
                <w:szCs w:val="16"/>
                <w:lang w:eastAsia="en-US"/>
              </w:rPr>
              <w:t>”</w:t>
            </w:r>
            <w:r w:rsidR="00B47620"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w:t>
            </w:r>
            <w:r w:rsidR="009C20F4" w:rsidRPr="00024D5A">
              <w:rPr>
                <w:rFonts w:ascii="Garamond" w:eastAsia="Times New Roman" w:hAnsi="Garamond"/>
                <w:sz w:val="6"/>
                <w:szCs w:val="16"/>
                <w:lang w:eastAsia="en-US"/>
              </w:rPr>
              <w:t xml:space="preserve">udhëzimin </w:t>
            </w:r>
            <w:r w:rsidR="0078161D"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Për financimin e përshtatjes së arsyeshme</w:t>
            </w:r>
            <w:r w:rsidR="0078161D" w:rsidRPr="00024D5A">
              <w:rPr>
                <w:rFonts w:ascii="Garamond" w:eastAsia="Times New Roman" w:hAnsi="Garamond"/>
                <w:sz w:val="6"/>
                <w:szCs w:val="16"/>
                <w:lang w:eastAsia="en-US"/>
              </w:rPr>
              <w:t>”</w:t>
            </w:r>
            <w:r w:rsidR="00B47620"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w:t>
            </w:r>
            <w:r w:rsidR="009C20F4" w:rsidRPr="00024D5A">
              <w:rPr>
                <w:rFonts w:ascii="Garamond" w:eastAsia="Times New Roman" w:hAnsi="Garamond"/>
                <w:sz w:val="6"/>
                <w:szCs w:val="16"/>
                <w:lang w:eastAsia="en-US"/>
              </w:rPr>
              <w:t xml:space="preserve">udhëzues </w:t>
            </w:r>
            <w:r w:rsidRPr="00024D5A">
              <w:rPr>
                <w:rFonts w:ascii="Garamond" w:eastAsia="Times New Roman" w:hAnsi="Garamond"/>
                <w:sz w:val="6"/>
                <w:szCs w:val="16"/>
                <w:lang w:eastAsia="en-US"/>
              </w:rPr>
              <w:t>për këshillimin e punëkërkuesve me e aftësi të kufizuara</w:t>
            </w:r>
            <w:r w:rsidR="009C20F4"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etj., si edhe VKM të tjera në lidhje me programet e </w:t>
            </w:r>
            <w:r w:rsidR="009C20F4" w:rsidRPr="00024D5A">
              <w:rPr>
                <w:rFonts w:ascii="Garamond" w:eastAsia="Times New Roman" w:hAnsi="Garamond"/>
                <w:sz w:val="6"/>
                <w:szCs w:val="16"/>
                <w:lang w:eastAsia="en-US"/>
              </w:rPr>
              <w:t>posaçme</w:t>
            </w:r>
            <w:r w:rsidRPr="00024D5A">
              <w:rPr>
                <w:rFonts w:ascii="Garamond" w:eastAsia="Times New Roman" w:hAnsi="Garamond"/>
                <w:sz w:val="6"/>
                <w:szCs w:val="16"/>
                <w:lang w:eastAsia="en-US"/>
              </w:rPr>
              <w:t xml:space="preserve"> që do të mbështeten përmes Fondit Social sikurse parashikuar në ligjin për nxitjen e punësimit.</w:t>
            </w:r>
          </w:p>
        </w:tc>
        <w:tc>
          <w:tcPr>
            <w:tcW w:w="567" w:type="dxa"/>
            <w:tcBorders>
              <w:top w:val="nil"/>
              <w:left w:val="nil"/>
              <w:bottom w:val="single" w:sz="4" w:space="0" w:color="auto"/>
              <w:right w:val="single" w:sz="4" w:space="0" w:color="auto"/>
            </w:tcBorders>
            <w:hideMark/>
          </w:tcPr>
          <w:p w14:paraId="33900AF7"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380166EB"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28D62043"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AKPA</w:t>
            </w:r>
          </w:p>
        </w:tc>
        <w:tc>
          <w:tcPr>
            <w:tcW w:w="1418" w:type="dxa"/>
            <w:tcBorders>
              <w:top w:val="nil"/>
              <w:left w:val="nil"/>
              <w:bottom w:val="single" w:sz="4" w:space="0" w:color="auto"/>
              <w:right w:val="single" w:sz="4" w:space="0" w:color="auto"/>
            </w:tcBorders>
            <w:hideMark/>
          </w:tcPr>
          <w:p w14:paraId="39A06A7B"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MEI</w:t>
            </w:r>
          </w:p>
        </w:tc>
        <w:tc>
          <w:tcPr>
            <w:tcW w:w="708" w:type="dxa"/>
            <w:tcBorders>
              <w:top w:val="nil"/>
              <w:left w:val="nil"/>
              <w:bottom w:val="single" w:sz="4" w:space="0" w:color="auto"/>
              <w:right w:val="single" w:sz="4" w:space="0" w:color="auto"/>
            </w:tcBorders>
            <w:hideMark/>
          </w:tcPr>
          <w:p w14:paraId="5A21B6BE" w14:textId="51AAFAD8"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5A6C6A7E" w14:textId="1083CBE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0C3E4AF4" w14:textId="5EC264B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4CCE2AB0" w14:textId="724C614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1C4876AF" w14:textId="5C414BE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14A595E8"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DCE6F1"/>
            <w:hideMark/>
          </w:tcPr>
          <w:p w14:paraId="7FE4868D" w14:textId="0BFB31AF"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Masa prioritare 2.2</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Përmirësimi i aksesueshmërisë dhe kapaciteteve institucionale të AKPA-s</w:t>
            </w:r>
            <w:r w:rsidR="009C20F4" w:rsidRPr="00024D5A">
              <w:rPr>
                <w:rFonts w:ascii="Garamond" w:eastAsia="Times New Roman" w:hAnsi="Garamond"/>
                <w:b/>
                <w:bCs/>
                <w:sz w:val="6"/>
                <w:szCs w:val="16"/>
                <w:lang w:eastAsia="en-US"/>
              </w:rPr>
              <w:t>ë</w:t>
            </w:r>
            <w:r w:rsidRPr="00024D5A">
              <w:rPr>
                <w:rFonts w:ascii="Garamond" w:eastAsia="Times New Roman" w:hAnsi="Garamond"/>
                <w:b/>
                <w:bCs/>
                <w:sz w:val="6"/>
                <w:szCs w:val="16"/>
                <w:lang w:eastAsia="en-US"/>
              </w:rPr>
              <w:t xml:space="preserve"> dhe zyrave të punësimit për të garantuar akses dhe shërbime gjithëpërfshirëse punësimi për punëkërkuesit me aftësi të kufizuara</w:t>
            </w:r>
            <w:r w:rsidR="009C20F4" w:rsidRPr="00024D5A">
              <w:rPr>
                <w:rFonts w:ascii="Garamond" w:eastAsia="Times New Roman" w:hAnsi="Garamond"/>
                <w:b/>
                <w:bCs/>
                <w:sz w:val="6"/>
                <w:szCs w:val="16"/>
                <w:lang w:eastAsia="en-US"/>
              </w:rPr>
              <w:t>.</w:t>
            </w:r>
          </w:p>
        </w:tc>
        <w:tc>
          <w:tcPr>
            <w:tcW w:w="567" w:type="dxa"/>
            <w:tcBorders>
              <w:top w:val="nil"/>
              <w:left w:val="nil"/>
              <w:bottom w:val="single" w:sz="4" w:space="0" w:color="auto"/>
              <w:right w:val="single" w:sz="4" w:space="0" w:color="auto"/>
            </w:tcBorders>
            <w:shd w:val="clear" w:color="000000" w:fill="DCE6F1"/>
            <w:hideMark/>
          </w:tcPr>
          <w:p w14:paraId="7D0AD0B2"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shd w:val="clear" w:color="000000" w:fill="DCE6F1"/>
            <w:hideMark/>
          </w:tcPr>
          <w:p w14:paraId="22F53813"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shd w:val="clear" w:color="000000" w:fill="DCE6F1"/>
            <w:hideMark/>
          </w:tcPr>
          <w:p w14:paraId="3474EAAC"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AKPA</w:t>
            </w:r>
          </w:p>
        </w:tc>
        <w:tc>
          <w:tcPr>
            <w:tcW w:w="1418" w:type="dxa"/>
            <w:tcBorders>
              <w:top w:val="nil"/>
              <w:left w:val="nil"/>
              <w:bottom w:val="single" w:sz="4" w:space="0" w:color="auto"/>
              <w:right w:val="single" w:sz="4" w:space="0" w:color="auto"/>
            </w:tcBorders>
            <w:shd w:val="clear" w:color="000000" w:fill="DCE6F1"/>
            <w:hideMark/>
          </w:tcPr>
          <w:p w14:paraId="045BA40D"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MEI</w:t>
            </w:r>
          </w:p>
        </w:tc>
        <w:tc>
          <w:tcPr>
            <w:tcW w:w="708" w:type="dxa"/>
            <w:tcBorders>
              <w:top w:val="nil"/>
              <w:left w:val="nil"/>
              <w:bottom w:val="single" w:sz="4" w:space="0" w:color="auto"/>
              <w:right w:val="single" w:sz="4" w:space="0" w:color="auto"/>
            </w:tcBorders>
            <w:shd w:val="clear" w:color="000000" w:fill="C5D9F1"/>
            <w:noWrap/>
            <w:hideMark/>
          </w:tcPr>
          <w:p w14:paraId="4AB138D9" w14:textId="04B0F94F"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7,100</w:t>
            </w:r>
          </w:p>
        </w:tc>
        <w:tc>
          <w:tcPr>
            <w:tcW w:w="567" w:type="dxa"/>
            <w:tcBorders>
              <w:top w:val="nil"/>
              <w:left w:val="nil"/>
              <w:bottom w:val="single" w:sz="4" w:space="0" w:color="auto"/>
              <w:right w:val="single" w:sz="4" w:space="0" w:color="auto"/>
            </w:tcBorders>
            <w:shd w:val="clear" w:color="000000" w:fill="C5D9F1"/>
            <w:noWrap/>
            <w:hideMark/>
          </w:tcPr>
          <w:p w14:paraId="0BDECA88" w14:textId="37D19589"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9,650</w:t>
            </w:r>
          </w:p>
        </w:tc>
        <w:tc>
          <w:tcPr>
            <w:tcW w:w="567" w:type="dxa"/>
            <w:tcBorders>
              <w:top w:val="nil"/>
              <w:left w:val="nil"/>
              <w:bottom w:val="single" w:sz="4" w:space="0" w:color="auto"/>
              <w:right w:val="single" w:sz="4" w:space="0" w:color="auto"/>
            </w:tcBorders>
            <w:shd w:val="clear" w:color="000000" w:fill="C5D9F1"/>
            <w:noWrap/>
            <w:hideMark/>
          </w:tcPr>
          <w:p w14:paraId="7D0C73E2" w14:textId="2153CDB6"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9,650</w:t>
            </w:r>
          </w:p>
        </w:tc>
        <w:tc>
          <w:tcPr>
            <w:tcW w:w="1134" w:type="dxa"/>
            <w:tcBorders>
              <w:top w:val="nil"/>
              <w:left w:val="nil"/>
              <w:bottom w:val="single" w:sz="4" w:space="0" w:color="auto"/>
              <w:right w:val="single" w:sz="4" w:space="0" w:color="auto"/>
            </w:tcBorders>
            <w:shd w:val="clear" w:color="000000" w:fill="C5D9F1"/>
            <w:noWrap/>
            <w:hideMark/>
          </w:tcPr>
          <w:p w14:paraId="61C692F2" w14:textId="67CED455"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6,900</w:t>
            </w:r>
          </w:p>
        </w:tc>
        <w:tc>
          <w:tcPr>
            <w:tcW w:w="1615" w:type="dxa"/>
            <w:tcBorders>
              <w:top w:val="nil"/>
              <w:left w:val="nil"/>
              <w:bottom w:val="single" w:sz="4" w:space="0" w:color="auto"/>
              <w:right w:val="single" w:sz="4" w:space="0" w:color="auto"/>
            </w:tcBorders>
            <w:shd w:val="clear" w:color="000000" w:fill="C5D9F1"/>
            <w:noWrap/>
            <w:hideMark/>
          </w:tcPr>
          <w:p w14:paraId="1A0032B2" w14:textId="21720191"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6,900</w:t>
            </w:r>
          </w:p>
        </w:tc>
      </w:tr>
      <w:tr w:rsidR="00B807EE" w:rsidRPr="00024D5A" w14:paraId="44F0555D"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2F74A472" w14:textId="13A6DA42"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2.2.1 Përmirësimi i efektivitetit të shërbimeve të punësimit, duke garantuar</w:t>
            </w:r>
            <w:r w:rsidR="00070BC1"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i</w:t>
            </w:r>
            <w:r w:rsidR="00070BC1"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aksesueshmërinë fizike, digjitale, në informacion dhe komunikim;</w:t>
            </w:r>
            <w:r w:rsidR="00070BC1"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ii</w:t>
            </w:r>
            <w:r w:rsidR="00070BC1" w:rsidRPr="00024D5A">
              <w:rPr>
                <w:rFonts w:ascii="Garamond" w:eastAsia="Times New Roman" w:hAnsi="Garamond"/>
                <w:sz w:val="6"/>
                <w:szCs w:val="16"/>
                <w:lang w:eastAsia="en-US"/>
              </w:rPr>
              <w:t>.</w:t>
            </w:r>
            <w:r w:rsidR="009C20F4"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përshtatjen e arsyeshme, kur është e nevojshme iii</w:t>
            </w:r>
            <w:r w:rsidR="00070BC1"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modelin e ofrimit t</w:t>
            </w:r>
            <w:r w:rsidR="00070BC1"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shërbimeve të punësimit për personat me aftësi të kufizuara në tr</w:t>
            </w:r>
            <w:r w:rsidR="006C287E" w:rsidRPr="00024D5A">
              <w:rPr>
                <w:rFonts w:ascii="Garamond" w:eastAsia="Times New Roman" w:hAnsi="Garamond"/>
                <w:sz w:val="6"/>
                <w:szCs w:val="16"/>
                <w:lang w:eastAsia="en-US"/>
              </w:rPr>
              <w:t>i</w:t>
            </w:r>
            <w:r w:rsidRPr="00024D5A">
              <w:rPr>
                <w:rFonts w:ascii="Garamond" w:eastAsia="Times New Roman" w:hAnsi="Garamond"/>
                <w:sz w:val="6"/>
                <w:szCs w:val="16"/>
                <w:lang w:eastAsia="en-US"/>
              </w:rPr>
              <w:t xml:space="preserve"> nivele: a) shërbime bazë universale;</w:t>
            </w:r>
            <w:r w:rsidR="009C20F4"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b)shërbime të ndërmjetësimit të avancuar;</w:t>
            </w:r>
            <w:r w:rsidR="00070BC1"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c) shërbime të personalizuara intensive, përfshirë punësimin me mbështetje.</w:t>
            </w:r>
          </w:p>
        </w:tc>
        <w:tc>
          <w:tcPr>
            <w:tcW w:w="567" w:type="dxa"/>
            <w:tcBorders>
              <w:top w:val="nil"/>
              <w:left w:val="nil"/>
              <w:bottom w:val="single" w:sz="4" w:space="0" w:color="auto"/>
              <w:right w:val="single" w:sz="4" w:space="0" w:color="auto"/>
            </w:tcBorders>
            <w:hideMark/>
          </w:tcPr>
          <w:p w14:paraId="28D587FA"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22CE3E24"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5D32A705"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AKPA</w:t>
            </w:r>
          </w:p>
        </w:tc>
        <w:tc>
          <w:tcPr>
            <w:tcW w:w="1418" w:type="dxa"/>
            <w:tcBorders>
              <w:top w:val="nil"/>
              <w:left w:val="nil"/>
              <w:bottom w:val="single" w:sz="4" w:space="0" w:color="auto"/>
              <w:right w:val="single" w:sz="4" w:space="0" w:color="auto"/>
            </w:tcBorders>
            <w:hideMark/>
          </w:tcPr>
          <w:p w14:paraId="7B3E50A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MEI</w:t>
            </w:r>
          </w:p>
        </w:tc>
        <w:tc>
          <w:tcPr>
            <w:tcW w:w="708" w:type="dxa"/>
            <w:tcBorders>
              <w:top w:val="nil"/>
              <w:left w:val="nil"/>
              <w:bottom w:val="single" w:sz="4" w:space="0" w:color="auto"/>
              <w:right w:val="single" w:sz="4" w:space="0" w:color="auto"/>
            </w:tcBorders>
            <w:hideMark/>
          </w:tcPr>
          <w:p w14:paraId="20A89E03" w14:textId="4286C20B"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6,750</w:t>
            </w:r>
          </w:p>
        </w:tc>
        <w:tc>
          <w:tcPr>
            <w:tcW w:w="567" w:type="dxa"/>
            <w:tcBorders>
              <w:top w:val="nil"/>
              <w:left w:val="nil"/>
              <w:bottom w:val="single" w:sz="4" w:space="0" w:color="auto"/>
              <w:right w:val="single" w:sz="4" w:space="0" w:color="auto"/>
            </w:tcBorders>
            <w:hideMark/>
          </w:tcPr>
          <w:p w14:paraId="7FC2AB48" w14:textId="0BF4A83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8,750</w:t>
            </w:r>
          </w:p>
        </w:tc>
        <w:tc>
          <w:tcPr>
            <w:tcW w:w="567" w:type="dxa"/>
            <w:tcBorders>
              <w:top w:val="nil"/>
              <w:left w:val="nil"/>
              <w:bottom w:val="single" w:sz="4" w:space="0" w:color="auto"/>
              <w:right w:val="single" w:sz="4" w:space="0" w:color="auto"/>
            </w:tcBorders>
            <w:hideMark/>
          </w:tcPr>
          <w:p w14:paraId="6A31F352" w14:textId="4C6B140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8,750</w:t>
            </w:r>
          </w:p>
        </w:tc>
        <w:tc>
          <w:tcPr>
            <w:tcW w:w="1134" w:type="dxa"/>
            <w:tcBorders>
              <w:top w:val="nil"/>
              <w:left w:val="nil"/>
              <w:bottom w:val="single" w:sz="4" w:space="0" w:color="auto"/>
              <w:right w:val="single" w:sz="4" w:space="0" w:color="auto"/>
            </w:tcBorders>
            <w:hideMark/>
          </w:tcPr>
          <w:p w14:paraId="19508EE5" w14:textId="0F2A858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6,000</w:t>
            </w:r>
          </w:p>
        </w:tc>
        <w:tc>
          <w:tcPr>
            <w:tcW w:w="1615" w:type="dxa"/>
            <w:tcBorders>
              <w:top w:val="nil"/>
              <w:left w:val="nil"/>
              <w:bottom w:val="single" w:sz="4" w:space="0" w:color="auto"/>
              <w:right w:val="single" w:sz="4" w:space="0" w:color="auto"/>
            </w:tcBorders>
            <w:hideMark/>
          </w:tcPr>
          <w:p w14:paraId="4286B591" w14:textId="738B4D5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6,000</w:t>
            </w:r>
          </w:p>
        </w:tc>
      </w:tr>
      <w:tr w:rsidR="00B807EE" w:rsidRPr="00024D5A" w14:paraId="098B02B0"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5307BAE2"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2.2.2. Vendosja e specialistëve të dedikuar për ofrimin e shërbimeve për punë kërkuesit me aftësi të kufizuara dhe punëdhënësve potencialë.</w:t>
            </w:r>
          </w:p>
        </w:tc>
        <w:tc>
          <w:tcPr>
            <w:tcW w:w="567" w:type="dxa"/>
            <w:tcBorders>
              <w:top w:val="nil"/>
              <w:left w:val="nil"/>
              <w:bottom w:val="single" w:sz="4" w:space="0" w:color="auto"/>
              <w:right w:val="single" w:sz="4" w:space="0" w:color="auto"/>
            </w:tcBorders>
            <w:hideMark/>
          </w:tcPr>
          <w:p w14:paraId="6A9951BB"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16E166C7"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60308CB9"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AKPA</w:t>
            </w:r>
          </w:p>
        </w:tc>
        <w:tc>
          <w:tcPr>
            <w:tcW w:w="1418" w:type="dxa"/>
            <w:tcBorders>
              <w:top w:val="nil"/>
              <w:left w:val="nil"/>
              <w:bottom w:val="single" w:sz="4" w:space="0" w:color="auto"/>
              <w:right w:val="single" w:sz="4" w:space="0" w:color="auto"/>
            </w:tcBorders>
            <w:hideMark/>
          </w:tcPr>
          <w:p w14:paraId="41938A65"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MEI</w:t>
            </w:r>
          </w:p>
        </w:tc>
        <w:tc>
          <w:tcPr>
            <w:tcW w:w="708" w:type="dxa"/>
            <w:tcBorders>
              <w:top w:val="nil"/>
              <w:left w:val="nil"/>
              <w:bottom w:val="single" w:sz="4" w:space="0" w:color="auto"/>
              <w:right w:val="single" w:sz="4" w:space="0" w:color="auto"/>
            </w:tcBorders>
            <w:hideMark/>
          </w:tcPr>
          <w:p w14:paraId="543121D4" w14:textId="5177F03E"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7BEB9362" w14:textId="4FCD9A7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178220D9" w14:textId="5B7D361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7632DD40" w14:textId="1185DB6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185ED7D7" w14:textId="3CBCEDF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04856B48"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34F2DA87" w14:textId="3C9666A4"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2.2.3 Zhvillimi i kapaciteteve të specialistëve të dedikuar për ofrimin e shërbimeve për punëkërkuesit me aftësi të kufizuara, përfshirë në përdorimin e teknologjisë </w:t>
            </w:r>
            <w:r w:rsidRPr="00024D5A">
              <w:rPr>
                <w:rFonts w:ascii="Garamond" w:eastAsia="Times New Roman" w:hAnsi="Garamond"/>
                <w:i/>
                <w:iCs/>
                <w:sz w:val="6"/>
                <w:szCs w:val="16"/>
                <w:lang w:eastAsia="en-US"/>
              </w:rPr>
              <w:t>asi</w:t>
            </w:r>
            <w:r w:rsidR="009C20F4" w:rsidRPr="00024D5A">
              <w:rPr>
                <w:rFonts w:ascii="Garamond" w:eastAsia="Times New Roman" w:hAnsi="Garamond"/>
                <w:i/>
                <w:iCs/>
                <w:sz w:val="6"/>
                <w:szCs w:val="16"/>
                <w:lang w:eastAsia="en-US"/>
              </w:rPr>
              <w:t>ss</w:t>
            </w:r>
            <w:r w:rsidRPr="00024D5A">
              <w:rPr>
                <w:rFonts w:ascii="Garamond" w:eastAsia="Times New Roman" w:hAnsi="Garamond"/>
                <w:i/>
                <w:iCs/>
                <w:sz w:val="6"/>
                <w:szCs w:val="16"/>
                <w:lang w:eastAsia="en-US"/>
              </w:rPr>
              <w:t>tive</w:t>
            </w:r>
            <w:r w:rsidRPr="00024D5A">
              <w:rPr>
                <w:rFonts w:ascii="Garamond" w:eastAsia="Times New Roman" w:hAnsi="Garamond"/>
                <w:sz w:val="6"/>
                <w:szCs w:val="16"/>
                <w:lang w:eastAsia="en-US"/>
              </w:rPr>
              <w:t xml:space="preserve"> për punëkërkuesit me aftësi të kufizuara, për t</w:t>
            </w:r>
            <w:r w:rsidR="009C20F4"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i orientuar ata drejt për përdorimin e tyre kur paraqiten pranë zyrave të punësimit.</w:t>
            </w:r>
          </w:p>
        </w:tc>
        <w:tc>
          <w:tcPr>
            <w:tcW w:w="567" w:type="dxa"/>
            <w:tcBorders>
              <w:top w:val="nil"/>
              <w:left w:val="nil"/>
              <w:bottom w:val="single" w:sz="4" w:space="0" w:color="auto"/>
              <w:right w:val="single" w:sz="4" w:space="0" w:color="auto"/>
            </w:tcBorders>
            <w:hideMark/>
          </w:tcPr>
          <w:p w14:paraId="63B6368C"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605779F7"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16EEE228"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AKPA</w:t>
            </w:r>
          </w:p>
        </w:tc>
        <w:tc>
          <w:tcPr>
            <w:tcW w:w="1418" w:type="dxa"/>
            <w:tcBorders>
              <w:top w:val="nil"/>
              <w:left w:val="nil"/>
              <w:bottom w:val="single" w:sz="4" w:space="0" w:color="auto"/>
              <w:right w:val="single" w:sz="4" w:space="0" w:color="auto"/>
            </w:tcBorders>
            <w:hideMark/>
          </w:tcPr>
          <w:p w14:paraId="6566E1CF"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MEI</w:t>
            </w:r>
          </w:p>
        </w:tc>
        <w:tc>
          <w:tcPr>
            <w:tcW w:w="708" w:type="dxa"/>
            <w:tcBorders>
              <w:top w:val="nil"/>
              <w:left w:val="nil"/>
              <w:bottom w:val="single" w:sz="4" w:space="0" w:color="auto"/>
              <w:right w:val="single" w:sz="4" w:space="0" w:color="auto"/>
            </w:tcBorders>
            <w:hideMark/>
          </w:tcPr>
          <w:p w14:paraId="36F1B4C4" w14:textId="52A77A21"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175</w:t>
            </w:r>
          </w:p>
        </w:tc>
        <w:tc>
          <w:tcPr>
            <w:tcW w:w="567" w:type="dxa"/>
            <w:tcBorders>
              <w:top w:val="nil"/>
              <w:left w:val="nil"/>
              <w:bottom w:val="single" w:sz="4" w:space="0" w:color="auto"/>
              <w:right w:val="single" w:sz="4" w:space="0" w:color="auto"/>
            </w:tcBorders>
            <w:hideMark/>
          </w:tcPr>
          <w:p w14:paraId="71B092A0" w14:textId="23ACB2D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450</w:t>
            </w:r>
          </w:p>
        </w:tc>
        <w:tc>
          <w:tcPr>
            <w:tcW w:w="567" w:type="dxa"/>
            <w:tcBorders>
              <w:top w:val="nil"/>
              <w:left w:val="nil"/>
              <w:bottom w:val="single" w:sz="4" w:space="0" w:color="auto"/>
              <w:right w:val="single" w:sz="4" w:space="0" w:color="auto"/>
            </w:tcBorders>
            <w:hideMark/>
          </w:tcPr>
          <w:p w14:paraId="1DF5F2A6" w14:textId="693212B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450</w:t>
            </w:r>
          </w:p>
        </w:tc>
        <w:tc>
          <w:tcPr>
            <w:tcW w:w="1134" w:type="dxa"/>
            <w:tcBorders>
              <w:top w:val="nil"/>
              <w:left w:val="nil"/>
              <w:bottom w:val="single" w:sz="4" w:space="0" w:color="auto"/>
              <w:right w:val="single" w:sz="4" w:space="0" w:color="auto"/>
            </w:tcBorders>
            <w:hideMark/>
          </w:tcPr>
          <w:p w14:paraId="7F6A7AC8" w14:textId="08F9941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450</w:t>
            </w:r>
          </w:p>
        </w:tc>
        <w:tc>
          <w:tcPr>
            <w:tcW w:w="1615" w:type="dxa"/>
            <w:tcBorders>
              <w:top w:val="nil"/>
              <w:left w:val="nil"/>
              <w:bottom w:val="single" w:sz="4" w:space="0" w:color="auto"/>
              <w:right w:val="single" w:sz="4" w:space="0" w:color="auto"/>
            </w:tcBorders>
            <w:hideMark/>
          </w:tcPr>
          <w:p w14:paraId="32F53881" w14:textId="3D80132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450</w:t>
            </w:r>
          </w:p>
        </w:tc>
      </w:tr>
      <w:tr w:rsidR="00B807EE" w:rsidRPr="00024D5A" w14:paraId="4ED26566"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0D716866" w14:textId="5A20EF79"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2.2.4 Trajnimi i këshilltarëve të specializuar për punësimin e personave me aftësi të kufizuara në strukturat e AKPA</w:t>
            </w:r>
            <w:r w:rsidR="009C20F4" w:rsidRPr="00024D5A">
              <w:rPr>
                <w:rFonts w:ascii="Garamond" w:eastAsia="Times New Roman" w:hAnsi="Garamond"/>
                <w:sz w:val="6"/>
                <w:szCs w:val="16"/>
                <w:lang w:eastAsia="en-US"/>
              </w:rPr>
              <w:t>-së</w:t>
            </w:r>
            <w:r w:rsidRPr="00024D5A">
              <w:rPr>
                <w:rFonts w:ascii="Garamond" w:eastAsia="Times New Roman" w:hAnsi="Garamond"/>
                <w:sz w:val="6"/>
                <w:szCs w:val="16"/>
                <w:lang w:eastAsia="en-US"/>
              </w:rPr>
              <w:t>, për të ofruar ndërmjetësim të specializuar dhe mbështetje të vazhdueshme.</w:t>
            </w:r>
          </w:p>
        </w:tc>
        <w:tc>
          <w:tcPr>
            <w:tcW w:w="567" w:type="dxa"/>
            <w:tcBorders>
              <w:top w:val="nil"/>
              <w:left w:val="nil"/>
              <w:bottom w:val="single" w:sz="4" w:space="0" w:color="auto"/>
              <w:right w:val="single" w:sz="4" w:space="0" w:color="auto"/>
            </w:tcBorders>
            <w:hideMark/>
          </w:tcPr>
          <w:p w14:paraId="52BED038"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7D46D2E6"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2115CA9A"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AKPA</w:t>
            </w:r>
          </w:p>
        </w:tc>
        <w:tc>
          <w:tcPr>
            <w:tcW w:w="1418" w:type="dxa"/>
            <w:tcBorders>
              <w:top w:val="nil"/>
              <w:left w:val="nil"/>
              <w:bottom w:val="single" w:sz="4" w:space="0" w:color="auto"/>
              <w:right w:val="single" w:sz="4" w:space="0" w:color="auto"/>
            </w:tcBorders>
            <w:hideMark/>
          </w:tcPr>
          <w:p w14:paraId="5C0A31F6"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MEI</w:t>
            </w:r>
          </w:p>
        </w:tc>
        <w:tc>
          <w:tcPr>
            <w:tcW w:w="708" w:type="dxa"/>
            <w:tcBorders>
              <w:top w:val="nil"/>
              <w:left w:val="nil"/>
              <w:bottom w:val="single" w:sz="4" w:space="0" w:color="auto"/>
              <w:right w:val="single" w:sz="4" w:space="0" w:color="auto"/>
            </w:tcBorders>
            <w:hideMark/>
          </w:tcPr>
          <w:p w14:paraId="0E2B972B" w14:textId="605D8ED4"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175</w:t>
            </w:r>
          </w:p>
        </w:tc>
        <w:tc>
          <w:tcPr>
            <w:tcW w:w="567" w:type="dxa"/>
            <w:tcBorders>
              <w:top w:val="nil"/>
              <w:left w:val="nil"/>
              <w:bottom w:val="single" w:sz="4" w:space="0" w:color="auto"/>
              <w:right w:val="single" w:sz="4" w:space="0" w:color="auto"/>
            </w:tcBorders>
            <w:hideMark/>
          </w:tcPr>
          <w:p w14:paraId="3952F635" w14:textId="4AE19C0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450</w:t>
            </w:r>
          </w:p>
        </w:tc>
        <w:tc>
          <w:tcPr>
            <w:tcW w:w="567" w:type="dxa"/>
            <w:tcBorders>
              <w:top w:val="nil"/>
              <w:left w:val="nil"/>
              <w:bottom w:val="single" w:sz="4" w:space="0" w:color="auto"/>
              <w:right w:val="single" w:sz="4" w:space="0" w:color="auto"/>
            </w:tcBorders>
            <w:hideMark/>
          </w:tcPr>
          <w:p w14:paraId="3EBC21D3" w14:textId="4ABC0DF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450</w:t>
            </w:r>
          </w:p>
        </w:tc>
        <w:tc>
          <w:tcPr>
            <w:tcW w:w="1134" w:type="dxa"/>
            <w:tcBorders>
              <w:top w:val="nil"/>
              <w:left w:val="nil"/>
              <w:bottom w:val="single" w:sz="4" w:space="0" w:color="auto"/>
              <w:right w:val="single" w:sz="4" w:space="0" w:color="auto"/>
            </w:tcBorders>
            <w:hideMark/>
          </w:tcPr>
          <w:p w14:paraId="526A7BEF" w14:textId="3AEB6D8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450</w:t>
            </w:r>
          </w:p>
        </w:tc>
        <w:tc>
          <w:tcPr>
            <w:tcW w:w="1615" w:type="dxa"/>
            <w:tcBorders>
              <w:top w:val="nil"/>
              <w:left w:val="nil"/>
              <w:bottom w:val="single" w:sz="4" w:space="0" w:color="auto"/>
              <w:right w:val="single" w:sz="4" w:space="0" w:color="auto"/>
            </w:tcBorders>
            <w:hideMark/>
          </w:tcPr>
          <w:p w14:paraId="5A216952" w14:textId="29DA3B8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450</w:t>
            </w:r>
          </w:p>
        </w:tc>
      </w:tr>
      <w:tr w:rsidR="00B807EE" w:rsidRPr="00024D5A" w14:paraId="747A0C6C"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B8CCE4"/>
            <w:hideMark/>
          </w:tcPr>
          <w:p w14:paraId="7888E87F" w14:textId="29379CDD"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Masa prioritare 2.3</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Përmirësimi i sistemit të vlerësimit dhe regjistrimit të punëkërkuesve me aftësi të kufizuara, me fokus të veçante të rinjtë dhe gratë me aftësi të kufizuara</w:t>
            </w:r>
            <w:r w:rsidR="00754C10"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w:t>
            </w:r>
          </w:p>
        </w:tc>
        <w:tc>
          <w:tcPr>
            <w:tcW w:w="567" w:type="dxa"/>
            <w:tcBorders>
              <w:top w:val="nil"/>
              <w:left w:val="nil"/>
              <w:bottom w:val="single" w:sz="4" w:space="0" w:color="auto"/>
              <w:right w:val="single" w:sz="4" w:space="0" w:color="auto"/>
            </w:tcBorders>
            <w:shd w:val="clear" w:color="000000" w:fill="B8CCE4"/>
            <w:noWrap/>
            <w:hideMark/>
          </w:tcPr>
          <w:p w14:paraId="374C464D"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567" w:type="dxa"/>
            <w:tcBorders>
              <w:top w:val="nil"/>
              <w:left w:val="nil"/>
              <w:bottom w:val="single" w:sz="4" w:space="0" w:color="auto"/>
              <w:right w:val="single" w:sz="4" w:space="0" w:color="auto"/>
            </w:tcBorders>
            <w:shd w:val="clear" w:color="000000" w:fill="B8CCE4"/>
            <w:noWrap/>
            <w:hideMark/>
          </w:tcPr>
          <w:p w14:paraId="0431BCB0"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shd w:val="clear" w:color="000000" w:fill="B8CCE4"/>
            <w:noWrap/>
            <w:hideMark/>
          </w:tcPr>
          <w:p w14:paraId="03204EB5"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AKPA</w:t>
            </w:r>
          </w:p>
        </w:tc>
        <w:tc>
          <w:tcPr>
            <w:tcW w:w="1418" w:type="dxa"/>
            <w:tcBorders>
              <w:top w:val="nil"/>
              <w:left w:val="nil"/>
              <w:bottom w:val="single" w:sz="4" w:space="0" w:color="auto"/>
              <w:right w:val="single" w:sz="4" w:space="0" w:color="auto"/>
            </w:tcBorders>
            <w:shd w:val="clear" w:color="000000" w:fill="B8CCE4"/>
            <w:noWrap/>
            <w:hideMark/>
          </w:tcPr>
          <w:p w14:paraId="09783406"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MEI</w:t>
            </w:r>
          </w:p>
        </w:tc>
        <w:tc>
          <w:tcPr>
            <w:tcW w:w="708" w:type="dxa"/>
            <w:tcBorders>
              <w:top w:val="nil"/>
              <w:left w:val="nil"/>
              <w:bottom w:val="single" w:sz="4" w:space="0" w:color="auto"/>
              <w:right w:val="single" w:sz="4" w:space="0" w:color="auto"/>
            </w:tcBorders>
            <w:shd w:val="clear" w:color="000000" w:fill="C5D9F1"/>
            <w:noWrap/>
            <w:hideMark/>
          </w:tcPr>
          <w:p w14:paraId="63707B7C" w14:textId="6861100D"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shd w:val="clear" w:color="000000" w:fill="C5D9F1"/>
            <w:noWrap/>
            <w:hideMark/>
          </w:tcPr>
          <w:p w14:paraId="6D3E2272" w14:textId="30F7F928"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3,750</w:t>
            </w:r>
          </w:p>
        </w:tc>
        <w:tc>
          <w:tcPr>
            <w:tcW w:w="567" w:type="dxa"/>
            <w:tcBorders>
              <w:top w:val="nil"/>
              <w:left w:val="nil"/>
              <w:bottom w:val="single" w:sz="4" w:space="0" w:color="auto"/>
              <w:right w:val="single" w:sz="4" w:space="0" w:color="auto"/>
            </w:tcBorders>
            <w:shd w:val="clear" w:color="000000" w:fill="C5D9F1"/>
            <w:noWrap/>
            <w:hideMark/>
          </w:tcPr>
          <w:p w14:paraId="03BC5B3D" w14:textId="05E1F159"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1,425</w:t>
            </w:r>
          </w:p>
        </w:tc>
        <w:tc>
          <w:tcPr>
            <w:tcW w:w="1134" w:type="dxa"/>
            <w:tcBorders>
              <w:top w:val="nil"/>
              <w:left w:val="nil"/>
              <w:bottom w:val="single" w:sz="4" w:space="0" w:color="auto"/>
              <w:right w:val="single" w:sz="4" w:space="0" w:color="auto"/>
            </w:tcBorders>
            <w:shd w:val="clear" w:color="000000" w:fill="C5D9F1"/>
            <w:noWrap/>
            <w:hideMark/>
          </w:tcPr>
          <w:p w14:paraId="6C04F552" w14:textId="0D55D45B"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175</w:t>
            </w:r>
          </w:p>
        </w:tc>
        <w:tc>
          <w:tcPr>
            <w:tcW w:w="1615" w:type="dxa"/>
            <w:tcBorders>
              <w:top w:val="nil"/>
              <w:left w:val="nil"/>
              <w:bottom w:val="single" w:sz="4" w:space="0" w:color="auto"/>
              <w:right w:val="single" w:sz="4" w:space="0" w:color="auto"/>
            </w:tcBorders>
            <w:shd w:val="clear" w:color="000000" w:fill="C5D9F1"/>
            <w:noWrap/>
            <w:hideMark/>
          </w:tcPr>
          <w:p w14:paraId="1544338B" w14:textId="61942674"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175</w:t>
            </w:r>
          </w:p>
        </w:tc>
      </w:tr>
      <w:tr w:rsidR="00B807EE" w:rsidRPr="00024D5A" w14:paraId="7B470570"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093B7C88" w14:textId="0A56490F"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2.3.1 Ngritja dhe konsolidimi i sistemit të vlerësimit të kapaciteteve për punë për punëkërkuesit e papunë me aftësi të kufizuara pranë AKPA</w:t>
            </w:r>
            <w:r w:rsidR="00754C10"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s</w:t>
            </w:r>
            <w:r w:rsidR="00754C10"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profilizimi individual cilësor i punëkërkuesve me aftësi të kufizuara, duke marrë në konsideratë</w:t>
            </w:r>
            <w:r w:rsidR="00754C10"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i</w:t>
            </w:r>
            <w:r w:rsidR="00754C10"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aftësitë, interesat dhe aspiratat;</w:t>
            </w:r>
            <w:r w:rsidR="00754C10"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ii</w:t>
            </w:r>
            <w:r w:rsidR="00754C10"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nevojat për përshtatje të arsyeshme; iii</w:t>
            </w:r>
            <w:r w:rsidR="00754C10"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dimensionin gjinor dhe moshën.</w:t>
            </w:r>
          </w:p>
        </w:tc>
        <w:tc>
          <w:tcPr>
            <w:tcW w:w="567" w:type="dxa"/>
            <w:tcBorders>
              <w:top w:val="nil"/>
              <w:left w:val="nil"/>
              <w:bottom w:val="single" w:sz="4" w:space="0" w:color="auto"/>
              <w:right w:val="single" w:sz="4" w:space="0" w:color="auto"/>
            </w:tcBorders>
            <w:hideMark/>
          </w:tcPr>
          <w:p w14:paraId="4A251318"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567" w:type="dxa"/>
            <w:tcBorders>
              <w:top w:val="nil"/>
              <w:left w:val="nil"/>
              <w:bottom w:val="single" w:sz="4" w:space="0" w:color="auto"/>
              <w:right w:val="single" w:sz="4" w:space="0" w:color="auto"/>
            </w:tcBorders>
            <w:hideMark/>
          </w:tcPr>
          <w:p w14:paraId="0B5A6793"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26441C70"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AKPA</w:t>
            </w:r>
          </w:p>
        </w:tc>
        <w:tc>
          <w:tcPr>
            <w:tcW w:w="1418" w:type="dxa"/>
            <w:tcBorders>
              <w:top w:val="nil"/>
              <w:left w:val="nil"/>
              <w:bottom w:val="single" w:sz="4" w:space="0" w:color="auto"/>
              <w:right w:val="single" w:sz="4" w:space="0" w:color="auto"/>
            </w:tcBorders>
            <w:hideMark/>
          </w:tcPr>
          <w:p w14:paraId="1E03CAB5"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MEI</w:t>
            </w:r>
          </w:p>
        </w:tc>
        <w:tc>
          <w:tcPr>
            <w:tcW w:w="708" w:type="dxa"/>
            <w:tcBorders>
              <w:top w:val="nil"/>
              <w:left w:val="nil"/>
              <w:bottom w:val="single" w:sz="4" w:space="0" w:color="auto"/>
              <w:right w:val="single" w:sz="4" w:space="0" w:color="auto"/>
            </w:tcBorders>
            <w:hideMark/>
          </w:tcPr>
          <w:p w14:paraId="12844950" w14:textId="4AD6A244"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77FD4771" w14:textId="7649211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2,500</w:t>
            </w:r>
          </w:p>
        </w:tc>
        <w:tc>
          <w:tcPr>
            <w:tcW w:w="567" w:type="dxa"/>
            <w:tcBorders>
              <w:top w:val="nil"/>
              <w:left w:val="nil"/>
              <w:bottom w:val="single" w:sz="4" w:space="0" w:color="auto"/>
              <w:right w:val="single" w:sz="4" w:space="0" w:color="auto"/>
            </w:tcBorders>
            <w:hideMark/>
          </w:tcPr>
          <w:p w14:paraId="4AAAC1E5" w14:textId="46AB11B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175</w:t>
            </w:r>
          </w:p>
        </w:tc>
        <w:tc>
          <w:tcPr>
            <w:tcW w:w="1134" w:type="dxa"/>
            <w:tcBorders>
              <w:top w:val="nil"/>
              <w:left w:val="nil"/>
              <w:bottom w:val="single" w:sz="4" w:space="0" w:color="auto"/>
              <w:right w:val="single" w:sz="4" w:space="0" w:color="auto"/>
            </w:tcBorders>
            <w:hideMark/>
          </w:tcPr>
          <w:p w14:paraId="13DD542C" w14:textId="7B469B4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175</w:t>
            </w:r>
          </w:p>
        </w:tc>
        <w:tc>
          <w:tcPr>
            <w:tcW w:w="1615" w:type="dxa"/>
            <w:tcBorders>
              <w:top w:val="nil"/>
              <w:left w:val="nil"/>
              <w:bottom w:val="single" w:sz="4" w:space="0" w:color="auto"/>
              <w:right w:val="single" w:sz="4" w:space="0" w:color="auto"/>
            </w:tcBorders>
            <w:hideMark/>
          </w:tcPr>
          <w:p w14:paraId="2CF2D7A1" w14:textId="1F0F048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175</w:t>
            </w:r>
          </w:p>
        </w:tc>
      </w:tr>
      <w:tr w:rsidR="00B807EE" w:rsidRPr="00024D5A" w14:paraId="23497308"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6EA8A49A" w14:textId="7973D38A"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2.3.2 Krijimi i një sistemi të integruar të informacionit dhe ndërmjetësimit digjital të aksesueshëm, për të garantuar lidhjen automatike të punëkërkuesve me aftësi të kufizuara me: i</w:t>
            </w:r>
            <w:r w:rsidR="00754C10"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arsimin dhe formimin profesional (AFP); ii</w:t>
            </w:r>
            <w:r w:rsidR="00754C10"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skemat aktive të punësimit; iii</w:t>
            </w:r>
            <w:r w:rsidR="00754C10"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tregun e hapur të punës</w:t>
            </w:r>
            <w:r w:rsidR="00754C10"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56BF9F01"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567" w:type="dxa"/>
            <w:tcBorders>
              <w:top w:val="nil"/>
              <w:left w:val="nil"/>
              <w:bottom w:val="single" w:sz="4" w:space="0" w:color="auto"/>
              <w:right w:val="single" w:sz="4" w:space="0" w:color="auto"/>
            </w:tcBorders>
            <w:hideMark/>
          </w:tcPr>
          <w:p w14:paraId="1043DB55"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2028</w:t>
            </w:r>
          </w:p>
        </w:tc>
        <w:tc>
          <w:tcPr>
            <w:tcW w:w="1134" w:type="dxa"/>
            <w:tcBorders>
              <w:top w:val="nil"/>
              <w:left w:val="nil"/>
              <w:bottom w:val="single" w:sz="4" w:space="0" w:color="auto"/>
              <w:right w:val="single" w:sz="4" w:space="0" w:color="auto"/>
            </w:tcBorders>
            <w:hideMark/>
          </w:tcPr>
          <w:p w14:paraId="164209EC"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AKPA</w:t>
            </w:r>
          </w:p>
        </w:tc>
        <w:tc>
          <w:tcPr>
            <w:tcW w:w="1418" w:type="dxa"/>
            <w:tcBorders>
              <w:top w:val="nil"/>
              <w:left w:val="nil"/>
              <w:bottom w:val="single" w:sz="4" w:space="0" w:color="auto"/>
              <w:right w:val="single" w:sz="4" w:space="0" w:color="auto"/>
            </w:tcBorders>
            <w:hideMark/>
          </w:tcPr>
          <w:p w14:paraId="7E83657E"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MEI</w:t>
            </w:r>
          </w:p>
        </w:tc>
        <w:tc>
          <w:tcPr>
            <w:tcW w:w="708" w:type="dxa"/>
            <w:tcBorders>
              <w:top w:val="nil"/>
              <w:left w:val="nil"/>
              <w:bottom w:val="single" w:sz="4" w:space="0" w:color="auto"/>
              <w:right w:val="single" w:sz="4" w:space="0" w:color="auto"/>
            </w:tcBorders>
            <w:hideMark/>
          </w:tcPr>
          <w:p w14:paraId="11D98CE9" w14:textId="61FAD5BA"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61FF7CF7" w14:textId="0ECC061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1,250</w:t>
            </w:r>
          </w:p>
        </w:tc>
        <w:tc>
          <w:tcPr>
            <w:tcW w:w="567" w:type="dxa"/>
            <w:tcBorders>
              <w:top w:val="nil"/>
              <w:left w:val="nil"/>
              <w:bottom w:val="single" w:sz="4" w:space="0" w:color="auto"/>
              <w:right w:val="single" w:sz="4" w:space="0" w:color="auto"/>
            </w:tcBorders>
            <w:hideMark/>
          </w:tcPr>
          <w:p w14:paraId="216A0405" w14:textId="062DFFE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1,250</w:t>
            </w:r>
          </w:p>
        </w:tc>
        <w:tc>
          <w:tcPr>
            <w:tcW w:w="1134" w:type="dxa"/>
            <w:tcBorders>
              <w:top w:val="nil"/>
              <w:left w:val="nil"/>
              <w:bottom w:val="single" w:sz="4" w:space="0" w:color="auto"/>
              <w:right w:val="single" w:sz="4" w:space="0" w:color="auto"/>
            </w:tcBorders>
            <w:hideMark/>
          </w:tcPr>
          <w:p w14:paraId="7B290A0E" w14:textId="6AEFD6C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7073BDE8" w14:textId="1C0C6DB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453DB7AA"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DCE6F1"/>
            <w:hideMark/>
          </w:tcPr>
          <w:p w14:paraId="53CEB639" w14:textId="18BB5BB8"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Masë prioritare 2.4</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Konsolidimi dhe zgjerimi i shërbimeve për punëdhënësit dhe punëkërkuesit dhe përshtatja e vazhdueshme e tyre bazuar në praktikat e monitorimit dhe vlerësimit</w:t>
            </w:r>
            <w:r w:rsidR="00754C10"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w:t>
            </w:r>
          </w:p>
        </w:tc>
        <w:tc>
          <w:tcPr>
            <w:tcW w:w="567" w:type="dxa"/>
            <w:tcBorders>
              <w:top w:val="nil"/>
              <w:left w:val="nil"/>
              <w:bottom w:val="single" w:sz="4" w:space="0" w:color="auto"/>
              <w:right w:val="single" w:sz="4" w:space="0" w:color="auto"/>
            </w:tcBorders>
            <w:shd w:val="clear" w:color="000000" w:fill="DCE6F1"/>
            <w:hideMark/>
          </w:tcPr>
          <w:p w14:paraId="3C318B03"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shd w:val="clear" w:color="000000" w:fill="DCE6F1"/>
            <w:hideMark/>
          </w:tcPr>
          <w:p w14:paraId="53AED7EB"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shd w:val="clear" w:color="000000" w:fill="DCE6F1"/>
            <w:hideMark/>
          </w:tcPr>
          <w:p w14:paraId="759E2670"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AKPA</w:t>
            </w:r>
          </w:p>
        </w:tc>
        <w:tc>
          <w:tcPr>
            <w:tcW w:w="1418" w:type="dxa"/>
            <w:tcBorders>
              <w:top w:val="nil"/>
              <w:left w:val="nil"/>
              <w:bottom w:val="single" w:sz="4" w:space="0" w:color="auto"/>
              <w:right w:val="single" w:sz="4" w:space="0" w:color="auto"/>
            </w:tcBorders>
            <w:shd w:val="clear" w:color="000000" w:fill="DCE6F1"/>
            <w:hideMark/>
          </w:tcPr>
          <w:p w14:paraId="4F358F3F"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MEI</w:t>
            </w:r>
          </w:p>
        </w:tc>
        <w:tc>
          <w:tcPr>
            <w:tcW w:w="708" w:type="dxa"/>
            <w:tcBorders>
              <w:top w:val="nil"/>
              <w:left w:val="nil"/>
              <w:bottom w:val="single" w:sz="4" w:space="0" w:color="auto"/>
              <w:right w:val="single" w:sz="4" w:space="0" w:color="auto"/>
            </w:tcBorders>
            <w:shd w:val="clear" w:color="000000" w:fill="C5D9F1"/>
            <w:noWrap/>
            <w:hideMark/>
          </w:tcPr>
          <w:p w14:paraId="54C547C4" w14:textId="5F9C9B5D"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225,285</w:t>
            </w:r>
          </w:p>
        </w:tc>
        <w:tc>
          <w:tcPr>
            <w:tcW w:w="567" w:type="dxa"/>
            <w:tcBorders>
              <w:top w:val="nil"/>
              <w:left w:val="nil"/>
              <w:bottom w:val="single" w:sz="4" w:space="0" w:color="auto"/>
              <w:right w:val="single" w:sz="4" w:space="0" w:color="auto"/>
            </w:tcBorders>
            <w:shd w:val="clear" w:color="000000" w:fill="C5D9F1"/>
            <w:noWrap/>
            <w:hideMark/>
          </w:tcPr>
          <w:p w14:paraId="2F5F08EA" w14:textId="46C67982"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231,389</w:t>
            </w:r>
          </w:p>
        </w:tc>
        <w:tc>
          <w:tcPr>
            <w:tcW w:w="567" w:type="dxa"/>
            <w:tcBorders>
              <w:top w:val="nil"/>
              <w:left w:val="nil"/>
              <w:bottom w:val="single" w:sz="4" w:space="0" w:color="auto"/>
              <w:right w:val="single" w:sz="4" w:space="0" w:color="auto"/>
            </w:tcBorders>
            <w:shd w:val="clear" w:color="000000" w:fill="C5D9F1"/>
            <w:noWrap/>
            <w:hideMark/>
          </w:tcPr>
          <w:p w14:paraId="6BE5C342" w14:textId="21CA2908"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238,008</w:t>
            </w:r>
          </w:p>
        </w:tc>
        <w:tc>
          <w:tcPr>
            <w:tcW w:w="1134" w:type="dxa"/>
            <w:tcBorders>
              <w:top w:val="nil"/>
              <w:left w:val="nil"/>
              <w:bottom w:val="single" w:sz="4" w:space="0" w:color="auto"/>
              <w:right w:val="single" w:sz="4" w:space="0" w:color="auto"/>
            </w:tcBorders>
            <w:shd w:val="clear" w:color="000000" w:fill="C5D9F1"/>
            <w:noWrap/>
            <w:hideMark/>
          </w:tcPr>
          <w:p w14:paraId="6880BB67" w14:textId="61D4B789"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244,959</w:t>
            </w:r>
          </w:p>
        </w:tc>
        <w:tc>
          <w:tcPr>
            <w:tcW w:w="1615" w:type="dxa"/>
            <w:tcBorders>
              <w:top w:val="nil"/>
              <w:left w:val="nil"/>
              <w:bottom w:val="single" w:sz="4" w:space="0" w:color="auto"/>
              <w:right w:val="single" w:sz="4" w:space="0" w:color="auto"/>
            </w:tcBorders>
            <w:shd w:val="clear" w:color="000000" w:fill="C5D9F1"/>
            <w:noWrap/>
            <w:hideMark/>
          </w:tcPr>
          <w:p w14:paraId="2DA244FF" w14:textId="4FA67463"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252,257</w:t>
            </w:r>
          </w:p>
        </w:tc>
      </w:tr>
      <w:tr w:rsidR="00B807EE" w:rsidRPr="00024D5A" w14:paraId="6B8995BA"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6BBBC41B" w14:textId="0FC50A4F"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2.4.1 Ofrimi i shërbimeve të punësimit për personat me aftësi të kufizuara në tr</w:t>
            </w:r>
            <w:r w:rsidR="006C287E" w:rsidRPr="00024D5A">
              <w:rPr>
                <w:rFonts w:ascii="Garamond" w:eastAsia="Times New Roman" w:hAnsi="Garamond"/>
                <w:sz w:val="6"/>
                <w:szCs w:val="16"/>
                <w:lang w:eastAsia="en-US"/>
              </w:rPr>
              <w:t>i</w:t>
            </w:r>
            <w:r w:rsidRPr="00024D5A">
              <w:rPr>
                <w:rFonts w:ascii="Garamond" w:eastAsia="Times New Roman" w:hAnsi="Garamond"/>
                <w:sz w:val="6"/>
                <w:szCs w:val="16"/>
                <w:lang w:eastAsia="en-US"/>
              </w:rPr>
              <w:t xml:space="preserve"> nivele:</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i</w:t>
            </w:r>
            <w:r w:rsidR="006C287E"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shërbime bazë universale; ii</w:t>
            </w:r>
            <w:r w:rsidR="006C287E"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shërbime të ndërmjetësimit të avancuar; iii</w:t>
            </w:r>
            <w:r w:rsidR="006C287E"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shërbime të personalizuara intensive, përfshirë punësimin me mbështetje, bazuar në </w:t>
            </w:r>
            <w:r w:rsidR="0078161D"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Udhëzuesin mbi këshillimin e punëkërkuesve me aftësi të kufizuara</w:t>
            </w:r>
            <w:r w:rsidR="0078161D"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1D5F275D"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single" w:sz="4" w:space="0" w:color="auto"/>
            </w:tcBorders>
            <w:hideMark/>
          </w:tcPr>
          <w:p w14:paraId="6675CF4F"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509EF033"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AKPA</w:t>
            </w:r>
          </w:p>
        </w:tc>
        <w:tc>
          <w:tcPr>
            <w:tcW w:w="1418" w:type="dxa"/>
            <w:tcBorders>
              <w:top w:val="nil"/>
              <w:left w:val="nil"/>
              <w:bottom w:val="single" w:sz="4" w:space="0" w:color="auto"/>
              <w:right w:val="single" w:sz="4" w:space="0" w:color="auto"/>
            </w:tcBorders>
            <w:hideMark/>
          </w:tcPr>
          <w:p w14:paraId="7C71C0F2"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MEI</w:t>
            </w:r>
          </w:p>
        </w:tc>
        <w:tc>
          <w:tcPr>
            <w:tcW w:w="708" w:type="dxa"/>
            <w:tcBorders>
              <w:top w:val="nil"/>
              <w:left w:val="nil"/>
              <w:bottom w:val="single" w:sz="4" w:space="0" w:color="auto"/>
              <w:right w:val="single" w:sz="4" w:space="0" w:color="auto"/>
            </w:tcBorders>
            <w:hideMark/>
          </w:tcPr>
          <w:p w14:paraId="3303FDC0" w14:textId="07E88A44"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68,000</w:t>
            </w:r>
          </w:p>
        </w:tc>
        <w:tc>
          <w:tcPr>
            <w:tcW w:w="567" w:type="dxa"/>
            <w:tcBorders>
              <w:top w:val="nil"/>
              <w:left w:val="nil"/>
              <w:bottom w:val="single" w:sz="4" w:space="0" w:color="auto"/>
              <w:right w:val="single" w:sz="4" w:space="0" w:color="auto"/>
            </w:tcBorders>
            <w:hideMark/>
          </w:tcPr>
          <w:p w14:paraId="3B2A6F90" w14:textId="2F31E13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68,000</w:t>
            </w:r>
          </w:p>
        </w:tc>
        <w:tc>
          <w:tcPr>
            <w:tcW w:w="567" w:type="dxa"/>
            <w:tcBorders>
              <w:top w:val="nil"/>
              <w:left w:val="nil"/>
              <w:bottom w:val="single" w:sz="4" w:space="0" w:color="auto"/>
              <w:right w:val="single" w:sz="4" w:space="0" w:color="auto"/>
            </w:tcBorders>
            <w:hideMark/>
          </w:tcPr>
          <w:p w14:paraId="6606C5B8" w14:textId="5EB54D2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68,000</w:t>
            </w:r>
          </w:p>
        </w:tc>
        <w:tc>
          <w:tcPr>
            <w:tcW w:w="1134" w:type="dxa"/>
            <w:tcBorders>
              <w:top w:val="nil"/>
              <w:left w:val="nil"/>
              <w:bottom w:val="single" w:sz="4" w:space="0" w:color="auto"/>
              <w:right w:val="single" w:sz="4" w:space="0" w:color="auto"/>
            </w:tcBorders>
            <w:hideMark/>
          </w:tcPr>
          <w:p w14:paraId="2CDC1EF4" w14:textId="60707DA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68,000</w:t>
            </w:r>
          </w:p>
        </w:tc>
        <w:tc>
          <w:tcPr>
            <w:tcW w:w="1615" w:type="dxa"/>
            <w:tcBorders>
              <w:top w:val="nil"/>
              <w:left w:val="nil"/>
              <w:bottom w:val="single" w:sz="4" w:space="0" w:color="auto"/>
              <w:right w:val="single" w:sz="4" w:space="0" w:color="auto"/>
            </w:tcBorders>
            <w:hideMark/>
          </w:tcPr>
          <w:p w14:paraId="139C3AD4" w14:textId="25A8823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68,000</w:t>
            </w:r>
          </w:p>
        </w:tc>
      </w:tr>
      <w:tr w:rsidR="00B807EE" w:rsidRPr="00024D5A" w14:paraId="034CBD70"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1842020D"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2.4.2 Përshtatja dhe zgjerimi i programeve të nxitjes së punësimit për të garantuar akses prioritar dhe masa specifike mbështetëse për personat me aftësi të kufizuara, përfshirë subvencionimin e pagës, përshtatjen e vendit të punës dhe mbështetjen për punëdhënësit.</w:t>
            </w:r>
          </w:p>
        </w:tc>
        <w:tc>
          <w:tcPr>
            <w:tcW w:w="567" w:type="dxa"/>
            <w:tcBorders>
              <w:top w:val="nil"/>
              <w:left w:val="nil"/>
              <w:bottom w:val="single" w:sz="4" w:space="0" w:color="auto"/>
              <w:right w:val="single" w:sz="4" w:space="0" w:color="auto"/>
            </w:tcBorders>
            <w:hideMark/>
          </w:tcPr>
          <w:p w14:paraId="37555B67"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single" w:sz="4" w:space="0" w:color="auto"/>
            </w:tcBorders>
            <w:hideMark/>
          </w:tcPr>
          <w:p w14:paraId="60A05E79"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035542EB"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AKPA</w:t>
            </w:r>
          </w:p>
        </w:tc>
        <w:tc>
          <w:tcPr>
            <w:tcW w:w="1418" w:type="dxa"/>
            <w:tcBorders>
              <w:top w:val="nil"/>
              <w:left w:val="nil"/>
              <w:bottom w:val="single" w:sz="4" w:space="0" w:color="auto"/>
              <w:right w:val="single" w:sz="4" w:space="0" w:color="auto"/>
            </w:tcBorders>
            <w:hideMark/>
          </w:tcPr>
          <w:p w14:paraId="78F4E79E"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MEI</w:t>
            </w:r>
          </w:p>
        </w:tc>
        <w:tc>
          <w:tcPr>
            <w:tcW w:w="708" w:type="dxa"/>
            <w:tcBorders>
              <w:top w:val="nil"/>
              <w:left w:val="nil"/>
              <w:bottom w:val="single" w:sz="4" w:space="0" w:color="auto"/>
              <w:right w:val="single" w:sz="4" w:space="0" w:color="auto"/>
            </w:tcBorders>
            <w:hideMark/>
          </w:tcPr>
          <w:p w14:paraId="666685B8" w14:textId="2638380C"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92,275</w:t>
            </w:r>
          </w:p>
        </w:tc>
        <w:tc>
          <w:tcPr>
            <w:tcW w:w="567" w:type="dxa"/>
            <w:tcBorders>
              <w:top w:val="nil"/>
              <w:left w:val="nil"/>
              <w:bottom w:val="single" w:sz="4" w:space="0" w:color="auto"/>
              <w:right w:val="single" w:sz="4" w:space="0" w:color="auto"/>
            </w:tcBorders>
            <w:hideMark/>
          </w:tcPr>
          <w:p w14:paraId="0624D537" w14:textId="624578B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96,888</w:t>
            </w:r>
          </w:p>
        </w:tc>
        <w:tc>
          <w:tcPr>
            <w:tcW w:w="567" w:type="dxa"/>
            <w:tcBorders>
              <w:top w:val="nil"/>
              <w:left w:val="nil"/>
              <w:bottom w:val="single" w:sz="4" w:space="0" w:color="auto"/>
              <w:right w:val="single" w:sz="4" w:space="0" w:color="auto"/>
            </w:tcBorders>
            <w:hideMark/>
          </w:tcPr>
          <w:p w14:paraId="4E144BA3" w14:textId="7A426BB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101,733</w:t>
            </w:r>
          </w:p>
        </w:tc>
        <w:tc>
          <w:tcPr>
            <w:tcW w:w="1134" w:type="dxa"/>
            <w:tcBorders>
              <w:top w:val="nil"/>
              <w:left w:val="nil"/>
              <w:bottom w:val="single" w:sz="4" w:space="0" w:color="auto"/>
              <w:right w:val="single" w:sz="4" w:space="0" w:color="auto"/>
            </w:tcBorders>
            <w:hideMark/>
          </w:tcPr>
          <w:p w14:paraId="7BA68FF1" w14:textId="3BAE6E1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106,819</w:t>
            </w:r>
          </w:p>
        </w:tc>
        <w:tc>
          <w:tcPr>
            <w:tcW w:w="1615" w:type="dxa"/>
            <w:tcBorders>
              <w:top w:val="nil"/>
              <w:left w:val="nil"/>
              <w:bottom w:val="single" w:sz="4" w:space="0" w:color="auto"/>
              <w:right w:val="single" w:sz="4" w:space="0" w:color="auto"/>
            </w:tcBorders>
            <w:hideMark/>
          </w:tcPr>
          <w:p w14:paraId="3FED07B0" w14:textId="02270E7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112,160</w:t>
            </w:r>
          </w:p>
        </w:tc>
      </w:tr>
      <w:tr w:rsidR="00B807EE" w:rsidRPr="00024D5A" w14:paraId="26D58BF5"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320C24A4" w14:textId="68A1A88D"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2.4.3 Zhvillimi dhe zbatimi i programeve të reja dhe të përshtatura për nxitjen e punësimit të punëkërkuesve me aftësi të kufizuara, si</w:t>
            </w:r>
            <w:r w:rsidR="00754C10"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w:t>
            </w:r>
            <w:r w:rsidRPr="00024D5A">
              <w:rPr>
                <w:rFonts w:ascii="Garamond" w:eastAsia="Times New Roman" w:hAnsi="Garamond"/>
                <w:i/>
                <w:iCs/>
                <w:sz w:val="6"/>
                <w:szCs w:val="16"/>
                <w:lang w:eastAsia="en-US"/>
              </w:rPr>
              <w:t>punësimi me mbështetje</w:t>
            </w:r>
            <w:r w:rsidRPr="00024D5A">
              <w:rPr>
                <w:rFonts w:ascii="Garamond" w:eastAsia="Times New Roman" w:hAnsi="Garamond"/>
                <w:sz w:val="6"/>
                <w:szCs w:val="16"/>
                <w:lang w:eastAsia="en-US"/>
              </w:rPr>
              <w:t xml:space="preserve">, </w:t>
            </w:r>
            <w:r w:rsidRPr="00024D5A">
              <w:rPr>
                <w:rFonts w:ascii="Garamond" w:eastAsia="Times New Roman" w:hAnsi="Garamond"/>
                <w:i/>
                <w:iCs/>
                <w:sz w:val="6"/>
                <w:szCs w:val="16"/>
                <w:lang w:eastAsia="en-US"/>
              </w:rPr>
              <w:t>vetëpunësim,</w:t>
            </w:r>
            <w:r w:rsidRPr="00024D5A">
              <w:rPr>
                <w:rFonts w:ascii="Garamond" w:eastAsia="Times New Roman" w:hAnsi="Garamond"/>
                <w:sz w:val="6"/>
                <w:szCs w:val="16"/>
                <w:lang w:eastAsia="en-US"/>
              </w:rPr>
              <w:t xml:space="preserve"> </w:t>
            </w:r>
            <w:r w:rsidRPr="00024D5A">
              <w:rPr>
                <w:rFonts w:ascii="Garamond" w:eastAsia="Times New Roman" w:hAnsi="Garamond"/>
                <w:i/>
                <w:iCs/>
                <w:sz w:val="6"/>
                <w:szCs w:val="16"/>
                <w:lang w:eastAsia="en-US"/>
              </w:rPr>
              <w:t>sipërmarrjeve sociale</w:t>
            </w:r>
            <w:r w:rsidRPr="00024D5A">
              <w:rPr>
                <w:rFonts w:ascii="Garamond" w:eastAsia="Times New Roman" w:hAnsi="Garamond"/>
                <w:sz w:val="6"/>
                <w:szCs w:val="16"/>
                <w:lang w:eastAsia="en-US"/>
              </w:rPr>
              <w:t xml:space="preserve">, </w:t>
            </w:r>
            <w:r w:rsidRPr="00024D5A">
              <w:rPr>
                <w:rFonts w:ascii="Garamond" w:eastAsia="Times New Roman" w:hAnsi="Garamond"/>
                <w:i/>
                <w:iCs/>
                <w:sz w:val="6"/>
                <w:szCs w:val="16"/>
                <w:lang w:eastAsia="en-US"/>
              </w:rPr>
              <w:t>aftësim i personave me aftësi të kufizuara etj.</w:t>
            </w:r>
            <w:r w:rsidRPr="00024D5A">
              <w:rPr>
                <w:rFonts w:ascii="Garamond" w:eastAsia="Times New Roman" w:hAnsi="Garamond"/>
                <w:sz w:val="6"/>
                <w:szCs w:val="16"/>
                <w:lang w:eastAsia="en-US"/>
              </w:rPr>
              <w:t>, në partneritet me partner të tjerë social publik dhe privatë, përfshirë organizata me eksperiencë në fushën e aftësimit dhe punësimit për personat me aftësi të kufizuara.</w:t>
            </w:r>
          </w:p>
        </w:tc>
        <w:tc>
          <w:tcPr>
            <w:tcW w:w="567" w:type="dxa"/>
            <w:tcBorders>
              <w:top w:val="nil"/>
              <w:left w:val="nil"/>
              <w:bottom w:val="single" w:sz="4" w:space="0" w:color="auto"/>
              <w:right w:val="single" w:sz="4" w:space="0" w:color="auto"/>
            </w:tcBorders>
            <w:hideMark/>
          </w:tcPr>
          <w:p w14:paraId="16E66ED7"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single" w:sz="4" w:space="0" w:color="auto"/>
            </w:tcBorders>
            <w:hideMark/>
          </w:tcPr>
          <w:p w14:paraId="2136EE9F"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536D0C4C"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AKPA</w:t>
            </w:r>
          </w:p>
        </w:tc>
        <w:tc>
          <w:tcPr>
            <w:tcW w:w="1418" w:type="dxa"/>
            <w:tcBorders>
              <w:top w:val="nil"/>
              <w:left w:val="nil"/>
              <w:bottom w:val="single" w:sz="4" w:space="0" w:color="auto"/>
              <w:right w:val="single" w:sz="4" w:space="0" w:color="auto"/>
            </w:tcBorders>
            <w:hideMark/>
          </w:tcPr>
          <w:p w14:paraId="197DA4D7"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MEI</w:t>
            </w:r>
          </w:p>
        </w:tc>
        <w:tc>
          <w:tcPr>
            <w:tcW w:w="708" w:type="dxa"/>
            <w:tcBorders>
              <w:top w:val="nil"/>
              <w:left w:val="nil"/>
              <w:bottom w:val="single" w:sz="4" w:space="0" w:color="auto"/>
              <w:right w:val="single" w:sz="4" w:space="0" w:color="auto"/>
            </w:tcBorders>
            <w:hideMark/>
          </w:tcPr>
          <w:p w14:paraId="04298ECC" w14:textId="7F6AC474"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1,200</w:t>
            </w:r>
          </w:p>
        </w:tc>
        <w:tc>
          <w:tcPr>
            <w:tcW w:w="567" w:type="dxa"/>
            <w:tcBorders>
              <w:top w:val="nil"/>
              <w:left w:val="nil"/>
              <w:bottom w:val="single" w:sz="4" w:space="0" w:color="auto"/>
              <w:right w:val="single" w:sz="4" w:space="0" w:color="auto"/>
            </w:tcBorders>
            <w:hideMark/>
          </w:tcPr>
          <w:p w14:paraId="4957CE8C" w14:textId="11BBB9C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489BB1AB" w14:textId="4A24BE8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17FBBAAD" w14:textId="0633A18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2F353240" w14:textId="0B355D1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449B427A"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6966ED26"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2.4.4. Mbështetja e tranzicionit nga shkolla në punë për të rinjtë me aftësi të kufizuara, përmes integrimit i personave me aftësi të kufizuara në skemën e Garancisë Rinore, duke garantuar akses në punësim, formim, praktikë profesionale dhe mbështetje të personalizuar. </w:t>
            </w:r>
          </w:p>
        </w:tc>
        <w:tc>
          <w:tcPr>
            <w:tcW w:w="567" w:type="dxa"/>
            <w:tcBorders>
              <w:top w:val="nil"/>
              <w:left w:val="nil"/>
              <w:bottom w:val="single" w:sz="4" w:space="0" w:color="auto"/>
              <w:right w:val="single" w:sz="4" w:space="0" w:color="auto"/>
            </w:tcBorders>
            <w:hideMark/>
          </w:tcPr>
          <w:p w14:paraId="2CA4BF05"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single" w:sz="4" w:space="0" w:color="auto"/>
            </w:tcBorders>
            <w:hideMark/>
          </w:tcPr>
          <w:p w14:paraId="4740F217"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21943CF1"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AKPA</w:t>
            </w:r>
          </w:p>
        </w:tc>
        <w:tc>
          <w:tcPr>
            <w:tcW w:w="1418" w:type="dxa"/>
            <w:tcBorders>
              <w:top w:val="nil"/>
              <w:left w:val="nil"/>
              <w:bottom w:val="single" w:sz="4" w:space="0" w:color="auto"/>
              <w:right w:val="single" w:sz="4" w:space="0" w:color="auto"/>
            </w:tcBorders>
            <w:hideMark/>
          </w:tcPr>
          <w:p w14:paraId="4EF2A232"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MEI</w:t>
            </w:r>
          </w:p>
        </w:tc>
        <w:tc>
          <w:tcPr>
            <w:tcW w:w="708" w:type="dxa"/>
            <w:tcBorders>
              <w:top w:val="nil"/>
              <w:left w:val="nil"/>
              <w:bottom w:val="single" w:sz="4" w:space="0" w:color="auto"/>
              <w:right w:val="single" w:sz="4" w:space="0" w:color="auto"/>
            </w:tcBorders>
            <w:hideMark/>
          </w:tcPr>
          <w:p w14:paraId="4D453E4A" w14:textId="121EF184"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33,810</w:t>
            </w:r>
          </w:p>
        </w:tc>
        <w:tc>
          <w:tcPr>
            <w:tcW w:w="567" w:type="dxa"/>
            <w:tcBorders>
              <w:top w:val="nil"/>
              <w:left w:val="nil"/>
              <w:bottom w:val="single" w:sz="4" w:space="0" w:color="auto"/>
              <w:right w:val="single" w:sz="4" w:space="0" w:color="auto"/>
            </w:tcBorders>
            <w:hideMark/>
          </w:tcPr>
          <w:p w14:paraId="74738CD3" w14:textId="2CC84E9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35,501</w:t>
            </w:r>
          </w:p>
        </w:tc>
        <w:tc>
          <w:tcPr>
            <w:tcW w:w="567" w:type="dxa"/>
            <w:tcBorders>
              <w:top w:val="nil"/>
              <w:left w:val="nil"/>
              <w:bottom w:val="single" w:sz="4" w:space="0" w:color="auto"/>
              <w:right w:val="single" w:sz="4" w:space="0" w:color="auto"/>
            </w:tcBorders>
            <w:hideMark/>
          </w:tcPr>
          <w:p w14:paraId="0FEE62BB" w14:textId="6427F2F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37,276</w:t>
            </w:r>
          </w:p>
        </w:tc>
        <w:tc>
          <w:tcPr>
            <w:tcW w:w="1134" w:type="dxa"/>
            <w:tcBorders>
              <w:top w:val="nil"/>
              <w:left w:val="nil"/>
              <w:bottom w:val="single" w:sz="4" w:space="0" w:color="auto"/>
              <w:right w:val="single" w:sz="4" w:space="0" w:color="auto"/>
            </w:tcBorders>
            <w:hideMark/>
          </w:tcPr>
          <w:p w14:paraId="474E5EF3" w14:textId="2E4F789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39,140</w:t>
            </w:r>
          </w:p>
        </w:tc>
        <w:tc>
          <w:tcPr>
            <w:tcW w:w="1615" w:type="dxa"/>
            <w:tcBorders>
              <w:top w:val="nil"/>
              <w:left w:val="nil"/>
              <w:bottom w:val="single" w:sz="4" w:space="0" w:color="auto"/>
              <w:right w:val="single" w:sz="4" w:space="0" w:color="auto"/>
            </w:tcBorders>
            <w:hideMark/>
          </w:tcPr>
          <w:p w14:paraId="249D60E7" w14:textId="44FCCF3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41,097</w:t>
            </w:r>
          </w:p>
        </w:tc>
      </w:tr>
      <w:tr w:rsidR="00B807EE" w:rsidRPr="00024D5A" w14:paraId="070C925D"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135223E1" w14:textId="600B309D"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2.4.5</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 xml:space="preserve">Financim dhe mbështetje për punëdhënësit për të realizuar përshtatjen e arsyeshme për </w:t>
            </w:r>
            <w:r w:rsidR="00754C10" w:rsidRPr="00024D5A">
              <w:rPr>
                <w:rFonts w:ascii="Garamond" w:eastAsia="Times New Roman" w:hAnsi="Garamond"/>
                <w:sz w:val="6"/>
                <w:szCs w:val="16"/>
                <w:lang w:eastAsia="en-US"/>
              </w:rPr>
              <w:t>përfshirën</w:t>
            </w:r>
            <w:r w:rsidRPr="00024D5A">
              <w:rPr>
                <w:rFonts w:ascii="Garamond" w:eastAsia="Times New Roman" w:hAnsi="Garamond"/>
                <w:sz w:val="6"/>
                <w:szCs w:val="16"/>
                <w:lang w:eastAsia="en-US"/>
              </w:rPr>
              <w:t xml:space="preserve"> reale të punëkërkuesve me aftësi të kufizuara në vendin e punës (përfshirë sigurimin e pajisjeve dhe shërbimeve personale të vazhdueshme)</w:t>
            </w:r>
            <w:r w:rsidR="00754C10"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5137353F"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single" w:sz="4" w:space="0" w:color="auto"/>
            </w:tcBorders>
            <w:hideMark/>
          </w:tcPr>
          <w:p w14:paraId="4E0288CE"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52471549"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AKPA</w:t>
            </w:r>
          </w:p>
        </w:tc>
        <w:tc>
          <w:tcPr>
            <w:tcW w:w="1418" w:type="dxa"/>
            <w:tcBorders>
              <w:top w:val="nil"/>
              <w:left w:val="nil"/>
              <w:bottom w:val="single" w:sz="4" w:space="0" w:color="auto"/>
              <w:right w:val="single" w:sz="4" w:space="0" w:color="auto"/>
            </w:tcBorders>
            <w:hideMark/>
          </w:tcPr>
          <w:p w14:paraId="0C08722E"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MEI</w:t>
            </w:r>
          </w:p>
        </w:tc>
        <w:tc>
          <w:tcPr>
            <w:tcW w:w="708" w:type="dxa"/>
            <w:tcBorders>
              <w:top w:val="nil"/>
              <w:left w:val="nil"/>
              <w:bottom w:val="single" w:sz="4" w:space="0" w:color="auto"/>
              <w:right w:val="single" w:sz="4" w:space="0" w:color="auto"/>
            </w:tcBorders>
            <w:hideMark/>
          </w:tcPr>
          <w:p w14:paraId="3B110E53" w14:textId="473CF9F6"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30,000</w:t>
            </w:r>
          </w:p>
        </w:tc>
        <w:tc>
          <w:tcPr>
            <w:tcW w:w="567" w:type="dxa"/>
            <w:tcBorders>
              <w:top w:val="nil"/>
              <w:left w:val="nil"/>
              <w:bottom w:val="single" w:sz="4" w:space="0" w:color="auto"/>
              <w:right w:val="single" w:sz="4" w:space="0" w:color="auto"/>
            </w:tcBorders>
            <w:hideMark/>
          </w:tcPr>
          <w:p w14:paraId="185F6829" w14:textId="16A6C31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30,000</w:t>
            </w:r>
          </w:p>
        </w:tc>
        <w:tc>
          <w:tcPr>
            <w:tcW w:w="567" w:type="dxa"/>
            <w:tcBorders>
              <w:top w:val="nil"/>
              <w:left w:val="nil"/>
              <w:bottom w:val="single" w:sz="4" w:space="0" w:color="auto"/>
              <w:right w:val="single" w:sz="4" w:space="0" w:color="auto"/>
            </w:tcBorders>
            <w:hideMark/>
          </w:tcPr>
          <w:p w14:paraId="1F2BB6DA" w14:textId="19627A2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30,000</w:t>
            </w:r>
          </w:p>
        </w:tc>
        <w:tc>
          <w:tcPr>
            <w:tcW w:w="1134" w:type="dxa"/>
            <w:tcBorders>
              <w:top w:val="nil"/>
              <w:left w:val="nil"/>
              <w:bottom w:val="single" w:sz="4" w:space="0" w:color="auto"/>
              <w:right w:val="single" w:sz="4" w:space="0" w:color="auto"/>
            </w:tcBorders>
            <w:hideMark/>
          </w:tcPr>
          <w:p w14:paraId="6B128762" w14:textId="576F711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30,000</w:t>
            </w:r>
          </w:p>
        </w:tc>
        <w:tc>
          <w:tcPr>
            <w:tcW w:w="1615" w:type="dxa"/>
            <w:tcBorders>
              <w:top w:val="nil"/>
              <w:left w:val="nil"/>
              <w:bottom w:val="single" w:sz="4" w:space="0" w:color="auto"/>
              <w:right w:val="single" w:sz="4" w:space="0" w:color="auto"/>
            </w:tcBorders>
            <w:hideMark/>
          </w:tcPr>
          <w:p w14:paraId="40E0B1AA" w14:textId="72888B3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30,000</w:t>
            </w:r>
          </w:p>
        </w:tc>
      </w:tr>
      <w:tr w:rsidR="00B807EE" w:rsidRPr="00024D5A" w14:paraId="5934BA56"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0857B7D4" w14:textId="73C2ADFB"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2.4.6 Organizimi i fushatave informuese</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për Fondin Social të</w:t>
            </w:r>
            <w:r w:rsidR="00754C10" w:rsidRPr="00024D5A">
              <w:rPr>
                <w:rFonts w:ascii="Garamond" w:eastAsia="Times New Roman" w:hAnsi="Garamond"/>
                <w:sz w:val="6"/>
                <w:szCs w:val="16"/>
                <w:lang w:eastAsia="en-US"/>
              </w:rPr>
              <w:t xml:space="preserve"> Punësimit</w:t>
            </w:r>
            <w:r w:rsidRPr="00024D5A">
              <w:rPr>
                <w:rFonts w:ascii="Garamond" w:eastAsia="Times New Roman" w:hAnsi="Garamond"/>
                <w:sz w:val="6"/>
                <w:szCs w:val="16"/>
                <w:lang w:eastAsia="en-US"/>
              </w:rPr>
              <w:t xml:space="preserve"> dhe programet aktive të tregut të punës për personat me aftësi të kufizuara.</w:t>
            </w:r>
          </w:p>
        </w:tc>
        <w:tc>
          <w:tcPr>
            <w:tcW w:w="567" w:type="dxa"/>
            <w:tcBorders>
              <w:top w:val="nil"/>
              <w:left w:val="nil"/>
              <w:bottom w:val="single" w:sz="4" w:space="0" w:color="auto"/>
              <w:right w:val="single" w:sz="4" w:space="0" w:color="auto"/>
            </w:tcBorders>
            <w:hideMark/>
          </w:tcPr>
          <w:p w14:paraId="283402C7"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2027</w:t>
            </w:r>
          </w:p>
        </w:tc>
        <w:tc>
          <w:tcPr>
            <w:tcW w:w="567" w:type="dxa"/>
            <w:tcBorders>
              <w:top w:val="nil"/>
              <w:left w:val="nil"/>
              <w:bottom w:val="single" w:sz="4" w:space="0" w:color="auto"/>
              <w:right w:val="single" w:sz="4" w:space="0" w:color="auto"/>
            </w:tcBorders>
            <w:hideMark/>
          </w:tcPr>
          <w:p w14:paraId="6E5B600F"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42812280"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AKPA</w:t>
            </w:r>
          </w:p>
        </w:tc>
        <w:tc>
          <w:tcPr>
            <w:tcW w:w="1418" w:type="dxa"/>
            <w:tcBorders>
              <w:top w:val="nil"/>
              <w:left w:val="nil"/>
              <w:bottom w:val="single" w:sz="4" w:space="0" w:color="auto"/>
              <w:right w:val="single" w:sz="4" w:space="0" w:color="auto"/>
            </w:tcBorders>
            <w:hideMark/>
          </w:tcPr>
          <w:p w14:paraId="6F15567F" w14:textId="77777777"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i/>
                <w:iCs/>
                <w:sz w:val="6"/>
                <w:szCs w:val="16"/>
                <w:lang w:eastAsia="en-US"/>
              </w:rPr>
              <w:t>MEI</w:t>
            </w:r>
          </w:p>
        </w:tc>
        <w:tc>
          <w:tcPr>
            <w:tcW w:w="708" w:type="dxa"/>
            <w:tcBorders>
              <w:top w:val="nil"/>
              <w:left w:val="nil"/>
              <w:bottom w:val="single" w:sz="4" w:space="0" w:color="auto"/>
              <w:right w:val="single" w:sz="4" w:space="0" w:color="auto"/>
            </w:tcBorders>
            <w:hideMark/>
          </w:tcPr>
          <w:p w14:paraId="20A449B7" w14:textId="0316D36C"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59ACA375" w14:textId="6FBCF59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c>
          <w:tcPr>
            <w:tcW w:w="567" w:type="dxa"/>
            <w:tcBorders>
              <w:top w:val="nil"/>
              <w:left w:val="nil"/>
              <w:bottom w:val="single" w:sz="4" w:space="0" w:color="auto"/>
              <w:right w:val="single" w:sz="4" w:space="0" w:color="auto"/>
            </w:tcBorders>
            <w:hideMark/>
          </w:tcPr>
          <w:p w14:paraId="4F079F43" w14:textId="719B6D8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c>
          <w:tcPr>
            <w:tcW w:w="1134" w:type="dxa"/>
            <w:tcBorders>
              <w:top w:val="nil"/>
              <w:left w:val="nil"/>
              <w:bottom w:val="single" w:sz="4" w:space="0" w:color="auto"/>
              <w:right w:val="single" w:sz="4" w:space="0" w:color="auto"/>
            </w:tcBorders>
            <w:hideMark/>
          </w:tcPr>
          <w:p w14:paraId="7275AC6C" w14:textId="1AC81AB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c>
          <w:tcPr>
            <w:tcW w:w="1615" w:type="dxa"/>
            <w:tcBorders>
              <w:top w:val="nil"/>
              <w:left w:val="nil"/>
              <w:bottom w:val="single" w:sz="4" w:space="0" w:color="auto"/>
              <w:right w:val="single" w:sz="4" w:space="0" w:color="auto"/>
            </w:tcBorders>
            <w:hideMark/>
          </w:tcPr>
          <w:p w14:paraId="27649855" w14:textId="138B0E4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r>
      <w:tr w:rsidR="00B807EE" w:rsidRPr="00024D5A" w14:paraId="630E75A5"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DCE6F1"/>
            <w:hideMark/>
          </w:tcPr>
          <w:p w14:paraId="56DD5DB1" w14:textId="6CA83BCA"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Masa </w:t>
            </w:r>
            <w:r w:rsidR="00754C10" w:rsidRPr="00024D5A">
              <w:rPr>
                <w:rFonts w:ascii="Garamond" w:eastAsia="Times New Roman" w:hAnsi="Garamond"/>
                <w:b/>
                <w:bCs/>
                <w:sz w:val="6"/>
                <w:szCs w:val="16"/>
                <w:lang w:eastAsia="en-US"/>
              </w:rPr>
              <w:t xml:space="preserve">prioritare </w:t>
            </w:r>
            <w:r w:rsidRPr="00024D5A">
              <w:rPr>
                <w:rFonts w:ascii="Garamond" w:eastAsia="Times New Roman" w:hAnsi="Garamond"/>
                <w:b/>
                <w:bCs/>
                <w:sz w:val="6"/>
                <w:szCs w:val="16"/>
                <w:lang w:eastAsia="en-US"/>
              </w:rPr>
              <w:t>2.5</w:t>
            </w:r>
            <w:r w:rsidR="003526AF">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Forcimi i qeverisjes, koordinimit dhe monitorimit për punësimin e personave me aftësi të kufizuara</w:t>
            </w:r>
            <w:r w:rsidR="00754C10" w:rsidRPr="00024D5A">
              <w:rPr>
                <w:rFonts w:ascii="Garamond" w:eastAsia="Times New Roman" w:hAnsi="Garamond"/>
                <w:b/>
                <w:bCs/>
                <w:sz w:val="6"/>
                <w:szCs w:val="16"/>
                <w:lang w:eastAsia="en-US"/>
              </w:rPr>
              <w:t>.</w:t>
            </w:r>
          </w:p>
        </w:tc>
        <w:tc>
          <w:tcPr>
            <w:tcW w:w="567" w:type="dxa"/>
            <w:tcBorders>
              <w:top w:val="nil"/>
              <w:left w:val="nil"/>
              <w:bottom w:val="single" w:sz="4" w:space="0" w:color="auto"/>
              <w:right w:val="single" w:sz="4" w:space="0" w:color="auto"/>
            </w:tcBorders>
            <w:shd w:val="clear" w:color="000000" w:fill="DCE6F1"/>
            <w:hideMark/>
          </w:tcPr>
          <w:p w14:paraId="05603116"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shd w:val="clear" w:color="000000" w:fill="DCE6F1"/>
            <w:hideMark/>
          </w:tcPr>
          <w:p w14:paraId="5647CE0A"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shd w:val="clear" w:color="000000" w:fill="DCE6F1"/>
            <w:hideMark/>
          </w:tcPr>
          <w:p w14:paraId="1BB8468D"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AKPA/MEI</w:t>
            </w:r>
          </w:p>
        </w:tc>
        <w:tc>
          <w:tcPr>
            <w:tcW w:w="1418" w:type="dxa"/>
            <w:tcBorders>
              <w:top w:val="nil"/>
              <w:left w:val="nil"/>
              <w:bottom w:val="single" w:sz="4" w:space="0" w:color="auto"/>
              <w:right w:val="single" w:sz="4" w:space="0" w:color="auto"/>
            </w:tcBorders>
            <w:shd w:val="clear" w:color="000000" w:fill="DCE6F1"/>
            <w:hideMark/>
          </w:tcPr>
          <w:p w14:paraId="07775ECD"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MEI/AKPA/AKAFPK</w:t>
            </w:r>
          </w:p>
        </w:tc>
        <w:tc>
          <w:tcPr>
            <w:tcW w:w="708" w:type="dxa"/>
            <w:tcBorders>
              <w:top w:val="nil"/>
              <w:left w:val="nil"/>
              <w:bottom w:val="single" w:sz="4" w:space="0" w:color="auto"/>
              <w:right w:val="single" w:sz="4" w:space="0" w:color="auto"/>
            </w:tcBorders>
            <w:shd w:val="clear" w:color="000000" w:fill="C5D9F1"/>
            <w:noWrap/>
            <w:hideMark/>
          </w:tcPr>
          <w:p w14:paraId="097C8E35" w14:textId="370BF6DC"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3,480</w:t>
            </w:r>
          </w:p>
        </w:tc>
        <w:tc>
          <w:tcPr>
            <w:tcW w:w="567" w:type="dxa"/>
            <w:tcBorders>
              <w:top w:val="nil"/>
              <w:left w:val="nil"/>
              <w:bottom w:val="single" w:sz="4" w:space="0" w:color="auto"/>
              <w:right w:val="single" w:sz="4" w:space="0" w:color="auto"/>
            </w:tcBorders>
            <w:shd w:val="clear" w:color="000000" w:fill="C5D9F1"/>
            <w:noWrap/>
            <w:hideMark/>
          </w:tcPr>
          <w:p w14:paraId="0A682F6B" w14:textId="5F445899"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1,380</w:t>
            </w:r>
          </w:p>
        </w:tc>
        <w:tc>
          <w:tcPr>
            <w:tcW w:w="567" w:type="dxa"/>
            <w:tcBorders>
              <w:top w:val="nil"/>
              <w:left w:val="nil"/>
              <w:bottom w:val="single" w:sz="4" w:space="0" w:color="auto"/>
              <w:right w:val="single" w:sz="4" w:space="0" w:color="auto"/>
            </w:tcBorders>
            <w:shd w:val="clear" w:color="000000" w:fill="C5D9F1"/>
            <w:noWrap/>
            <w:hideMark/>
          </w:tcPr>
          <w:p w14:paraId="59EFDD22" w14:textId="2FBD6A1D"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1,380</w:t>
            </w:r>
          </w:p>
        </w:tc>
        <w:tc>
          <w:tcPr>
            <w:tcW w:w="1134" w:type="dxa"/>
            <w:tcBorders>
              <w:top w:val="nil"/>
              <w:left w:val="nil"/>
              <w:bottom w:val="single" w:sz="4" w:space="0" w:color="auto"/>
              <w:right w:val="single" w:sz="4" w:space="0" w:color="auto"/>
            </w:tcBorders>
            <w:shd w:val="clear" w:color="000000" w:fill="C5D9F1"/>
            <w:noWrap/>
            <w:hideMark/>
          </w:tcPr>
          <w:p w14:paraId="62034335" w14:textId="67954EFA"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1,380</w:t>
            </w:r>
          </w:p>
        </w:tc>
        <w:tc>
          <w:tcPr>
            <w:tcW w:w="1615" w:type="dxa"/>
            <w:tcBorders>
              <w:top w:val="nil"/>
              <w:left w:val="nil"/>
              <w:bottom w:val="single" w:sz="4" w:space="0" w:color="auto"/>
              <w:right w:val="single" w:sz="4" w:space="0" w:color="auto"/>
            </w:tcBorders>
            <w:shd w:val="clear" w:color="000000" w:fill="C5D9F1"/>
            <w:noWrap/>
            <w:hideMark/>
          </w:tcPr>
          <w:p w14:paraId="32362AA3" w14:textId="3556F07B"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1,380</w:t>
            </w:r>
          </w:p>
        </w:tc>
      </w:tr>
      <w:tr w:rsidR="00B807EE" w:rsidRPr="00024D5A" w14:paraId="6B0E1767"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3CC43141" w14:textId="2A5DDB8C"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2.5.1. Vlerësim kombëtar mbi nivelin e punësimit të personave me aftësi të kufizuara në sektorin publik dhe privat në përputhje me detyrimet ligjore bazuar në </w:t>
            </w:r>
            <w:r w:rsidR="00754C10" w:rsidRPr="00024D5A">
              <w:rPr>
                <w:rFonts w:ascii="Garamond" w:eastAsia="Times New Roman" w:hAnsi="Garamond"/>
                <w:sz w:val="6"/>
                <w:szCs w:val="16"/>
                <w:lang w:eastAsia="en-US"/>
              </w:rPr>
              <w:t xml:space="preserve">ligjin </w:t>
            </w:r>
            <w:r w:rsidRPr="00024D5A">
              <w:rPr>
                <w:rFonts w:ascii="Garamond" w:eastAsia="Times New Roman" w:hAnsi="Garamond"/>
                <w:sz w:val="6"/>
                <w:szCs w:val="16"/>
                <w:lang w:eastAsia="en-US"/>
              </w:rPr>
              <w:t xml:space="preserve">për nxitjen e punësimit. </w:t>
            </w:r>
          </w:p>
        </w:tc>
        <w:tc>
          <w:tcPr>
            <w:tcW w:w="567" w:type="dxa"/>
            <w:tcBorders>
              <w:top w:val="nil"/>
              <w:left w:val="nil"/>
              <w:bottom w:val="single" w:sz="4" w:space="0" w:color="auto"/>
              <w:right w:val="single" w:sz="4" w:space="0" w:color="auto"/>
            </w:tcBorders>
            <w:hideMark/>
          </w:tcPr>
          <w:p w14:paraId="4DA25D2F"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68DDB45B"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1134" w:type="dxa"/>
            <w:tcBorders>
              <w:top w:val="nil"/>
              <w:left w:val="nil"/>
              <w:bottom w:val="single" w:sz="4" w:space="0" w:color="auto"/>
              <w:right w:val="single" w:sz="4" w:space="0" w:color="auto"/>
            </w:tcBorders>
            <w:hideMark/>
          </w:tcPr>
          <w:p w14:paraId="1C5CF08F"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AKPA</w:t>
            </w:r>
          </w:p>
        </w:tc>
        <w:tc>
          <w:tcPr>
            <w:tcW w:w="1418" w:type="dxa"/>
            <w:tcBorders>
              <w:top w:val="nil"/>
              <w:left w:val="nil"/>
              <w:bottom w:val="single" w:sz="4" w:space="0" w:color="auto"/>
              <w:right w:val="single" w:sz="4" w:space="0" w:color="auto"/>
            </w:tcBorders>
            <w:hideMark/>
          </w:tcPr>
          <w:p w14:paraId="34856E33"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MEI</w:t>
            </w:r>
          </w:p>
        </w:tc>
        <w:tc>
          <w:tcPr>
            <w:tcW w:w="708" w:type="dxa"/>
            <w:tcBorders>
              <w:top w:val="nil"/>
              <w:left w:val="nil"/>
              <w:bottom w:val="single" w:sz="4" w:space="0" w:color="auto"/>
              <w:right w:val="single" w:sz="4" w:space="0" w:color="auto"/>
            </w:tcBorders>
            <w:hideMark/>
          </w:tcPr>
          <w:p w14:paraId="7DE1629B" w14:textId="39B4C8F5"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2,100</w:t>
            </w:r>
          </w:p>
        </w:tc>
        <w:tc>
          <w:tcPr>
            <w:tcW w:w="567" w:type="dxa"/>
            <w:tcBorders>
              <w:top w:val="nil"/>
              <w:left w:val="nil"/>
              <w:bottom w:val="single" w:sz="4" w:space="0" w:color="auto"/>
              <w:right w:val="single" w:sz="4" w:space="0" w:color="auto"/>
            </w:tcBorders>
            <w:hideMark/>
          </w:tcPr>
          <w:p w14:paraId="4A90CA78" w14:textId="54FC959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2FB448AB" w14:textId="1B6482B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32549141" w14:textId="3F0A06B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715528E0" w14:textId="41C73F1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027B9805"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16A4B831"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2.5.2 Vlerësim periodik i programeve dhe i efekteve të politikave dhe mekanizmit të skemave të përfshirjes aktive në tregun e punës të personave me aftësi të kufizuara, përfshirë aksesin e tyre në sistemin e pagesave të papunësisë dhe mbrojtjen që ky sistem ofron për ta.</w:t>
            </w:r>
          </w:p>
        </w:tc>
        <w:tc>
          <w:tcPr>
            <w:tcW w:w="567" w:type="dxa"/>
            <w:tcBorders>
              <w:top w:val="nil"/>
              <w:left w:val="nil"/>
              <w:bottom w:val="single" w:sz="4" w:space="0" w:color="auto"/>
              <w:right w:val="single" w:sz="4" w:space="0" w:color="auto"/>
            </w:tcBorders>
            <w:hideMark/>
          </w:tcPr>
          <w:p w14:paraId="483AE753"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16C9257C"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3DAFC0B7"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AKPA</w:t>
            </w:r>
          </w:p>
        </w:tc>
        <w:tc>
          <w:tcPr>
            <w:tcW w:w="1418" w:type="dxa"/>
            <w:tcBorders>
              <w:top w:val="nil"/>
              <w:left w:val="nil"/>
              <w:bottom w:val="single" w:sz="4" w:space="0" w:color="auto"/>
              <w:right w:val="single" w:sz="4" w:space="0" w:color="auto"/>
            </w:tcBorders>
            <w:hideMark/>
          </w:tcPr>
          <w:p w14:paraId="1A810EF0"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MEI</w:t>
            </w:r>
          </w:p>
        </w:tc>
        <w:tc>
          <w:tcPr>
            <w:tcW w:w="708" w:type="dxa"/>
            <w:tcBorders>
              <w:top w:val="nil"/>
              <w:left w:val="nil"/>
              <w:bottom w:val="single" w:sz="4" w:space="0" w:color="auto"/>
              <w:right w:val="single" w:sz="4" w:space="0" w:color="auto"/>
            </w:tcBorders>
            <w:hideMark/>
          </w:tcPr>
          <w:p w14:paraId="6426DA96" w14:textId="4A4D44B4"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300</w:t>
            </w:r>
          </w:p>
        </w:tc>
        <w:tc>
          <w:tcPr>
            <w:tcW w:w="567" w:type="dxa"/>
            <w:tcBorders>
              <w:top w:val="nil"/>
              <w:left w:val="nil"/>
              <w:bottom w:val="single" w:sz="4" w:space="0" w:color="auto"/>
              <w:right w:val="single" w:sz="4" w:space="0" w:color="auto"/>
            </w:tcBorders>
            <w:hideMark/>
          </w:tcPr>
          <w:p w14:paraId="419C9EAF" w14:textId="7DE0899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300</w:t>
            </w:r>
          </w:p>
        </w:tc>
        <w:tc>
          <w:tcPr>
            <w:tcW w:w="567" w:type="dxa"/>
            <w:tcBorders>
              <w:top w:val="nil"/>
              <w:left w:val="nil"/>
              <w:bottom w:val="single" w:sz="4" w:space="0" w:color="auto"/>
              <w:right w:val="single" w:sz="4" w:space="0" w:color="auto"/>
            </w:tcBorders>
            <w:hideMark/>
          </w:tcPr>
          <w:p w14:paraId="30807285" w14:textId="748FF62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300</w:t>
            </w:r>
          </w:p>
        </w:tc>
        <w:tc>
          <w:tcPr>
            <w:tcW w:w="1134" w:type="dxa"/>
            <w:tcBorders>
              <w:top w:val="nil"/>
              <w:left w:val="nil"/>
              <w:bottom w:val="single" w:sz="4" w:space="0" w:color="auto"/>
              <w:right w:val="single" w:sz="4" w:space="0" w:color="auto"/>
            </w:tcBorders>
            <w:hideMark/>
          </w:tcPr>
          <w:p w14:paraId="4AB63514" w14:textId="2636820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300</w:t>
            </w:r>
          </w:p>
        </w:tc>
        <w:tc>
          <w:tcPr>
            <w:tcW w:w="1615" w:type="dxa"/>
            <w:tcBorders>
              <w:top w:val="nil"/>
              <w:left w:val="nil"/>
              <w:bottom w:val="single" w:sz="4" w:space="0" w:color="auto"/>
              <w:right w:val="single" w:sz="4" w:space="0" w:color="auto"/>
            </w:tcBorders>
            <w:hideMark/>
          </w:tcPr>
          <w:p w14:paraId="4B1F1529" w14:textId="5952306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300</w:t>
            </w:r>
          </w:p>
        </w:tc>
      </w:tr>
      <w:tr w:rsidR="00B807EE" w:rsidRPr="00024D5A" w14:paraId="0F78A3AC"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5A83AE4A" w14:textId="3FD3FCAB"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2.5.3. Koordinimi dhe </w:t>
            </w:r>
            <w:r w:rsidR="00754C10" w:rsidRPr="00024D5A">
              <w:rPr>
                <w:rFonts w:ascii="Garamond" w:eastAsia="Times New Roman" w:hAnsi="Garamond"/>
                <w:sz w:val="6"/>
                <w:szCs w:val="16"/>
                <w:lang w:eastAsia="en-US"/>
              </w:rPr>
              <w:t xml:space="preserve">monitorimi </w:t>
            </w:r>
            <w:r w:rsidRPr="00024D5A">
              <w:rPr>
                <w:rFonts w:ascii="Garamond" w:eastAsia="Times New Roman" w:hAnsi="Garamond"/>
                <w:sz w:val="6"/>
                <w:szCs w:val="16"/>
                <w:lang w:eastAsia="en-US"/>
              </w:rPr>
              <w:t>i zbatimit të zbatimit të PKPAK</w:t>
            </w:r>
            <w:r w:rsidR="00754C10" w:rsidRPr="00024D5A">
              <w:rPr>
                <w:rFonts w:ascii="Garamond" w:eastAsia="Times New Roman" w:hAnsi="Garamond"/>
                <w:sz w:val="6"/>
                <w:szCs w:val="16"/>
                <w:lang w:eastAsia="en-US"/>
              </w:rPr>
              <w:t>-së</w:t>
            </w:r>
            <w:r w:rsidRPr="00024D5A">
              <w:rPr>
                <w:rFonts w:ascii="Garamond" w:eastAsia="Times New Roman" w:hAnsi="Garamond"/>
                <w:sz w:val="6"/>
                <w:szCs w:val="16"/>
                <w:lang w:eastAsia="en-US"/>
              </w:rPr>
              <w:t>, në mënyrë të harmonizuar me Strategjinë Kombëtare të</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Punësimit dhe Aftësive,</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 xml:space="preserve">Strategjinë e Mbrojtjes Sociale dhe Planin </w:t>
            </w:r>
            <w:r w:rsidRPr="00024D5A">
              <w:rPr>
                <w:rFonts w:ascii="Garamond" w:eastAsia="Times New Roman" w:hAnsi="Garamond"/>
                <w:b/>
                <w:bCs/>
                <w:sz w:val="6"/>
                <w:szCs w:val="16"/>
                <w:lang w:eastAsia="en-US"/>
              </w:rPr>
              <w:t xml:space="preserve">e </w:t>
            </w:r>
            <w:r w:rsidRPr="00024D5A">
              <w:rPr>
                <w:rFonts w:ascii="Garamond" w:eastAsia="Times New Roman" w:hAnsi="Garamond"/>
                <w:sz w:val="6"/>
                <w:szCs w:val="16"/>
                <w:lang w:eastAsia="en-US"/>
              </w:rPr>
              <w:t>Zbatimit të Garancisë Rinore.</w:t>
            </w:r>
          </w:p>
        </w:tc>
        <w:tc>
          <w:tcPr>
            <w:tcW w:w="567" w:type="dxa"/>
            <w:tcBorders>
              <w:top w:val="nil"/>
              <w:left w:val="nil"/>
              <w:bottom w:val="single" w:sz="4" w:space="0" w:color="auto"/>
              <w:right w:val="single" w:sz="4" w:space="0" w:color="auto"/>
            </w:tcBorders>
            <w:hideMark/>
          </w:tcPr>
          <w:p w14:paraId="08C228C0"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1BA20C65"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32C22C79"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MEI</w:t>
            </w:r>
          </w:p>
        </w:tc>
        <w:tc>
          <w:tcPr>
            <w:tcW w:w="1418" w:type="dxa"/>
            <w:tcBorders>
              <w:top w:val="nil"/>
              <w:left w:val="nil"/>
              <w:bottom w:val="single" w:sz="4" w:space="0" w:color="auto"/>
              <w:right w:val="single" w:sz="4" w:space="0" w:color="auto"/>
            </w:tcBorders>
            <w:hideMark/>
          </w:tcPr>
          <w:p w14:paraId="5E30F71F"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AKPA, AKAFPK</w:t>
            </w:r>
          </w:p>
        </w:tc>
        <w:tc>
          <w:tcPr>
            <w:tcW w:w="708" w:type="dxa"/>
            <w:tcBorders>
              <w:top w:val="nil"/>
              <w:left w:val="nil"/>
              <w:bottom w:val="single" w:sz="4" w:space="0" w:color="auto"/>
              <w:right w:val="single" w:sz="4" w:space="0" w:color="auto"/>
            </w:tcBorders>
            <w:hideMark/>
          </w:tcPr>
          <w:p w14:paraId="17853FF3" w14:textId="248F8DB9"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1,080</w:t>
            </w:r>
          </w:p>
        </w:tc>
        <w:tc>
          <w:tcPr>
            <w:tcW w:w="567" w:type="dxa"/>
            <w:tcBorders>
              <w:top w:val="nil"/>
              <w:left w:val="nil"/>
              <w:bottom w:val="single" w:sz="4" w:space="0" w:color="auto"/>
              <w:right w:val="single" w:sz="4" w:space="0" w:color="auto"/>
            </w:tcBorders>
            <w:hideMark/>
          </w:tcPr>
          <w:p w14:paraId="6DF2FF07" w14:textId="5E8FBB0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1,080</w:t>
            </w:r>
          </w:p>
        </w:tc>
        <w:tc>
          <w:tcPr>
            <w:tcW w:w="567" w:type="dxa"/>
            <w:tcBorders>
              <w:top w:val="nil"/>
              <w:left w:val="nil"/>
              <w:bottom w:val="single" w:sz="4" w:space="0" w:color="auto"/>
              <w:right w:val="single" w:sz="4" w:space="0" w:color="auto"/>
            </w:tcBorders>
            <w:hideMark/>
          </w:tcPr>
          <w:p w14:paraId="1E2EA0C3" w14:textId="45A6B42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1,080</w:t>
            </w:r>
          </w:p>
        </w:tc>
        <w:tc>
          <w:tcPr>
            <w:tcW w:w="1134" w:type="dxa"/>
            <w:tcBorders>
              <w:top w:val="nil"/>
              <w:left w:val="nil"/>
              <w:bottom w:val="single" w:sz="4" w:space="0" w:color="auto"/>
              <w:right w:val="single" w:sz="4" w:space="0" w:color="auto"/>
            </w:tcBorders>
            <w:hideMark/>
          </w:tcPr>
          <w:p w14:paraId="7DDA1DFF" w14:textId="23C906F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1,080</w:t>
            </w:r>
          </w:p>
        </w:tc>
        <w:tc>
          <w:tcPr>
            <w:tcW w:w="1615" w:type="dxa"/>
            <w:tcBorders>
              <w:top w:val="nil"/>
              <w:left w:val="nil"/>
              <w:bottom w:val="single" w:sz="4" w:space="0" w:color="auto"/>
              <w:right w:val="single" w:sz="4" w:space="0" w:color="auto"/>
            </w:tcBorders>
            <w:hideMark/>
          </w:tcPr>
          <w:p w14:paraId="33BDB294" w14:textId="69475EF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1,080</w:t>
            </w:r>
          </w:p>
        </w:tc>
      </w:tr>
      <w:tr w:rsidR="00B807EE" w:rsidRPr="00024D5A" w14:paraId="3D0D5E23" w14:textId="77777777" w:rsidTr="002B321E">
        <w:trPr>
          <w:trHeight w:val="20"/>
        </w:trPr>
        <w:tc>
          <w:tcPr>
            <w:tcW w:w="4673" w:type="dxa"/>
            <w:tcBorders>
              <w:top w:val="single" w:sz="8" w:space="0" w:color="auto"/>
              <w:left w:val="single" w:sz="4" w:space="0" w:color="auto"/>
              <w:bottom w:val="single" w:sz="8" w:space="0" w:color="auto"/>
              <w:right w:val="single" w:sz="4" w:space="0" w:color="auto"/>
            </w:tcBorders>
            <w:shd w:val="clear" w:color="000000" w:fill="F276AB"/>
            <w:hideMark/>
          </w:tcPr>
          <w:p w14:paraId="222BB10A"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IV. ARSIMI</w:t>
            </w:r>
          </w:p>
        </w:tc>
        <w:tc>
          <w:tcPr>
            <w:tcW w:w="567" w:type="dxa"/>
            <w:tcBorders>
              <w:top w:val="single" w:sz="8" w:space="0" w:color="auto"/>
              <w:left w:val="nil"/>
              <w:bottom w:val="single" w:sz="8" w:space="0" w:color="auto"/>
              <w:right w:val="single" w:sz="4" w:space="0" w:color="auto"/>
            </w:tcBorders>
            <w:shd w:val="clear" w:color="000000" w:fill="F276AB"/>
            <w:hideMark/>
          </w:tcPr>
          <w:p w14:paraId="01337EEA"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567" w:type="dxa"/>
            <w:tcBorders>
              <w:top w:val="single" w:sz="8" w:space="0" w:color="auto"/>
              <w:left w:val="nil"/>
              <w:bottom w:val="single" w:sz="8" w:space="0" w:color="auto"/>
              <w:right w:val="single" w:sz="4" w:space="0" w:color="auto"/>
            </w:tcBorders>
            <w:shd w:val="clear" w:color="000000" w:fill="F276AB"/>
            <w:hideMark/>
          </w:tcPr>
          <w:p w14:paraId="2F9885EA"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1134" w:type="dxa"/>
            <w:tcBorders>
              <w:top w:val="single" w:sz="8" w:space="0" w:color="auto"/>
              <w:left w:val="nil"/>
              <w:bottom w:val="single" w:sz="8" w:space="0" w:color="auto"/>
              <w:right w:val="single" w:sz="4" w:space="0" w:color="auto"/>
            </w:tcBorders>
            <w:shd w:val="clear" w:color="000000" w:fill="F276AB"/>
            <w:hideMark/>
          </w:tcPr>
          <w:p w14:paraId="0956309D"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1418" w:type="dxa"/>
            <w:tcBorders>
              <w:top w:val="single" w:sz="8" w:space="0" w:color="auto"/>
              <w:left w:val="nil"/>
              <w:bottom w:val="single" w:sz="8" w:space="0" w:color="auto"/>
              <w:right w:val="single" w:sz="4" w:space="0" w:color="auto"/>
            </w:tcBorders>
            <w:shd w:val="clear" w:color="000000" w:fill="F276AB"/>
            <w:hideMark/>
          </w:tcPr>
          <w:p w14:paraId="4A93A467"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708" w:type="dxa"/>
            <w:tcBorders>
              <w:top w:val="single" w:sz="8" w:space="0" w:color="auto"/>
              <w:left w:val="nil"/>
              <w:bottom w:val="single" w:sz="8" w:space="0" w:color="auto"/>
              <w:right w:val="single" w:sz="4" w:space="0" w:color="auto"/>
            </w:tcBorders>
            <w:shd w:val="clear" w:color="000000" w:fill="F276AB"/>
            <w:hideMark/>
          </w:tcPr>
          <w:p w14:paraId="1D16EFCE" w14:textId="108B492E"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331,251</w:t>
            </w:r>
          </w:p>
        </w:tc>
        <w:tc>
          <w:tcPr>
            <w:tcW w:w="567" w:type="dxa"/>
            <w:tcBorders>
              <w:top w:val="single" w:sz="8" w:space="0" w:color="auto"/>
              <w:left w:val="nil"/>
              <w:bottom w:val="single" w:sz="8" w:space="0" w:color="auto"/>
              <w:right w:val="single" w:sz="4" w:space="0" w:color="auto"/>
            </w:tcBorders>
            <w:shd w:val="clear" w:color="000000" w:fill="F276AB"/>
            <w:hideMark/>
          </w:tcPr>
          <w:p w14:paraId="13FA6EAE" w14:textId="23990563"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562,523</w:t>
            </w:r>
          </w:p>
        </w:tc>
        <w:tc>
          <w:tcPr>
            <w:tcW w:w="567" w:type="dxa"/>
            <w:tcBorders>
              <w:top w:val="single" w:sz="8" w:space="0" w:color="auto"/>
              <w:left w:val="nil"/>
              <w:bottom w:val="single" w:sz="8" w:space="0" w:color="auto"/>
              <w:right w:val="single" w:sz="4" w:space="0" w:color="auto"/>
            </w:tcBorders>
            <w:shd w:val="clear" w:color="000000" w:fill="F276AB"/>
            <w:hideMark/>
          </w:tcPr>
          <w:p w14:paraId="0974CF92" w14:textId="339A9815"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633,142</w:t>
            </w:r>
          </w:p>
        </w:tc>
        <w:tc>
          <w:tcPr>
            <w:tcW w:w="1134" w:type="dxa"/>
            <w:tcBorders>
              <w:top w:val="single" w:sz="8" w:space="0" w:color="auto"/>
              <w:left w:val="nil"/>
              <w:bottom w:val="single" w:sz="8" w:space="0" w:color="auto"/>
              <w:right w:val="single" w:sz="4" w:space="0" w:color="auto"/>
            </w:tcBorders>
            <w:shd w:val="clear" w:color="000000" w:fill="F276AB"/>
            <w:hideMark/>
          </w:tcPr>
          <w:p w14:paraId="614BDD04" w14:textId="5D92D193"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680,211</w:t>
            </w:r>
          </w:p>
        </w:tc>
        <w:tc>
          <w:tcPr>
            <w:tcW w:w="1615" w:type="dxa"/>
            <w:tcBorders>
              <w:top w:val="single" w:sz="8" w:space="0" w:color="auto"/>
              <w:left w:val="nil"/>
              <w:bottom w:val="single" w:sz="8" w:space="0" w:color="auto"/>
              <w:right w:val="single" w:sz="4" w:space="0" w:color="auto"/>
            </w:tcBorders>
            <w:shd w:val="clear" w:color="000000" w:fill="F276AB"/>
            <w:hideMark/>
          </w:tcPr>
          <w:p w14:paraId="366ADF82" w14:textId="73E28258"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733,312</w:t>
            </w:r>
          </w:p>
        </w:tc>
      </w:tr>
      <w:tr w:rsidR="00B807EE" w:rsidRPr="00024D5A" w14:paraId="5E609B60" w14:textId="77777777" w:rsidTr="002B321E">
        <w:trPr>
          <w:trHeight w:val="20"/>
        </w:trPr>
        <w:tc>
          <w:tcPr>
            <w:tcW w:w="4673" w:type="dxa"/>
            <w:tcBorders>
              <w:top w:val="single" w:sz="4" w:space="0" w:color="auto"/>
              <w:left w:val="single" w:sz="4" w:space="0" w:color="auto"/>
              <w:bottom w:val="single" w:sz="4" w:space="0" w:color="auto"/>
              <w:right w:val="nil"/>
            </w:tcBorders>
            <w:shd w:val="clear" w:color="000000" w:fill="FDE9D9"/>
            <w:hideMark/>
          </w:tcPr>
          <w:p w14:paraId="44E12B5F" w14:textId="6DA7DCDB"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Objektivi </w:t>
            </w:r>
            <w:r w:rsidR="00754C10" w:rsidRPr="00024D5A">
              <w:rPr>
                <w:rFonts w:ascii="Garamond" w:eastAsia="Times New Roman" w:hAnsi="Garamond"/>
                <w:b/>
                <w:bCs/>
                <w:sz w:val="6"/>
                <w:szCs w:val="16"/>
                <w:lang w:eastAsia="en-US"/>
              </w:rPr>
              <w:t xml:space="preserve">specifik </w:t>
            </w:r>
            <w:r w:rsidRPr="00024D5A">
              <w:rPr>
                <w:rFonts w:ascii="Garamond" w:eastAsia="Times New Roman" w:hAnsi="Garamond"/>
                <w:b/>
                <w:bCs/>
                <w:sz w:val="6"/>
                <w:szCs w:val="16"/>
                <w:lang w:eastAsia="en-US"/>
              </w:rPr>
              <w:t>1</w:t>
            </w:r>
            <w:r w:rsidR="003526AF">
              <w:rPr>
                <w:rFonts w:ascii="Garamond" w:eastAsia="Times New Roman" w:hAnsi="Garamond"/>
                <w:b/>
                <w:bCs/>
                <w:sz w:val="6"/>
                <w:szCs w:val="16"/>
                <w:lang w:eastAsia="en-US"/>
              </w:rPr>
              <w:t>:</w:t>
            </w:r>
            <w:r w:rsidR="00754C10" w:rsidRPr="00024D5A">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Zhvillimi dhe edukimi gjithëpërfshirës i fëmijëve me aftësi të kufizuara në fëmijërinë e hershme dhe arsimin parashkollor</w:t>
            </w:r>
            <w:r w:rsidR="00754C10"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duke investuar në infrastrukturë, shërbime mbështetëse dhe zhvillimin profesional të stafit të kopshteve.</w:t>
            </w:r>
          </w:p>
        </w:tc>
        <w:tc>
          <w:tcPr>
            <w:tcW w:w="567" w:type="dxa"/>
            <w:tcBorders>
              <w:top w:val="single" w:sz="4" w:space="0" w:color="auto"/>
              <w:left w:val="single" w:sz="4" w:space="0" w:color="auto"/>
              <w:bottom w:val="single" w:sz="4" w:space="0" w:color="auto"/>
              <w:right w:val="single" w:sz="4" w:space="0" w:color="auto"/>
            </w:tcBorders>
            <w:shd w:val="clear" w:color="000000" w:fill="FDE9D9"/>
            <w:hideMark/>
          </w:tcPr>
          <w:p w14:paraId="0D49C05E"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single" w:sz="4" w:space="0" w:color="auto"/>
              <w:left w:val="nil"/>
              <w:bottom w:val="single" w:sz="4" w:space="0" w:color="auto"/>
              <w:right w:val="single" w:sz="4" w:space="0" w:color="auto"/>
            </w:tcBorders>
            <w:shd w:val="clear" w:color="000000" w:fill="FDE9D9"/>
            <w:hideMark/>
          </w:tcPr>
          <w:p w14:paraId="61659C5B"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single" w:sz="4" w:space="0" w:color="auto"/>
              <w:left w:val="nil"/>
              <w:bottom w:val="single" w:sz="4" w:space="0" w:color="auto"/>
              <w:right w:val="single" w:sz="4" w:space="0" w:color="auto"/>
            </w:tcBorders>
            <w:shd w:val="clear" w:color="000000" w:fill="FDE9D9"/>
            <w:hideMark/>
          </w:tcPr>
          <w:p w14:paraId="122C3078" w14:textId="51E82252"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MPV/NJVV/ASCAP/AKAP/ZVA/DRAP/NJPV</w:t>
            </w:r>
          </w:p>
        </w:tc>
        <w:tc>
          <w:tcPr>
            <w:tcW w:w="1418" w:type="dxa"/>
            <w:tcBorders>
              <w:top w:val="single" w:sz="4" w:space="0" w:color="auto"/>
              <w:left w:val="nil"/>
              <w:bottom w:val="single" w:sz="4" w:space="0" w:color="auto"/>
              <w:right w:val="single" w:sz="8" w:space="0" w:color="auto"/>
            </w:tcBorders>
            <w:shd w:val="clear" w:color="000000" w:fill="FDE9D9"/>
            <w:hideMark/>
          </w:tcPr>
          <w:p w14:paraId="444C242A" w14:textId="711D2D6A"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NJVV</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DRAP</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ZVAP</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DRSHKSH</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INSTITUCIONE ARSIMORE/BASHKI/AKAP/DRAP/ZVA</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ASCAP</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MSHMS</w:t>
            </w:r>
          </w:p>
        </w:tc>
        <w:tc>
          <w:tcPr>
            <w:tcW w:w="708" w:type="dxa"/>
            <w:tcBorders>
              <w:top w:val="single" w:sz="4" w:space="0" w:color="auto"/>
              <w:left w:val="single" w:sz="4" w:space="0" w:color="auto"/>
              <w:bottom w:val="single" w:sz="4" w:space="0" w:color="auto"/>
              <w:right w:val="single" w:sz="4" w:space="0" w:color="auto"/>
            </w:tcBorders>
            <w:shd w:val="clear" w:color="000000" w:fill="FDE9D9"/>
            <w:noWrap/>
            <w:hideMark/>
          </w:tcPr>
          <w:p w14:paraId="38143E6B" w14:textId="072D9DEA"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60,325</w:t>
            </w:r>
          </w:p>
        </w:tc>
        <w:tc>
          <w:tcPr>
            <w:tcW w:w="567" w:type="dxa"/>
            <w:tcBorders>
              <w:top w:val="single" w:sz="4" w:space="0" w:color="auto"/>
              <w:left w:val="nil"/>
              <w:bottom w:val="single" w:sz="4" w:space="0" w:color="auto"/>
              <w:right w:val="single" w:sz="4" w:space="0" w:color="auto"/>
            </w:tcBorders>
            <w:shd w:val="clear" w:color="000000" w:fill="FDE9D9"/>
            <w:noWrap/>
            <w:hideMark/>
          </w:tcPr>
          <w:p w14:paraId="7BAB5C92" w14:textId="046D89AE"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91,518</w:t>
            </w:r>
          </w:p>
        </w:tc>
        <w:tc>
          <w:tcPr>
            <w:tcW w:w="567" w:type="dxa"/>
            <w:tcBorders>
              <w:top w:val="single" w:sz="4" w:space="0" w:color="auto"/>
              <w:left w:val="nil"/>
              <w:bottom w:val="single" w:sz="4" w:space="0" w:color="auto"/>
              <w:right w:val="single" w:sz="4" w:space="0" w:color="auto"/>
            </w:tcBorders>
            <w:shd w:val="clear" w:color="000000" w:fill="FDE9D9"/>
            <w:noWrap/>
            <w:hideMark/>
          </w:tcPr>
          <w:p w14:paraId="780B34BD" w14:textId="4A47DF48"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90,150</w:t>
            </w:r>
          </w:p>
        </w:tc>
        <w:tc>
          <w:tcPr>
            <w:tcW w:w="1134" w:type="dxa"/>
            <w:tcBorders>
              <w:top w:val="single" w:sz="4" w:space="0" w:color="auto"/>
              <w:left w:val="nil"/>
              <w:bottom w:val="single" w:sz="4" w:space="0" w:color="auto"/>
              <w:right w:val="single" w:sz="4" w:space="0" w:color="auto"/>
            </w:tcBorders>
            <w:shd w:val="clear" w:color="000000" w:fill="FDE9D9"/>
            <w:noWrap/>
            <w:hideMark/>
          </w:tcPr>
          <w:p w14:paraId="60F31F7C" w14:textId="35B67136"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90,150</w:t>
            </w:r>
          </w:p>
        </w:tc>
        <w:tc>
          <w:tcPr>
            <w:tcW w:w="1615" w:type="dxa"/>
            <w:tcBorders>
              <w:top w:val="single" w:sz="4" w:space="0" w:color="auto"/>
              <w:left w:val="nil"/>
              <w:bottom w:val="single" w:sz="4" w:space="0" w:color="auto"/>
              <w:right w:val="single" w:sz="4" w:space="0" w:color="auto"/>
            </w:tcBorders>
            <w:shd w:val="clear" w:color="000000" w:fill="FDE9D9"/>
            <w:noWrap/>
            <w:hideMark/>
          </w:tcPr>
          <w:p w14:paraId="6A0BB661" w14:textId="36548C68"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90,150</w:t>
            </w:r>
          </w:p>
        </w:tc>
      </w:tr>
      <w:tr w:rsidR="00B807EE" w:rsidRPr="00024D5A" w14:paraId="50A2F59A"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DCE6F1"/>
            <w:hideMark/>
          </w:tcPr>
          <w:p w14:paraId="3B35A08B" w14:textId="0626DC84"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Masa Prioritare 1.1</w:t>
            </w:r>
            <w:r w:rsidR="003526AF">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Përmirësimi i kuadrit të politikave dhe qeverisjes për të garantuar akses të barabartë në edukimin e hershëm për fëmijët me aftësi të kufizuara</w:t>
            </w:r>
            <w:r w:rsidR="00754C10" w:rsidRPr="00024D5A">
              <w:rPr>
                <w:rFonts w:ascii="Garamond" w:eastAsia="Times New Roman" w:hAnsi="Garamond"/>
                <w:b/>
                <w:bCs/>
                <w:sz w:val="6"/>
                <w:szCs w:val="16"/>
                <w:lang w:eastAsia="en-US"/>
              </w:rPr>
              <w:t>.</w:t>
            </w:r>
          </w:p>
        </w:tc>
        <w:tc>
          <w:tcPr>
            <w:tcW w:w="567" w:type="dxa"/>
            <w:tcBorders>
              <w:top w:val="nil"/>
              <w:left w:val="nil"/>
              <w:bottom w:val="single" w:sz="4" w:space="0" w:color="auto"/>
              <w:right w:val="single" w:sz="4" w:space="0" w:color="auto"/>
            </w:tcBorders>
            <w:shd w:val="clear" w:color="000000" w:fill="DCE6F1"/>
            <w:hideMark/>
          </w:tcPr>
          <w:p w14:paraId="135CD934"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shd w:val="clear" w:color="000000" w:fill="DCE6F1"/>
            <w:hideMark/>
          </w:tcPr>
          <w:p w14:paraId="6C05582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1134" w:type="dxa"/>
            <w:tcBorders>
              <w:top w:val="nil"/>
              <w:left w:val="nil"/>
              <w:bottom w:val="single" w:sz="4" w:space="0" w:color="auto"/>
              <w:right w:val="single" w:sz="4" w:space="0" w:color="auto"/>
            </w:tcBorders>
            <w:shd w:val="clear" w:color="000000" w:fill="DCE6F1"/>
            <w:hideMark/>
          </w:tcPr>
          <w:p w14:paraId="2414068C"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MA, MPV, NJVV </w:t>
            </w:r>
          </w:p>
        </w:tc>
        <w:tc>
          <w:tcPr>
            <w:tcW w:w="1418" w:type="dxa"/>
            <w:tcBorders>
              <w:top w:val="nil"/>
              <w:left w:val="nil"/>
              <w:bottom w:val="single" w:sz="4" w:space="0" w:color="auto"/>
              <w:right w:val="single" w:sz="8" w:space="0" w:color="auto"/>
            </w:tcBorders>
            <w:shd w:val="clear" w:color="000000" w:fill="DCE6F1"/>
            <w:hideMark/>
          </w:tcPr>
          <w:p w14:paraId="2F4BE0AF"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NJVV, DRAP, ZVAP, DRSHKSH, MSHMS, </w:t>
            </w:r>
          </w:p>
        </w:tc>
        <w:tc>
          <w:tcPr>
            <w:tcW w:w="708" w:type="dxa"/>
            <w:tcBorders>
              <w:top w:val="nil"/>
              <w:left w:val="single" w:sz="4" w:space="0" w:color="auto"/>
              <w:bottom w:val="single" w:sz="4" w:space="0" w:color="auto"/>
              <w:right w:val="single" w:sz="4" w:space="0" w:color="auto"/>
            </w:tcBorders>
            <w:shd w:val="clear" w:color="000000" w:fill="DCE6F1"/>
            <w:hideMark/>
          </w:tcPr>
          <w:p w14:paraId="0CF7596B" w14:textId="331E768A"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175</w:t>
            </w:r>
          </w:p>
        </w:tc>
        <w:tc>
          <w:tcPr>
            <w:tcW w:w="567" w:type="dxa"/>
            <w:tcBorders>
              <w:top w:val="nil"/>
              <w:left w:val="nil"/>
              <w:bottom w:val="single" w:sz="4" w:space="0" w:color="auto"/>
              <w:right w:val="single" w:sz="4" w:space="0" w:color="auto"/>
            </w:tcBorders>
            <w:shd w:val="clear" w:color="000000" w:fill="DCE6F1"/>
            <w:hideMark/>
          </w:tcPr>
          <w:p w14:paraId="082E080F" w14:textId="1A9B1152"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868</w:t>
            </w:r>
          </w:p>
        </w:tc>
        <w:tc>
          <w:tcPr>
            <w:tcW w:w="567" w:type="dxa"/>
            <w:tcBorders>
              <w:top w:val="nil"/>
              <w:left w:val="nil"/>
              <w:bottom w:val="single" w:sz="4" w:space="0" w:color="auto"/>
              <w:right w:val="single" w:sz="4" w:space="0" w:color="auto"/>
            </w:tcBorders>
            <w:shd w:val="clear" w:color="000000" w:fill="DCE6F1"/>
            <w:hideMark/>
          </w:tcPr>
          <w:p w14:paraId="68F7E50A" w14:textId="39CF244E"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w:t>
            </w:r>
          </w:p>
        </w:tc>
        <w:tc>
          <w:tcPr>
            <w:tcW w:w="1134" w:type="dxa"/>
            <w:tcBorders>
              <w:top w:val="nil"/>
              <w:left w:val="nil"/>
              <w:bottom w:val="single" w:sz="4" w:space="0" w:color="auto"/>
              <w:right w:val="single" w:sz="4" w:space="0" w:color="auto"/>
            </w:tcBorders>
            <w:shd w:val="clear" w:color="000000" w:fill="DCE6F1"/>
            <w:hideMark/>
          </w:tcPr>
          <w:p w14:paraId="091A9650" w14:textId="40F0E137"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w:t>
            </w:r>
          </w:p>
        </w:tc>
        <w:tc>
          <w:tcPr>
            <w:tcW w:w="1615" w:type="dxa"/>
            <w:tcBorders>
              <w:top w:val="nil"/>
              <w:left w:val="nil"/>
              <w:bottom w:val="single" w:sz="4" w:space="0" w:color="auto"/>
              <w:right w:val="single" w:sz="4" w:space="0" w:color="auto"/>
            </w:tcBorders>
            <w:shd w:val="clear" w:color="000000" w:fill="DCE6F1"/>
            <w:hideMark/>
          </w:tcPr>
          <w:p w14:paraId="5C054132" w14:textId="44B9D6C1"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w:t>
            </w:r>
          </w:p>
        </w:tc>
      </w:tr>
      <w:tr w:rsidR="00B807EE" w:rsidRPr="00024D5A" w14:paraId="3785CA1C"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16B4F801" w14:textId="7251C239"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1.1.1 Rishikimi dhe përditësimi i politikave, akteve nënligjore dhe udhëzimeve për edukimin e hershëm gjithëpërfshirës për fëmijët me aftësi të kufizuara.</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Realizimi i një vlerësimi të politikave, akteve nënligjore dhe udhëzimeve në fushën e arsimit, shëndetësisë dhe shërbimeve shoqërore, identifikimi i mangësive dhe ofrimi i rekomandimeve për ndërhyrje (</w:t>
            </w:r>
            <w:r w:rsidR="00754C10" w:rsidRPr="00024D5A">
              <w:rPr>
                <w:rFonts w:ascii="Garamond" w:eastAsia="Times New Roman" w:hAnsi="Garamond"/>
                <w:sz w:val="6"/>
                <w:szCs w:val="16"/>
                <w:lang w:eastAsia="en-US"/>
              </w:rPr>
              <w:t>ref.</w:t>
            </w:r>
            <w:r w:rsidRPr="00024D5A">
              <w:rPr>
                <w:rFonts w:ascii="Garamond" w:eastAsia="Times New Roman" w:hAnsi="Garamond"/>
                <w:sz w:val="6"/>
                <w:szCs w:val="16"/>
                <w:lang w:eastAsia="en-US"/>
              </w:rPr>
              <w:t xml:space="preserve"> SKA 2021-2026, A.1.1.2)</w:t>
            </w:r>
            <w:r w:rsidR="00754C10"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379AF6C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4EFA4E3E"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1134" w:type="dxa"/>
            <w:tcBorders>
              <w:top w:val="nil"/>
              <w:left w:val="nil"/>
              <w:bottom w:val="single" w:sz="4" w:space="0" w:color="auto"/>
              <w:right w:val="single" w:sz="4" w:space="0" w:color="auto"/>
            </w:tcBorders>
            <w:hideMark/>
          </w:tcPr>
          <w:p w14:paraId="73987677" w14:textId="333CB71E"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MA,</w:t>
            </w:r>
            <w:r w:rsidRPr="00024D5A">
              <w:rPr>
                <w:rFonts w:ascii="Garamond" w:eastAsia="Times New Roman" w:hAnsi="Garamond"/>
                <w:b/>
                <w:bCs/>
                <w:sz w:val="6"/>
                <w:szCs w:val="16"/>
                <w:lang w:eastAsia="en-US"/>
              </w:rPr>
              <w:t xml:space="preserve"> </w:t>
            </w:r>
            <w:r w:rsidRPr="00024D5A">
              <w:rPr>
                <w:rFonts w:ascii="Garamond" w:eastAsia="Times New Roman" w:hAnsi="Garamond"/>
                <w:sz w:val="6"/>
                <w:szCs w:val="16"/>
                <w:lang w:eastAsia="en-US"/>
              </w:rPr>
              <w:t>MPV, NJVV</w:t>
            </w:r>
            <w:r w:rsidR="00B47620" w:rsidRPr="00024D5A">
              <w:rPr>
                <w:rFonts w:ascii="Garamond" w:eastAsia="Times New Roman" w:hAnsi="Garamond"/>
                <w:sz w:val="6"/>
                <w:szCs w:val="16"/>
                <w:lang w:eastAsia="en-US"/>
              </w:rPr>
              <w:t>,</w:t>
            </w:r>
            <w:r w:rsidR="005A46ED">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 xml:space="preserve">MSHMS </w:t>
            </w:r>
          </w:p>
        </w:tc>
        <w:tc>
          <w:tcPr>
            <w:tcW w:w="1418" w:type="dxa"/>
            <w:tcBorders>
              <w:top w:val="nil"/>
              <w:left w:val="nil"/>
              <w:bottom w:val="single" w:sz="4" w:space="0" w:color="auto"/>
              <w:right w:val="single" w:sz="8" w:space="0" w:color="auto"/>
            </w:tcBorders>
            <w:hideMark/>
          </w:tcPr>
          <w:p w14:paraId="3B059A2F" w14:textId="52160EA5"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NJVV, DRAP, ZVAP, DROSHKSH, MPV,</w:t>
            </w:r>
          </w:p>
        </w:tc>
        <w:tc>
          <w:tcPr>
            <w:tcW w:w="708" w:type="dxa"/>
            <w:tcBorders>
              <w:top w:val="nil"/>
              <w:left w:val="single" w:sz="4" w:space="0" w:color="auto"/>
              <w:bottom w:val="single" w:sz="4" w:space="0" w:color="auto"/>
              <w:right w:val="single" w:sz="4" w:space="0" w:color="auto"/>
            </w:tcBorders>
            <w:hideMark/>
          </w:tcPr>
          <w:p w14:paraId="60F8C694" w14:textId="013225E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175</w:t>
            </w:r>
          </w:p>
        </w:tc>
        <w:tc>
          <w:tcPr>
            <w:tcW w:w="567" w:type="dxa"/>
            <w:tcBorders>
              <w:top w:val="nil"/>
              <w:left w:val="nil"/>
              <w:bottom w:val="single" w:sz="4" w:space="0" w:color="auto"/>
              <w:right w:val="single" w:sz="4" w:space="0" w:color="auto"/>
            </w:tcBorders>
            <w:hideMark/>
          </w:tcPr>
          <w:p w14:paraId="42E6FCDF" w14:textId="28496DC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637</w:t>
            </w:r>
          </w:p>
        </w:tc>
        <w:tc>
          <w:tcPr>
            <w:tcW w:w="567" w:type="dxa"/>
            <w:tcBorders>
              <w:top w:val="nil"/>
              <w:left w:val="nil"/>
              <w:bottom w:val="single" w:sz="4" w:space="0" w:color="auto"/>
              <w:right w:val="single" w:sz="4" w:space="0" w:color="auto"/>
            </w:tcBorders>
            <w:hideMark/>
          </w:tcPr>
          <w:p w14:paraId="327FE070" w14:textId="7FEB2DF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6ED1F1F7" w14:textId="68FADE3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073C834D" w14:textId="307AFB7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11D58B44"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22A7634C" w14:textId="760D1C1D"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1.1.2 Fuqizimi i mekanizmave ndërinstitucionalë të bashkëpunimit ndërmjet sektorëve të arsimit, shëndetësisë dhe mbrojtjes sociale, </w:t>
            </w:r>
            <w:r w:rsidR="00754C10" w:rsidRPr="00024D5A">
              <w:rPr>
                <w:rFonts w:ascii="Garamond" w:eastAsia="Times New Roman" w:hAnsi="Garamond"/>
                <w:sz w:val="6"/>
                <w:szCs w:val="16"/>
                <w:lang w:eastAsia="en-US"/>
              </w:rPr>
              <w:t>përmes</w:t>
            </w:r>
            <w:r w:rsidRPr="00024D5A">
              <w:rPr>
                <w:rFonts w:ascii="Garamond" w:eastAsia="Times New Roman" w:hAnsi="Garamond"/>
                <w:sz w:val="6"/>
                <w:szCs w:val="16"/>
                <w:lang w:eastAsia="en-US"/>
              </w:rPr>
              <w:t xml:space="preserve"> hartimit dhe zbatimit të një udhëzuesi të përbashkët për identifikimin, referimin, regjistrimin dhe mbështetjen e zhvillimit dhe edukimit të </w:t>
            </w:r>
            <w:r w:rsidR="00754C10" w:rsidRPr="00024D5A">
              <w:rPr>
                <w:rFonts w:ascii="Garamond" w:eastAsia="Times New Roman" w:hAnsi="Garamond"/>
                <w:sz w:val="6"/>
                <w:szCs w:val="16"/>
                <w:lang w:eastAsia="en-US"/>
              </w:rPr>
              <w:t>fëmijëve</w:t>
            </w:r>
            <w:r w:rsidRPr="00024D5A">
              <w:rPr>
                <w:rFonts w:ascii="Garamond" w:eastAsia="Times New Roman" w:hAnsi="Garamond"/>
                <w:sz w:val="6"/>
                <w:szCs w:val="16"/>
                <w:lang w:eastAsia="en-US"/>
              </w:rPr>
              <w:t xml:space="preserve"> me aftësi të kufizuara në kopshte e klasat përgatitore</w:t>
            </w:r>
            <w:r w:rsidR="00754C10"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w:t>
            </w:r>
            <w:r w:rsidR="00754C10" w:rsidRPr="00024D5A">
              <w:rPr>
                <w:rFonts w:ascii="Garamond" w:eastAsia="Times New Roman" w:hAnsi="Garamond"/>
                <w:sz w:val="6"/>
                <w:szCs w:val="16"/>
                <w:lang w:eastAsia="en-US"/>
              </w:rPr>
              <w:t xml:space="preserve">ref. </w:t>
            </w:r>
            <w:r w:rsidRPr="00024D5A">
              <w:rPr>
                <w:rFonts w:ascii="Garamond" w:eastAsia="Times New Roman" w:hAnsi="Garamond"/>
                <w:sz w:val="6"/>
                <w:szCs w:val="16"/>
                <w:lang w:eastAsia="en-US"/>
              </w:rPr>
              <w:t>SKA 2021-2026, A.1.1.2)</w:t>
            </w:r>
            <w:r w:rsidR="00754C10"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0A992D42"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3169FDDE"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1134" w:type="dxa"/>
            <w:tcBorders>
              <w:top w:val="nil"/>
              <w:left w:val="nil"/>
              <w:bottom w:val="single" w:sz="4" w:space="0" w:color="auto"/>
              <w:right w:val="single" w:sz="4" w:space="0" w:color="auto"/>
            </w:tcBorders>
            <w:hideMark/>
          </w:tcPr>
          <w:p w14:paraId="4A3CECAA"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MA, MPV, NJVV,MSHMS,</w:t>
            </w:r>
          </w:p>
        </w:tc>
        <w:tc>
          <w:tcPr>
            <w:tcW w:w="1418" w:type="dxa"/>
            <w:tcBorders>
              <w:top w:val="nil"/>
              <w:left w:val="nil"/>
              <w:bottom w:val="single" w:sz="4" w:space="0" w:color="auto"/>
              <w:right w:val="single" w:sz="8" w:space="0" w:color="auto"/>
            </w:tcBorders>
            <w:hideMark/>
          </w:tcPr>
          <w:p w14:paraId="1E500662"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 MPV, NJVV</w:t>
            </w:r>
          </w:p>
        </w:tc>
        <w:tc>
          <w:tcPr>
            <w:tcW w:w="708" w:type="dxa"/>
            <w:tcBorders>
              <w:top w:val="nil"/>
              <w:left w:val="single" w:sz="4" w:space="0" w:color="auto"/>
              <w:bottom w:val="single" w:sz="4" w:space="0" w:color="auto"/>
              <w:right w:val="single" w:sz="4" w:space="0" w:color="auto"/>
            </w:tcBorders>
            <w:hideMark/>
          </w:tcPr>
          <w:p w14:paraId="7F11A228" w14:textId="3C2014F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6286E073" w14:textId="08E654B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231</w:t>
            </w:r>
          </w:p>
        </w:tc>
        <w:tc>
          <w:tcPr>
            <w:tcW w:w="567" w:type="dxa"/>
            <w:tcBorders>
              <w:top w:val="nil"/>
              <w:left w:val="nil"/>
              <w:bottom w:val="single" w:sz="4" w:space="0" w:color="auto"/>
              <w:right w:val="single" w:sz="4" w:space="0" w:color="auto"/>
            </w:tcBorders>
            <w:hideMark/>
          </w:tcPr>
          <w:p w14:paraId="6B5D88A5" w14:textId="78F41B1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7E501F38" w14:textId="1DE32E1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62CA9C28" w14:textId="5F1B58A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57924B45"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484C7649"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1.1.3 Hartimi i raportit vjetor mbi ecurinë e nxënësve me AK, për vitin shkollor përkatës.</w:t>
            </w:r>
          </w:p>
        </w:tc>
        <w:tc>
          <w:tcPr>
            <w:tcW w:w="567" w:type="dxa"/>
            <w:tcBorders>
              <w:top w:val="nil"/>
              <w:left w:val="nil"/>
              <w:bottom w:val="single" w:sz="4" w:space="0" w:color="auto"/>
              <w:right w:val="single" w:sz="4" w:space="0" w:color="auto"/>
            </w:tcBorders>
            <w:hideMark/>
          </w:tcPr>
          <w:p w14:paraId="3862AC68"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3C7CDC1C"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1D14FF35"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NJVV, AKAP</w:t>
            </w:r>
          </w:p>
        </w:tc>
        <w:tc>
          <w:tcPr>
            <w:tcW w:w="1418" w:type="dxa"/>
            <w:tcBorders>
              <w:top w:val="nil"/>
              <w:left w:val="nil"/>
              <w:bottom w:val="single" w:sz="4" w:space="0" w:color="auto"/>
              <w:right w:val="single" w:sz="8" w:space="0" w:color="auto"/>
            </w:tcBorders>
            <w:hideMark/>
          </w:tcPr>
          <w:p w14:paraId="498F5059"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MPV, MA</w:t>
            </w:r>
          </w:p>
        </w:tc>
        <w:tc>
          <w:tcPr>
            <w:tcW w:w="708" w:type="dxa"/>
            <w:tcBorders>
              <w:top w:val="nil"/>
              <w:left w:val="single" w:sz="4" w:space="0" w:color="auto"/>
              <w:bottom w:val="single" w:sz="4" w:space="0" w:color="auto"/>
              <w:right w:val="single" w:sz="4" w:space="0" w:color="auto"/>
            </w:tcBorders>
            <w:hideMark/>
          </w:tcPr>
          <w:p w14:paraId="1A0A33BC" w14:textId="37243397" w:rsidR="00700D7D" w:rsidRPr="00024D5A" w:rsidRDefault="00700D7D" w:rsidP="00180DF3">
            <w:pPr>
              <w:jc w:val="center"/>
              <w:rPr>
                <w:rFonts w:ascii="Garamond" w:eastAsia="Times New Roman" w:hAnsi="Garamond"/>
                <w:i/>
                <w:iCs/>
                <w:sz w:val="6"/>
                <w:szCs w:val="16"/>
                <w:lang w:eastAsia="en-US"/>
              </w:rPr>
            </w:pPr>
          </w:p>
        </w:tc>
        <w:tc>
          <w:tcPr>
            <w:tcW w:w="567" w:type="dxa"/>
            <w:tcBorders>
              <w:top w:val="nil"/>
              <w:left w:val="nil"/>
              <w:bottom w:val="single" w:sz="4" w:space="0" w:color="auto"/>
              <w:right w:val="single" w:sz="4" w:space="0" w:color="auto"/>
            </w:tcBorders>
            <w:hideMark/>
          </w:tcPr>
          <w:p w14:paraId="146F7F21" w14:textId="4D341B9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146CC193" w14:textId="631377DA" w:rsidR="00700D7D" w:rsidRPr="00024D5A" w:rsidRDefault="00700D7D" w:rsidP="00180DF3">
            <w:pPr>
              <w:jc w:val="center"/>
              <w:rPr>
                <w:rFonts w:ascii="Garamond" w:eastAsia="Times New Roman" w:hAnsi="Garamond"/>
                <w:i/>
                <w:iCs/>
                <w:sz w:val="6"/>
                <w:szCs w:val="16"/>
                <w:lang w:eastAsia="en-US"/>
              </w:rPr>
            </w:pPr>
          </w:p>
        </w:tc>
        <w:tc>
          <w:tcPr>
            <w:tcW w:w="1134" w:type="dxa"/>
            <w:tcBorders>
              <w:top w:val="nil"/>
              <w:left w:val="nil"/>
              <w:bottom w:val="single" w:sz="4" w:space="0" w:color="auto"/>
              <w:right w:val="single" w:sz="4" w:space="0" w:color="auto"/>
            </w:tcBorders>
            <w:hideMark/>
          </w:tcPr>
          <w:p w14:paraId="2B4ADACD" w14:textId="7CE9CAAC" w:rsidR="00700D7D" w:rsidRPr="00024D5A" w:rsidRDefault="00700D7D" w:rsidP="00180DF3">
            <w:pPr>
              <w:jc w:val="center"/>
              <w:rPr>
                <w:rFonts w:ascii="Garamond" w:eastAsia="Times New Roman" w:hAnsi="Garamond"/>
                <w:i/>
                <w:iCs/>
                <w:sz w:val="6"/>
                <w:szCs w:val="16"/>
                <w:lang w:eastAsia="en-US"/>
              </w:rPr>
            </w:pPr>
          </w:p>
        </w:tc>
        <w:tc>
          <w:tcPr>
            <w:tcW w:w="1615" w:type="dxa"/>
            <w:tcBorders>
              <w:top w:val="nil"/>
              <w:left w:val="nil"/>
              <w:bottom w:val="single" w:sz="4" w:space="0" w:color="auto"/>
              <w:right w:val="single" w:sz="4" w:space="0" w:color="auto"/>
            </w:tcBorders>
            <w:hideMark/>
          </w:tcPr>
          <w:p w14:paraId="71B8BF5D" w14:textId="30111894" w:rsidR="00700D7D" w:rsidRPr="00024D5A" w:rsidRDefault="00700D7D" w:rsidP="00180DF3">
            <w:pPr>
              <w:jc w:val="center"/>
              <w:rPr>
                <w:rFonts w:ascii="Garamond" w:eastAsia="Times New Roman" w:hAnsi="Garamond"/>
                <w:i/>
                <w:iCs/>
                <w:sz w:val="6"/>
                <w:szCs w:val="16"/>
                <w:lang w:eastAsia="en-US"/>
              </w:rPr>
            </w:pPr>
          </w:p>
        </w:tc>
      </w:tr>
      <w:tr w:rsidR="00B807EE" w:rsidRPr="00024D5A" w14:paraId="05178D64"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B8CCE4"/>
            <w:noWrap/>
            <w:hideMark/>
          </w:tcPr>
          <w:p w14:paraId="225E72E8" w14:textId="16510BEF"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Masa </w:t>
            </w:r>
            <w:r w:rsidR="004C76F0" w:rsidRPr="00024D5A">
              <w:rPr>
                <w:rFonts w:ascii="Garamond" w:eastAsia="Times New Roman" w:hAnsi="Garamond"/>
                <w:b/>
                <w:bCs/>
                <w:sz w:val="6"/>
                <w:szCs w:val="16"/>
                <w:lang w:eastAsia="en-US"/>
              </w:rPr>
              <w:t xml:space="preserve">prioritare </w:t>
            </w:r>
            <w:r w:rsidRPr="00024D5A">
              <w:rPr>
                <w:rFonts w:ascii="Garamond" w:eastAsia="Times New Roman" w:hAnsi="Garamond"/>
                <w:b/>
                <w:bCs/>
                <w:sz w:val="6"/>
                <w:szCs w:val="16"/>
                <w:lang w:eastAsia="en-US"/>
              </w:rPr>
              <w:t>1.2: Krijimi i infrastrukturës dhe mjediseve të aksesueshme, të sigurta, miqësore dhe gjithëpërfshirëse për fëmijët me aftësi të kufizuara në kopshte dhe arsim parashkollor.</w:t>
            </w:r>
          </w:p>
        </w:tc>
        <w:tc>
          <w:tcPr>
            <w:tcW w:w="567" w:type="dxa"/>
            <w:tcBorders>
              <w:top w:val="nil"/>
              <w:left w:val="nil"/>
              <w:bottom w:val="single" w:sz="4" w:space="0" w:color="auto"/>
              <w:right w:val="single" w:sz="4" w:space="0" w:color="auto"/>
            </w:tcBorders>
            <w:shd w:val="clear" w:color="000000" w:fill="B8CCE4"/>
            <w:hideMark/>
          </w:tcPr>
          <w:p w14:paraId="1C6AE3C8"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single" w:sz="4" w:space="0" w:color="auto"/>
            </w:tcBorders>
            <w:shd w:val="clear" w:color="000000" w:fill="B8CCE4"/>
            <w:hideMark/>
          </w:tcPr>
          <w:p w14:paraId="4BB13DA8"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shd w:val="clear" w:color="000000" w:fill="B8CCE4"/>
            <w:hideMark/>
          </w:tcPr>
          <w:p w14:paraId="6997333D" w14:textId="0889A505"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MA</w:t>
            </w:r>
            <w:r w:rsidR="007675EC" w:rsidRPr="00024D5A">
              <w:rPr>
                <w:rFonts w:ascii="Garamond" w:eastAsia="Times New Roman" w:hAnsi="Garamond"/>
                <w:b/>
                <w:bCs/>
                <w:i/>
                <w:iCs/>
                <w:sz w:val="6"/>
                <w:szCs w:val="16"/>
                <w:lang w:eastAsia="en-US"/>
              </w:rPr>
              <w:t>/</w:t>
            </w:r>
            <w:r w:rsidRPr="00024D5A">
              <w:rPr>
                <w:rFonts w:ascii="Garamond" w:eastAsia="Times New Roman" w:hAnsi="Garamond"/>
                <w:b/>
                <w:bCs/>
                <w:i/>
                <w:iCs/>
                <w:sz w:val="6"/>
                <w:szCs w:val="16"/>
                <w:lang w:eastAsia="en-US"/>
              </w:rPr>
              <w:t>MSHPV</w:t>
            </w:r>
            <w:r w:rsidR="007675EC" w:rsidRPr="00024D5A">
              <w:rPr>
                <w:rFonts w:ascii="Garamond" w:eastAsia="Times New Roman" w:hAnsi="Garamond"/>
                <w:b/>
                <w:bCs/>
                <w:i/>
                <w:iCs/>
                <w:sz w:val="6"/>
                <w:szCs w:val="16"/>
                <w:lang w:eastAsia="en-US"/>
              </w:rPr>
              <w:t>/</w:t>
            </w:r>
            <w:r w:rsidRPr="00024D5A">
              <w:rPr>
                <w:rFonts w:ascii="Garamond" w:eastAsia="Times New Roman" w:hAnsi="Garamond"/>
                <w:b/>
                <w:bCs/>
                <w:i/>
                <w:iCs/>
                <w:sz w:val="6"/>
                <w:szCs w:val="16"/>
                <w:lang w:eastAsia="en-US"/>
              </w:rPr>
              <w:t>AKAP/DRAP/ZVAP/NJVV</w:t>
            </w:r>
          </w:p>
        </w:tc>
        <w:tc>
          <w:tcPr>
            <w:tcW w:w="1418" w:type="dxa"/>
            <w:tcBorders>
              <w:top w:val="nil"/>
              <w:left w:val="nil"/>
              <w:bottom w:val="single" w:sz="4" w:space="0" w:color="auto"/>
              <w:right w:val="single" w:sz="8" w:space="0" w:color="auto"/>
            </w:tcBorders>
            <w:shd w:val="clear" w:color="000000" w:fill="B8CCE4"/>
            <w:hideMark/>
          </w:tcPr>
          <w:p w14:paraId="6895A9DD"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NJVV/INSTITUCIONE ARSIMORE/KOPSHTE/BASHKI</w:t>
            </w:r>
          </w:p>
        </w:tc>
        <w:tc>
          <w:tcPr>
            <w:tcW w:w="708" w:type="dxa"/>
            <w:tcBorders>
              <w:top w:val="nil"/>
              <w:left w:val="single" w:sz="4" w:space="0" w:color="auto"/>
              <w:bottom w:val="single" w:sz="4" w:space="0" w:color="auto"/>
              <w:right w:val="single" w:sz="4" w:space="0" w:color="auto"/>
            </w:tcBorders>
            <w:shd w:val="clear" w:color="000000" w:fill="B8CCE4"/>
            <w:hideMark/>
          </w:tcPr>
          <w:p w14:paraId="50A2630B" w14:textId="6C848091"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59,400</w:t>
            </w:r>
          </w:p>
        </w:tc>
        <w:tc>
          <w:tcPr>
            <w:tcW w:w="567" w:type="dxa"/>
            <w:tcBorders>
              <w:top w:val="nil"/>
              <w:left w:val="nil"/>
              <w:bottom w:val="single" w:sz="4" w:space="0" w:color="auto"/>
              <w:right w:val="single" w:sz="4" w:space="0" w:color="auto"/>
            </w:tcBorders>
            <w:shd w:val="clear" w:color="000000" w:fill="B8CCE4"/>
            <w:hideMark/>
          </w:tcPr>
          <w:p w14:paraId="00BE7C16" w14:textId="22A07621"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59,400</w:t>
            </w:r>
          </w:p>
        </w:tc>
        <w:tc>
          <w:tcPr>
            <w:tcW w:w="567" w:type="dxa"/>
            <w:tcBorders>
              <w:top w:val="nil"/>
              <w:left w:val="nil"/>
              <w:bottom w:val="single" w:sz="4" w:space="0" w:color="auto"/>
              <w:right w:val="single" w:sz="4" w:space="0" w:color="auto"/>
            </w:tcBorders>
            <w:shd w:val="clear" w:color="000000" w:fill="B8CCE4"/>
            <w:hideMark/>
          </w:tcPr>
          <w:p w14:paraId="26AAF85D" w14:textId="41D80A1E"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59,400</w:t>
            </w:r>
          </w:p>
        </w:tc>
        <w:tc>
          <w:tcPr>
            <w:tcW w:w="1134" w:type="dxa"/>
            <w:tcBorders>
              <w:top w:val="nil"/>
              <w:left w:val="nil"/>
              <w:bottom w:val="single" w:sz="4" w:space="0" w:color="auto"/>
              <w:right w:val="single" w:sz="4" w:space="0" w:color="auto"/>
            </w:tcBorders>
            <w:shd w:val="clear" w:color="000000" w:fill="B8CCE4"/>
            <w:hideMark/>
          </w:tcPr>
          <w:p w14:paraId="0806CD40" w14:textId="28F5BF6A"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59,400</w:t>
            </w:r>
          </w:p>
        </w:tc>
        <w:tc>
          <w:tcPr>
            <w:tcW w:w="1615" w:type="dxa"/>
            <w:tcBorders>
              <w:top w:val="nil"/>
              <w:left w:val="nil"/>
              <w:bottom w:val="single" w:sz="4" w:space="0" w:color="auto"/>
              <w:right w:val="single" w:sz="4" w:space="0" w:color="auto"/>
            </w:tcBorders>
            <w:shd w:val="clear" w:color="000000" w:fill="B8CCE4"/>
            <w:hideMark/>
          </w:tcPr>
          <w:p w14:paraId="07FCB77B" w14:textId="4CD65421"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59,400</w:t>
            </w:r>
          </w:p>
        </w:tc>
      </w:tr>
      <w:tr w:rsidR="00B807EE" w:rsidRPr="00024D5A" w14:paraId="76E27509"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7397EAC9" w14:textId="5B52714D" w:rsidR="00700D7D" w:rsidRPr="00024D5A" w:rsidRDefault="00700D7D" w:rsidP="00180DF3">
            <w:pPr>
              <w:jc w:val="both"/>
              <w:rPr>
                <w:rFonts w:ascii="Garamond" w:eastAsia="Times New Roman" w:hAnsi="Garamond"/>
                <w:i/>
                <w:iCs/>
                <w:sz w:val="6"/>
                <w:szCs w:val="16"/>
                <w:lang w:eastAsia="en-US"/>
              </w:rPr>
            </w:pPr>
            <w:r w:rsidRPr="00024D5A">
              <w:rPr>
                <w:rFonts w:ascii="Garamond" w:eastAsia="Times New Roman" w:hAnsi="Garamond"/>
                <w:sz w:val="6"/>
                <w:szCs w:val="16"/>
                <w:lang w:eastAsia="en-US"/>
              </w:rPr>
              <w:t>1.2.1 Planifikimi dhe realizimi i investimeve për të garantuar përshtatshmërinë e godinave të kopshteve dhe klasave përgatitore</w:t>
            </w:r>
            <w:r w:rsidR="004C76F0"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 xml:space="preserve">(hyrja, </w:t>
            </w:r>
            <w:r w:rsidR="004C76F0" w:rsidRPr="00024D5A">
              <w:rPr>
                <w:rFonts w:ascii="Garamond" w:eastAsia="Times New Roman" w:hAnsi="Garamond"/>
                <w:sz w:val="6"/>
                <w:szCs w:val="16"/>
                <w:lang w:eastAsia="en-US"/>
              </w:rPr>
              <w:t>ambientet</w:t>
            </w:r>
            <w:r w:rsidRPr="00024D5A">
              <w:rPr>
                <w:rFonts w:ascii="Garamond" w:eastAsia="Times New Roman" w:hAnsi="Garamond"/>
                <w:sz w:val="6"/>
                <w:szCs w:val="16"/>
                <w:lang w:eastAsia="en-US"/>
              </w:rPr>
              <w:t xml:space="preserve"> e </w:t>
            </w:r>
            <w:r w:rsidR="004C76F0" w:rsidRPr="00024D5A">
              <w:rPr>
                <w:rFonts w:ascii="Garamond" w:eastAsia="Times New Roman" w:hAnsi="Garamond"/>
                <w:sz w:val="6"/>
                <w:szCs w:val="16"/>
                <w:lang w:eastAsia="en-US"/>
              </w:rPr>
              <w:t>brendshme</w:t>
            </w:r>
            <w:r w:rsidRPr="00024D5A">
              <w:rPr>
                <w:rFonts w:ascii="Garamond" w:eastAsia="Times New Roman" w:hAnsi="Garamond"/>
                <w:sz w:val="6"/>
                <w:szCs w:val="16"/>
                <w:lang w:eastAsia="en-US"/>
              </w:rPr>
              <w:t xml:space="preserve">, </w:t>
            </w:r>
            <w:r w:rsidR="004C76F0" w:rsidRPr="00024D5A">
              <w:rPr>
                <w:rFonts w:ascii="Garamond" w:eastAsia="Times New Roman" w:hAnsi="Garamond"/>
                <w:sz w:val="6"/>
                <w:szCs w:val="16"/>
                <w:lang w:eastAsia="en-US"/>
              </w:rPr>
              <w:t>ambientet</w:t>
            </w:r>
            <w:r w:rsidRPr="00024D5A">
              <w:rPr>
                <w:rFonts w:ascii="Garamond" w:eastAsia="Times New Roman" w:hAnsi="Garamond"/>
                <w:sz w:val="6"/>
                <w:szCs w:val="16"/>
                <w:lang w:eastAsia="en-US"/>
              </w:rPr>
              <w:t xml:space="preserve"> e </w:t>
            </w:r>
            <w:r w:rsidR="004C76F0" w:rsidRPr="00024D5A">
              <w:rPr>
                <w:rFonts w:ascii="Garamond" w:eastAsia="Times New Roman" w:hAnsi="Garamond"/>
                <w:sz w:val="6"/>
                <w:szCs w:val="16"/>
                <w:lang w:eastAsia="en-US"/>
              </w:rPr>
              <w:t>lojërave</w:t>
            </w:r>
            <w:r w:rsidRPr="00024D5A">
              <w:rPr>
                <w:rFonts w:ascii="Garamond" w:eastAsia="Times New Roman" w:hAnsi="Garamond"/>
                <w:sz w:val="6"/>
                <w:szCs w:val="16"/>
                <w:lang w:eastAsia="en-US"/>
              </w:rPr>
              <w:t>, nyj</w:t>
            </w:r>
            <w:r w:rsidR="004C76F0" w:rsidRPr="00024D5A">
              <w:rPr>
                <w:rFonts w:ascii="Garamond" w:eastAsia="Times New Roman" w:hAnsi="Garamond"/>
                <w:sz w:val="6"/>
                <w:szCs w:val="16"/>
                <w:lang w:eastAsia="en-US"/>
              </w:rPr>
              <w:t>a</w:t>
            </w:r>
            <w:r w:rsidRPr="00024D5A">
              <w:rPr>
                <w:rFonts w:ascii="Garamond" w:eastAsia="Times New Roman" w:hAnsi="Garamond"/>
                <w:sz w:val="6"/>
                <w:szCs w:val="16"/>
                <w:lang w:eastAsia="en-US"/>
              </w:rPr>
              <w:t>t hidrosanitare) përfshirë sinjalistikë e kontraste për fëmijët e verbër</w:t>
            </w:r>
            <w:r w:rsidR="004C76F0" w:rsidRPr="00024D5A">
              <w:rPr>
                <w:rFonts w:ascii="Garamond" w:eastAsia="Times New Roman" w:hAnsi="Garamond"/>
                <w:sz w:val="6"/>
                <w:szCs w:val="16"/>
                <w:lang w:eastAsia="en-US"/>
              </w:rPr>
              <w:t xml:space="preserve"> </w:t>
            </w:r>
            <w:r w:rsidRPr="00024D5A">
              <w:rPr>
                <w:rFonts w:ascii="Garamond" w:eastAsia="Times New Roman" w:hAnsi="Garamond"/>
                <w:i/>
                <w:iCs/>
                <w:sz w:val="6"/>
                <w:szCs w:val="16"/>
                <w:lang w:eastAsia="en-US"/>
              </w:rPr>
              <w:t>(</w:t>
            </w:r>
            <w:r w:rsidR="004C76F0" w:rsidRPr="00024D5A">
              <w:rPr>
                <w:rFonts w:ascii="Garamond" w:eastAsia="Times New Roman" w:hAnsi="Garamond"/>
                <w:i/>
                <w:iCs/>
                <w:sz w:val="6"/>
                <w:szCs w:val="16"/>
                <w:lang w:eastAsia="en-US"/>
              </w:rPr>
              <w:t xml:space="preserve">ref. </w:t>
            </w:r>
            <w:r w:rsidRPr="00024D5A">
              <w:rPr>
                <w:rFonts w:ascii="Garamond" w:eastAsia="Times New Roman" w:hAnsi="Garamond"/>
                <w:i/>
                <w:iCs/>
                <w:sz w:val="6"/>
                <w:szCs w:val="16"/>
                <w:lang w:eastAsia="en-US"/>
              </w:rPr>
              <w:t>SKA 2021-2026, A2.1.5 dhe A.2.4.1)</w:t>
            </w:r>
            <w:r w:rsidR="004C76F0"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26172515"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60F662AE"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noWrap/>
            <w:hideMark/>
          </w:tcPr>
          <w:p w14:paraId="6734950F"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MA, MSHPV</w:t>
            </w:r>
          </w:p>
        </w:tc>
        <w:tc>
          <w:tcPr>
            <w:tcW w:w="1418" w:type="dxa"/>
            <w:tcBorders>
              <w:top w:val="nil"/>
              <w:left w:val="nil"/>
              <w:bottom w:val="single" w:sz="4" w:space="0" w:color="auto"/>
              <w:right w:val="single" w:sz="8" w:space="0" w:color="auto"/>
            </w:tcBorders>
            <w:hideMark/>
          </w:tcPr>
          <w:p w14:paraId="67475735"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NJVV</w:t>
            </w:r>
          </w:p>
        </w:tc>
        <w:tc>
          <w:tcPr>
            <w:tcW w:w="708" w:type="dxa"/>
            <w:tcBorders>
              <w:top w:val="nil"/>
              <w:left w:val="single" w:sz="4" w:space="0" w:color="auto"/>
              <w:bottom w:val="single" w:sz="4" w:space="0" w:color="auto"/>
              <w:right w:val="single" w:sz="4" w:space="0" w:color="auto"/>
            </w:tcBorders>
            <w:hideMark/>
          </w:tcPr>
          <w:p w14:paraId="36E988A3" w14:textId="51EBBFD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19,000</w:t>
            </w:r>
          </w:p>
        </w:tc>
        <w:tc>
          <w:tcPr>
            <w:tcW w:w="567" w:type="dxa"/>
            <w:tcBorders>
              <w:top w:val="nil"/>
              <w:left w:val="nil"/>
              <w:bottom w:val="single" w:sz="4" w:space="0" w:color="auto"/>
              <w:right w:val="single" w:sz="4" w:space="0" w:color="auto"/>
            </w:tcBorders>
            <w:hideMark/>
          </w:tcPr>
          <w:p w14:paraId="382B9CC6" w14:textId="25EE3A2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19,000</w:t>
            </w:r>
          </w:p>
        </w:tc>
        <w:tc>
          <w:tcPr>
            <w:tcW w:w="567" w:type="dxa"/>
            <w:tcBorders>
              <w:top w:val="nil"/>
              <w:left w:val="nil"/>
              <w:bottom w:val="single" w:sz="4" w:space="0" w:color="auto"/>
              <w:right w:val="single" w:sz="4" w:space="0" w:color="auto"/>
            </w:tcBorders>
            <w:hideMark/>
          </w:tcPr>
          <w:p w14:paraId="7C2A1D4F" w14:textId="2427692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19,000</w:t>
            </w:r>
          </w:p>
        </w:tc>
        <w:tc>
          <w:tcPr>
            <w:tcW w:w="1134" w:type="dxa"/>
            <w:tcBorders>
              <w:top w:val="nil"/>
              <w:left w:val="nil"/>
              <w:bottom w:val="single" w:sz="4" w:space="0" w:color="auto"/>
              <w:right w:val="single" w:sz="4" w:space="0" w:color="auto"/>
            </w:tcBorders>
            <w:hideMark/>
          </w:tcPr>
          <w:p w14:paraId="76B3678B" w14:textId="149E7BF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19,000</w:t>
            </w:r>
          </w:p>
        </w:tc>
        <w:tc>
          <w:tcPr>
            <w:tcW w:w="1615" w:type="dxa"/>
            <w:tcBorders>
              <w:top w:val="nil"/>
              <w:left w:val="nil"/>
              <w:bottom w:val="single" w:sz="4" w:space="0" w:color="auto"/>
              <w:right w:val="single" w:sz="4" w:space="0" w:color="auto"/>
            </w:tcBorders>
            <w:hideMark/>
          </w:tcPr>
          <w:p w14:paraId="5B982579" w14:textId="46D5E35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19,000</w:t>
            </w:r>
          </w:p>
        </w:tc>
      </w:tr>
      <w:tr w:rsidR="00B807EE" w:rsidRPr="00024D5A" w14:paraId="2A8761BC"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68B0D18E" w14:textId="270E56EC"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1.2.2 Planifikim, buxhetim dhe pajisja e kopshteve/klasave përgatitore me mjete didaktike dhe </w:t>
            </w:r>
            <w:r w:rsidR="004C76F0" w:rsidRPr="00024D5A">
              <w:rPr>
                <w:rFonts w:ascii="Garamond" w:eastAsia="Times New Roman" w:hAnsi="Garamond"/>
                <w:sz w:val="6"/>
                <w:szCs w:val="16"/>
                <w:lang w:eastAsia="en-US"/>
              </w:rPr>
              <w:t>lojëra</w:t>
            </w:r>
            <w:r w:rsidR="007675EC"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kënde lodrash të përshtatura për fëmijët me aftësi të kufizuara</w:t>
            </w:r>
            <w:r w:rsidR="000C2D3A" w:rsidRPr="00024D5A">
              <w:rPr>
                <w:rFonts w:ascii="Garamond" w:eastAsia="Times New Roman" w:hAnsi="Garamond"/>
                <w:sz w:val="6"/>
                <w:szCs w:val="16"/>
                <w:lang w:eastAsia="en-US"/>
              </w:rPr>
              <w:t xml:space="preserve"> </w:t>
            </w:r>
            <w:r w:rsidRPr="00024D5A">
              <w:rPr>
                <w:rFonts w:ascii="Garamond" w:eastAsia="Times New Roman" w:hAnsi="Garamond"/>
                <w:i/>
                <w:iCs/>
                <w:sz w:val="6"/>
                <w:szCs w:val="16"/>
                <w:lang w:eastAsia="en-US"/>
              </w:rPr>
              <w:t xml:space="preserve">(ref </w:t>
            </w:r>
            <w:r w:rsidR="004C76F0" w:rsidRPr="00024D5A">
              <w:rPr>
                <w:rFonts w:ascii="Garamond" w:eastAsia="Times New Roman" w:hAnsi="Garamond"/>
                <w:i/>
                <w:iCs/>
                <w:sz w:val="6"/>
                <w:szCs w:val="16"/>
                <w:lang w:eastAsia="en-US"/>
              </w:rPr>
              <w:t>.</w:t>
            </w:r>
            <w:r w:rsidRPr="00024D5A">
              <w:rPr>
                <w:rFonts w:ascii="Garamond" w:eastAsia="Times New Roman" w:hAnsi="Garamond"/>
                <w:i/>
                <w:iCs/>
                <w:sz w:val="6"/>
                <w:szCs w:val="16"/>
                <w:lang w:eastAsia="en-US"/>
              </w:rPr>
              <w:t>SKA</w:t>
            </w:r>
            <w:r w:rsidR="007247B2" w:rsidRPr="00024D5A">
              <w:rPr>
                <w:rFonts w:ascii="Garamond" w:eastAsia="Times New Roman" w:hAnsi="Garamond"/>
                <w:i/>
                <w:iCs/>
                <w:sz w:val="6"/>
                <w:szCs w:val="16"/>
                <w:lang w:eastAsia="en-US"/>
              </w:rPr>
              <w:t>2021–2025</w:t>
            </w:r>
            <w:r w:rsidRPr="00024D5A">
              <w:rPr>
                <w:rFonts w:ascii="Garamond" w:eastAsia="Times New Roman" w:hAnsi="Garamond"/>
                <w:i/>
                <w:iCs/>
                <w:sz w:val="6"/>
                <w:szCs w:val="16"/>
                <w:lang w:eastAsia="en-US"/>
              </w:rPr>
              <w:t>,</w:t>
            </w:r>
            <w:r w:rsidR="008F29FA" w:rsidRPr="00024D5A">
              <w:rPr>
                <w:rFonts w:ascii="Garamond" w:eastAsia="Times New Roman" w:hAnsi="Garamond"/>
                <w:i/>
                <w:iCs/>
                <w:sz w:val="6"/>
                <w:szCs w:val="16"/>
                <w:lang w:eastAsia="en-US"/>
              </w:rPr>
              <w:t xml:space="preserve"> </w:t>
            </w:r>
            <w:r w:rsidRPr="00024D5A">
              <w:rPr>
                <w:rFonts w:ascii="Garamond" w:eastAsia="Times New Roman" w:hAnsi="Garamond"/>
                <w:i/>
                <w:iCs/>
                <w:sz w:val="6"/>
                <w:szCs w:val="16"/>
                <w:lang w:eastAsia="en-US"/>
              </w:rPr>
              <w:t>A.2.1.4</w:t>
            </w:r>
            <w:r w:rsidRPr="00024D5A">
              <w:rPr>
                <w:rFonts w:ascii="Garamond" w:eastAsia="Times New Roman" w:hAnsi="Garamond"/>
                <w:sz w:val="6"/>
                <w:szCs w:val="16"/>
                <w:lang w:eastAsia="en-US"/>
              </w:rPr>
              <w:t>)</w:t>
            </w:r>
            <w:r w:rsidR="000C2D3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Disa nga programet teknologjike dhe mjetet e nevojshme për fëmijët me aftësi të kufizuara janë: programe kompjuterike të ndryshme për fëmijët me vështirësi në shikim, në dëgjim dhe në të folur; makina llogaritëse për fëmijët që vuajnë nga diskalkulia; libra audio; monitor/ekran me prekje; set me puzzle/ngjyra/lodra/fletore; libra me figura; i-pad-e; pecs (komunikim nëpërmjet figurave)</w:t>
            </w:r>
            <w:r w:rsidR="004C76F0"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62641504"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348731E4"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noWrap/>
            <w:hideMark/>
          </w:tcPr>
          <w:p w14:paraId="4191BFD6"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MA, MSHPV</w:t>
            </w:r>
          </w:p>
        </w:tc>
        <w:tc>
          <w:tcPr>
            <w:tcW w:w="1418" w:type="dxa"/>
            <w:tcBorders>
              <w:top w:val="nil"/>
              <w:left w:val="nil"/>
              <w:bottom w:val="single" w:sz="4" w:space="0" w:color="auto"/>
              <w:right w:val="single" w:sz="8" w:space="0" w:color="auto"/>
            </w:tcBorders>
            <w:hideMark/>
          </w:tcPr>
          <w:p w14:paraId="0F793D93"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NJVV</w:t>
            </w:r>
          </w:p>
        </w:tc>
        <w:tc>
          <w:tcPr>
            <w:tcW w:w="708" w:type="dxa"/>
            <w:tcBorders>
              <w:top w:val="nil"/>
              <w:left w:val="single" w:sz="4" w:space="0" w:color="auto"/>
              <w:bottom w:val="single" w:sz="4" w:space="0" w:color="auto"/>
              <w:right w:val="single" w:sz="4" w:space="0" w:color="auto"/>
            </w:tcBorders>
            <w:hideMark/>
          </w:tcPr>
          <w:p w14:paraId="393BF929" w14:textId="1562FD1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20,000</w:t>
            </w:r>
          </w:p>
        </w:tc>
        <w:tc>
          <w:tcPr>
            <w:tcW w:w="567" w:type="dxa"/>
            <w:tcBorders>
              <w:top w:val="nil"/>
              <w:left w:val="nil"/>
              <w:bottom w:val="single" w:sz="4" w:space="0" w:color="auto"/>
              <w:right w:val="single" w:sz="4" w:space="0" w:color="auto"/>
            </w:tcBorders>
            <w:hideMark/>
          </w:tcPr>
          <w:p w14:paraId="4CD25BAE" w14:textId="122DA5F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20,000</w:t>
            </w:r>
          </w:p>
        </w:tc>
        <w:tc>
          <w:tcPr>
            <w:tcW w:w="567" w:type="dxa"/>
            <w:tcBorders>
              <w:top w:val="nil"/>
              <w:left w:val="nil"/>
              <w:bottom w:val="single" w:sz="4" w:space="0" w:color="auto"/>
              <w:right w:val="single" w:sz="4" w:space="0" w:color="auto"/>
            </w:tcBorders>
            <w:hideMark/>
          </w:tcPr>
          <w:p w14:paraId="3D140E7C" w14:textId="0D3045C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20,000</w:t>
            </w:r>
          </w:p>
        </w:tc>
        <w:tc>
          <w:tcPr>
            <w:tcW w:w="1134" w:type="dxa"/>
            <w:tcBorders>
              <w:top w:val="nil"/>
              <w:left w:val="nil"/>
              <w:bottom w:val="single" w:sz="4" w:space="0" w:color="auto"/>
              <w:right w:val="single" w:sz="4" w:space="0" w:color="auto"/>
            </w:tcBorders>
            <w:hideMark/>
          </w:tcPr>
          <w:p w14:paraId="457C7095" w14:textId="6A088A6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20,000</w:t>
            </w:r>
          </w:p>
        </w:tc>
        <w:tc>
          <w:tcPr>
            <w:tcW w:w="1615" w:type="dxa"/>
            <w:tcBorders>
              <w:top w:val="nil"/>
              <w:left w:val="nil"/>
              <w:bottom w:val="single" w:sz="4" w:space="0" w:color="auto"/>
              <w:right w:val="single" w:sz="4" w:space="0" w:color="auto"/>
            </w:tcBorders>
            <w:hideMark/>
          </w:tcPr>
          <w:p w14:paraId="51F7CD2F" w14:textId="19B5A4D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20,000</w:t>
            </w:r>
          </w:p>
        </w:tc>
      </w:tr>
      <w:tr w:rsidR="00B807EE" w:rsidRPr="00024D5A" w14:paraId="4624FE85"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26BD4516" w14:textId="2BBB3FFC"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1.2.3 Sesione informuese për prindërit e fëmijëve me dhe pa aftësi të </w:t>
            </w:r>
            <w:r w:rsidR="004C76F0" w:rsidRPr="00024D5A">
              <w:rPr>
                <w:rFonts w:ascii="Garamond" w:eastAsia="Times New Roman" w:hAnsi="Garamond"/>
                <w:sz w:val="6"/>
                <w:szCs w:val="16"/>
                <w:lang w:eastAsia="en-US"/>
              </w:rPr>
              <w:t>kufizuara</w:t>
            </w:r>
            <w:r w:rsidRPr="00024D5A">
              <w:rPr>
                <w:rFonts w:ascii="Garamond" w:eastAsia="Times New Roman" w:hAnsi="Garamond"/>
                <w:sz w:val="6"/>
                <w:szCs w:val="16"/>
                <w:lang w:eastAsia="en-US"/>
              </w:rPr>
              <w:t xml:space="preserve"> për rëndësinë e arsimit parashkollor, dhe për elemente që lidhen me barazinë dhe gjithëpërfshirjen e fëmijëve me aftësi të kufizuara. Ndërgjegjësimi i prindërve dhe </w:t>
            </w:r>
            <w:r w:rsidR="004C76F0" w:rsidRPr="00024D5A">
              <w:rPr>
                <w:rFonts w:ascii="Garamond" w:eastAsia="Times New Roman" w:hAnsi="Garamond"/>
                <w:sz w:val="6"/>
                <w:szCs w:val="16"/>
                <w:lang w:eastAsia="en-US"/>
              </w:rPr>
              <w:t xml:space="preserve">i </w:t>
            </w:r>
            <w:r w:rsidRPr="00024D5A">
              <w:rPr>
                <w:rFonts w:ascii="Garamond" w:eastAsia="Times New Roman" w:hAnsi="Garamond"/>
                <w:sz w:val="6"/>
                <w:szCs w:val="16"/>
                <w:lang w:eastAsia="en-US"/>
              </w:rPr>
              <w:t>komunitetit do të bëhet nëpërmjet veprimtarive të mirëplanifikuara në nivel të zyrave vendore të arsimit dhe institucioneve parashkollore, si dhe të shkollave të arsimit bazë pranë të cilave janë atashuar klasat përgatitore, në bashkëpunim edhe me qeverisjen vendore (ref</w:t>
            </w:r>
            <w:r w:rsidR="00EC2609"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SKA 2021-2026, A 1.1.1)</w:t>
            </w:r>
            <w:r w:rsidR="00EC2609"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w:t>
            </w:r>
          </w:p>
        </w:tc>
        <w:tc>
          <w:tcPr>
            <w:tcW w:w="567" w:type="dxa"/>
            <w:tcBorders>
              <w:top w:val="nil"/>
              <w:left w:val="nil"/>
              <w:bottom w:val="single" w:sz="4" w:space="0" w:color="auto"/>
              <w:right w:val="single" w:sz="4" w:space="0" w:color="auto"/>
            </w:tcBorders>
            <w:hideMark/>
          </w:tcPr>
          <w:p w14:paraId="46102406"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7442DB82"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43EC088E"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AKAP, DRAP, ZVAP, NJVV</w:t>
            </w:r>
          </w:p>
        </w:tc>
        <w:tc>
          <w:tcPr>
            <w:tcW w:w="1418" w:type="dxa"/>
            <w:tcBorders>
              <w:top w:val="nil"/>
              <w:left w:val="nil"/>
              <w:bottom w:val="single" w:sz="4" w:space="0" w:color="auto"/>
              <w:right w:val="single" w:sz="8" w:space="0" w:color="auto"/>
            </w:tcBorders>
            <w:hideMark/>
          </w:tcPr>
          <w:p w14:paraId="511112DD" w14:textId="560022A9"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Institucionet arsimore, </w:t>
            </w:r>
            <w:r w:rsidR="005A46ED" w:rsidRPr="00024D5A">
              <w:rPr>
                <w:rFonts w:ascii="Garamond" w:eastAsia="Times New Roman" w:hAnsi="Garamond"/>
                <w:sz w:val="6"/>
                <w:szCs w:val="16"/>
                <w:lang w:eastAsia="en-US"/>
              </w:rPr>
              <w:t>kopshtet, bashki</w:t>
            </w:r>
          </w:p>
        </w:tc>
        <w:tc>
          <w:tcPr>
            <w:tcW w:w="708" w:type="dxa"/>
            <w:tcBorders>
              <w:top w:val="nil"/>
              <w:left w:val="single" w:sz="4" w:space="0" w:color="auto"/>
              <w:bottom w:val="single" w:sz="4" w:space="0" w:color="auto"/>
              <w:right w:val="single" w:sz="4" w:space="0" w:color="auto"/>
            </w:tcBorders>
            <w:hideMark/>
          </w:tcPr>
          <w:p w14:paraId="170D9BFA" w14:textId="72EA7D6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20,400</w:t>
            </w:r>
          </w:p>
        </w:tc>
        <w:tc>
          <w:tcPr>
            <w:tcW w:w="567" w:type="dxa"/>
            <w:tcBorders>
              <w:top w:val="nil"/>
              <w:left w:val="nil"/>
              <w:bottom w:val="single" w:sz="4" w:space="0" w:color="auto"/>
              <w:right w:val="single" w:sz="4" w:space="0" w:color="auto"/>
            </w:tcBorders>
            <w:hideMark/>
          </w:tcPr>
          <w:p w14:paraId="00258AAF" w14:textId="7308F1C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20,400</w:t>
            </w:r>
          </w:p>
        </w:tc>
        <w:tc>
          <w:tcPr>
            <w:tcW w:w="567" w:type="dxa"/>
            <w:tcBorders>
              <w:top w:val="nil"/>
              <w:left w:val="nil"/>
              <w:bottom w:val="single" w:sz="4" w:space="0" w:color="auto"/>
              <w:right w:val="single" w:sz="4" w:space="0" w:color="auto"/>
            </w:tcBorders>
            <w:hideMark/>
          </w:tcPr>
          <w:p w14:paraId="3B460C47" w14:textId="3C5D3B8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20,400</w:t>
            </w:r>
          </w:p>
        </w:tc>
        <w:tc>
          <w:tcPr>
            <w:tcW w:w="1134" w:type="dxa"/>
            <w:tcBorders>
              <w:top w:val="nil"/>
              <w:left w:val="nil"/>
              <w:bottom w:val="single" w:sz="4" w:space="0" w:color="auto"/>
              <w:right w:val="single" w:sz="4" w:space="0" w:color="auto"/>
            </w:tcBorders>
            <w:hideMark/>
          </w:tcPr>
          <w:p w14:paraId="0951DC2F" w14:textId="0A8EC5D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20,400</w:t>
            </w:r>
          </w:p>
        </w:tc>
        <w:tc>
          <w:tcPr>
            <w:tcW w:w="1615" w:type="dxa"/>
            <w:tcBorders>
              <w:top w:val="nil"/>
              <w:left w:val="nil"/>
              <w:bottom w:val="single" w:sz="4" w:space="0" w:color="auto"/>
              <w:right w:val="single" w:sz="4" w:space="0" w:color="auto"/>
            </w:tcBorders>
            <w:hideMark/>
          </w:tcPr>
          <w:p w14:paraId="2478B784" w14:textId="760AF13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20,400</w:t>
            </w:r>
          </w:p>
        </w:tc>
      </w:tr>
      <w:tr w:rsidR="00B807EE" w:rsidRPr="00024D5A" w14:paraId="6F1D4857"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B8CCE4"/>
            <w:hideMark/>
          </w:tcPr>
          <w:p w14:paraId="14451DAB" w14:textId="7314A1DE"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Masa prioritare 1.3</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Shërbime mbështetëse multidisiplinare</w:t>
            </w:r>
            <w:r w:rsidR="008F29FA" w:rsidRPr="00024D5A">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dhe edukim i hershëm i individualizuar.</w:t>
            </w:r>
          </w:p>
        </w:tc>
        <w:tc>
          <w:tcPr>
            <w:tcW w:w="567" w:type="dxa"/>
            <w:tcBorders>
              <w:top w:val="nil"/>
              <w:left w:val="nil"/>
              <w:bottom w:val="single" w:sz="4" w:space="0" w:color="auto"/>
              <w:right w:val="single" w:sz="4" w:space="0" w:color="auto"/>
            </w:tcBorders>
            <w:shd w:val="clear" w:color="000000" w:fill="B8CCE4"/>
            <w:hideMark/>
          </w:tcPr>
          <w:p w14:paraId="3A8FEB6F"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single" w:sz="4" w:space="0" w:color="auto"/>
            </w:tcBorders>
            <w:shd w:val="clear" w:color="000000" w:fill="B8CCE4"/>
            <w:hideMark/>
          </w:tcPr>
          <w:p w14:paraId="3E47D1A6"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shd w:val="clear" w:color="000000" w:fill="B8CCE4"/>
            <w:hideMark/>
          </w:tcPr>
          <w:p w14:paraId="64429C5A"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MA/MSHPV/AKAP/DRAP/ZVAP/MPV/NJPV</w:t>
            </w:r>
          </w:p>
        </w:tc>
        <w:tc>
          <w:tcPr>
            <w:tcW w:w="1418" w:type="dxa"/>
            <w:tcBorders>
              <w:top w:val="nil"/>
              <w:left w:val="nil"/>
              <w:bottom w:val="single" w:sz="4" w:space="0" w:color="auto"/>
              <w:right w:val="single" w:sz="4" w:space="0" w:color="auto"/>
            </w:tcBorders>
            <w:shd w:val="clear" w:color="000000" w:fill="B8CCE4"/>
            <w:hideMark/>
          </w:tcPr>
          <w:p w14:paraId="6A751ABC"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NJVV/AKAP/DRAP/ZVA/IAP/AKAP/DRAP/KOPSHTET</w:t>
            </w:r>
          </w:p>
        </w:tc>
        <w:tc>
          <w:tcPr>
            <w:tcW w:w="708" w:type="dxa"/>
            <w:tcBorders>
              <w:top w:val="nil"/>
              <w:left w:val="nil"/>
              <w:bottom w:val="single" w:sz="4" w:space="0" w:color="auto"/>
              <w:right w:val="single" w:sz="4" w:space="0" w:color="auto"/>
            </w:tcBorders>
            <w:shd w:val="clear" w:color="000000" w:fill="B8CCE4"/>
            <w:hideMark/>
          </w:tcPr>
          <w:p w14:paraId="298F89AC" w14:textId="4CE82F9F"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w:t>
            </w:r>
          </w:p>
        </w:tc>
        <w:tc>
          <w:tcPr>
            <w:tcW w:w="567" w:type="dxa"/>
            <w:tcBorders>
              <w:top w:val="nil"/>
              <w:left w:val="nil"/>
              <w:bottom w:val="single" w:sz="4" w:space="0" w:color="auto"/>
              <w:right w:val="single" w:sz="4" w:space="0" w:color="auto"/>
            </w:tcBorders>
            <w:shd w:val="clear" w:color="000000" w:fill="B8CCE4"/>
            <w:hideMark/>
          </w:tcPr>
          <w:p w14:paraId="02A14A21" w14:textId="46E28897"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w:t>
            </w:r>
          </w:p>
        </w:tc>
        <w:tc>
          <w:tcPr>
            <w:tcW w:w="567" w:type="dxa"/>
            <w:tcBorders>
              <w:top w:val="nil"/>
              <w:left w:val="nil"/>
              <w:bottom w:val="single" w:sz="4" w:space="0" w:color="auto"/>
              <w:right w:val="single" w:sz="4" w:space="0" w:color="auto"/>
            </w:tcBorders>
            <w:shd w:val="clear" w:color="000000" w:fill="B8CCE4"/>
            <w:hideMark/>
          </w:tcPr>
          <w:p w14:paraId="00A581C6" w14:textId="1C0F30F3"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w:t>
            </w:r>
          </w:p>
        </w:tc>
        <w:tc>
          <w:tcPr>
            <w:tcW w:w="1134" w:type="dxa"/>
            <w:tcBorders>
              <w:top w:val="nil"/>
              <w:left w:val="nil"/>
              <w:bottom w:val="single" w:sz="4" w:space="0" w:color="auto"/>
              <w:right w:val="single" w:sz="4" w:space="0" w:color="auto"/>
            </w:tcBorders>
            <w:shd w:val="clear" w:color="000000" w:fill="B8CCE4"/>
            <w:hideMark/>
          </w:tcPr>
          <w:p w14:paraId="68703BBB" w14:textId="57975529"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w:t>
            </w:r>
          </w:p>
        </w:tc>
        <w:tc>
          <w:tcPr>
            <w:tcW w:w="1615" w:type="dxa"/>
            <w:tcBorders>
              <w:top w:val="nil"/>
              <w:left w:val="nil"/>
              <w:bottom w:val="single" w:sz="4" w:space="0" w:color="auto"/>
              <w:right w:val="single" w:sz="4" w:space="0" w:color="auto"/>
            </w:tcBorders>
            <w:shd w:val="clear" w:color="000000" w:fill="B8CCE4"/>
            <w:hideMark/>
          </w:tcPr>
          <w:p w14:paraId="34B06B9D" w14:textId="2DAC3D17"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w:t>
            </w:r>
          </w:p>
        </w:tc>
      </w:tr>
      <w:tr w:rsidR="00B807EE" w:rsidRPr="00024D5A" w14:paraId="2CF26035" w14:textId="77777777" w:rsidTr="002B321E">
        <w:trPr>
          <w:trHeight w:val="20"/>
        </w:trPr>
        <w:tc>
          <w:tcPr>
            <w:tcW w:w="4673" w:type="dxa"/>
            <w:tcBorders>
              <w:top w:val="nil"/>
              <w:left w:val="single" w:sz="4" w:space="0" w:color="auto"/>
              <w:bottom w:val="nil"/>
              <w:right w:val="nil"/>
            </w:tcBorders>
            <w:noWrap/>
            <w:hideMark/>
          </w:tcPr>
          <w:p w14:paraId="516D176F" w14:textId="7404FE74"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1.3.1 Mbështetja me mësues ndihmës për fëmijët me aftësi të kufizuara në kopshte dhe në klasat përgatitore. Përmirësimi i raportit mësues ndihmës dhe fëmijë me aftësi të kufizuara, për të garantuar mbështetje për një periudhë më të gjatë për fëmijën në ambientet zhvillimore/mësimore (ref</w:t>
            </w:r>
            <w:r w:rsidR="00EC2609" w:rsidRPr="00024D5A">
              <w:rPr>
                <w:rFonts w:ascii="Garamond" w:eastAsia="Times New Roman" w:hAnsi="Garamond"/>
                <w:sz w:val="6"/>
                <w:szCs w:val="16"/>
                <w:lang w:eastAsia="en-US"/>
              </w:rPr>
              <w:t>.</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SKA A2.1.1)</w:t>
            </w:r>
            <w:r w:rsidR="00EC2609" w:rsidRPr="00024D5A">
              <w:rPr>
                <w:rFonts w:ascii="Garamond" w:eastAsia="Times New Roman" w:hAnsi="Garamond"/>
                <w:sz w:val="6"/>
                <w:szCs w:val="16"/>
                <w:lang w:eastAsia="en-US"/>
              </w:rPr>
              <w:t>.</w:t>
            </w:r>
          </w:p>
        </w:tc>
        <w:tc>
          <w:tcPr>
            <w:tcW w:w="567" w:type="dxa"/>
            <w:tcBorders>
              <w:top w:val="nil"/>
              <w:left w:val="single" w:sz="4" w:space="0" w:color="auto"/>
              <w:bottom w:val="single" w:sz="4" w:space="0" w:color="auto"/>
              <w:right w:val="single" w:sz="4" w:space="0" w:color="auto"/>
            </w:tcBorders>
            <w:hideMark/>
          </w:tcPr>
          <w:p w14:paraId="6128D178"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75F8C1C1"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noWrap/>
            <w:hideMark/>
          </w:tcPr>
          <w:p w14:paraId="632E0F28"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MA, MPV</w:t>
            </w:r>
          </w:p>
        </w:tc>
        <w:tc>
          <w:tcPr>
            <w:tcW w:w="1418" w:type="dxa"/>
            <w:tcBorders>
              <w:top w:val="nil"/>
              <w:left w:val="nil"/>
              <w:bottom w:val="single" w:sz="4" w:space="0" w:color="auto"/>
              <w:right w:val="single" w:sz="8" w:space="0" w:color="auto"/>
            </w:tcBorders>
            <w:noWrap/>
            <w:hideMark/>
          </w:tcPr>
          <w:p w14:paraId="79087015" w14:textId="4FF827F4"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NJVV,</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 xml:space="preserve">AKAP, DRAP, ZVAP, IAP, </w:t>
            </w:r>
            <w:r w:rsidR="005A46ED" w:rsidRPr="00024D5A">
              <w:rPr>
                <w:rFonts w:ascii="Garamond" w:eastAsia="Times New Roman" w:hAnsi="Garamond"/>
                <w:sz w:val="6"/>
                <w:szCs w:val="16"/>
                <w:lang w:eastAsia="en-US"/>
              </w:rPr>
              <w:t>kopshtet</w:t>
            </w:r>
          </w:p>
        </w:tc>
        <w:tc>
          <w:tcPr>
            <w:tcW w:w="708" w:type="dxa"/>
            <w:tcBorders>
              <w:top w:val="nil"/>
              <w:left w:val="single" w:sz="4" w:space="0" w:color="auto"/>
              <w:bottom w:val="single" w:sz="4" w:space="0" w:color="auto"/>
              <w:right w:val="single" w:sz="4" w:space="0" w:color="auto"/>
            </w:tcBorders>
            <w:hideMark/>
          </w:tcPr>
          <w:p w14:paraId="53C0CDD0" w14:textId="6233E05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26A48BE4" w14:textId="689EFD3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11976FD0" w14:textId="07D5CF8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79A94B10" w14:textId="473B29B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6EB1901B" w14:textId="427B650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79574B8E" w14:textId="77777777" w:rsidTr="002B321E">
        <w:trPr>
          <w:trHeight w:val="20"/>
        </w:trPr>
        <w:tc>
          <w:tcPr>
            <w:tcW w:w="4673" w:type="dxa"/>
            <w:tcBorders>
              <w:top w:val="single" w:sz="4" w:space="0" w:color="auto"/>
              <w:left w:val="single" w:sz="4" w:space="0" w:color="auto"/>
              <w:bottom w:val="single" w:sz="4" w:space="0" w:color="auto"/>
              <w:right w:val="single" w:sz="4" w:space="0" w:color="auto"/>
            </w:tcBorders>
            <w:hideMark/>
          </w:tcPr>
          <w:p w14:paraId="6961A998" w14:textId="78FAD7CC"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1.3.2 Krijimi dhe forcimi i shërbimeve mbështetëse për fëmijët me aftësi të kufizuara në edukimin e hershëm, përmes krijimit</w:t>
            </w:r>
            <w:r w:rsidR="007675EC"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mbulimit me </w:t>
            </w:r>
            <w:r w:rsidR="00156D38" w:rsidRPr="00024D5A">
              <w:rPr>
                <w:rFonts w:ascii="Garamond" w:eastAsia="Times New Roman" w:hAnsi="Garamond"/>
                <w:sz w:val="6"/>
                <w:szCs w:val="16"/>
                <w:lang w:eastAsia="en-US"/>
              </w:rPr>
              <w:t>hapësira</w:t>
            </w:r>
            <w:r w:rsidRPr="00024D5A">
              <w:rPr>
                <w:rFonts w:ascii="Garamond" w:eastAsia="Times New Roman" w:hAnsi="Garamond"/>
                <w:sz w:val="6"/>
                <w:szCs w:val="16"/>
                <w:lang w:eastAsia="en-US"/>
              </w:rPr>
              <w:t xml:space="preserve"> zhvillimore të gjith</w:t>
            </w:r>
            <w:r w:rsidR="007675EC" w:rsidRPr="00024D5A">
              <w:rPr>
                <w:rFonts w:ascii="Garamond" w:eastAsia="Times New Roman" w:hAnsi="Garamond"/>
                <w:sz w:val="6"/>
                <w:szCs w:val="16"/>
                <w:lang w:eastAsia="en-US"/>
              </w:rPr>
              <w:t>a</w:t>
            </w:r>
            <w:r w:rsidRPr="00024D5A">
              <w:rPr>
                <w:rFonts w:ascii="Garamond" w:eastAsia="Times New Roman" w:hAnsi="Garamond"/>
                <w:sz w:val="6"/>
                <w:szCs w:val="16"/>
                <w:lang w:eastAsia="en-US"/>
              </w:rPr>
              <w:t xml:space="preserve"> kopshteve</w:t>
            </w:r>
            <w:r w:rsidR="007675EC"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IAP. </w:t>
            </w:r>
          </w:p>
        </w:tc>
        <w:tc>
          <w:tcPr>
            <w:tcW w:w="567" w:type="dxa"/>
            <w:tcBorders>
              <w:top w:val="nil"/>
              <w:left w:val="nil"/>
              <w:bottom w:val="single" w:sz="4" w:space="0" w:color="auto"/>
              <w:right w:val="single" w:sz="4" w:space="0" w:color="auto"/>
            </w:tcBorders>
            <w:hideMark/>
          </w:tcPr>
          <w:p w14:paraId="62B40BFA"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303C54E8"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15920F0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MA, MPV</w:t>
            </w:r>
          </w:p>
        </w:tc>
        <w:tc>
          <w:tcPr>
            <w:tcW w:w="1418" w:type="dxa"/>
            <w:tcBorders>
              <w:top w:val="nil"/>
              <w:left w:val="nil"/>
              <w:bottom w:val="single" w:sz="4" w:space="0" w:color="auto"/>
              <w:right w:val="single" w:sz="8" w:space="0" w:color="auto"/>
            </w:tcBorders>
            <w:noWrap/>
            <w:hideMark/>
          </w:tcPr>
          <w:p w14:paraId="1F56D1EA" w14:textId="59163F7E"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ZVAP-</w:t>
            </w:r>
            <w:r w:rsidR="005A46ED">
              <w:rPr>
                <w:rFonts w:ascii="Garamond" w:eastAsia="Times New Roman" w:hAnsi="Garamond"/>
                <w:sz w:val="6"/>
                <w:szCs w:val="16"/>
                <w:lang w:eastAsia="en-US"/>
              </w:rPr>
              <w:t>të</w:t>
            </w:r>
            <w:r w:rsidRPr="00024D5A">
              <w:rPr>
                <w:rFonts w:ascii="Garamond" w:eastAsia="Times New Roman" w:hAnsi="Garamond"/>
                <w:sz w:val="6"/>
                <w:szCs w:val="16"/>
                <w:lang w:eastAsia="en-US"/>
              </w:rPr>
              <w:t xml:space="preserve"> IAP-</w:t>
            </w:r>
            <w:r w:rsidR="005A46ED">
              <w:rPr>
                <w:rFonts w:ascii="Garamond" w:eastAsia="Times New Roman" w:hAnsi="Garamond"/>
                <w:sz w:val="6"/>
                <w:szCs w:val="16"/>
                <w:lang w:eastAsia="en-US"/>
              </w:rPr>
              <w:t>të</w:t>
            </w:r>
            <w:r w:rsidRPr="00024D5A">
              <w:rPr>
                <w:rFonts w:ascii="Garamond" w:eastAsia="Times New Roman" w:hAnsi="Garamond"/>
                <w:sz w:val="6"/>
                <w:szCs w:val="16"/>
                <w:lang w:eastAsia="en-US"/>
              </w:rPr>
              <w:t>, NJVV,</w:t>
            </w:r>
            <w:r w:rsidR="005A46ED">
              <w:rPr>
                <w:rFonts w:ascii="Garamond" w:eastAsia="Times New Roman" w:hAnsi="Garamond"/>
                <w:sz w:val="6"/>
                <w:szCs w:val="16"/>
                <w:lang w:eastAsia="en-US"/>
              </w:rPr>
              <w:t xml:space="preserve"> </w:t>
            </w:r>
            <w:r w:rsidR="005A46ED" w:rsidRPr="00024D5A">
              <w:rPr>
                <w:rFonts w:ascii="Garamond" w:eastAsia="Times New Roman" w:hAnsi="Garamond"/>
                <w:sz w:val="6"/>
                <w:szCs w:val="16"/>
                <w:lang w:eastAsia="en-US"/>
              </w:rPr>
              <w:t>kopshtet</w:t>
            </w:r>
          </w:p>
        </w:tc>
        <w:tc>
          <w:tcPr>
            <w:tcW w:w="708" w:type="dxa"/>
            <w:tcBorders>
              <w:top w:val="nil"/>
              <w:left w:val="single" w:sz="4" w:space="0" w:color="auto"/>
              <w:bottom w:val="single" w:sz="4" w:space="0" w:color="auto"/>
              <w:right w:val="single" w:sz="4" w:space="0" w:color="auto"/>
            </w:tcBorders>
            <w:hideMark/>
          </w:tcPr>
          <w:p w14:paraId="60BFC018" w14:textId="3A433B8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37393A80" w14:textId="24AE40E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29861BEA" w14:textId="56654E2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18E9AA90" w14:textId="616AD2C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574125E3" w14:textId="761DA1C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23FCD1C3"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24FA7B7A" w14:textId="43427E25"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1.3.3 Angazhimi i profesionistëve të specializuar (psikologë, logopedë, terapistë zhvillimi, punonjës socialë), për të hartuar dhe zbatuar </w:t>
            </w:r>
            <w:r w:rsidR="00156D38" w:rsidRPr="00024D5A">
              <w:rPr>
                <w:rFonts w:ascii="Garamond" w:eastAsia="Times New Roman" w:hAnsi="Garamond"/>
                <w:sz w:val="6"/>
                <w:szCs w:val="16"/>
                <w:lang w:eastAsia="en-US"/>
              </w:rPr>
              <w:t>planet individuale të zhvillimit dhe të edukimit</w:t>
            </w:r>
            <w:r w:rsidRPr="00024D5A">
              <w:rPr>
                <w:rFonts w:ascii="Garamond" w:eastAsia="Times New Roman" w:hAnsi="Garamond"/>
                <w:sz w:val="6"/>
                <w:szCs w:val="16"/>
                <w:lang w:eastAsia="en-US"/>
              </w:rPr>
              <w:t>, bazuar në udhëzimin mbi planifikimin e përbashkët të nënshkruar nga institucionet publike arsimore, shëndetësore dhe ato të mbrojtjes e shërbimeve shoqërore në nivel vendor, në përputhje me nevojat individuale të fëmijëve në kopshte (grupi i 3</w:t>
            </w:r>
            <w:r w:rsidR="00156D38"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të në kopshte</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dhe klasa përgatitore në IAP).</w:t>
            </w:r>
          </w:p>
        </w:tc>
        <w:tc>
          <w:tcPr>
            <w:tcW w:w="567" w:type="dxa"/>
            <w:tcBorders>
              <w:top w:val="nil"/>
              <w:left w:val="nil"/>
              <w:bottom w:val="single" w:sz="4" w:space="0" w:color="auto"/>
              <w:right w:val="single" w:sz="4" w:space="0" w:color="auto"/>
            </w:tcBorders>
            <w:hideMark/>
          </w:tcPr>
          <w:p w14:paraId="385FB895"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4B390DFC"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noWrap/>
            <w:hideMark/>
          </w:tcPr>
          <w:p w14:paraId="66DA5EED"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AKAP, DRAP, ZVAP, NJVV, DROSHKSH</w:t>
            </w:r>
          </w:p>
        </w:tc>
        <w:tc>
          <w:tcPr>
            <w:tcW w:w="1418" w:type="dxa"/>
            <w:tcBorders>
              <w:top w:val="nil"/>
              <w:left w:val="nil"/>
              <w:bottom w:val="single" w:sz="4" w:space="0" w:color="auto"/>
              <w:right w:val="single" w:sz="8" w:space="0" w:color="auto"/>
            </w:tcBorders>
            <w:noWrap/>
            <w:hideMark/>
          </w:tcPr>
          <w:p w14:paraId="627896E4" w14:textId="1CC622C5"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IAP, </w:t>
            </w:r>
            <w:r w:rsidR="005A46ED" w:rsidRPr="00024D5A">
              <w:rPr>
                <w:rFonts w:ascii="Garamond" w:eastAsia="Times New Roman" w:hAnsi="Garamond"/>
                <w:sz w:val="6"/>
                <w:szCs w:val="16"/>
                <w:lang w:eastAsia="en-US"/>
              </w:rPr>
              <w:t>kopshtet</w:t>
            </w:r>
          </w:p>
        </w:tc>
        <w:tc>
          <w:tcPr>
            <w:tcW w:w="708" w:type="dxa"/>
            <w:tcBorders>
              <w:top w:val="nil"/>
              <w:left w:val="single" w:sz="4" w:space="0" w:color="auto"/>
              <w:bottom w:val="single" w:sz="4" w:space="0" w:color="auto"/>
              <w:right w:val="single" w:sz="4" w:space="0" w:color="auto"/>
            </w:tcBorders>
            <w:hideMark/>
          </w:tcPr>
          <w:p w14:paraId="47419F24" w14:textId="1EF26C0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3B82FAA6" w14:textId="3437273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2AD69297" w14:textId="602AC88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04C26DFF" w14:textId="5EA3F05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32027986" w14:textId="132412E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610CBC61"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3507F5A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567" w:type="dxa"/>
            <w:tcBorders>
              <w:top w:val="nil"/>
              <w:left w:val="nil"/>
              <w:bottom w:val="single" w:sz="4" w:space="0" w:color="auto"/>
              <w:right w:val="single" w:sz="4" w:space="0" w:color="auto"/>
            </w:tcBorders>
            <w:hideMark/>
          </w:tcPr>
          <w:p w14:paraId="0D675937"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567" w:type="dxa"/>
            <w:tcBorders>
              <w:top w:val="nil"/>
              <w:left w:val="nil"/>
              <w:bottom w:val="single" w:sz="4" w:space="0" w:color="auto"/>
              <w:right w:val="single" w:sz="4" w:space="0" w:color="auto"/>
            </w:tcBorders>
            <w:hideMark/>
          </w:tcPr>
          <w:p w14:paraId="50D65524"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1134" w:type="dxa"/>
            <w:tcBorders>
              <w:top w:val="nil"/>
              <w:left w:val="nil"/>
              <w:bottom w:val="single" w:sz="4" w:space="0" w:color="auto"/>
              <w:right w:val="single" w:sz="4" w:space="0" w:color="auto"/>
            </w:tcBorders>
            <w:noWrap/>
            <w:hideMark/>
          </w:tcPr>
          <w:p w14:paraId="498D2ED4"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1418" w:type="dxa"/>
            <w:tcBorders>
              <w:top w:val="nil"/>
              <w:left w:val="nil"/>
              <w:bottom w:val="single" w:sz="4" w:space="0" w:color="auto"/>
              <w:right w:val="nil"/>
            </w:tcBorders>
            <w:noWrap/>
            <w:hideMark/>
          </w:tcPr>
          <w:p w14:paraId="484A524F"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708" w:type="dxa"/>
            <w:tcBorders>
              <w:top w:val="nil"/>
              <w:left w:val="single" w:sz="4" w:space="0" w:color="auto"/>
              <w:bottom w:val="single" w:sz="4" w:space="0" w:color="auto"/>
              <w:right w:val="single" w:sz="4" w:space="0" w:color="auto"/>
            </w:tcBorders>
            <w:hideMark/>
          </w:tcPr>
          <w:p w14:paraId="66446BA0" w14:textId="14484D6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69E1CB8A" w14:textId="5BBE9AA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164A54FC" w14:textId="5CE94CE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3CAB17F2" w14:textId="7E68CFA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0AC274EF" w14:textId="557DB66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17C62E83"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40A3C0FC" w14:textId="1310A591"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1.3.4 Përfshirja aktive e prindërve në procesin e zhvillimit dhe edukimit të hershëm të fëmijëve me aftësi të kufizuara (</w:t>
            </w:r>
            <w:r w:rsidR="00156D38" w:rsidRPr="00024D5A">
              <w:rPr>
                <w:rFonts w:ascii="Garamond" w:eastAsia="Times New Roman" w:hAnsi="Garamond"/>
                <w:sz w:val="6"/>
                <w:szCs w:val="16"/>
                <w:lang w:eastAsia="en-US"/>
              </w:rPr>
              <w:t>realizimin</w:t>
            </w:r>
            <w:r w:rsidRPr="00024D5A">
              <w:rPr>
                <w:rFonts w:ascii="Garamond" w:eastAsia="Times New Roman" w:hAnsi="Garamond"/>
                <w:sz w:val="6"/>
                <w:szCs w:val="16"/>
                <w:lang w:eastAsia="en-US"/>
              </w:rPr>
              <w:t xml:space="preserve"> e planit PEI, përmes formalizimit të takimeve të paktën, 1 herë në 3 muaj.</w:t>
            </w:r>
          </w:p>
        </w:tc>
        <w:tc>
          <w:tcPr>
            <w:tcW w:w="567" w:type="dxa"/>
            <w:tcBorders>
              <w:top w:val="nil"/>
              <w:left w:val="nil"/>
              <w:bottom w:val="single" w:sz="4" w:space="0" w:color="auto"/>
              <w:right w:val="single" w:sz="4" w:space="0" w:color="auto"/>
            </w:tcBorders>
            <w:hideMark/>
          </w:tcPr>
          <w:p w14:paraId="652F6507"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6643A372"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noWrap/>
            <w:hideMark/>
          </w:tcPr>
          <w:p w14:paraId="4BE2277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NJPV, DRAP, ZVAP</w:t>
            </w:r>
          </w:p>
        </w:tc>
        <w:tc>
          <w:tcPr>
            <w:tcW w:w="1418" w:type="dxa"/>
            <w:tcBorders>
              <w:top w:val="nil"/>
              <w:left w:val="nil"/>
              <w:bottom w:val="single" w:sz="4" w:space="0" w:color="auto"/>
              <w:right w:val="single" w:sz="8" w:space="0" w:color="auto"/>
            </w:tcBorders>
            <w:noWrap/>
            <w:hideMark/>
          </w:tcPr>
          <w:p w14:paraId="3E105B37" w14:textId="7AC523D8"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IAP, </w:t>
            </w:r>
            <w:r w:rsidR="005A46ED" w:rsidRPr="00024D5A">
              <w:rPr>
                <w:rFonts w:ascii="Garamond" w:eastAsia="Times New Roman" w:hAnsi="Garamond"/>
                <w:sz w:val="6"/>
                <w:szCs w:val="16"/>
                <w:lang w:eastAsia="en-US"/>
              </w:rPr>
              <w:t>kopshtet</w:t>
            </w:r>
          </w:p>
        </w:tc>
        <w:tc>
          <w:tcPr>
            <w:tcW w:w="708" w:type="dxa"/>
            <w:tcBorders>
              <w:top w:val="nil"/>
              <w:left w:val="single" w:sz="4" w:space="0" w:color="auto"/>
              <w:bottom w:val="single" w:sz="4" w:space="0" w:color="auto"/>
              <w:right w:val="single" w:sz="4" w:space="0" w:color="auto"/>
            </w:tcBorders>
            <w:hideMark/>
          </w:tcPr>
          <w:p w14:paraId="1488312A" w14:textId="0818F5E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47D2C61D" w14:textId="42930F1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7C0726AA" w14:textId="753C0A4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396349AF" w14:textId="1EADF21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310E9711" w14:textId="4A7F0A2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74E60F90"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B8CCE4"/>
            <w:hideMark/>
          </w:tcPr>
          <w:p w14:paraId="28F30812" w14:textId="0E9C5484"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Masa prioritare 1.4</w:t>
            </w:r>
            <w:r w:rsidR="003526AF">
              <w:rPr>
                <w:rFonts w:ascii="Garamond" w:eastAsia="Times New Roman" w:hAnsi="Garamond"/>
                <w:b/>
                <w:bCs/>
                <w:sz w:val="6"/>
                <w:szCs w:val="16"/>
                <w:lang w:eastAsia="en-US"/>
              </w:rPr>
              <w:t>:</w:t>
            </w:r>
            <w:r w:rsidR="00156D38" w:rsidRPr="00024D5A">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Zhvillimi i kapaciteteve profesionale dhe sigurimi i cilësisë së edukimit të hershëm gjithëpërfshirës për fëmijët me aftësi të kufizuara.</w:t>
            </w:r>
          </w:p>
        </w:tc>
        <w:tc>
          <w:tcPr>
            <w:tcW w:w="567" w:type="dxa"/>
            <w:tcBorders>
              <w:top w:val="nil"/>
              <w:left w:val="nil"/>
              <w:bottom w:val="single" w:sz="4" w:space="0" w:color="auto"/>
              <w:right w:val="single" w:sz="4" w:space="0" w:color="auto"/>
            </w:tcBorders>
            <w:shd w:val="clear" w:color="000000" w:fill="B8CCE4"/>
            <w:hideMark/>
          </w:tcPr>
          <w:p w14:paraId="0E896206"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single" w:sz="4" w:space="0" w:color="auto"/>
            </w:tcBorders>
            <w:shd w:val="clear" w:color="000000" w:fill="B8CCE4"/>
            <w:hideMark/>
          </w:tcPr>
          <w:p w14:paraId="47823E98"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shd w:val="clear" w:color="000000" w:fill="B8CCE4"/>
            <w:hideMark/>
          </w:tcPr>
          <w:p w14:paraId="6AA832D2"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ASCAP/MA/MSHPV/AKAP/NJVV</w:t>
            </w:r>
          </w:p>
        </w:tc>
        <w:tc>
          <w:tcPr>
            <w:tcW w:w="1418" w:type="dxa"/>
            <w:tcBorders>
              <w:top w:val="nil"/>
              <w:left w:val="nil"/>
              <w:bottom w:val="single" w:sz="4" w:space="0" w:color="auto"/>
              <w:right w:val="single" w:sz="4" w:space="0" w:color="auto"/>
            </w:tcBorders>
            <w:shd w:val="clear" w:color="000000" w:fill="B8CCE4"/>
            <w:hideMark/>
          </w:tcPr>
          <w:p w14:paraId="51B287D1"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DRAP/ZVAP/NJVV/ASCAP</w:t>
            </w:r>
          </w:p>
        </w:tc>
        <w:tc>
          <w:tcPr>
            <w:tcW w:w="708" w:type="dxa"/>
            <w:tcBorders>
              <w:top w:val="nil"/>
              <w:left w:val="nil"/>
              <w:bottom w:val="single" w:sz="4" w:space="0" w:color="auto"/>
              <w:right w:val="single" w:sz="4" w:space="0" w:color="auto"/>
            </w:tcBorders>
            <w:shd w:val="clear" w:color="000000" w:fill="B8CCE4"/>
            <w:hideMark/>
          </w:tcPr>
          <w:p w14:paraId="49113B7C" w14:textId="22E6F63E"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750</w:t>
            </w:r>
          </w:p>
        </w:tc>
        <w:tc>
          <w:tcPr>
            <w:tcW w:w="567" w:type="dxa"/>
            <w:tcBorders>
              <w:top w:val="nil"/>
              <w:left w:val="nil"/>
              <w:bottom w:val="single" w:sz="4" w:space="0" w:color="auto"/>
              <w:right w:val="single" w:sz="4" w:space="0" w:color="auto"/>
            </w:tcBorders>
            <w:shd w:val="clear" w:color="000000" w:fill="B8CCE4"/>
            <w:hideMark/>
          </w:tcPr>
          <w:p w14:paraId="3523E6BA" w14:textId="2E313574"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31,250</w:t>
            </w:r>
          </w:p>
        </w:tc>
        <w:tc>
          <w:tcPr>
            <w:tcW w:w="567" w:type="dxa"/>
            <w:tcBorders>
              <w:top w:val="nil"/>
              <w:left w:val="nil"/>
              <w:bottom w:val="single" w:sz="4" w:space="0" w:color="auto"/>
              <w:right w:val="single" w:sz="4" w:space="0" w:color="auto"/>
            </w:tcBorders>
            <w:shd w:val="clear" w:color="000000" w:fill="B8CCE4"/>
            <w:hideMark/>
          </w:tcPr>
          <w:p w14:paraId="3D574FE0" w14:textId="134976AA"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30,750</w:t>
            </w:r>
          </w:p>
        </w:tc>
        <w:tc>
          <w:tcPr>
            <w:tcW w:w="1134" w:type="dxa"/>
            <w:tcBorders>
              <w:top w:val="nil"/>
              <w:left w:val="nil"/>
              <w:bottom w:val="single" w:sz="4" w:space="0" w:color="auto"/>
              <w:right w:val="single" w:sz="4" w:space="0" w:color="auto"/>
            </w:tcBorders>
            <w:shd w:val="clear" w:color="000000" w:fill="B8CCE4"/>
            <w:hideMark/>
          </w:tcPr>
          <w:p w14:paraId="59A02A34" w14:textId="0DE968E9"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30,750</w:t>
            </w:r>
          </w:p>
        </w:tc>
        <w:tc>
          <w:tcPr>
            <w:tcW w:w="1615" w:type="dxa"/>
            <w:tcBorders>
              <w:top w:val="nil"/>
              <w:left w:val="nil"/>
              <w:bottom w:val="single" w:sz="4" w:space="0" w:color="auto"/>
              <w:right w:val="single" w:sz="4" w:space="0" w:color="auto"/>
            </w:tcBorders>
            <w:shd w:val="clear" w:color="000000" w:fill="B8CCE4"/>
            <w:hideMark/>
          </w:tcPr>
          <w:p w14:paraId="707FE0F5" w14:textId="64FBCC7D"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30,750</w:t>
            </w:r>
          </w:p>
        </w:tc>
      </w:tr>
      <w:tr w:rsidR="00B807EE" w:rsidRPr="00024D5A" w14:paraId="2943E380"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38EFEB31" w14:textId="4BA7E6CF"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1.4.1 Zhvillimi dhe zbatimi i programeve të detyrueshme të trajnimit fillestar dhe të vazhdueshëm për edukatorët dhe stafin ndihmës/mësuesit ndihmës me qëllim forcimin e kompetencave për arsimin gjithëpërfshirës, zhvillimin e hershëm të fëmijës me aftësi të kufizuara</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dhe identifikimin e hershëm të nevojave zhvillimore dhe arsimore (</w:t>
            </w:r>
            <w:r w:rsidR="00156D38" w:rsidRPr="00024D5A">
              <w:rPr>
                <w:rFonts w:ascii="Garamond" w:eastAsia="Times New Roman" w:hAnsi="Garamond"/>
                <w:sz w:val="6"/>
                <w:szCs w:val="16"/>
                <w:lang w:eastAsia="en-US"/>
              </w:rPr>
              <w:t>ref.</w:t>
            </w:r>
            <w:r w:rsidRPr="00024D5A">
              <w:rPr>
                <w:rFonts w:ascii="Garamond" w:eastAsia="Times New Roman" w:hAnsi="Garamond"/>
                <w:sz w:val="6"/>
                <w:szCs w:val="16"/>
                <w:lang w:eastAsia="en-US"/>
              </w:rPr>
              <w:t xml:space="preserve"> SKA Produkti A.3.2 ). A.3.2.1 Zhvillimi i moduleve të trajnimit të bazuara në standardet profesionale të mësuesit dhe në koherencë me kurrikulën bazuar në kompetenca).</w:t>
            </w:r>
          </w:p>
        </w:tc>
        <w:tc>
          <w:tcPr>
            <w:tcW w:w="567" w:type="dxa"/>
            <w:tcBorders>
              <w:top w:val="nil"/>
              <w:left w:val="nil"/>
              <w:bottom w:val="single" w:sz="4" w:space="0" w:color="auto"/>
              <w:right w:val="single" w:sz="4" w:space="0" w:color="auto"/>
            </w:tcBorders>
            <w:hideMark/>
          </w:tcPr>
          <w:p w14:paraId="671E9595"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1B5D6CB8"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6A207E6C"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ASCAP</w:t>
            </w:r>
          </w:p>
        </w:tc>
        <w:tc>
          <w:tcPr>
            <w:tcW w:w="1418" w:type="dxa"/>
            <w:tcBorders>
              <w:top w:val="nil"/>
              <w:left w:val="nil"/>
              <w:bottom w:val="single" w:sz="4" w:space="0" w:color="auto"/>
              <w:right w:val="single" w:sz="8" w:space="0" w:color="auto"/>
            </w:tcBorders>
            <w:hideMark/>
          </w:tcPr>
          <w:p w14:paraId="7B9EDC2F"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DRAP, ZVAP, NJVV</w:t>
            </w:r>
          </w:p>
        </w:tc>
        <w:tc>
          <w:tcPr>
            <w:tcW w:w="708" w:type="dxa"/>
            <w:tcBorders>
              <w:top w:val="nil"/>
              <w:left w:val="single" w:sz="4" w:space="0" w:color="auto"/>
              <w:bottom w:val="single" w:sz="4" w:space="0" w:color="auto"/>
              <w:right w:val="single" w:sz="4" w:space="0" w:color="auto"/>
            </w:tcBorders>
            <w:hideMark/>
          </w:tcPr>
          <w:p w14:paraId="1871E6F2" w14:textId="0CEDA88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750</w:t>
            </w:r>
          </w:p>
        </w:tc>
        <w:tc>
          <w:tcPr>
            <w:tcW w:w="567" w:type="dxa"/>
            <w:tcBorders>
              <w:top w:val="nil"/>
              <w:left w:val="nil"/>
              <w:bottom w:val="single" w:sz="4" w:space="0" w:color="auto"/>
              <w:right w:val="single" w:sz="4" w:space="0" w:color="auto"/>
            </w:tcBorders>
            <w:hideMark/>
          </w:tcPr>
          <w:p w14:paraId="64B58CBB" w14:textId="546CA90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750</w:t>
            </w:r>
          </w:p>
        </w:tc>
        <w:tc>
          <w:tcPr>
            <w:tcW w:w="567" w:type="dxa"/>
            <w:tcBorders>
              <w:top w:val="nil"/>
              <w:left w:val="nil"/>
              <w:bottom w:val="single" w:sz="4" w:space="0" w:color="auto"/>
              <w:right w:val="single" w:sz="4" w:space="0" w:color="auto"/>
            </w:tcBorders>
            <w:hideMark/>
          </w:tcPr>
          <w:p w14:paraId="23E4D254" w14:textId="0F40C96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750</w:t>
            </w:r>
          </w:p>
        </w:tc>
        <w:tc>
          <w:tcPr>
            <w:tcW w:w="1134" w:type="dxa"/>
            <w:tcBorders>
              <w:top w:val="nil"/>
              <w:left w:val="nil"/>
              <w:bottom w:val="single" w:sz="4" w:space="0" w:color="auto"/>
              <w:right w:val="single" w:sz="4" w:space="0" w:color="auto"/>
            </w:tcBorders>
            <w:hideMark/>
          </w:tcPr>
          <w:p w14:paraId="1C65A5AD" w14:textId="7F8F8FA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750</w:t>
            </w:r>
          </w:p>
        </w:tc>
        <w:tc>
          <w:tcPr>
            <w:tcW w:w="1615" w:type="dxa"/>
            <w:tcBorders>
              <w:top w:val="nil"/>
              <w:left w:val="nil"/>
              <w:bottom w:val="single" w:sz="4" w:space="0" w:color="auto"/>
              <w:right w:val="single" w:sz="4" w:space="0" w:color="auto"/>
            </w:tcBorders>
            <w:hideMark/>
          </w:tcPr>
          <w:p w14:paraId="0291AA6E" w14:textId="7F303BC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750</w:t>
            </w:r>
          </w:p>
        </w:tc>
      </w:tr>
      <w:tr w:rsidR="00B807EE" w:rsidRPr="00024D5A" w14:paraId="1201EC63"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2C7B7F6B" w14:textId="034E6BFE"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1.4.2 Mbështetja e mësuesve ndihmës në arsimin parashkollor si pjesë e rrjetit profesional të mësuesve ndihmës</w:t>
            </w:r>
            <w:r w:rsidR="00156D38"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18D3F527"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1670A55F"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7A84FCEF"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MA</w:t>
            </w:r>
          </w:p>
        </w:tc>
        <w:tc>
          <w:tcPr>
            <w:tcW w:w="1418" w:type="dxa"/>
            <w:tcBorders>
              <w:top w:val="nil"/>
              <w:left w:val="nil"/>
              <w:bottom w:val="single" w:sz="4" w:space="0" w:color="auto"/>
              <w:right w:val="single" w:sz="8" w:space="0" w:color="auto"/>
            </w:tcBorders>
            <w:hideMark/>
          </w:tcPr>
          <w:p w14:paraId="5AE84B58"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ASCAP</w:t>
            </w:r>
          </w:p>
        </w:tc>
        <w:tc>
          <w:tcPr>
            <w:tcW w:w="708" w:type="dxa"/>
            <w:tcBorders>
              <w:top w:val="nil"/>
              <w:left w:val="single" w:sz="4" w:space="0" w:color="auto"/>
              <w:bottom w:val="single" w:sz="4" w:space="0" w:color="auto"/>
              <w:right w:val="single" w:sz="4" w:space="0" w:color="auto"/>
            </w:tcBorders>
            <w:hideMark/>
          </w:tcPr>
          <w:p w14:paraId="1C9F45D0" w14:textId="66526FF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2546040C" w14:textId="625ED4E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0A15FEC7" w14:textId="5EE2AFC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08DBD789" w14:textId="3CB8BC7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74E861EE" w14:textId="5E25213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00DFBCB6"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6ED64E48" w14:textId="74AF9301"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1.4.3 Zhvillimi dhe zbatimi i programeve të trajnimit për prindërit/familjarët e </w:t>
            </w:r>
            <w:r w:rsidR="00156D38" w:rsidRPr="00024D5A">
              <w:rPr>
                <w:rFonts w:ascii="Garamond" w:eastAsia="Times New Roman" w:hAnsi="Garamond"/>
                <w:sz w:val="6"/>
                <w:szCs w:val="16"/>
                <w:lang w:eastAsia="en-US"/>
              </w:rPr>
              <w:t>fëmijëve</w:t>
            </w:r>
            <w:r w:rsidRPr="00024D5A">
              <w:rPr>
                <w:rFonts w:ascii="Garamond" w:eastAsia="Times New Roman" w:hAnsi="Garamond"/>
                <w:sz w:val="6"/>
                <w:szCs w:val="16"/>
                <w:lang w:eastAsia="en-US"/>
              </w:rPr>
              <w:t xml:space="preserve"> me aftësi të kufizuara</w:t>
            </w:r>
            <w:r w:rsidR="00156D38"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me qëllim bashkëpunimin me kopshtet dhe institucionet arsimore</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për zhvillimin dhe edukimin e hershëm të fëmijës dhe identifikimin e hershëm të nevojave</w:t>
            </w:r>
            <w:r w:rsidR="00156D38"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2E860277"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567" w:type="dxa"/>
            <w:tcBorders>
              <w:top w:val="nil"/>
              <w:left w:val="nil"/>
              <w:bottom w:val="single" w:sz="4" w:space="0" w:color="auto"/>
              <w:right w:val="single" w:sz="4" w:space="0" w:color="auto"/>
            </w:tcBorders>
            <w:hideMark/>
          </w:tcPr>
          <w:p w14:paraId="66194EB1"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73ECD6BB"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ASCAP, AKAP, NJVV</w:t>
            </w:r>
          </w:p>
        </w:tc>
        <w:tc>
          <w:tcPr>
            <w:tcW w:w="1418" w:type="dxa"/>
            <w:tcBorders>
              <w:top w:val="nil"/>
              <w:left w:val="nil"/>
              <w:bottom w:val="single" w:sz="4" w:space="0" w:color="auto"/>
              <w:right w:val="single" w:sz="8" w:space="0" w:color="auto"/>
            </w:tcBorders>
            <w:hideMark/>
          </w:tcPr>
          <w:p w14:paraId="5FF6BC7E"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DRAP, ZVAP, NJVV</w:t>
            </w:r>
          </w:p>
        </w:tc>
        <w:tc>
          <w:tcPr>
            <w:tcW w:w="708" w:type="dxa"/>
            <w:tcBorders>
              <w:top w:val="nil"/>
              <w:left w:val="single" w:sz="4" w:space="0" w:color="auto"/>
              <w:bottom w:val="single" w:sz="4" w:space="0" w:color="auto"/>
              <w:right w:val="single" w:sz="4" w:space="0" w:color="auto"/>
            </w:tcBorders>
            <w:hideMark/>
          </w:tcPr>
          <w:p w14:paraId="17AA11A8" w14:textId="0BD6D38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72741260" w14:textId="119D4F5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30,500</w:t>
            </w:r>
          </w:p>
        </w:tc>
        <w:tc>
          <w:tcPr>
            <w:tcW w:w="567" w:type="dxa"/>
            <w:tcBorders>
              <w:top w:val="nil"/>
              <w:left w:val="nil"/>
              <w:bottom w:val="single" w:sz="4" w:space="0" w:color="auto"/>
              <w:right w:val="single" w:sz="4" w:space="0" w:color="auto"/>
            </w:tcBorders>
            <w:hideMark/>
          </w:tcPr>
          <w:p w14:paraId="69F1DD7D" w14:textId="461B952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30,000</w:t>
            </w:r>
          </w:p>
        </w:tc>
        <w:tc>
          <w:tcPr>
            <w:tcW w:w="1134" w:type="dxa"/>
            <w:tcBorders>
              <w:top w:val="nil"/>
              <w:left w:val="nil"/>
              <w:bottom w:val="single" w:sz="4" w:space="0" w:color="auto"/>
              <w:right w:val="single" w:sz="4" w:space="0" w:color="auto"/>
            </w:tcBorders>
            <w:hideMark/>
          </w:tcPr>
          <w:p w14:paraId="7ECB04E9" w14:textId="29E401E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30,000</w:t>
            </w:r>
          </w:p>
        </w:tc>
        <w:tc>
          <w:tcPr>
            <w:tcW w:w="1615" w:type="dxa"/>
            <w:tcBorders>
              <w:top w:val="nil"/>
              <w:left w:val="nil"/>
              <w:bottom w:val="single" w:sz="4" w:space="0" w:color="auto"/>
              <w:right w:val="single" w:sz="4" w:space="0" w:color="auto"/>
            </w:tcBorders>
            <w:hideMark/>
          </w:tcPr>
          <w:p w14:paraId="4D884C30" w14:textId="56B8361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30,000</w:t>
            </w:r>
          </w:p>
        </w:tc>
      </w:tr>
      <w:tr w:rsidR="00B807EE" w:rsidRPr="00024D5A" w14:paraId="3E39DB26" w14:textId="77777777" w:rsidTr="002B321E">
        <w:trPr>
          <w:trHeight w:val="20"/>
        </w:trPr>
        <w:tc>
          <w:tcPr>
            <w:tcW w:w="4673" w:type="dxa"/>
            <w:tcBorders>
              <w:top w:val="nil"/>
              <w:left w:val="single" w:sz="4" w:space="0" w:color="auto"/>
              <w:bottom w:val="single" w:sz="4" w:space="0" w:color="auto"/>
              <w:right w:val="nil"/>
            </w:tcBorders>
            <w:shd w:val="clear" w:color="000000" w:fill="FDE9D9"/>
            <w:hideMark/>
          </w:tcPr>
          <w:p w14:paraId="22573B7B" w14:textId="54F9C722"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Objektivi </w:t>
            </w:r>
            <w:r w:rsidR="00156D38" w:rsidRPr="00024D5A">
              <w:rPr>
                <w:rFonts w:ascii="Garamond" w:eastAsia="Times New Roman" w:hAnsi="Garamond"/>
                <w:b/>
                <w:bCs/>
                <w:sz w:val="6"/>
                <w:szCs w:val="16"/>
                <w:lang w:eastAsia="en-US"/>
              </w:rPr>
              <w:t xml:space="preserve">specifik </w:t>
            </w:r>
            <w:r w:rsidRPr="00024D5A">
              <w:rPr>
                <w:rFonts w:ascii="Garamond" w:eastAsia="Times New Roman" w:hAnsi="Garamond"/>
                <w:b/>
                <w:bCs/>
                <w:sz w:val="6"/>
                <w:szCs w:val="16"/>
                <w:lang w:eastAsia="en-US"/>
              </w:rPr>
              <w:t>2</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Garantimi i arsimit parauniversitar gjithëpërfshirës, cilësor dhe të barabartë për nxënësit me aftësi të kufizuara.</w:t>
            </w:r>
          </w:p>
        </w:tc>
        <w:tc>
          <w:tcPr>
            <w:tcW w:w="567" w:type="dxa"/>
            <w:tcBorders>
              <w:top w:val="nil"/>
              <w:left w:val="single" w:sz="4" w:space="0" w:color="auto"/>
              <w:bottom w:val="single" w:sz="4" w:space="0" w:color="auto"/>
              <w:right w:val="single" w:sz="4" w:space="0" w:color="auto"/>
            </w:tcBorders>
            <w:shd w:val="clear" w:color="000000" w:fill="FDE9D9"/>
            <w:hideMark/>
          </w:tcPr>
          <w:p w14:paraId="07919B5B"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shd w:val="clear" w:color="000000" w:fill="FDE9D9"/>
            <w:hideMark/>
          </w:tcPr>
          <w:p w14:paraId="78019D7A"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shd w:val="clear" w:color="000000" w:fill="FDE9D9"/>
            <w:hideMark/>
          </w:tcPr>
          <w:p w14:paraId="71034857" w14:textId="77FD1EE2"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MA/MPV/ASCAP/AKAP/ZVA/MA/MPV</w:t>
            </w:r>
          </w:p>
        </w:tc>
        <w:tc>
          <w:tcPr>
            <w:tcW w:w="1418" w:type="dxa"/>
            <w:tcBorders>
              <w:top w:val="nil"/>
              <w:left w:val="nil"/>
              <w:bottom w:val="single" w:sz="4" w:space="0" w:color="auto"/>
              <w:right w:val="single" w:sz="8" w:space="0" w:color="auto"/>
            </w:tcBorders>
            <w:shd w:val="clear" w:color="000000" w:fill="FDE9D9"/>
            <w:hideMark/>
          </w:tcPr>
          <w:p w14:paraId="25FB3329" w14:textId="083B259A"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DRAP</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ZVAP/NJVV/DROSHKSH/KMD</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AKAP/NJVV/ASCAP/ZVAP/AP</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MSHMS</w:t>
            </w:r>
          </w:p>
        </w:tc>
        <w:tc>
          <w:tcPr>
            <w:tcW w:w="708" w:type="dxa"/>
            <w:tcBorders>
              <w:top w:val="nil"/>
              <w:left w:val="single" w:sz="4" w:space="0" w:color="auto"/>
              <w:bottom w:val="single" w:sz="4" w:space="0" w:color="auto"/>
              <w:right w:val="single" w:sz="4" w:space="0" w:color="auto"/>
            </w:tcBorders>
            <w:shd w:val="clear" w:color="000000" w:fill="FDE9D9"/>
            <w:hideMark/>
          </w:tcPr>
          <w:p w14:paraId="30E6619F" w14:textId="4B4CDF1B"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242,260</w:t>
            </w:r>
          </w:p>
        </w:tc>
        <w:tc>
          <w:tcPr>
            <w:tcW w:w="567" w:type="dxa"/>
            <w:tcBorders>
              <w:top w:val="nil"/>
              <w:left w:val="nil"/>
              <w:bottom w:val="single" w:sz="4" w:space="0" w:color="auto"/>
              <w:right w:val="single" w:sz="4" w:space="0" w:color="auto"/>
            </w:tcBorders>
            <w:shd w:val="clear" w:color="000000" w:fill="FDE9D9"/>
            <w:hideMark/>
          </w:tcPr>
          <w:p w14:paraId="113BCD4F" w14:textId="3652D6CD"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316,465</w:t>
            </w:r>
          </w:p>
        </w:tc>
        <w:tc>
          <w:tcPr>
            <w:tcW w:w="567" w:type="dxa"/>
            <w:tcBorders>
              <w:top w:val="nil"/>
              <w:left w:val="nil"/>
              <w:bottom w:val="single" w:sz="4" w:space="0" w:color="auto"/>
              <w:right w:val="single" w:sz="4" w:space="0" w:color="auto"/>
            </w:tcBorders>
            <w:shd w:val="clear" w:color="000000" w:fill="FDE9D9"/>
            <w:hideMark/>
          </w:tcPr>
          <w:p w14:paraId="3E3FFA2F" w14:textId="694DADFE"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390,132</w:t>
            </w:r>
          </w:p>
        </w:tc>
        <w:tc>
          <w:tcPr>
            <w:tcW w:w="1134" w:type="dxa"/>
            <w:tcBorders>
              <w:top w:val="nil"/>
              <w:left w:val="nil"/>
              <w:bottom w:val="single" w:sz="4" w:space="0" w:color="auto"/>
              <w:right w:val="single" w:sz="4" w:space="0" w:color="auto"/>
            </w:tcBorders>
            <w:shd w:val="clear" w:color="000000" w:fill="FDE9D9"/>
            <w:hideMark/>
          </w:tcPr>
          <w:p w14:paraId="376DB68A" w14:textId="28D3553D"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443,451</w:t>
            </w:r>
          </w:p>
        </w:tc>
        <w:tc>
          <w:tcPr>
            <w:tcW w:w="1615" w:type="dxa"/>
            <w:tcBorders>
              <w:top w:val="nil"/>
              <w:left w:val="nil"/>
              <w:bottom w:val="single" w:sz="4" w:space="0" w:color="auto"/>
              <w:right w:val="single" w:sz="4" w:space="0" w:color="auto"/>
            </w:tcBorders>
            <w:shd w:val="clear" w:color="000000" w:fill="FDE9D9"/>
            <w:hideMark/>
          </w:tcPr>
          <w:p w14:paraId="0700A155" w14:textId="3159381C"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496,552</w:t>
            </w:r>
          </w:p>
        </w:tc>
      </w:tr>
      <w:tr w:rsidR="00B807EE" w:rsidRPr="00024D5A" w14:paraId="50974268"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DCE6F1"/>
            <w:hideMark/>
          </w:tcPr>
          <w:p w14:paraId="4C990D28" w14:textId="3775A578"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Masa </w:t>
            </w:r>
            <w:r w:rsidR="00156D38" w:rsidRPr="00024D5A">
              <w:rPr>
                <w:rFonts w:ascii="Garamond" w:eastAsia="Times New Roman" w:hAnsi="Garamond"/>
                <w:b/>
                <w:bCs/>
                <w:sz w:val="6"/>
                <w:szCs w:val="16"/>
                <w:lang w:eastAsia="en-US"/>
              </w:rPr>
              <w:t xml:space="preserve">prioritare </w:t>
            </w:r>
            <w:r w:rsidRPr="00024D5A">
              <w:rPr>
                <w:rFonts w:ascii="Garamond" w:eastAsia="Times New Roman" w:hAnsi="Garamond"/>
                <w:b/>
                <w:bCs/>
                <w:sz w:val="6"/>
                <w:szCs w:val="16"/>
                <w:lang w:eastAsia="en-US"/>
              </w:rPr>
              <w:t>2.1</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Kuadër ligjor, institucional dhe mekanizma të qeverisjes për arsimin parauniversitar gjithëpërfshirës.</w:t>
            </w:r>
          </w:p>
        </w:tc>
        <w:tc>
          <w:tcPr>
            <w:tcW w:w="567" w:type="dxa"/>
            <w:tcBorders>
              <w:top w:val="nil"/>
              <w:left w:val="nil"/>
              <w:bottom w:val="single" w:sz="4" w:space="0" w:color="auto"/>
              <w:right w:val="single" w:sz="4" w:space="0" w:color="auto"/>
            </w:tcBorders>
            <w:shd w:val="clear" w:color="000000" w:fill="DCE6F1"/>
            <w:hideMark/>
          </w:tcPr>
          <w:p w14:paraId="269A94E5"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shd w:val="clear" w:color="000000" w:fill="DCE6F1"/>
            <w:hideMark/>
          </w:tcPr>
          <w:p w14:paraId="134ED51C"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shd w:val="clear" w:color="000000" w:fill="DCE6F1"/>
            <w:hideMark/>
          </w:tcPr>
          <w:p w14:paraId="52524453" w14:textId="00EBE9FB"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MA/MPV</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ASCAP/AKAP/MSHMS</w:t>
            </w:r>
          </w:p>
        </w:tc>
        <w:tc>
          <w:tcPr>
            <w:tcW w:w="1418" w:type="dxa"/>
            <w:tcBorders>
              <w:top w:val="nil"/>
              <w:left w:val="nil"/>
              <w:bottom w:val="single" w:sz="4" w:space="0" w:color="auto"/>
              <w:right w:val="single" w:sz="8" w:space="0" w:color="auto"/>
            </w:tcBorders>
            <w:shd w:val="clear" w:color="000000" w:fill="DCE6F1"/>
            <w:hideMark/>
          </w:tcPr>
          <w:p w14:paraId="391403FD" w14:textId="7D2DAD6B"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DRAP</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ZVAP/NJVV/DROSHKSH/KMD</w:t>
            </w:r>
            <w:r w:rsidR="007675EC" w:rsidRPr="00024D5A">
              <w:rPr>
                <w:rFonts w:ascii="Garamond" w:eastAsia="Times New Roman" w:hAnsi="Garamond"/>
                <w:b/>
                <w:bCs/>
                <w:sz w:val="6"/>
                <w:szCs w:val="16"/>
                <w:lang w:eastAsia="en-US"/>
              </w:rPr>
              <w:t>/</w:t>
            </w:r>
          </w:p>
        </w:tc>
        <w:tc>
          <w:tcPr>
            <w:tcW w:w="708" w:type="dxa"/>
            <w:tcBorders>
              <w:top w:val="nil"/>
              <w:left w:val="single" w:sz="4" w:space="0" w:color="auto"/>
              <w:bottom w:val="single" w:sz="4" w:space="0" w:color="auto"/>
              <w:right w:val="single" w:sz="4" w:space="0" w:color="auto"/>
            </w:tcBorders>
            <w:shd w:val="clear" w:color="000000" w:fill="C5D9F1"/>
            <w:noWrap/>
            <w:hideMark/>
          </w:tcPr>
          <w:p w14:paraId="4FE9C099" w14:textId="5A18BF0A"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611</w:t>
            </w:r>
          </w:p>
        </w:tc>
        <w:tc>
          <w:tcPr>
            <w:tcW w:w="567" w:type="dxa"/>
            <w:tcBorders>
              <w:top w:val="nil"/>
              <w:left w:val="nil"/>
              <w:bottom w:val="single" w:sz="4" w:space="0" w:color="auto"/>
              <w:right w:val="single" w:sz="4" w:space="0" w:color="auto"/>
            </w:tcBorders>
            <w:shd w:val="clear" w:color="000000" w:fill="C5D9F1"/>
            <w:noWrap/>
            <w:hideMark/>
          </w:tcPr>
          <w:p w14:paraId="558E968E" w14:textId="187FCBA5"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611</w:t>
            </w:r>
          </w:p>
        </w:tc>
        <w:tc>
          <w:tcPr>
            <w:tcW w:w="567" w:type="dxa"/>
            <w:tcBorders>
              <w:top w:val="nil"/>
              <w:left w:val="nil"/>
              <w:bottom w:val="single" w:sz="4" w:space="0" w:color="auto"/>
              <w:right w:val="single" w:sz="4" w:space="0" w:color="auto"/>
            </w:tcBorders>
            <w:shd w:val="clear" w:color="000000" w:fill="C5D9F1"/>
            <w:noWrap/>
            <w:hideMark/>
          </w:tcPr>
          <w:p w14:paraId="5A32B1C8" w14:textId="0EF97A7B"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73</w:t>
            </w:r>
          </w:p>
        </w:tc>
        <w:tc>
          <w:tcPr>
            <w:tcW w:w="1134" w:type="dxa"/>
            <w:tcBorders>
              <w:top w:val="nil"/>
              <w:left w:val="nil"/>
              <w:bottom w:val="single" w:sz="4" w:space="0" w:color="auto"/>
              <w:right w:val="single" w:sz="4" w:space="0" w:color="auto"/>
            </w:tcBorders>
            <w:shd w:val="clear" w:color="000000" w:fill="C5D9F1"/>
            <w:noWrap/>
            <w:hideMark/>
          </w:tcPr>
          <w:p w14:paraId="65DB2A95" w14:textId="0E3B39B9"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73</w:t>
            </w:r>
          </w:p>
        </w:tc>
        <w:tc>
          <w:tcPr>
            <w:tcW w:w="1615" w:type="dxa"/>
            <w:tcBorders>
              <w:top w:val="nil"/>
              <w:left w:val="nil"/>
              <w:bottom w:val="single" w:sz="4" w:space="0" w:color="auto"/>
              <w:right w:val="single" w:sz="4" w:space="0" w:color="auto"/>
            </w:tcBorders>
            <w:shd w:val="clear" w:color="000000" w:fill="C5D9F1"/>
            <w:noWrap/>
            <w:hideMark/>
          </w:tcPr>
          <w:p w14:paraId="23FD89AC" w14:textId="63BE1BE7"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73</w:t>
            </w:r>
          </w:p>
        </w:tc>
      </w:tr>
      <w:tr w:rsidR="00B807EE" w:rsidRPr="00024D5A" w14:paraId="67A7B7B6"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55DB6F17"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2.1.1 Rishikimi dhe përmirësimi i akteve nënligjore dhe udhëzimeve për zbatimin e arsimit parauniversitar gjithëpërfshirës, bazuar në parimet e barazisë dhe mosdiskriminimit.</w:t>
            </w:r>
          </w:p>
        </w:tc>
        <w:tc>
          <w:tcPr>
            <w:tcW w:w="567" w:type="dxa"/>
            <w:tcBorders>
              <w:top w:val="nil"/>
              <w:left w:val="nil"/>
              <w:bottom w:val="single" w:sz="4" w:space="0" w:color="auto"/>
              <w:right w:val="single" w:sz="4" w:space="0" w:color="auto"/>
            </w:tcBorders>
            <w:hideMark/>
          </w:tcPr>
          <w:p w14:paraId="5E41A0FE"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16CA0FBC"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1134" w:type="dxa"/>
            <w:tcBorders>
              <w:top w:val="nil"/>
              <w:left w:val="nil"/>
              <w:bottom w:val="single" w:sz="4" w:space="0" w:color="auto"/>
              <w:right w:val="single" w:sz="4" w:space="0" w:color="auto"/>
            </w:tcBorders>
            <w:hideMark/>
          </w:tcPr>
          <w:p w14:paraId="60CA6282"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MA</w:t>
            </w:r>
          </w:p>
        </w:tc>
        <w:tc>
          <w:tcPr>
            <w:tcW w:w="1418" w:type="dxa"/>
            <w:tcBorders>
              <w:top w:val="nil"/>
              <w:left w:val="nil"/>
              <w:bottom w:val="single" w:sz="4" w:space="0" w:color="auto"/>
              <w:right w:val="single" w:sz="8" w:space="0" w:color="auto"/>
            </w:tcBorders>
            <w:hideMark/>
          </w:tcPr>
          <w:p w14:paraId="4F31EC71"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DRAP, ZVAP, NJVV, DROSHKSH, KMD</w:t>
            </w:r>
          </w:p>
        </w:tc>
        <w:tc>
          <w:tcPr>
            <w:tcW w:w="708" w:type="dxa"/>
            <w:tcBorders>
              <w:top w:val="nil"/>
              <w:left w:val="single" w:sz="4" w:space="0" w:color="auto"/>
              <w:bottom w:val="single" w:sz="4" w:space="0" w:color="auto"/>
              <w:right w:val="single" w:sz="4" w:space="0" w:color="auto"/>
            </w:tcBorders>
            <w:hideMark/>
          </w:tcPr>
          <w:p w14:paraId="49489560" w14:textId="5815FD3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231</w:t>
            </w:r>
          </w:p>
        </w:tc>
        <w:tc>
          <w:tcPr>
            <w:tcW w:w="567" w:type="dxa"/>
            <w:tcBorders>
              <w:top w:val="nil"/>
              <w:left w:val="nil"/>
              <w:bottom w:val="single" w:sz="4" w:space="0" w:color="auto"/>
              <w:right w:val="single" w:sz="4" w:space="0" w:color="auto"/>
            </w:tcBorders>
            <w:hideMark/>
          </w:tcPr>
          <w:p w14:paraId="0097540D" w14:textId="21EBEE3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231</w:t>
            </w:r>
          </w:p>
        </w:tc>
        <w:tc>
          <w:tcPr>
            <w:tcW w:w="567" w:type="dxa"/>
            <w:tcBorders>
              <w:top w:val="nil"/>
              <w:left w:val="nil"/>
              <w:bottom w:val="single" w:sz="4" w:space="0" w:color="auto"/>
              <w:right w:val="single" w:sz="4" w:space="0" w:color="auto"/>
            </w:tcBorders>
            <w:hideMark/>
          </w:tcPr>
          <w:p w14:paraId="488037D6" w14:textId="1753457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79EAE0A9" w14:textId="320C46D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42B9A97B" w14:textId="61EE766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52A0ACDE"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283FADC4" w14:textId="258B0EB1"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2.1.2 Forcimi i mekanizmave të koordinimit ndërinstitucional ndërmjet MA, MPV</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 xml:space="preserve">dhe MSHMS përmes realizimit të një marrëveshje </w:t>
            </w:r>
            <w:r w:rsidR="00156D38" w:rsidRPr="00024D5A">
              <w:rPr>
                <w:rFonts w:ascii="Garamond" w:eastAsia="Times New Roman" w:hAnsi="Garamond"/>
                <w:sz w:val="6"/>
                <w:szCs w:val="16"/>
                <w:lang w:eastAsia="en-US"/>
              </w:rPr>
              <w:t>bashkëpunimi</w:t>
            </w:r>
            <w:r w:rsidRPr="00024D5A">
              <w:rPr>
                <w:rFonts w:ascii="Garamond" w:eastAsia="Times New Roman" w:hAnsi="Garamond"/>
                <w:sz w:val="6"/>
                <w:szCs w:val="16"/>
                <w:lang w:eastAsia="en-US"/>
              </w:rPr>
              <w:t xml:space="preserve"> për të identifikuar,</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referuar përmes një qasje të integruar, nevojat e nxënësve me aftësi të kufizuara.</w:t>
            </w:r>
          </w:p>
        </w:tc>
        <w:tc>
          <w:tcPr>
            <w:tcW w:w="567" w:type="dxa"/>
            <w:tcBorders>
              <w:top w:val="nil"/>
              <w:left w:val="nil"/>
              <w:bottom w:val="single" w:sz="4" w:space="0" w:color="auto"/>
              <w:right w:val="single" w:sz="4" w:space="0" w:color="auto"/>
            </w:tcBorders>
            <w:hideMark/>
          </w:tcPr>
          <w:p w14:paraId="2DF9FA37"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6A00EACB"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1134" w:type="dxa"/>
            <w:tcBorders>
              <w:top w:val="nil"/>
              <w:left w:val="nil"/>
              <w:bottom w:val="single" w:sz="4" w:space="0" w:color="auto"/>
              <w:right w:val="single" w:sz="4" w:space="0" w:color="auto"/>
            </w:tcBorders>
            <w:hideMark/>
          </w:tcPr>
          <w:p w14:paraId="403C4D48"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MA, MPV MSHMS</w:t>
            </w:r>
          </w:p>
        </w:tc>
        <w:tc>
          <w:tcPr>
            <w:tcW w:w="1418" w:type="dxa"/>
            <w:tcBorders>
              <w:top w:val="nil"/>
              <w:left w:val="nil"/>
              <w:bottom w:val="single" w:sz="4" w:space="0" w:color="auto"/>
              <w:right w:val="single" w:sz="8" w:space="0" w:color="auto"/>
            </w:tcBorders>
            <w:hideMark/>
          </w:tcPr>
          <w:p w14:paraId="646D8D55"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DRAP, ZVAP, NJVV,</w:t>
            </w:r>
          </w:p>
        </w:tc>
        <w:tc>
          <w:tcPr>
            <w:tcW w:w="708" w:type="dxa"/>
            <w:tcBorders>
              <w:top w:val="nil"/>
              <w:left w:val="single" w:sz="4" w:space="0" w:color="auto"/>
              <w:bottom w:val="single" w:sz="4" w:space="0" w:color="auto"/>
              <w:right w:val="single" w:sz="4" w:space="0" w:color="auto"/>
            </w:tcBorders>
            <w:hideMark/>
          </w:tcPr>
          <w:p w14:paraId="59D3EF56" w14:textId="3AD848C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182</w:t>
            </w:r>
          </w:p>
        </w:tc>
        <w:tc>
          <w:tcPr>
            <w:tcW w:w="567" w:type="dxa"/>
            <w:tcBorders>
              <w:top w:val="nil"/>
              <w:left w:val="nil"/>
              <w:bottom w:val="single" w:sz="4" w:space="0" w:color="auto"/>
              <w:right w:val="single" w:sz="4" w:space="0" w:color="auto"/>
            </w:tcBorders>
            <w:hideMark/>
          </w:tcPr>
          <w:p w14:paraId="3291A0F1" w14:textId="769A86A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182</w:t>
            </w:r>
          </w:p>
        </w:tc>
        <w:tc>
          <w:tcPr>
            <w:tcW w:w="567" w:type="dxa"/>
            <w:tcBorders>
              <w:top w:val="nil"/>
              <w:left w:val="nil"/>
              <w:bottom w:val="single" w:sz="4" w:space="0" w:color="auto"/>
              <w:right w:val="single" w:sz="4" w:space="0" w:color="auto"/>
            </w:tcBorders>
            <w:hideMark/>
          </w:tcPr>
          <w:p w14:paraId="17D80A35" w14:textId="67CB56B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560C3FC3" w14:textId="402DEB4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2EF6F1A2" w14:textId="3933DBE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2049C272"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7914926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2.1.3 Rishikimi i mekanizmave të monitorimit, raportimit dhe llogaridhënies për zbatimin e arsimit parauniversitar gjithëpërfshirës. Integrimi i indikatorëve të aksesit, përfshirë indikatorët gjinorë, llojeve të aftësisë së kufizuar, të aksesueshmërisë, cilësisë, mbështetjes individuale dhe rezultateve arsimore në sistemet e monitorimit. Realizimi i monitorimeve dhe raportimeve periodike.</w:t>
            </w:r>
          </w:p>
        </w:tc>
        <w:tc>
          <w:tcPr>
            <w:tcW w:w="567" w:type="dxa"/>
            <w:tcBorders>
              <w:top w:val="nil"/>
              <w:left w:val="nil"/>
              <w:bottom w:val="single" w:sz="4" w:space="0" w:color="auto"/>
              <w:right w:val="single" w:sz="4" w:space="0" w:color="auto"/>
            </w:tcBorders>
            <w:hideMark/>
          </w:tcPr>
          <w:p w14:paraId="25410D0D"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4B9E75D4"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191B1225"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MA, ASCAP, AKAP</w:t>
            </w:r>
          </w:p>
        </w:tc>
        <w:tc>
          <w:tcPr>
            <w:tcW w:w="1418" w:type="dxa"/>
            <w:tcBorders>
              <w:top w:val="nil"/>
              <w:left w:val="nil"/>
              <w:bottom w:val="single" w:sz="4" w:space="0" w:color="auto"/>
              <w:right w:val="single" w:sz="8" w:space="0" w:color="auto"/>
            </w:tcBorders>
            <w:hideMark/>
          </w:tcPr>
          <w:p w14:paraId="3E93DDE6"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DRAP, ZVAP, IAP</w:t>
            </w:r>
          </w:p>
        </w:tc>
        <w:tc>
          <w:tcPr>
            <w:tcW w:w="708" w:type="dxa"/>
            <w:tcBorders>
              <w:top w:val="nil"/>
              <w:left w:val="single" w:sz="4" w:space="0" w:color="auto"/>
              <w:bottom w:val="single" w:sz="4" w:space="0" w:color="auto"/>
              <w:right w:val="single" w:sz="4" w:space="0" w:color="auto"/>
            </w:tcBorders>
            <w:hideMark/>
          </w:tcPr>
          <w:p w14:paraId="49B48CD5" w14:textId="4790B8D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198</w:t>
            </w:r>
          </w:p>
        </w:tc>
        <w:tc>
          <w:tcPr>
            <w:tcW w:w="567" w:type="dxa"/>
            <w:tcBorders>
              <w:top w:val="nil"/>
              <w:left w:val="nil"/>
              <w:bottom w:val="single" w:sz="4" w:space="0" w:color="auto"/>
              <w:right w:val="single" w:sz="4" w:space="0" w:color="auto"/>
            </w:tcBorders>
            <w:hideMark/>
          </w:tcPr>
          <w:p w14:paraId="2E8B9DC6" w14:textId="580D938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198</w:t>
            </w:r>
          </w:p>
        </w:tc>
        <w:tc>
          <w:tcPr>
            <w:tcW w:w="567" w:type="dxa"/>
            <w:tcBorders>
              <w:top w:val="nil"/>
              <w:left w:val="nil"/>
              <w:bottom w:val="single" w:sz="4" w:space="0" w:color="auto"/>
              <w:right w:val="single" w:sz="4" w:space="0" w:color="auto"/>
            </w:tcBorders>
            <w:hideMark/>
          </w:tcPr>
          <w:p w14:paraId="3D3078F7" w14:textId="21213C2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73</w:t>
            </w:r>
          </w:p>
        </w:tc>
        <w:tc>
          <w:tcPr>
            <w:tcW w:w="1134" w:type="dxa"/>
            <w:tcBorders>
              <w:top w:val="nil"/>
              <w:left w:val="nil"/>
              <w:bottom w:val="single" w:sz="4" w:space="0" w:color="auto"/>
              <w:right w:val="single" w:sz="4" w:space="0" w:color="auto"/>
            </w:tcBorders>
            <w:hideMark/>
          </w:tcPr>
          <w:p w14:paraId="079D72E0" w14:textId="2F4ADBE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73</w:t>
            </w:r>
          </w:p>
        </w:tc>
        <w:tc>
          <w:tcPr>
            <w:tcW w:w="1615" w:type="dxa"/>
            <w:tcBorders>
              <w:top w:val="nil"/>
              <w:left w:val="nil"/>
              <w:bottom w:val="single" w:sz="4" w:space="0" w:color="auto"/>
              <w:right w:val="single" w:sz="4" w:space="0" w:color="auto"/>
            </w:tcBorders>
            <w:hideMark/>
          </w:tcPr>
          <w:p w14:paraId="3E4CB85E" w14:textId="2DD22D6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73</w:t>
            </w:r>
          </w:p>
        </w:tc>
      </w:tr>
      <w:tr w:rsidR="00B807EE" w:rsidRPr="00024D5A" w14:paraId="0B5AB071"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DCE6F1"/>
            <w:hideMark/>
          </w:tcPr>
          <w:p w14:paraId="48B55027" w14:textId="3759B74C"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Masa Prioritare 2.2</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Identifikim i hershëm, vlerësim multidisiplinar dhe planifikim arsimor i individualizuar për nxënësit me aftësi të kufizuara.</w:t>
            </w:r>
          </w:p>
        </w:tc>
        <w:tc>
          <w:tcPr>
            <w:tcW w:w="567" w:type="dxa"/>
            <w:tcBorders>
              <w:top w:val="nil"/>
              <w:left w:val="nil"/>
              <w:bottom w:val="single" w:sz="4" w:space="0" w:color="auto"/>
              <w:right w:val="single" w:sz="4" w:space="0" w:color="auto"/>
            </w:tcBorders>
            <w:shd w:val="clear" w:color="000000" w:fill="DCE6F1"/>
            <w:hideMark/>
          </w:tcPr>
          <w:p w14:paraId="6ED0BF9B"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shd w:val="clear" w:color="000000" w:fill="DCE6F1"/>
            <w:hideMark/>
          </w:tcPr>
          <w:p w14:paraId="59539C8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shd w:val="clear" w:color="000000" w:fill="DCE6F1"/>
            <w:hideMark/>
          </w:tcPr>
          <w:p w14:paraId="77A91DF1" w14:textId="56793C23"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AKAP</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DRAP</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ZVAP/MA</w:t>
            </w:r>
          </w:p>
        </w:tc>
        <w:tc>
          <w:tcPr>
            <w:tcW w:w="1418" w:type="dxa"/>
            <w:tcBorders>
              <w:top w:val="nil"/>
              <w:left w:val="nil"/>
              <w:bottom w:val="single" w:sz="4" w:space="0" w:color="auto"/>
              <w:right w:val="single" w:sz="8" w:space="0" w:color="auto"/>
            </w:tcBorders>
            <w:shd w:val="clear" w:color="000000" w:fill="DCE6F1"/>
            <w:hideMark/>
          </w:tcPr>
          <w:p w14:paraId="2DEE8F27" w14:textId="56D132A2"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AKAP/DRAP</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ZVAP/NJVV</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DROSHKSH/IAP/AKAP/ASCAP</w:t>
            </w:r>
          </w:p>
        </w:tc>
        <w:tc>
          <w:tcPr>
            <w:tcW w:w="708" w:type="dxa"/>
            <w:tcBorders>
              <w:top w:val="nil"/>
              <w:left w:val="single" w:sz="4" w:space="0" w:color="auto"/>
              <w:bottom w:val="single" w:sz="4" w:space="0" w:color="auto"/>
              <w:right w:val="single" w:sz="4" w:space="0" w:color="auto"/>
            </w:tcBorders>
            <w:shd w:val="clear" w:color="000000" w:fill="C5D9F1"/>
            <w:noWrap/>
            <w:hideMark/>
          </w:tcPr>
          <w:p w14:paraId="33F69486" w14:textId="62D5A897"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218</w:t>
            </w:r>
          </w:p>
        </w:tc>
        <w:tc>
          <w:tcPr>
            <w:tcW w:w="567" w:type="dxa"/>
            <w:tcBorders>
              <w:top w:val="nil"/>
              <w:left w:val="nil"/>
              <w:bottom w:val="single" w:sz="4" w:space="0" w:color="auto"/>
              <w:right w:val="single" w:sz="4" w:space="0" w:color="auto"/>
            </w:tcBorders>
            <w:shd w:val="clear" w:color="000000" w:fill="C5D9F1"/>
            <w:noWrap/>
            <w:hideMark/>
          </w:tcPr>
          <w:p w14:paraId="15ACABDA" w14:textId="6D14941F"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218</w:t>
            </w:r>
          </w:p>
        </w:tc>
        <w:tc>
          <w:tcPr>
            <w:tcW w:w="567" w:type="dxa"/>
            <w:tcBorders>
              <w:top w:val="nil"/>
              <w:left w:val="nil"/>
              <w:bottom w:val="single" w:sz="4" w:space="0" w:color="auto"/>
              <w:right w:val="single" w:sz="4" w:space="0" w:color="auto"/>
            </w:tcBorders>
            <w:shd w:val="clear" w:color="000000" w:fill="C5D9F1"/>
            <w:noWrap/>
            <w:hideMark/>
          </w:tcPr>
          <w:p w14:paraId="1C499580" w14:textId="50ED91ED"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218</w:t>
            </w:r>
          </w:p>
        </w:tc>
        <w:tc>
          <w:tcPr>
            <w:tcW w:w="1134" w:type="dxa"/>
            <w:tcBorders>
              <w:top w:val="nil"/>
              <w:left w:val="nil"/>
              <w:bottom w:val="single" w:sz="4" w:space="0" w:color="auto"/>
              <w:right w:val="single" w:sz="4" w:space="0" w:color="auto"/>
            </w:tcBorders>
            <w:shd w:val="clear" w:color="000000" w:fill="C5D9F1"/>
            <w:noWrap/>
            <w:hideMark/>
          </w:tcPr>
          <w:p w14:paraId="4DF91808" w14:textId="47C8437D"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327</w:t>
            </w:r>
          </w:p>
        </w:tc>
        <w:tc>
          <w:tcPr>
            <w:tcW w:w="1615" w:type="dxa"/>
            <w:tcBorders>
              <w:top w:val="nil"/>
              <w:left w:val="nil"/>
              <w:bottom w:val="single" w:sz="4" w:space="0" w:color="auto"/>
              <w:right w:val="single" w:sz="4" w:space="0" w:color="auto"/>
            </w:tcBorders>
            <w:shd w:val="clear" w:color="000000" w:fill="C5D9F1"/>
            <w:noWrap/>
            <w:hideMark/>
          </w:tcPr>
          <w:p w14:paraId="681BBE26" w14:textId="579ACDD8"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218</w:t>
            </w:r>
          </w:p>
        </w:tc>
      </w:tr>
      <w:tr w:rsidR="00B807EE" w:rsidRPr="00024D5A" w14:paraId="0AA38DC1"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312FA376"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2.2.1 Forcimi i sistemit të identifikimit të hershëm të nxënësve me aftësi të kufizuara. </w:t>
            </w:r>
          </w:p>
        </w:tc>
        <w:tc>
          <w:tcPr>
            <w:tcW w:w="567" w:type="dxa"/>
            <w:tcBorders>
              <w:top w:val="nil"/>
              <w:left w:val="nil"/>
              <w:bottom w:val="single" w:sz="4" w:space="0" w:color="auto"/>
              <w:right w:val="single" w:sz="4" w:space="0" w:color="auto"/>
            </w:tcBorders>
            <w:hideMark/>
          </w:tcPr>
          <w:p w14:paraId="0B9EB97E"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633EBF28"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79385E0F"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AKAP, DRAP, ZVAP</w:t>
            </w:r>
          </w:p>
        </w:tc>
        <w:tc>
          <w:tcPr>
            <w:tcW w:w="1418" w:type="dxa"/>
            <w:tcBorders>
              <w:top w:val="nil"/>
              <w:left w:val="nil"/>
              <w:bottom w:val="single" w:sz="4" w:space="0" w:color="auto"/>
              <w:right w:val="single" w:sz="8" w:space="0" w:color="auto"/>
            </w:tcBorders>
            <w:hideMark/>
          </w:tcPr>
          <w:p w14:paraId="027D614F"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DRAP, ZVAP, NJVV, DROSHKSH,</w:t>
            </w:r>
          </w:p>
        </w:tc>
        <w:tc>
          <w:tcPr>
            <w:tcW w:w="708" w:type="dxa"/>
            <w:tcBorders>
              <w:top w:val="nil"/>
              <w:left w:val="single" w:sz="4" w:space="0" w:color="auto"/>
              <w:bottom w:val="single" w:sz="4" w:space="0" w:color="auto"/>
              <w:right w:val="single" w:sz="4" w:space="0" w:color="auto"/>
            </w:tcBorders>
            <w:hideMark/>
          </w:tcPr>
          <w:p w14:paraId="1F0AD0EB" w14:textId="38073AD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109</w:t>
            </w:r>
          </w:p>
        </w:tc>
        <w:tc>
          <w:tcPr>
            <w:tcW w:w="567" w:type="dxa"/>
            <w:tcBorders>
              <w:top w:val="nil"/>
              <w:left w:val="nil"/>
              <w:bottom w:val="single" w:sz="4" w:space="0" w:color="auto"/>
              <w:right w:val="single" w:sz="4" w:space="0" w:color="auto"/>
            </w:tcBorders>
            <w:hideMark/>
          </w:tcPr>
          <w:p w14:paraId="7CFD8A35" w14:textId="6122A3B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109</w:t>
            </w:r>
          </w:p>
        </w:tc>
        <w:tc>
          <w:tcPr>
            <w:tcW w:w="567" w:type="dxa"/>
            <w:tcBorders>
              <w:top w:val="nil"/>
              <w:left w:val="nil"/>
              <w:bottom w:val="single" w:sz="4" w:space="0" w:color="auto"/>
              <w:right w:val="single" w:sz="4" w:space="0" w:color="auto"/>
            </w:tcBorders>
            <w:hideMark/>
          </w:tcPr>
          <w:p w14:paraId="25AC04FF" w14:textId="5FD6B2F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109</w:t>
            </w:r>
          </w:p>
        </w:tc>
        <w:tc>
          <w:tcPr>
            <w:tcW w:w="1134" w:type="dxa"/>
            <w:tcBorders>
              <w:top w:val="nil"/>
              <w:left w:val="nil"/>
              <w:bottom w:val="single" w:sz="4" w:space="0" w:color="auto"/>
              <w:right w:val="single" w:sz="4" w:space="0" w:color="auto"/>
            </w:tcBorders>
            <w:hideMark/>
          </w:tcPr>
          <w:p w14:paraId="53487A23" w14:textId="6D66931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109</w:t>
            </w:r>
          </w:p>
        </w:tc>
        <w:tc>
          <w:tcPr>
            <w:tcW w:w="1615" w:type="dxa"/>
            <w:tcBorders>
              <w:top w:val="nil"/>
              <w:left w:val="nil"/>
              <w:bottom w:val="single" w:sz="4" w:space="0" w:color="auto"/>
              <w:right w:val="single" w:sz="4" w:space="0" w:color="auto"/>
            </w:tcBorders>
            <w:hideMark/>
          </w:tcPr>
          <w:p w14:paraId="1E825FD7" w14:textId="585E8DB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109</w:t>
            </w:r>
          </w:p>
        </w:tc>
      </w:tr>
      <w:tr w:rsidR="00B807EE" w:rsidRPr="00024D5A" w14:paraId="1D0BB1DF"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3F81E600" w14:textId="6ED1BC08"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2.2.2 Fuqizimi</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 xml:space="preserve">dhe rritja e </w:t>
            </w:r>
            <w:r w:rsidR="00156D38" w:rsidRPr="00024D5A">
              <w:rPr>
                <w:rFonts w:ascii="Garamond" w:eastAsia="Times New Roman" w:hAnsi="Garamond"/>
                <w:sz w:val="6"/>
                <w:szCs w:val="16"/>
                <w:lang w:eastAsia="en-US"/>
              </w:rPr>
              <w:t>efektivitetet it</w:t>
            </w:r>
            <w:r w:rsidRPr="00024D5A">
              <w:rPr>
                <w:rFonts w:ascii="Garamond" w:eastAsia="Times New Roman" w:hAnsi="Garamond"/>
                <w:sz w:val="6"/>
                <w:szCs w:val="16"/>
                <w:lang w:eastAsia="en-US"/>
              </w:rPr>
              <w:t xml:space="preserve"> të KMD pranë ZVAP-ve për të realizuar vlerësimin e nxënësve më aftësi të kufizuara. Zbatimi i vlerësimit multidisiplinar të nevojave arsimore të nxënësve,</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përfshirë</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dhe planifikimet e duhura buxhetore vjetore për plotësimin e</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kërkesave për akomodimin</w:t>
            </w:r>
            <w:r w:rsidR="007675EC"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përshtatjen e arsyeshme.</w:t>
            </w:r>
          </w:p>
        </w:tc>
        <w:tc>
          <w:tcPr>
            <w:tcW w:w="567" w:type="dxa"/>
            <w:tcBorders>
              <w:top w:val="nil"/>
              <w:left w:val="nil"/>
              <w:bottom w:val="single" w:sz="4" w:space="0" w:color="auto"/>
              <w:right w:val="single" w:sz="4" w:space="0" w:color="auto"/>
            </w:tcBorders>
            <w:hideMark/>
          </w:tcPr>
          <w:p w14:paraId="75617360"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369420DD"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1134" w:type="dxa"/>
            <w:tcBorders>
              <w:top w:val="nil"/>
              <w:left w:val="nil"/>
              <w:bottom w:val="single" w:sz="4" w:space="0" w:color="auto"/>
              <w:right w:val="single" w:sz="4" w:space="0" w:color="auto"/>
            </w:tcBorders>
            <w:hideMark/>
          </w:tcPr>
          <w:p w14:paraId="6BBD82D8"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MA</w:t>
            </w:r>
          </w:p>
        </w:tc>
        <w:tc>
          <w:tcPr>
            <w:tcW w:w="1418" w:type="dxa"/>
            <w:tcBorders>
              <w:top w:val="nil"/>
              <w:left w:val="nil"/>
              <w:bottom w:val="single" w:sz="4" w:space="0" w:color="auto"/>
              <w:right w:val="single" w:sz="8" w:space="0" w:color="auto"/>
            </w:tcBorders>
            <w:hideMark/>
          </w:tcPr>
          <w:p w14:paraId="60517A06"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AKAP, DRAP, ZVAP</w:t>
            </w:r>
          </w:p>
        </w:tc>
        <w:tc>
          <w:tcPr>
            <w:tcW w:w="708" w:type="dxa"/>
            <w:tcBorders>
              <w:top w:val="nil"/>
              <w:left w:val="single" w:sz="4" w:space="0" w:color="auto"/>
              <w:bottom w:val="single" w:sz="4" w:space="0" w:color="auto"/>
              <w:right w:val="single" w:sz="4" w:space="0" w:color="auto"/>
            </w:tcBorders>
            <w:hideMark/>
          </w:tcPr>
          <w:p w14:paraId="30C3250D" w14:textId="4E16BEC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109</w:t>
            </w:r>
          </w:p>
        </w:tc>
        <w:tc>
          <w:tcPr>
            <w:tcW w:w="567" w:type="dxa"/>
            <w:tcBorders>
              <w:top w:val="nil"/>
              <w:left w:val="nil"/>
              <w:bottom w:val="single" w:sz="4" w:space="0" w:color="auto"/>
              <w:right w:val="single" w:sz="4" w:space="0" w:color="auto"/>
            </w:tcBorders>
            <w:hideMark/>
          </w:tcPr>
          <w:p w14:paraId="49713AA4" w14:textId="5953612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109</w:t>
            </w:r>
          </w:p>
        </w:tc>
        <w:tc>
          <w:tcPr>
            <w:tcW w:w="567" w:type="dxa"/>
            <w:tcBorders>
              <w:top w:val="nil"/>
              <w:left w:val="nil"/>
              <w:bottom w:val="single" w:sz="4" w:space="0" w:color="auto"/>
              <w:right w:val="single" w:sz="4" w:space="0" w:color="auto"/>
            </w:tcBorders>
            <w:hideMark/>
          </w:tcPr>
          <w:p w14:paraId="17E37408" w14:textId="3638569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109</w:t>
            </w:r>
          </w:p>
        </w:tc>
        <w:tc>
          <w:tcPr>
            <w:tcW w:w="1134" w:type="dxa"/>
            <w:tcBorders>
              <w:top w:val="nil"/>
              <w:left w:val="nil"/>
              <w:bottom w:val="single" w:sz="4" w:space="0" w:color="auto"/>
              <w:right w:val="single" w:sz="4" w:space="0" w:color="auto"/>
            </w:tcBorders>
            <w:hideMark/>
          </w:tcPr>
          <w:p w14:paraId="0BE71134" w14:textId="3BC4914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109</w:t>
            </w:r>
          </w:p>
        </w:tc>
        <w:tc>
          <w:tcPr>
            <w:tcW w:w="1615" w:type="dxa"/>
            <w:tcBorders>
              <w:top w:val="nil"/>
              <w:left w:val="nil"/>
              <w:bottom w:val="single" w:sz="4" w:space="0" w:color="auto"/>
              <w:right w:val="single" w:sz="4" w:space="0" w:color="auto"/>
            </w:tcBorders>
            <w:hideMark/>
          </w:tcPr>
          <w:p w14:paraId="3A8BB781" w14:textId="3ED471B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109</w:t>
            </w:r>
          </w:p>
        </w:tc>
      </w:tr>
      <w:tr w:rsidR="00B807EE" w:rsidRPr="00024D5A" w14:paraId="0839100C"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64B381F7" w14:textId="3826AD33"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2.2.3 Hartimi dhe zbatimi i </w:t>
            </w:r>
            <w:r w:rsidR="00156D38" w:rsidRPr="00024D5A">
              <w:rPr>
                <w:rFonts w:ascii="Garamond" w:eastAsia="Times New Roman" w:hAnsi="Garamond"/>
                <w:sz w:val="6"/>
                <w:szCs w:val="16"/>
                <w:lang w:eastAsia="en-US"/>
              </w:rPr>
              <w:t>planeve edukativ individuale</w:t>
            </w:r>
            <w:r w:rsidRPr="00024D5A">
              <w:rPr>
                <w:rFonts w:ascii="Garamond" w:eastAsia="Times New Roman" w:hAnsi="Garamond"/>
                <w:sz w:val="6"/>
                <w:szCs w:val="16"/>
                <w:lang w:eastAsia="en-US"/>
              </w:rPr>
              <w:t xml:space="preserve">, bazuar në nevojat dhe ritmin e të nxënit të secilit nxënës. </w:t>
            </w:r>
          </w:p>
        </w:tc>
        <w:tc>
          <w:tcPr>
            <w:tcW w:w="567" w:type="dxa"/>
            <w:tcBorders>
              <w:top w:val="nil"/>
              <w:left w:val="nil"/>
              <w:bottom w:val="single" w:sz="4" w:space="0" w:color="auto"/>
              <w:right w:val="single" w:sz="4" w:space="0" w:color="auto"/>
            </w:tcBorders>
            <w:hideMark/>
          </w:tcPr>
          <w:p w14:paraId="558DC54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3AD65238"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4B1CF9DF"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MA</w:t>
            </w:r>
          </w:p>
        </w:tc>
        <w:tc>
          <w:tcPr>
            <w:tcW w:w="1418" w:type="dxa"/>
            <w:tcBorders>
              <w:top w:val="nil"/>
              <w:left w:val="nil"/>
              <w:bottom w:val="single" w:sz="4" w:space="0" w:color="auto"/>
              <w:right w:val="single" w:sz="8" w:space="0" w:color="auto"/>
            </w:tcBorders>
            <w:hideMark/>
          </w:tcPr>
          <w:p w14:paraId="31AABD73"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AKAP, DRAP, ZVAP, IAP</w:t>
            </w:r>
          </w:p>
        </w:tc>
        <w:tc>
          <w:tcPr>
            <w:tcW w:w="708" w:type="dxa"/>
            <w:tcBorders>
              <w:top w:val="nil"/>
              <w:left w:val="single" w:sz="4" w:space="0" w:color="auto"/>
              <w:bottom w:val="single" w:sz="4" w:space="0" w:color="auto"/>
              <w:right w:val="single" w:sz="4" w:space="0" w:color="auto"/>
            </w:tcBorders>
            <w:hideMark/>
          </w:tcPr>
          <w:p w14:paraId="7E32ABA8" w14:textId="0EB48DB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78F045C9" w14:textId="2882D49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34B236AB" w14:textId="35D1884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33E80155" w14:textId="5F5D0D8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109</w:t>
            </w:r>
          </w:p>
        </w:tc>
        <w:tc>
          <w:tcPr>
            <w:tcW w:w="1615" w:type="dxa"/>
            <w:tcBorders>
              <w:top w:val="nil"/>
              <w:left w:val="nil"/>
              <w:bottom w:val="single" w:sz="4" w:space="0" w:color="auto"/>
              <w:right w:val="single" w:sz="4" w:space="0" w:color="auto"/>
            </w:tcBorders>
            <w:hideMark/>
          </w:tcPr>
          <w:p w14:paraId="6687F118" w14:textId="1468A5D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548D51D1"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1029462C" w14:textId="65B1C03B"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2.2.4 Monitorimi</w:t>
            </w:r>
            <w:r w:rsidR="008F29FA" w:rsidRPr="00024D5A">
              <w:rPr>
                <w:rFonts w:ascii="Garamond" w:eastAsia="Times New Roman" w:hAnsi="Garamond"/>
                <w:sz w:val="6"/>
                <w:szCs w:val="16"/>
                <w:lang w:eastAsia="en-US"/>
              </w:rPr>
              <w:t xml:space="preserve"> </w:t>
            </w:r>
            <w:r w:rsidR="00156D38" w:rsidRPr="00024D5A">
              <w:rPr>
                <w:rFonts w:ascii="Garamond" w:eastAsia="Times New Roman" w:hAnsi="Garamond"/>
                <w:sz w:val="6"/>
                <w:szCs w:val="16"/>
                <w:lang w:eastAsia="en-US"/>
              </w:rPr>
              <w:t xml:space="preserve">i </w:t>
            </w:r>
            <w:r w:rsidRPr="00024D5A">
              <w:rPr>
                <w:rFonts w:ascii="Garamond" w:eastAsia="Times New Roman" w:hAnsi="Garamond"/>
                <w:sz w:val="6"/>
                <w:szCs w:val="16"/>
                <w:lang w:eastAsia="en-US"/>
              </w:rPr>
              <w:t>zbatimit dhe efektivitete</w:t>
            </w:r>
            <w:r w:rsidR="00156D38" w:rsidRPr="00024D5A">
              <w:rPr>
                <w:rFonts w:ascii="Garamond" w:eastAsia="Times New Roman" w:hAnsi="Garamond"/>
                <w:sz w:val="6"/>
                <w:szCs w:val="16"/>
                <w:lang w:eastAsia="en-US"/>
              </w:rPr>
              <w:t>t</w:t>
            </w:r>
            <w:r w:rsidRPr="00024D5A">
              <w:rPr>
                <w:rFonts w:ascii="Garamond" w:eastAsia="Times New Roman" w:hAnsi="Garamond"/>
                <w:sz w:val="6"/>
                <w:szCs w:val="16"/>
                <w:lang w:eastAsia="en-US"/>
              </w:rPr>
              <w:t>it të PEI-ve të paktën 1 herë në vit</w:t>
            </w:r>
            <w:r w:rsidR="00156D38"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1A75C71A"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3363DE01"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194890A0"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MA</w:t>
            </w:r>
          </w:p>
        </w:tc>
        <w:tc>
          <w:tcPr>
            <w:tcW w:w="1418" w:type="dxa"/>
            <w:tcBorders>
              <w:top w:val="nil"/>
              <w:left w:val="nil"/>
              <w:bottom w:val="single" w:sz="4" w:space="0" w:color="auto"/>
              <w:right w:val="single" w:sz="8" w:space="0" w:color="auto"/>
            </w:tcBorders>
            <w:hideMark/>
          </w:tcPr>
          <w:p w14:paraId="0FE10FD0"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AKAP/ASCAP</w:t>
            </w:r>
          </w:p>
        </w:tc>
        <w:tc>
          <w:tcPr>
            <w:tcW w:w="708" w:type="dxa"/>
            <w:tcBorders>
              <w:top w:val="nil"/>
              <w:left w:val="single" w:sz="4" w:space="0" w:color="auto"/>
              <w:bottom w:val="single" w:sz="4" w:space="0" w:color="auto"/>
              <w:right w:val="single" w:sz="4" w:space="0" w:color="auto"/>
            </w:tcBorders>
            <w:hideMark/>
          </w:tcPr>
          <w:p w14:paraId="48284F31" w14:textId="19C9C89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4D72E038" w14:textId="0D926E0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4B10A0E1" w14:textId="4210415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57F8BE17" w14:textId="52214CF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7CA156D6" w14:textId="3A96552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73BE6842"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4C88A55A"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2.2.5 Përfshirja aktive e prindërve në planifikimin edukativ individual të paktën 1 herë në vit.</w:t>
            </w:r>
          </w:p>
        </w:tc>
        <w:tc>
          <w:tcPr>
            <w:tcW w:w="567" w:type="dxa"/>
            <w:tcBorders>
              <w:top w:val="nil"/>
              <w:left w:val="nil"/>
              <w:bottom w:val="single" w:sz="4" w:space="0" w:color="auto"/>
              <w:right w:val="single" w:sz="4" w:space="0" w:color="auto"/>
            </w:tcBorders>
            <w:hideMark/>
          </w:tcPr>
          <w:p w14:paraId="313C5326"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724EB065"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4FD1F97E"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MA</w:t>
            </w:r>
          </w:p>
        </w:tc>
        <w:tc>
          <w:tcPr>
            <w:tcW w:w="1418" w:type="dxa"/>
            <w:tcBorders>
              <w:top w:val="nil"/>
              <w:left w:val="nil"/>
              <w:bottom w:val="single" w:sz="4" w:space="0" w:color="auto"/>
              <w:right w:val="single" w:sz="8" w:space="0" w:color="auto"/>
            </w:tcBorders>
            <w:hideMark/>
          </w:tcPr>
          <w:p w14:paraId="455D38B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AKAP/ASCAP</w:t>
            </w:r>
          </w:p>
        </w:tc>
        <w:tc>
          <w:tcPr>
            <w:tcW w:w="708" w:type="dxa"/>
            <w:tcBorders>
              <w:top w:val="nil"/>
              <w:left w:val="single" w:sz="4" w:space="0" w:color="auto"/>
              <w:bottom w:val="single" w:sz="4" w:space="0" w:color="auto"/>
              <w:right w:val="single" w:sz="4" w:space="0" w:color="auto"/>
            </w:tcBorders>
            <w:hideMark/>
          </w:tcPr>
          <w:p w14:paraId="24553ABE" w14:textId="344E3082" w:rsidR="00700D7D" w:rsidRPr="00024D5A" w:rsidRDefault="00700D7D" w:rsidP="00180DF3">
            <w:pPr>
              <w:jc w:val="center"/>
              <w:rPr>
                <w:rFonts w:ascii="Garamond" w:eastAsia="Times New Roman" w:hAnsi="Garamond"/>
                <w:i/>
                <w:iCs/>
                <w:sz w:val="6"/>
                <w:szCs w:val="16"/>
                <w:lang w:eastAsia="en-US"/>
              </w:rPr>
            </w:pPr>
          </w:p>
        </w:tc>
        <w:tc>
          <w:tcPr>
            <w:tcW w:w="567" w:type="dxa"/>
            <w:tcBorders>
              <w:top w:val="nil"/>
              <w:left w:val="nil"/>
              <w:bottom w:val="single" w:sz="4" w:space="0" w:color="auto"/>
              <w:right w:val="single" w:sz="4" w:space="0" w:color="auto"/>
            </w:tcBorders>
            <w:hideMark/>
          </w:tcPr>
          <w:p w14:paraId="74BB4D55" w14:textId="36A7B58E" w:rsidR="00700D7D" w:rsidRPr="00024D5A" w:rsidRDefault="00700D7D" w:rsidP="00180DF3">
            <w:pPr>
              <w:jc w:val="center"/>
              <w:rPr>
                <w:rFonts w:ascii="Garamond" w:eastAsia="Times New Roman" w:hAnsi="Garamond"/>
                <w:i/>
                <w:iCs/>
                <w:sz w:val="6"/>
                <w:szCs w:val="16"/>
                <w:lang w:eastAsia="en-US"/>
              </w:rPr>
            </w:pPr>
          </w:p>
        </w:tc>
        <w:tc>
          <w:tcPr>
            <w:tcW w:w="567" w:type="dxa"/>
            <w:tcBorders>
              <w:top w:val="nil"/>
              <w:left w:val="nil"/>
              <w:bottom w:val="single" w:sz="4" w:space="0" w:color="auto"/>
              <w:right w:val="single" w:sz="4" w:space="0" w:color="auto"/>
            </w:tcBorders>
            <w:hideMark/>
          </w:tcPr>
          <w:p w14:paraId="5092AC91" w14:textId="5AECE99E" w:rsidR="00700D7D" w:rsidRPr="00024D5A" w:rsidRDefault="00700D7D" w:rsidP="00180DF3">
            <w:pPr>
              <w:jc w:val="center"/>
              <w:rPr>
                <w:rFonts w:ascii="Garamond" w:eastAsia="Times New Roman" w:hAnsi="Garamond"/>
                <w:i/>
                <w:iCs/>
                <w:sz w:val="6"/>
                <w:szCs w:val="16"/>
                <w:lang w:eastAsia="en-US"/>
              </w:rPr>
            </w:pPr>
          </w:p>
        </w:tc>
        <w:tc>
          <w:tcPr>
            <w:tcW w:w="1134" w:type="dxa"/>
            <w:tcBorders>
              <w:top w:val="nil"/>
              <w:left w:val="nil"/>
              <w:bottom w:val="single" w:sz="4" w:space="0" w:color="auto"/>
              <w:right w:val="single" w:sz="4" w:space="0" w:color="auto"/>
            </w:tcBorders>
            <w:hideMark/>
          </w:tcPr>
          <w:p w14:paraId="25F305BA" w14:textId="4DCB34DB" w:rsidR="00700D7D" w:rsidRPr="00024D5A" w:rsidRDefault="00700D7D" w:rsidP="00180DF3">
            <w:pPr>
              <w:jc w:val="center"/>
              <w:rPr>
                <w:rFonts w:ascii="Garamond" w:eastAsia="Times New Roman" w:hAnsi="Garamond"/>
                <w:i/>
                <w:iCs/>
                <w:sz w:val="6"/>
                <w:szCs w:val="16"/>
                <w:lang w:eastAsia="en-US"/>
              </w:rPr>
            </w:pPr>
          </w:p>
        </w:tc>
        <w:tc>
          <w:tcPr>
            <w:tcW w:w="1615" w:type="dxa"/>
            <w:tcBorders>
              <w:top w:val="nil"/>
              <w:left w:val="nil"/>
              <w:bottom w:val="single" w:sz="4" w:space="0" w:color="auto"/>
              <w:right w:val="single" w:sz="4" w:space="0" w:color="auto"/>
            </w:tcBorders>
            <w:hideMark/>
          </w:tcPr>
          <w:p w14:paraId="772F7C3F" w14:textId="07B782F7" w:rsidR="00700D7D" w:rsidRPr="00024D5A" w:rsidRDefault="00700D7D" w:rsidP="00180DF3">
            <w:pPr>
              <w:jc w:val="center"/>
              <w:rPr>
                <w:rFonts w:ascii="Garamond" w:eastAsia="Times New Roman" w:hAnsi="Garamond"/>
                <w:i/>
                <w:iCs/>
                <w:sz w:val="6"/>
                <w:szCs w:val="16"/>
                <w:lang w:eastAsia="en-US"/>
              </w:rPr>
            </w:pPr>
          </w:p>
        </w:tc>
      </w:tr>
      <w:tr w:rsidR="00B807EE" w:rsidRPr="00024D5A" w14:paraId="0700441D"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DCE6F1"/>
            <w:hideMark/>
          </w:tcPr>
          <w:p w14:paraId="6AB2910D" w14:textId="07D9BC20"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Masa </w:t>
            </w:r>
            <w:r w:rsidR="00156D38" w:rsidRPr="00024D5A">
              <w:rPr>
                <w:rFonts w:ascii="Garamond" w:eastAsia="Times New Roman" w:hAnsi="Garamond"/>
                <w:b/>
                <w:bCs/>
                <w:sz w:val="6"/>
                <w:szCs w:val="16"/>
                <w:lang w:eastAsia="en-US"/>
              </w:rPr>
              <w:t xml:space="preserve">prioritare </w:t>
            </w:r>
            <w:r w:rsidRPr="00024D5A">
              <w:rPr>
                <w:rFonts w:ascii="Garamond" w:eastAsia="Times New Roman" w:hAnsi="Garamond"/>
                <w:b/>
                <w:bCs/>
                <w:sz w:val="6"/>
                <w:szCs w:val="16"/>
                <w:lang w:eastAsia="en-US"/>
              </w:rPr>
              <w:t>2.3</w:t>
            </w:r>
            <w:r w:rsidR="003526AF">
              <w:rPr>
                <w:rFonts w:ascii="Garamond" w:eastAsia="Times New Roman" w:hAnsi="Garamond"/>
                <w:b/>
                <w:bCs/>
                <w:sz w:val="6"/>
                <w:szCs w:val="16"/>
                <w:lang w:eastAsia="en-US"/>
              </w:rPr>
              <w:t>:</w:t>
            </w:r>
            <w:r w:rsidR="00156D38"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Mbështetje profesionale, kurrikulare për nxënie gjithëpërfshirëse për nxënësit me aftësi të kufizuara.</w:t>
            </w:r>
          </w:p>
        </w:tc>
        <w:tc>
          <w:tcPr>
            <w:tcW w:w="567" w:type="dxa"/>
            <w:tcBorders>
              <w:top w:val="nil"/>
              <w:left w:val="nil"/>
              <w:bottom w:val="single" w:sz="4" w:space="0" w:color="auto"/>
              <w:right w:val="single" w:sz="4" w:space="0" w:color="auto"/>
            </w:tcBorders>
            <w:shd w:val="clear" w:color="000000" w:fill="DCE6F1"/>
            <w:hideMark/>
          </w:tcPr>
          <w:p w14:paraId="5F73A146"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shd w:val="clear" w:color="000000" w:fill="DCE6F1"/>
            <w:hideMark/>
          </w:tcPr>
          <w:p w14:paraId="71FED670"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shd w:val="clear" w:color="000000" w:fill="DCE6F1"/>
            <w:hideMark/>
          </w:tcPr>
          <w:p w14:paraId="587588FD"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MA/MPV</w:t>
            </w:r>
          </w:p>
        </w:tc>
        <w:tc>
          <w:tcPr>
            <w:tcW w:w="1418" w:type="dxa"/>
            <w:tcBorders>
              <w:top w:val="nil"/>
              <w:left w:val="nil"/>
              <w:bottom w:val="single" w:sz="4" w:space="0" w:color="auto"/>
              <w:right w:val="single" w:sz="8" w:space="0" w:color="auto"/>
            </w:tcBorders>
            <w:shd w:val="clear" w:color="000000" w:fill="DCE6F1"/>
            <w:hideMark/>
          </w:tcPr>
          <w:p w14:paraId="301526F4" w14:textId="1425422A"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AKAP</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DRAP</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ZVAP</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ASCAP</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IAP</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NJVV</w:t>
            </w:r>
          </w:p>
        </w:tc>
        <w:tc>
          <w:tcPr>
            <w:tcW w:w="708" w:type="dxa"/>
            <w:tcBorders>
              <w:top w:val="nil"/>
              <w:left w:val="single" w:sz="4" w:space="0" w:color="auto"/>
              <w:bottom w:val="single" w:sz="4" w:space="0" w:color="auto"/>
              <w:right w:val="single" w:sz="4" w:space="0" w:color="auto"/>
            </w:tcBorders>
            <w:shd w:val="clear" w:color="000000" w:fill="C5D9F1"/>
            <w:noWrap/>
            <w:hideMark/>
          </w:tcPr>
          <w:p w14:paraId="36843EB3" w14:textId="6343C81C"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241,431</w:t>
            </w:r>
          </w:p>
        </w:tc>
        <w:tc>
          <w:tcPr>
            <w:tcW w:w="567" w:type="dxa"/>
            <w:tcBorders>
              <w:top w:val="nil"/>
              <w:left w:val="nil"/>
              <w:bottom w:val="single" w:sz="4" w:space="0" w:color="auto"/>
              <w:right w:val="single" w:sz="4" w:space="0" w:color="auto"/>
            </w:tcBorders>
            <w:shd w:val="clear" w:color="000000" w:fill="C5D9F1"/>
            <w:noWrap/>
            <w:hideMark/>
          </w:tcPr>
          <w:p w14:paraId="0A662DA0" w14:textId="2B56C3B8"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315,636</w:t>
            </w:r>
          </w:p>
        </w:tc>
        <w:tc>
          <w:tcPr>
            <w:tcW w:w="567" w:type="dxa"/>
            <w:tcBorders>
              <w:top w:val="nil"/>
              <w:left w:val="nil"/>
              <w:bottom w:val="single" w:sz="4" w:space="0" w:color="auto"/>
              <w:right w:val="single" w:sz="4" w:space="0" w:color="auto"/>
            </w:tcBorders>
            <w:shd w:val="clear" w:color="000000" w:fill="C5D9F1"/>
            <w:noWrap/>
            <w:hideMark/>
          </w:tcPr>
          <w:p w14:paraId="0CF10960" w14:textId="09CC4F92"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389,841</w:t>
            </w:r>
          </w:p>
        </w:tc>
        <w:tc>
          <w:tcPr>
            <w:tcW w:w="1134" w:type="dxa"/>
            <w:tcBorders>
              <w:top w:val="nil"/>
              <w:left w:val="nil"/>
              <w:bottom w:val="single" w:sz="4" w:space="0" w:color="auto"/>
              <w:right w:val="single" w:sz="4" w:space="0" w:color="auto"/>
            </w:tcBorders>
            <w:shd w:val="clear" w:color="000000" w:fill="C5D9F1"/>
            <w:noWrap/>
            <w:hideMark/>
          </w:tcPr>
          <w:p w14:paraId="16016ED6" w14:textId="11B30123"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443,051</w:t>
            </w:r>
          </w:p>
        </w:tc>
        <w:tc>
          <w:tcPr>
            <w:tcW w:w="1615" w:type="dxa"/>
            <w:tcBorders>
              <w:top w:val="nil"/>
              <w:left w:val="nil"/>
              <w:bottom w:val="single" w:sz="4" w:space="0" w:color="auto"/>
              <w:right w:val="single" w:sz="4" w:space="0" w:color="auto"/>
            </w:tcBorders>
            <w:shd w:val="clear" w:color="000000" w:fill="C5D9F1"/>
            <w:noWrap/>
            <w:hideMark/>
          </w:tcPr>
          <w:p w14:paraId="5005BBBE" w14:textId="67521686"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496,261</w:t>
            </w:r>
          </w:p>
        </w:tc>
      </w:tr>
      <w:tr w:rsidR="00B807EE" w:rsidRPr="00024D5A" w14:paraId="3EEAF6CF"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3041C914" w14:textId="711F49C6"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2.3.1..</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Rritja e numrit dhe forcimi i kapaciteteve të mësuesve ndihmës, psikologëve shkollorë, punonjësve socialë dhe specialistëve të tjerë mbështetës.</w:t>
            </w:r>
          </w:p>
        </w:tc>
        <w:tc>
          <w:tcPr>
            <w:tcW w:w="567" w:type="dxa"/>
            <w:tcBorders>
              <w:top w:val="nil"/>
              <w:left w:val="nil"/>
              <w:bottom w:val="single" w:sz="4" w:space="0" w:color="auto"/>
              <w:right w:val="single" w:sz="4" w:space="0" w:color="auto"/>
            </w:tcBorders>
            <w:hideMark/>
          </w:tcPr>
          <w:p w14:paraId="66CBD51C"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34BB9300"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1B033C32"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MA</w:t>
            </w:r>
          </w:p>
        </w:tc>
        <w:tc>
          <w:tcPr>
            <w:tcW w:w="1418" w:type="dxa"/>
            <w:tcBorders>
              <w:top w:val="nil"/>
              <w:left w:val="nil"/>
              <w:bottom w:val="single" w:sz="4" w:space="0" w:color="auto"/>
              <w:right w:val="single" w:sz="8" w:space="0" w:color="auto"/>
            </w:tcBorders>
            <w:hideMark/>
          </w:tcPr>
          <w:p w14:paraId="662911CB"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AKAP, DRAP, ZVAP, ASCAP, IAP</w:t>
            </w:r>
          </w:p>
        </w:tc>
        <w:tc>
          <w:tcPr>
            <w:tcW w:w="708" w:type="dxa"/>
            <w:tcBorders>
              <w:top w:val="nil"/>
              <w:left w:val="single" w:sz="4" w:space="0" w:color="auto"/>
              <w:bottom w:val="single" w:sz="4" w:space="0" w:color="auto"/>
              <w:right w:val="single" w:sz="4" w:space="0" w:color="auto"/>
            </w:tcBorders>
            <w:hideMark/>
          </w:tcPr>
          <w:p w14:paraId="509C8B76" w14:textId="7D6178E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185,640</w:t>
            </w:r>
          </w:p>
        </w:tc>
        <w:tc>
          <w:tcPr>
            <w:tcW w:w="567" w:type="dxa"/>
            <w:tcBorders>
              <w:top w:val="nil"/>
              <w:left w:val="nil"/>
              <w:bottom w:val="single" w:sz="4" w:space="0" w:color="auto"/>
              <w:right w:val="single" w:sz="4" w:space="0" w:color="auto"/>
            </w:tcBorders>
            <w:hideMark/>
          </w:tcPr>
          <w:p w14:paraId="209F0B3B" w14:textId="5BCE472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259,845</w:t>
            </w:r>
          </w:p>
        </w:tc>
        <w:tc>
          <w:tcPr>
            <w:tcW w:w="567" w:type="dxa"/>
            <w:tcBorders>
              <w:top w:val="nil"/>
              <w:left w:val="nil"/>
              <w:bottom w:val="single" w:sz="4" w:space="0" w:color="auto"/>
              <w:right w:val="single" w:sz="4" w:space="0" w:color="auto"/>
            </w:tcBorders>
            <w:hideMark/>
          </w:tcPr>
          <w:p w14:paraId="107E965A" w14:textId="7C2947C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334,050</w:t>
            </w:r>
          </w:p>
        </w:tc>
        <w:tc>
          <w:tcPr>
            <w:tcW w:w="1134" w:type="dxa"/>
            <w:tcBorders>
              <w:top w:val="nil"/>
              <w:left w:val="nil"/>
              <w:bottom w:val="single" w:sz="4" w:space="0" w:color="auto"/>
              <w:right w:val="single" w:sz="4" w:space="0" w:color="auto"/>
            </w:tcBorders>
            <w:hideMark/>
          </w:tcPr>
          <w:p w14:paraId="635AABD9" w14:textId="4007ACD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387,260</w:t>
            </w:r>
          </w:p>
        </w:tc>
        <w:tc>
          <w:tcPr>
            <w:tcW w:w="1615" w:type="dxa"/>
            <w:tcBorders>
              <w:top w:val="nil"/>
              <w:left w:val="nil"/>
              <w:bottom w:val="single" w:sz="4" w:space="0" w:color="auto"/>
              <w:right w:val="single" w:sz="4" w:space="0" w:color="auto"/>
            </w:tcBorders>
            <w:hideMark/>
          </w:tcPr>
          <w:p w14:paraId="287F83AB" w14:textId="6E85B52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440,470</w:t>
            </w:r>
          </w:p>
        </w:tc>
      </w:tr>
      <w:tr w:rsidR="00B807EE" w:rsidRPr="00024D5A" w14:paraId="0DA40D2F"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570B4C2C" w14:textId="71D6E6A2"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2.3.2. Sigurimi i shërbimeve ndihmëse dhe mjeteve didaktike për nxënësit me aftësi të kufizuara</w:t>
            </w:r>
            <w:r w:rsidR="00156D38"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(ref</w:t>
            </w:r>
            <w:r w:rsidR="00156D38"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SKA</w:t>
            </w:r>
            <w:r w:rsidR="007247B2" w:rsidRPr="00024D5A">
              <w:rPr>
                <w:rFonts w:ascii="Garamond" w:eastAsia="Times New Roman" w:hAnsi="Garamond"/>
                <w:sz w:val="6"/>
                <w:szCs w:val="16"/>
                <w:lang w:eastAsia="en-US"/>
              </w:rPr>
              <w:t>2021–2025</w:t>
            </w:r>
            <w:r w:rsidRPr="00024D5A">
              <w:rPr>
                <w:rFonts w:ascii="Garamond" w:eastAsia="Times New Roman" w:hAnsi="Garamond"/>
                <w:sz w:val="6"/>
                <w:szCs w:val="16"/>
                <w:lang w:eastAsia="en-US"/>
              </w:rPr>
              <w:t>,</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A.2.1.4)</w:t>
            </w:r>
            <w:r w:rsidR="00156D38"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w:t>
            </w:r>
          </w:p>
        </w:tc>
        <w:tc>
          <w:tcPr>
            <w:tcW w:w="567" w:type="dxa"/>
            <w:tcBorders>
              <w:top w:val="nil"/>
              <w:left w:val="nil"/>
              <w:bottom w:val="single" w:sz="4" w:space="0" w:color="auto"/>
              <w:right w:val="single" w:sz="4" w:space="0" w:color="auto"/>
            </w:tcBorders>
            <w:hideMark/>
          </w:tcPr>
          <w:p w14:paraId="6776202E"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39BD69A4"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328A85C1"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MA</w:t>
            </w:r>
          </w:p>
        </w:tc>
        <w:tc>
          <w:tcPr>
            <w:tcW w:w="1418" w:type="dxa"/>
            <w:tcBorders>
              <w:top w:val="nil"/>
              <w:left w:val="nil"/>
              <w:bottom w:val="single" w:sz="4" w:space="0" w:color="auto"/>
              <w:right w:val="single" w:sz="8" w:space="0" w:color="auto"/>
            </w:tcBorders>
            <w:hideMark/>
          </w:tcPr>
          <w:p w14:paraId="073A1A67"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AKAP, DRAP, ZVAP, ASCAP, IAP</w:t>
            </w:r>
          </w:p>
        </w:tc>
        <w:tc>
          <w:tcPr>
            <w:tcW w:w="708" w:type="dxa"/>
            <w:tcBorders>
              <w:top w:val="nil"/>
              <w:left w:val="single" w:sz="4" w:space="0" w:color="auto"/>
              <w:bottom w:val="single" w:sz="4" w:space="0" w:color="auto"/>
              <w:right w:val="single" w:sz="4" w:space="0" w:color="auto"/>
            </w:tcBorders>
            <w:hideMark/>
          </w:tcPr>
          <w:p w14:paraId="5B139A5D" w14:textId="6ACD228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40,800</w:t>
            </w:r>
          </w:p>
        </w:tc>
        <w:tc>
          <w:tcPr>
            <w:tcW w:w="567" w:type="dxa"/>
            <w:tcBorders>
              <w:top w:val="nil"/>
              <w:left w:val="nil"/>
              <w:bottom w:val="single" w:sz="4" w:space="0" w:color="auto"/>
              <w:right w:val="single" w:sz="4" w:space="0" w:color="auto"/>
            </w:tcBorders>
            <w:hideMark/>
          </w:tcPr>
          <w:p w14:paraId="1A15BD6D" w14:textId="063B74F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40,800</w:t>
            </w:r>
          </w:p>
        </w:tc>
        <w:tc>
          <w:tcPr>
            <w:tcW w:w="567" w:type="dxa"/>
            <w:tcBorders>
              <w:top w:val="nil"/>
              <w:left w:val="nil"/>
              <w:bottom w:val="single" w:sz="4" w:space="0" w:color="auto"/>
              <w:right w:val="single" w:sz="4" w:space="0" w:color="auto"/>
            </w:tcBorders>
            <w:hideMark/>
          </w:tcPr>
          <w:p w14:paraId="4F10B7B1" w14:textId="4AC19C0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40,800</w:t>
            </w:r>
          </w:p>
        </w:tc>
        <w:tc>
          <w:tcPr>
            <w:tcW w:w="1134" w:type="dxa"/>
            <w:tcBorders>
              <w:top w:val="nil"/>
              <w:left w:val="nil"/>
              <w:bottom w:val="single" w:sz="4" w:space="0" w:color="auto"/>
              <w:right w:val="single" w:sz="4" w:space="0" w:color="auto"/>
            </w:tcBorders>
            <w:hideMark/>
          </w:tcPr>
          <w:p w14:paraId="4F63EAE0" w14:textId="63C92F6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40,800</w:t>
            </w:r>
          </w:p>
        </w:tc>
        <w:tc>
          <w:tcPr>
            <w:tcW w:w="1615" w:type="dxa"/>
            <w:tcBorders>
              <w:top w:val="nil"/>
              <w:left w:val="nil"/>
              <w:bottom w:val="single" w:sz="4" w:space="0" w:color="auto"/>
              <w:right w:val="single" w:sz="4" w:space="0" w:color="auto"/>
            </w:tcBorders>
            <w:hideMark/>
          </w:tcPr>
          <w:p w14:paraId="47366A97" w14:textId="7871827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40,800</w:t>
            </w:r>
          </w:p>
        </w:tc>
      </w:tr>
      <w:tr w:rsidR="00B807EE" w:rsidRPr="00024D5A" w14:paraId="4097BAC4"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699A6DE2" w14:textId="7C6A15F1"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2.3.3.</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Zbatimi</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i metodologjive gjithëpërfshirëse të mësimdhënies dhe të vlerësimit të nxënësve me aftësi të kufizuara. Zbatimi i parimeve të Dizajnit Universal për të Nxën</w:t>
            </w:r>
            <w:r w:rsidR="00156D38"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t (UDL) në procesin mësimor. </w:t>
            </w:r>
          </w:p>
        </w:tc>
        <w:tc>
          <w:tcPr>
            <w:tcW w:w="567" w:type="dxa"/>
            <w:tcBorders>
              <w:top w:val="nil"/>
              <w:left w:val="nil"/>
              <w:bottom w:val="single" w:sz="4" w:space="0" w:color="auto"/>
              <w:right w:val="single" w:sz="4" w:space="0" w:color="auto"/>
            </w:tcBorders>
            <w:hideMark/>
          </w:tcPr>
          <w:p w14:paraId="64765E93"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567" w:type="dxa"/>
            <w:tcBorders>
              <w:top w:val="nil"/>
              <w:left w:val="nil"/>
              <w:bottom w:val="single" w:sz="4" w:space="0" w:color="auto"/>
              <w:right w:val="single" w:sz="4" w:space="0" w:color="auto"/>
            </w:tcBorders>
            <w:hideMark/>
          </w:tcPr>
          <w:p w14:paraId="2C1727B0"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2028</w:t>
            </w:r>
          </w:p>
        </w:tc>
        <w:tc>
          <w:tcPr>
            <w:tcW w:w="1134" w:type="dxa"/>
            <w:tcBorders>
              <w:top w:val="nil"/>
              <w:left w:val="nil"/>
              <w:bottom w:val="single" w:sz="4" w:space="0" w:color="auto"/>
              <w:right w:val="single" w:sz="4" w:space="0" w:color="auto"/>
            </w:tcBorders>
            <w:hideMark/>
          </w:tcPr>
          <w:p w14:paraId="0F5A4F33"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MA</w:t>
            </w:r>
          </w:p>
        </w:tc>
        <w:tc>
          <w:tcPr>
            <w:tcW w:w="1418" w:type="dxa"/>
            <w:tcBorders>
              <w:top w:val="nil"/>
              <w:left w:val="nil"/>
              <w:bottom w:val="single" w:sz="4" w:space="0" w:color="auto"/>
              <w:right w:val="single" w:sz="8" w:space="0" w:color="auto"/>
            </w:tcBorders>
            <w:hideMark/>
          </w:tcPr>
          <w:p w14:paraId="169D1D37"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ASCAP, AKAP</w:t>
            </w:r>
          </w:p>
        </w:tc>
        <w:tc>
          <w:tcPr>
            <w:tcW w:w="708" w:type="dxa"/>
            <w:tcBorders>
              <w:top w:val="nil"/>
              <w:left w:val="single" w:sz="4" w:space="0" w:color="auto"/>
              <w:bottom w:val="single" w:sz="4" w:space="0" w:color="auto"/>
              <w:right w:val="single" w:sz="4" w:space="0" w:color="auto"/>
            </w:tcBorders>
            <w:hideMark/>
          </w:tcPr>
          <w:p w14:paraId="2476779C" w14:textId="6FFD68D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1,391</w:t>
            </w:r>
          </w:p>
        </w:tc>
        <w:tc>
          <w:tcPr>
            <w:tcW w:w="567" w:type="dxa"/>
            <w:tcBorders>
              <w:top w:val="nil"/>
              <w:left w:val="nil"/>
              <w:bottom w:val="single" w:sz="4" w:space="0" w:color="auto"/>
              <w:right w:val="single" w:sz="4" w:space="0" w:color="auto"/>
            </w:tcBorders>
            <w:hideMark/>
          </w:tcPr>
          <w:p w14:paraId="6FD77116" w14:textId="5434708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1,391</w:t>
            </w:r>
          </w:p>
        </w:tc>
        <w:tc>
          <w:tcPr>
            <w:tcW w:w="567" w:type="dxa"/>
            <w:tcBorders>
              <w:top w:val="nil"/>
              <w:left w:val="nil"/>
              <w:bottom w:val="single" w:sz="4" w:space="0" w:color="auto"/>
              <w:right w:val="single" w:sz="4" w:space="0" w:color="auto"/>
            </w:tcBorders>
            <w:hideMark/>
          </w:tcPr>
          <w:p w14:paraId="371A5BE5" w14:textId="714CAED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1,391</w:t>
            </w:r>
          </w:p>
        </w:tc>
        <w:tc>
          <w:tcPr>
            <w:tcW w:w="1134" w:type="dxa"/>
            <w:tcBorders>
              <w:top w:val="nil"/>
              <w:left w:val="nil"/>
              <w:bottom w:val="single" w:sz="4" w:space="0" w:color="auto"/>
              <w:right w:val="single" w:sz="4" w:space="0" w:color="auto"/>
            </w:tcBorders>
            <w:hideMark/>
          </w:tcPr>
          <w:p w14:paraId="09442042" w14:textId="73C2978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1,391</w:t>
            </w:r>
          </w:p>
        </w:tc>
        <w:tc>
          <w:tcPr>
            <w:tcW w:w="1615" w:type="dxa"/>
            <w:tcBorders>
              <w:top w:val="nil"/>
              <w:left w:val="nil"/>
              <w:bottom w:val="single" w:sz="4" w:space="0" w:color="auto"/>
              <w:right w:val="single" w:sz="4" w:space="0" w:color="auto"/>
            </w:tcBorders>
            <w:hideMark/>
          </w:tcPr>
          <w:p w14:paraId="15964312" w14:textId="45CAF5C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1,391</w:t>
            </w:r>
          </w:p>
        </w:tc>
      </w:tr>
      <w:tr w:rsidR="00B807EE" w:rsidRPr="00024D5A" w14:paraId="3F712969"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17E4D802" w14:textId="23A5BCCC"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2.3.4 Monitorimi sistematik i zbatimit të metodologjive gjithëpërfshirëse të mësimdhënies dhe të vlerësimit të nxënësve me aftësi të kufizuara. Procesi i monitorimit do të organizohet nga AKAP</w:t>
            </w:r>
            <w:r w:rsidR="007931AD" w:rsidRPr="00024D5A">
              <w:rPr>
                <w:rFonts w:ascii="Garamond" w:eastAsia="Times New Roman" w:hAnsi="Garamond"/>
                <w:sz w:val="6"/>
                <w:szCs w:val="16"/>
                <w:lang w:eastAsia="en-US"/>
              </w:rPr>
              <w:t>-ja</w:t>
            </w:r>
            <w:r w:rsidRPr="00024D5A">
              <w:rPr>
                <w:rFonts w:ascii="Garamond" w:eastAsia="Times New Roman" w:hAnsi="Garamond"/>
                <w:sz w:val="6"/>
                <w:szCs w:val="16"/>
                <w:lang w:eastAsia="en-US"/>
              </w:rPr>
              <w:t>, nëpërmjet DRAP-ve dhe ZVAP-ve, në bazë të udhëzimeve të hartuara nga ASCAP</w:t>
            </w:r>
            <w:r w:rsidR="007931AD" w:rsidRPr="00024D5A">
              <w:rPr>
                <w:rFonts w:ascii="Garamond" w:eastAsia="Times New Roman" w:hAnsi="Garamond"/>
                <w:sz w:val="6"/>
                <w:szCs w:val="16"/>
                <w:lang w:eastAsia="en-US"/>
              </w:rPr>
              <w:t>-i</w:t>
            </w:r>
            <w:r w:rsidRPr="00024D5A">
              <w:rPr>
                <w:rFonts w:ascii="Garamond" w:eastAsia="Times New Roman" w:hAnsi="Garamond"/>
                <w:sz w:val="6"/>
                <w:szCs w:val="16"/>
                <w:lang w:eastAsia="en-US"/>
              </w:rPr>
              <w:t>. Institucionet përgjegjës për këtë pikë do të jetë ASCAP</w:t>
            </w:r>
            <w:r w:rsidR="007931AD" w:rsidRPr="00024D5A">
              <w:rPr>
                <w:rFonts w:ascii="Garamond" w:eastAsia="Times New Roman" w:hAnsi="Garamond"/>
                <w:sz w:val="6"/>
                <w:szCs w:val="16"/>
                <w:lang w:eastAsia="en-US"/>
              </w:rPr>
              <w:t>-i</w:t>
            </w:r>
            <w:r w:rsidRPr="00024D5A">
              <w:rPr>
                <w:rFonts w:ascii="Garamond" w:eastAsia="Times New Roman" w:hAnsi="Garamond"/>
                <w:sz w:val="6"/>
                <w:szCs w:val="16"/>
                <w:lang w:eastAsia="en-US"/>
              </w:rPr>
              <w:t xml:space="preserve"> dhe AKAP</w:t>
            </w:r>
            <w:r w:rsidR="007931AD" w:rsidRPr="00024D5A">
              <w:rPr>
                <w:rFonts w:ascii="Garamond" w:eastAsia="Times New Roman" w:hAnsi="Garamond"/>
                <w:sz w:val="6"/>
                <w:szCs w:val="16"/>
                <w:lang w:eastAsia="en-US"/>
              </w:rPr>
              <w:t>-ja</w:t>
            </w:r>
          </w:p>
        </w:tc>
        <w:tc>
          <w:tcPr>
            <w:tcW w:w="567" w:type="dxa"/>
            <w:tcBorders>
              <w:top w:val="nil"/>
              <w:left w:val="nil"/>
              <w:bottom w:val="single" w:sz="4" w:space="0" w:color="auto"/>
              <w:right w:val="single" w:sz="4" w:space="0" w:color="auto"/>
            </w:tcBorders>
            <w:hideMark/>
          </w:tcPr>
          <w:p w14:paraId="413F804B"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3C29A69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24E8FDE5"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ASCAP, AKAP</w:t>
            </w:r>
          </w:p>
        </w:tc>
        <w:tc>
          <w:tcPr>
            <w:tcW w:w="1418" w:type="dxa"/>
            <w:tcBorders>
              <w:top w:val="nil"/>
              <w:left w:val="nil"/>
              <w:bottom w:val="single" w:sz="4" w:space="0" w:color="auto"/>
              <w:right w:val="single" w:sz="8" w:space="0" w:color="auto"/>
            </w:tcBorders>
            <w:hideMark/>
          </w:tcPr>
          <w:p w14:paraId="19610A8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ASCAP, AKAP</w:t>
            </w:r>
          </w:p>
        </w:tc>
        <w:tc>
          <w:tcPr>
            <w:tcW w:w="708" w:type="dxa"/>
            <w:tcBorders>
              <w:top w:val="nil"/>
              <w:left w:val="single" w:sz="4" w:space="0" w:color="auto"/>
              <w:bottom w:val="single" w:sz="4" w:space="0" w:color="auto"/>
              <w:right w:val="single" w:sz="4" w:space="0" w:color="auto"/>
            </w:tcBorders>
            <w:hideMark/>
          </w:tcPr>
          <w:p w14:paraId="3ADD3901" w14:textId="16434668" w:rsidR="00700D7D" w:rsidRPr="00024D5A" w:rsidRDefault="00700D7D" w:rsidP="00180DF3">
            <w:pPr>
              <w:jc w:val="center"/>
              <w:rPr>
                <w:rFonts w:ascii="Garamond" w:eastAsia="Times New Roman" w:hAnsi="Garamond"/>
                <w:i/>
                <w:iCs/>
                <w:sz w:val="6"/>
                <w:szCs w:val="16"/>
                <w:lang w:eastAsia="en-US"/>
              </w:rPr>
            </w:pPr>
          </w:p>
        </w:tc>
        <w:tc>
          <w:tcPr>
            <w:tcW w:w="567" w:type="dxa"/>
            <w:tcBorders>
              <w:top w:val="nil"/>
              <w:left w:val="nil"/>
              <w:bottom w:val="single" w:sz="4" w:space="0" w:color="auto"/>
              <w:right w:val="single" w:sz="4" w:space="0" w:color="auto"/>
            </w:tcBorders>
            <w:hideMark/>
          </w:tcPr>
          <w:p w14:paraId="53E0A70A" w14:textId="2DF0D455" w:rsidR="00700D7D" w:rsidRPr="00024D5A" w:rsidRDefault="00700D7D" w:rsidP="00180DF3">
            <w:pPr>
              <w:jc w:val="center"/>
              <w:rPr>
                <w:rFonts w:ascii="Garamond" w:eastAsia="Times New Roman" w:hAnsi="Garamond"/>
                <w:i/>
                <w:iCs/>
                <w:sz w:val="6"/>
                <w:szCs w:val="16"/>
                <w:lang w:eastAsia="en-US"/>
              </w:rPr>
            </w:pPr>
          </w:p>
        </w:tc>
        <w:tc>
          <w:tcPr>
            <w:tcW w:w="567" w:type="dxa"/>
            <w:tcBorders>
              <w:top w:val="nil"/>
              <w:left w:val="nil"/>
              <w:bottom w:val="single" w:sz="4" w:space="0" w:color="auto"/>
              <w:right w:val="single" w:sz="4" w:space="0" w:color="auto"/>
            </w:tcBorders>
            <w:hideMark/>
          </w:tcPr>
          <w:p w14:paraId="6C751601" w14:textId="0B0E7E79" w:rsidR="00700D7D" w:rsidRPr="00024D5A" w:rsidRDefault="00700D7D" w:rsidP="00180DF3">
            <w:pPr>
              <w:jc w:val="center"/>
              <w:rPr>
                <w:rFonts w:ascii="Garamond" w:eastAsia="Times New Roman" w:hAnsi="Garamond"/>
                <w:i/>
                <w:iCs/>
                <w:sz w:val="6"/>
                <w:szCs w:val="16"/>
                <w:lang w:eastAsia="en-US"/>
              </w:rPr>
            </w:pPr>
          </w:p>
        </w:tc>
        <w:tc>
          <w:tcPr>
            <w:tcW w:w="1134" w:type="dxa"/>
            <w:tcBorders>
              <w:top w:val="nil"/>
              <w:left w:val="nil"/>
              <w:bottom w:val="single" w:sz="4" w:space="0" w:color="auto"/>
              <w:right w:val="single" w:sz="4" w:space="0" w:color="auto"/>
            </w:tcBorders>
            <w:hideMark/>
          </w:tcPr>
          <w:p w14:paraId="62DA095D" w14:textId="4616A745" w:rsidR="00700D7D" w:rsidRPr="00024D5A" w:rsidRDefault="00700D7D" w:rsidP="00180DF3">
            <w:pPr>
              <w:jc w:val="center"/>
              <w:rPr>
                <w:rFonts w:ascii="Garamond" w:eastAsia="Times New Roman" w:hAnsi="Garamond"/>
                <w:i/>
                <w:iCs/>
                <w:sz w:val="6"/>
                <w:szCs w:val="16"/>
                <w:lang w:eastAsia="en-US"/>
              </w:rPr>
            </w:pPr>
          </w:p>
        </w:tc>
        <w:tc>
          <w:tcPr>
            <w:tcW w:w="1615" w:type="dxa"/>
            <w:tcBorders>
              <w:top w:val="nil"/>
              <w:left w:val="nil"/>
              <w:bottom w:val="single" w:sz="4" w:space="0" w:color="auto"/>
              <w:right w:val="single" w:sz="4" w:space="0" w:color="auto"/>
            </w:tcBorders>
            <w:hideMark/>
          </w:tcPr>
          <w:p w14:paraId="61A62F4B" w14:textId="6E1BEE8F" w:rsidR="00700D7D" w:rsidRPr="00024D5A" w:rsidRDefault="00700D7D" w:rsidP="00180DF3">
            <w:pPr>
              <w:jc w:val="center"/>
              <w:rPr>
                <w:rFonts w:ascii="Garamond" w:eastAsia="Times New Roman" w:hAnsi="Garamond"/>
                <w:i/>
                <w:iCs/>
                <w:sz w:val="6"/>
                <w:szCs w:val="16"/>
                <w:lang w:eastAsia="en-US"/>
              </w:rPr>
            </w:pPr>
          </w:p>
        </w:tc>
      </w:tr>
      <w:tr w:rsidR="00B807EE" w:rsidRPr="00024D5A" w14:paraId="41D60EAD"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734E80D3" w14:textId="0A94F075"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2.3.5 Optimizimi i </w:t>
            </w:r>
            <w:r w:rsidR="00905BB7" w:rsidRPr="00024D5A">
              <w:rPr>
                <w:rFonts w:ascii="Garamond" w:eastAsia="Times New Roman" w:hAnsi="Garamond"/>
                <w:sz w:val="6"/>
                <w:szCs w:val="16"/>
                <w:lang w:eastAsia="en-US"/>
              </w:rPr>
              <w:t>hapësirave</w:t>
            </w:r>
            <w:r w:rsidRPr="00024D5A">
              <w:rPr>
                <w:rFonts w:ascii="Garamond" w:eastAsia="Times New Roman" w:hAnsi="Garamond"/>
                <w:sz w:val="6"/>
                <w:szCs w:val="16"/>
                <w:lang w:eastAsia="en-US"/>
              </w:rPr>
              <w:t xml:space="preserve"> shkollore, burimeve mësimore dhe i mjediseve digjitale në funksion të </w:t>
            </w:r>
            <w:r w:rsidR="00905BB7" w:rsidRPr="00024D5A">
              <w:rPr>
                <w:rFonts w:ascii="Garamond" w:eastAsia="Times New Roman" w:hAnsi="Garamond"/>
                <w:sz w:val="6"/>
                <w:szCs w:val="16"/>
                <w:lang w:eastAsia="en-US"/>
              </w:rPr>
              <w:t>pjesëmarrjes</w:t>
            </w:r>
            <w:r w:rsidRPr="00024D5A">
              <w:rPr>
                <w:rFonts w:ascii="Garamond" w:eastAsia="Times New Roman" w:hAnsi="Garamond"/>
                <w:sz w:val="6"/>
                <w:szCs w:val="16"/>
                <w:lang w:eastAsia="en-US"/>
              </w:rPr>
              <w:t xml:space="preserve"> aktive të nxënësve me aftësi të kufizuara në procesin mësimor.</w:t>
            </w:r>
          </w:p>
        </w:tc>
        <w:tc>
          <w:tcPr>
            <w:tcW w:w="567" w:type="dxa"/>
            <w:tcBorders>
              <w:top w:val="nil"/>
              <w:left w:val="nil"/>
              <w:bottom w:val="single" w:sz="4" w:space="0" w:color="auto"/>
              <w:right w:val="single" w:sz="4" w:space="0" w:color="auto"/>
            </w:tcBorders>
            <w:hideMark/>
          </w:tcPr>
          <w:p w14:paraId="25B11D22"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16B76C35"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15BEF257"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MA, MPV</w:t>
            </w:r>
          </w:p>
        </w:tc>
        <w:tc>
          <w:tcPr>
            <w:tcW w:w="1418" w:type="dxa"/>
            <w:tcBorders>
              <w:top w:val="nil"/>
              <w:left w:val="nil"/>
              <w:bottom w:val="single" w:sz="4" w:space="0" w:color="auto"/>
              <w:right w:val="single" w:sz="8" w:space="0" w:color="auto"/>
            </w:tcBorders>
            <w:hideMark/>
          </w:tcPr>
          <w:p w14:paraId="5963B936"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AKAP, DRAP, ZVAP, ASCAP, NJVV</w:t>
            </w:r>
          </w:p>
        </w:tc>
        <w:tc>
          <w:tcPr>
            <w:tcW w:w="708" w:type="dxa"/>
            <w:tcBorders>
              <w:top w:val="nil"/>
              <w:left w:val="single" w:sz="4" w:space="0" w:color="auto"/>
              <w:bottom w:val="single" w:sz="4" w:space="0" w:color="auto"/>
              <w:right w:val="single" w:sz="4" w:space="0" w:color="auto"/>
            </w:tcBorders>
            <w:hideMark/>
          </w:tcPr>
          <w:p w14:paraId="61C54301" w14:textId="37A37CE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13,600</w:t>
            </w:r>
          </w:p>
        </w:tc>
        <w:tc>
          <w:tcPr>
            <w:tcW w:w="567" w:type="dxa"/>
            <w:tcBorders>
              <w:top w:val="nil"/>
              <w:left w:val="nil"/>
              <w:bottom w:val="single" w:sz="4" w:space="0" w:color="auto"/>
              <w:right w:val="single" w:sz="4" w:space="0" w:color="auto"/>
            </w:tcBorders>
            <w:hideMark/>
          </w:tcPr>
          <w:p w14:paraId="67A856E7" w14:textId="4C4513E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13,600</w:t>
            </w:r>
          </w:p>
        </w:tc>
        <w:tc>
          <w:tcPr>
            <w:tcW w:w="567" w:type="dxa"/>
            <w:tcBorders>
              <w:top w:val="nil"/>
              <w:left w:val="nil"/>
              <w:bottom w:val="single" w:sz="4" w:space="0" w:color="auto"/>
              <w:right w:val="single" w:sz="4" w:space="0" w:color="auto"/>
            </w:tcBorders>
            <w:hideMark/>
          </w:tcPr>
          <w:p w14:paraId="401AB815" w14:textId="6C8FBFB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13,600</w:t>
            </w:r>
          </w:p>
        </w:tc>
        <w:tc>
          <w:tcPr>
            <w:tcW w:w="1134" w:type="dxa"/>
            <w:tcBorders>
              <w:top w:val="nil"/>
              <w:left w:val="nil"/>
              <w:bottom w:val="single" w:sz="4" w:space="0" w:color="auto"/>
              <w:right w:val="single" w:sz="4" w:space="0" w:color="auto"/>
            </w:tcBorders>
            <w:hideMark/>
          </w:tcPr>
          <w:p w14:paraId="5C14C123" w14:textId="6834152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13,600</w:t>
            </w:r>
          </w:p>
        </w:tc>
        <w:tc>
          <w:tcPr>
            <w:tcW w:w="1615" w:type="dxa"/>
            <w:tcBorders>
              <w:top w:val="nil"/>
              <w:left w:val="nil"/>
              <w:bottom w:val="single" w:sz="4" w:space="0" w:color="auto"/>
              <w:right w:val="single" w:sz="4" w:space="0" w:color="auto"/>
            </w:tcBorders>
            <w:hideMark/>
          </w:tcPr>
          <w:p w14:paraId="23424ECF" w14:textId="1ADC2D5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13,600</w:t>
            </w:r>
          </w:p>
        </w:tc>
      </w:tr>
      <w:tr w:rsidR="00B807EE" w:rsidRPr="00024D5A" w14:paraId="0FF92280"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DCE6F1"/>
            <w:hideMark/>
          </w:tcPr>
          <w:p w14:paraId="4BFDD485" w14:textId="21EC07C9"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Masë prioritare 2.4</w:t>
            </w:r>
            <w:r w:rsidR="003526AF">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Zhvillimi i kapaciteteve njerëzore dhe përfshirja e prindërve dhe komunitetit.</w:t>
            </w:r>
          </w:p>
        </w:tc>
        <w:tc>
          <w:tcPr>
            <w:tcW w:w="567" w:type="dxa"/>
            <w:tcBorders>
              <w:top w:val="nil"/>
              <w:left w:val="nil"/>
              <w:bottom w:val="single" w:sz="4" w:space="0" w:color="auto"/>
              <w:right w:val="single" w:sz="4" w:space="0" w:color="auto"/>
            </w:tcBorders>
            <w:shd w:val="clear" w:color="000000" w:fill="DCE6F1"/>
            <w:hideMark/>
          </w:tcPr>
          <w:p w14:paraId="63CECBB4"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shd w:val="clear" w:color="000000" w:fill="DCE6F1"/>
            <w:hideMark/>
          </w:tcPr>
          <w:p w14:paraId="0F69ACFB"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shd w:val="clear" w:color="000000" w:fill="DCE6F1"/>
            <w:hideMark/>
          </w:tcPr>
          <w:p w14:paraId="641DE4EF"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w:t>
            </w:r>
          </w:p>
        </w:tc>
        <w:tc>
          <w:tcPr>
            <w:tcW w:w="1418" w:type="dxa"/>
            <w:tcBorders>
              <w:top w:val="nil"/>
              <w:left w:val="nil"/>
              <w:bottom w:val="single" w:sz="4" w:space="0" w:color="auto"/>
              <w:right w:val="single" w:sz="8" w:space="0" w:color="auto"/>
            </w:tcBorders>
            <w:shd w:val="clear" w:color="000000" w:fill="DCE6F1"/>
            <w:hideMark/>
          </w:tcPr>
          <w:p w14:paraId="69E4972A"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DRAP/ZVAP</w:t>
            </w:r>
          </w:p>
        </w:tc>
        <w:tc>
          <w:tcPr>
            <w:tcW w:w="708" w:type="dxa"/>
            <w:tcBorders>
              <w:top w:val="nil"/>
              <w:left w:val="single" w:sz="4" w:space="0" w:color="auto"/>
              <w:bottom w:val="single" w:sz="4" w:space="0" w:color="auto"/>
              <w:right w:val="single" w:sz="4" w:space="0" w:color="auto"/>
            </w:tcBorders>
            <w:shd w:val="clear" w:color="000000" w:fill="C5D9F1"/>
            <w:noWrap/>
            <w:hideMark/>
          </w:tcPr>
          <w:p w14:paraId="01880725" w14:textId="64ED2588"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shd w:val="clear" w:color="000000" w:fill="C5D9F1"/>
            <w:noWrap/>
            <w:hideMark/>
          </w:tcPr>
          <w:p w14:paraId="5A86C499" w14:textId="53119730"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shd w:val="clear" w:color="000000" w:fill="C5D9F1"/>
            <w:noWrap/>
            <w:hideMark/>
          </w:tcPr>
          <w:p w14:paraId="7F30F739" w14:textId="48888C42"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w:t>
            </w:r>
          </w:p>
        </w:tc>
        <w:tc>
          <w:tcPr>
            <w:tcW w:w="1134" w:type="dxa"/>
            <w:tcBorders>
              <w:top w:val="nil"/>
              <w:left w:val="nil"/>
              <w:bottom w:val="single" w:sz="4" w:space="0" w:color="auto"/>
              <w:right w:val="single" w:sz="4" w:space="0" w:color="auto"/>
            </w:tcBorders>
            <w:shd w:val="clear" w:color="000000" w:fill="C5D9F1"/>
            <w:noWrap/>
            <w:hideMark/>
          </w:tcPr>
          <w:p w14:paraId="1489429E" w14:textId="0ABDE534"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w:t>
            </w:r>
          </w:p>
        </w:tc>
        <w:tc>
          <w:tcPr>
            <w:tcW w:w="1615" w:type="dxa"/>
            <w:tcBorders>
              <w:top w:val="nil"/>
              <w:left w:val="nil"/>
              <w:bottom w:val="single" w:sz="4" w:space="0" w:color="auto"/>
              <w:right w:val="single" w:sz="4" w:space="0" w:color="auto"/>
            </w:tcBorders>
            <w:shd w:val="clear" w:color="000000" w:fill="C5D9F1"/>
            <w:noWrap/>
            <w:hideMark/>
          </w:tcPr>
          <w:p w14:paraId="70CD5314" w14:textId="77B28318"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w:t>
            </w:r>
          </w:p>
        </w:tc>
      </w:tr>
      <w:tr w:rsidR="00B807EE" w:rsidRPr="00024D5A" w14:paraId="0F81B4E2"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63AD421E" w14:textId="42D940FD"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2.4.1 Zbatimi i programeve të detyrueshme të zhvillimit profesional për mësuesit, drejtuesit e shkollave dhe stafin mbështetës për forcimin e kompetencave për menaxhimin e diversitetit dhe mbështetjen e të nxënit të individualizuar për nxënësit me aftësi të kufizuara (Ref</w:t>
            </w:r>
            <w:r w:rsidR="00905BB7"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Programit </w:t>
            </w:r>
            <w:r w:rsidR="00905BB7" w:rsidRPr="00024D5A">
              <w:rPr>
                <w:rFonts w:ascii="Garamond" w:eastAsia="Times New Roman" w:hAnsi="Garamond"/>
                <w:sz w:val="6"/>
                <w:szCs w:val="16"/>
                <w:lang w:eastAsia="en-US"/>
              </w:rPr>
              <w:t xml:space="preserve">Kombëtar </w:t>
            </w:r>
            <w:r w:rsidRPr="00024D5A">
              <w:rPr>
                <w:rFonts w:ascii="Garamond" w:eastAsia="Times New Roman" w:hAnsi="Garamond"/>
                <w:sz w:val="6"/>
                <w:szCs w:val="16"/>
                <w:lang w:eastAsia="en-US"/>
              </w:rPr>
              <w:t xml:space="preserve">për </w:t>
            </w:r>
            <w:r w:rsidR="00905BB7" w:rsidRPr="00024D5A">
              <w:rPr>
                <w:rFonts w:ascii="Garamond" w:eastAsia="Times New Roman" w:hAnsi="Garamond"/>
                <w:sz w:val="6"/>
                <w:szCs w:val="16"/>
                <w:lang w:eastAsia="en-US"/>
              </w:rPr>
              <w:t xml:space="preserve">Zhvillimin Profesional </w:t>
            </w:r>
            <w:r w:rsidRPr="00024D5A">
              <w:rPr>
                <w:rFonts w:ascii="Garamond" w:eastAsia="Times New Roman" w:hAnsi="Garamond"/>
                <w:sz w:val="6"/>
                <w:szCs w:val="16"/>
                <w:lang w:eastAsia="en-US"/>
              </w:rPr>
              <w:t xml:space="preserve">të </w:t>
            </w:r>
            <w:r w:rsidR="00905BB7" w:rsidRPr="00024D5A">
              <w:rPr>
                <w:rFonts w:ascii="Garamond" w:eastAsia="Times New Roman" w:hAnsi="Garamond"/>
                <w:sz w:val="6"/>
                <w:szCs w:val="16"/>
                <w:lang w:eastAsia="en-US"/>
              </w:rPr>
              <w:t xml:space="preserve">Mësuesve </w:t>
            </w:r>
            <w:r w:rsidRPr="00024D5A">
              <w:rPr>
                <w:rFonts w:ascii="Garamond" w:eastAsia="Times New Roman" w:hAnsi="Garamond"/>
                <w:sz w:val="6"/>
                <w:szCs w:val="16"/>
                <w:lang w:eastAsia="en-US"/>
              </w:rPr>
              <w:t>2026</w:t>
            </w:r>
            <w:r w:rsidR="00905BB7"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2028,</w:t>
            </w:r>
            <w:r w:rsidR="00905BB7"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ASCAP)</w:t>
            </w:r>
            <w:r w:rsidR="00905BB7"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08CE6CE4"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72342132"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54EA681C"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MA</w:t>
            </w:r>
          </w:p>
        </w:tc>
        <w:tc>
          <w:tcPr>
            <w:tcW w:w="1418" w:type="dxa"/>
            <w:tcBorders>
              <w:top w:val="nil"/>
              <w:left w:val="nil"/>
              <w:bottom w:val="single" w:sz="4" w:space="0" w:color="auto"/>
              <w:right w:val="single" w:sz="8" w:space="0" w:color="auto"/>
            </w:tcBorders>
            <w:hideMark/>
          </w:tcPr>
          <w:p w14:paraId="3FA8D80F"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DRAP/ZVAP, ASCAP</w:t>
            </w:r>
          </w:p>
        </w:tc>
        <w:tc>
          <w:tcPr>
            <w:tcW w:w="708" w:type="dxa"/>
            <w:tcBorders>
              <w:top w:val="nil"/>
              <w:left w:val="single" w:sz="4" w:space="0" w:color="auto"/>
              <w:bottom w:val="single" w:sz="4" w:space="0" w:color="auto"/>
              <w:right w:val="single" w:sz="4" w:space="0" w:color="auto"/>
            </w:tcBorders>
            <w:hideMark/>
          </w:tcPr>
          <w:p w14:paraId="4B7581C7" w14:textId="68DE0B8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76009052" w14:textId="625706E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0EADA29D" w14:textId="7CF82E6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36440813" w14:textId="5915674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6AF68CBA" w14:textId="2BFCD76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00F9B911"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7E04F892"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2.4.2 Fuqizimi i mekanizmave formalë të bashkëpunimit ndërmjet shkollave, nxënësve me dhe pa aftësi të kufizuara, prindërve dhe komunitetit. Informimi dhe përfshirja e prindërve në vendimmarrje dhe në mbështetjen e mirëqenies së nxënësve me aftësi të kufizuara.</w:t>
            </w:r>
          </w:p>
        </w:tc>
        <w:tc>
          <w:tcPr>
            <w:tcW w:w="567" w:type="dxa"/>
            <w:tcBorders>
              <w:top w:val="nil"/>
              <w:left w:val="nil"/>
              <w:bottom w:val="single" w:sz="4" w:space="0" w:color="auto"/>
              <w:right w:val="single" w:sz="4" w:space="0" w:color="auto"/>
            </w:tcBorders>
            <w:hideMark/>
          </w:tcPr>
          <w:p w14:paraId="1FC0FB44"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49742DB4"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090A2F9B"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MA</w:t>
            </w:r>
          </w:p>
        </w:tc>
        <w:tc>
          <w:tcPr>
            <w:tcW w:w="1418" w:type="dxa"/>
            <w:tcBorders>
              <w:top w:val="nil"/>
              <w:left w:val="nil"/>
              <w:bottom w:val="single" w:sz="4" w:space="0" w:color="auto"/>
              <w:right w:val="single" w:sz="8" w:space="0" w:color="auto"/>
            </w:tcBorders>
            <w:hideMark/>
          </w:tcPr>
          <w:p w14:paraId="66D0FF49"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DRAP/ZVAP</w:t>
            </w:r>
          </w:p>
        </w:tc>
        <w:tc>
          <w:tcPr>
            <w:tcW w:w="708" w:type="dxa"/>
            <w:tcBorders>
              <w:top w:val="nil"/>
              <w:left w:val="single" w:sz="4" w:space="0" w:color="auto"/>
              <w:bottom w:val="single" w:sz="4" w:space="0" w:color="auto"/>
              <w:right w:val="single" w:sz="4" w:space="0" w:color="auto"/>
            </w:tcBorders>
            <w:hideMark/>
          </w:tcPr>
          <w:p w14:paraId="7ADE7346" w14:textId="6C13214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42F949E1" w14:textId="6B465C7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7094038B" w14:textId="40458EF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7958DE48" w14:textId="7A5F8A7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61547AD9" w14:textId="038232A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00ACFE11" w14:textId="77777777" w:rsidTr="002B321E">
        <w:trPr>
          <w:trHeight w:val="20"/>
        </w:trPr>
        <w:tc>
          <w:tcPr>
            <w:tcW w:w="4673" w:type="dxa"/>
            <w:tcBorders>
              <w:top w:val="nil"/>
              <w:left w:val="single" w:sz="4" w:space="0" w:color="auto"/>
              <w:bottom w:val="single" w:sz="4" w:space="0" w:color="auto"/>
              <w:right w:val="nil"/>
            </w:tcBorders>
            <w:shd w:val="clear" w:color="000000" w:fill="FDE9D9"/>
            <w:hideMark/>
          </w:tcPr>
          <w:p w14:paraId="073D79AD" w14:textId="78051EAA"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Objektivi </w:t>
            </w:r>
            <w:r w:rsidR="00905BB7" w:rsidRPr="00024D5A">
              <w:rPr>
                <w:rFonts w:ascii="Garamond" w:eastAsia="Times New Roman" w:hAnsi="Garamond"/>
                <w:b/>
                <w:bCs/>
                <w:sz w:val="6"/>
                <w:szCs w:val="16"/>
                <w:lang w:eastAsia="en-US"/>
              </w:rPr>
              <w:t xml:space="preserve">specifik </w:t>
            </w:r>
            <w:r w:rsidRPr="00024D5A">
              <w:rPr>
                <w:rFonts w:ascii="Garamond" w:eastAsia="Times New Roman" w:hAnsi="Garamond"/>
                <w:b/>
                <w:bCs/>
                <w:sz w:val="6"/>
                <w:szCs w:val="16"/>
                <w:lang w:eastAsia="en-US"/>
              </w:rPr>
              <w:t>3.</w:t>
            </w:r>
            <w:r w:rsidR="008F29FA" w:rsidRPr="00024D5A">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Transformimi/riorganizimii shkollave speciale</w:t>
            </w:r>
            <w:r w:rsidR="00905BB7" w:rsidRPr="00024D5A">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 xml:space="preserve">në </w:t>
            </w:r>
            <w:r w:rsidR="00905BB7" w:rsidRPr="00024D5A">
              <w:rPr>
                <w:rFonts w:ascii="Garamond" w:eastAsia="Times New Roman" w:hAnsi="Garamond"/>
                <w:b/>
                <w:bCs/>
                <w:sz w:val="6"/>
                <w:szCs w:val="16"/>
                <w:lang w:eastAsia="en-US"/>
              </w:rPr>
              <w:t>qendra</w:t>
            </w:r>
            <w:r w:rsidRPr="00024D5A">
              <w:rPr>
                <w:rFonts w:ascii="Garamond" w:eastAsia="Times New Roman" w:hAnsi="Garamond"/>
                <w:b/>
                <w:bCs/>
                <w:sz w:val="6"/>
                <w:szCs w:val="16"/>
                <w:lang w:eastAsia="en-US"/>
              </w:rPr>
              <w:t xml:space="preserve"> burimore</w:t>
            </w:r>
            <w:r w:rsidR="00905BB7" w:rsidRPr="00024D5A">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 xml:space="preserve">dhe konsolidimi </w:t>
            </w:r>
            <w:r w:rsidR="00905BB7" w:rsidRPr="00024D5A">
              <w:rPr>
                <w:rFonts w:ascii="Garamond" w:eastAsia="Times New Roman" w:hAnsi="Garamond"/>
                <w:b/>
                <w:bCs/>
                <w:sz w:val="6"/>
                <w:szCs w:val="16"/>
                <w:lang w:eastAsia="en-US"/>
              </w:rPr>
              <w:t>i</w:t>
            </w:r>
            <w:r w:rsidRPr="00024D5A">
              <w:rPr>
                <w:rFonts w:ascii="Garamond" w:eastAsia="Times New Roman" w:hAnsi="Garamond"/>
                <w:b/>
                <w:bCs/>
                <w:sz w:val="6"/>
                <w:szCs w:val="16"/>
                <w:lang w:eastAsia="en-US"/>
              </w:rPr>
              <w:t xml:space="preserve"> rolit dhe veprimtarisë së tyre</w:t>
            </w:r>
            <w:r w:rsidR="00905BB7" w:rsidRPr="00024D5A">
              <w:rPr>
                <w:rFonts w:ascii="Garamond" w:eastAsia="Times New Roman" w:hAnsi="Garamond"/>
                <w:b/>
                <w:bCs/>
                <w:sz w:val="6"/>
                <w:szCs w:val="16"/>
                <w:lang w:eastAsia="en-US"/>
              </w:rPr>
              <w:t>.</w:t>
            </w:r>
          </w:p>
        </w:tc>
        <w:tc>
          <w:tcPr>
            <w:tcW w:w="567" w:type="dxa"/>
            <w:tcBorders>
              <w:top w:val="nil"/>
              <w:left w:val="single" w:sz="4" w:space="0" w:color="auto"/>
              <w:bottom w:val="single" w:sz="4" w:space="0" w:color="auto"/>
              <w:right w:val="single" w:sz="4" w:space="0" w:color="auto"/>
            </w:tcBorders>
            <w:shd w:val="clear" w:color="000000" w:fill="FDE9D9"/>
            <w:hideMark/>
          </w:tcPr>
          <w:p w14:paraId="5C7193AD"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shd w:val="clear" w:color="000000" w:fill="FDE9D9"/>
            <w:hideMark/>
          </w:tcPr>
          <w:p w14:paraId="0C3B312D"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shd w:val="clear" w:color="000000" w:fill="FDE9D9"/>
            <w:hideMark/>
          </w:tcPr>
          <w:p w14:paraId="55DA34A2"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MoE/ASCAP</w:t>
            </w:r>
          </w:p>
        </w:tc>
        <w:tc>
          <w:tcPr>
            <w:tcW w:w="1418" w:type="dxa"/>
            <w:tcBorders>
              <w:top w:val="nil"/>
              <w:left w:val="nil"/>
              <w:bottom w:val="single" w:sz="4" w:space="0" w:color="auto"/>
              <w:right w:val="single" w:sz="8" w:space="0" w:color="auto"/>
            </w:tcBorders>
            <w:shd w:val="clear" w:color="000000" w:fill="FDE9D9"/>
            <w:hideMark/>
          </w:tcPr>
          <w:p w14:paraId="2F2207EA" w14:textId="579AE97B"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MoE/QB për njerëzit që nuk dëgjojnë/MSHMS/INND/INNSH/Qendra Burimore për Nxënësit që nuk dëgjojnë</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Qendra Burimore </w:t>
            </w:r>
            <w:r w:rsidR="0078161D"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Ramazan Kabashi</w:t>
            </w:r>
            <w:r w:rsidR="0078161D"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br/>
              <w:t>/PEI/IAL/ZVA/DRAP/NJVV/ASCAP/KMVA</w:t>
            </w:r>
          </w:p>
        </w:tc>
        <w:tc>
          <w:tcPr>
            <w:tcW w:w="708" w:type="dxa"/>
            <w:tcBorders>
              <w:top w:val="nil"/>
              <w:left w:val="single" w:sz="4" w:space="0" w:color="auto"/>
              <w:bottom w:val="single" w:sz="4" w:space="0" w:color="auto"/>
              <w:right w:val="single" w:sz="4" w:space="0" w:color="auto"/>
            </w:tcBorders>
            <w:shd w:val="clear" w:color="000000" w:fill="FDE9D9"/>
            <w:hideMark/>
          </w:tcPr>
          <w:p w14:paraId="47966669" w14:textId="1E524F88"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27,577</w:t>
            </w:r>
          </w:p>
        </w:tc>
        <w:tc>
          <w:tcPr>
            <w:tcW w:w="567" w:type="dxa"/>
            <w:tcBorders>
              <w:top w:val="nil"/>
              <w:left w:val="nil"/>
              <w:bottom w:val="single" w:sz="4" w:space="0" w:color="auto"/>
              <w:right w:val="single" w:sz="4" w:space="0" w:color="auto"/>
            </w:tcBorders>
            <w:shd w:val="clear" w:color="000000" w:fill="FDE9D9"/>
            <w:hideMark/>
          </w:tcPr>
          <w:p w14:paraId="6FE3B224" w14:textId="66C430BE"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28,439</w:t>
            </w:r>
          </w:p>
        </w:tc>
        <w:tc>
          <w:tcPr>
            <w:tcW w:w="567" w:type="dxa"/>
            <w:tcBorders>
              <w:top w:val="nil"/>
              <w:left w:val="nil"/>
              <w:bottom w:val="single" w:sz="4" w:space="0" w:color="auto"/>
              <w:right w:val="single" w:sz="4" w:space="0" w:color="auto"/>
            </w:tcBorders>
            <w:shd w:val="clear" w:color="000000" w:fill="FDE9D9"/>
            <w:hideMark/>
          </w:tcPr>
          <w:p w14:paraId="0D3613C8" w14:textId="734684E9"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27,827</w:t>
            </w:r>
          </w:p>
        </w:tc>
        <w:tc>
          <w:tcPr>
            <w:tcW w:w="1134" w:type="dxa"/>
            <w:tcBorders>
              <w:top w:val="nil"/>
              <w:left w:val="nil"/>
              <w:bottom w:val="single" w:sz="4" w:space="0" w:color="auto"/>
              <w:right w:val="single" w:sz="4" w:space="0" w:color="auto"/>
            </w:tcBorders>
            <w:shd w:val="clear" w:color="000000" w:fill="FDE9D9"/>
            <w:hideMark/>
          </w:tcPr>
          <w:p w14:paraId="6EA18724" w14:textId="24FAE9D4"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21,577</w:t>
            </w:r>
          </w:p>
        </w:tc>
        <w:tc>
          <w:tcPr>
            <w:tcW w:w="1615" w:type="dxa"/>
            <w:tcBorders>
              <w:top w:val="nil"/>
              <w:left w:val="nil"/>
              <w:bottom w:val="single" w:sz="4" w:space="0" w:color="auto"/>
              <w:right w:val="single" w:sz="4" w:space="0" w:color="auto"/>
            </w:tcBorders>
            <w:shd w:val="clear" w:color="000000" w:fill="FDE9D9"/>
            <w:hideMark/>
          </w:tcPr>
          <w:p w14:paraId="45CA65B7" w14:textId="326DB8D3"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21,577</w:t>
            </w:r>
          </w:p>
        </w:tc>
      </w:tr>
      <w:tr w:rsidR="00B807EE" w:rsidRPr="00024D5A" w14:paraId="5E096D6F"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DCE6F1"/>
            <w:hideMark/>
          </w:tcPr>
          <w:p w14:paraId="079B8AD3" w14:textId="721CF9E2"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Masa </w:t>
            </w:r>
            <w:r w:rsidR="00905BB7" w:rsidRPr="00024D5A">
              <w:rPr>
                <w:rFonts w:ascii="Garamond" w:eastAsia="Times New Roman" w:hAnsi="Garamond"/>
                <w:b/>
                <w:bCs/>
                <w:sz w:val="6"/>
                <w:szCs w:val="16"/>
                <w:lang w:eastAsia="en-US"/>
              </w:rPr>
              <w:t xml:space="preserve">prioritare </w:t>
            </w:r>
            <w:r w:rsidRPr="00024D5A">
              <w:rPr>
                <w:rFonts w:ascii="Garamond" w:eastAsia="Times New Roman" w:hAnsi="Garamond"/>
                <w:b/>
                <w:bCs/>
                <w:sz w:val="6"/>
                <w:szCs w:val="16"/>
                <w:lang w:eastAsia="en-US"/>
              </w:rPr>
              <w:t>3.1</w:t>
            </w:r>
            <w:r w:rsidR="003526AF">
              <w:rPr>
                <w:rFonts w:ascii="Garamond" w:eastAsia="Times New Roman" w:hAnsi="Garamond"/>
                <w:b/>
                <w:bCs/>
                <w:sz w:val="6"/>
                <w:szCs w:val="16"/>
                <w:lang w:eastAsia="en-US"/>
              </w:rPr>
              <w:t>:</w:t>
            </w:r>
            <w:r w:rsidR="008F29FA" w:rsidRPr="00024D5A">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Konsolidimi i kuadrit rregullator për qendrat burimore.</w:t>
            </w:r>
          </w:p>
        </w:tc>
        <w:tc>
          <w:tcPr>
            <w:tcW w:w="567" w:type="dxa"/>
            <w:tcBorders>
              <w:top w:val="nil"/>
              <w:left w:val="nil"/>
              <w:bottom w:val="single" w:sz="4" w:space="0" w:color="auto"/>
              <w:right w:val="single" w:sz="4" w:space="0" w:color="auto"/>
            </w:tcBorders>
            <w:shd w:val="clear" w:color="000000" w:fill="DCE6F1"/>
            <w:hideMark/>
          </w:tcPr>
          <w:p w14:paraId="7529806A"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shd w:val="clear" w:color="000000" w:fill="DCE6F1"/>
            <w:hideMark/>
          </w:tcPr>
          <w:p w14:paraId="54305DF4"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shd w:val="clear" w:color="000000" w:fill="DCE6F1"/>
            <w:hideMark/>
          </w:tcPr>
          <w:p w14:paraId="5E912A0A"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MoE</w:t>
            </w:r>
          </w:p>
        </w:tc>
        <w:tc>
          <w:tcPr>
            <w:tcW w:w="1418" w:type="dxa"/>
            <w:tcBorders>
              <w:top w:val="nil"/>
              <w:left w:val="nil"/>
              <w:bottom w:val="single" w:sz="4" w:space="0" w:color="auto"/>
              <w:right w:val="single" w:sz="8" w:space="0" w:color="auto"/>
            </w:tcBorders>
            <w:shd w:val="clear" w:color="000000" w:fill="DCE6F1"/>
            <w:hideMark/>
          </w:tcPr>
          <w:p w14:paraId="020697A8"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MoE/QB për njerëzit që nuk dëgjojnë/MSHMS</w:t>
            </w:r>
          </w:p>
        </w:tc>
        <w:tc>
          <w:tcPr>
            <w:tcW w:w="708" w:type="dxa"/>
            <w:tcBorders>
              <w:top w:val="nil"/>
              <w:left w:val="single" w:sz="4" w:space="0" w:color="auto"/>
              <w:bottom w:val="single" w:sz="4" w:space="0" w:color="auto"/>
              <w:right w:val="single" w:sz="4" w:space="0" w:color="auto"/>
            </w:tcBorders>
            <w:shd w:val="clear" w:color="000000" w:fill="C5D9F1"/>
            <w:noWrap/>
            <w:hideMark/>
          </w:tcPr>
          <w:p w14:paraId="51F4A939" w14:textId="74F804BC"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shd w:val="clear" w:color="000000" w:fill="C5D9F1"/>
            <w:noWrap/>
            <w:hideMark/>
          </w:tcPr>
          <w:p w14:paraId="320CDB75" w14:textId="03A81C1D"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462</w:t>
            </w:r>
          </w:p>
        </w:tc>
        <w:tc>
          <w:tcPr>
            <w:tcW w:w="567" w:type="dxa"/>
            <w:tcBorders>
              <w:top w:val="nil"/>
              <w:left w:val="nil"/>
              <w:bottom w:val="single" w:sz="4" w:space="0" w:color="auto"/>
              <w:right w:val="single" w:sz="4" w:space="0" w:color="auto"/>
            </w:tcBorders>
            <w:shd w:val="clear" w:color="000000" w:fill="C5D9F1"/>
            <w:noWrap/>
            <w:hideMark/>
          </w:tcPr>
          <w:p w14:paraId="324BE9A0" w14:textId="5626CE7A"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w:t>
            </w:r>
          </w:p>
        </w:tc>
        <w:tc>
          <w:tcPr>
            <w:tcW w:w="1134" w:type="dxa"/>
            <w:tcBorders>
              <w:top w:val="nil"/>
              <w:left w:val="nil"/>
              <w:bottom w:val="single" w:sz="4" w:space="0" w:color="auto"/>
              <w:right w:val="single" w:sz="4" w:space="0" w:color="auto"/>
            </w:tcBorders>
            <w:shd w:val="clear" w:color="000000" w:fill="C5D9F1"/>
            <w:noWrap/>
            <w:hideMark/>
          </w:tcPr>
          <w:p w14:paraId="254E7BF7" w14:textId="1509BFE2"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w:t>
            </w:r>
          </w:p>
        </w:tc>
        <w:tc>
          <w:tcPr>
            <w:tcW w:w="1615" w:type="dxa"/>
            <w:tcBorders>
              <w:top w:val="nil"/>
              <w:left w:val="nil"/>
              <w:bottom w:val="single" w:sz="4" w:space="0" w:color="auto"/>
              <w:right w:val="single" w:sz="4" w:space="0" w:color="auto"/>
            </w:tcBorders>
            <w:shd w:val="clear" w:color="000000" w:fill="C5D9F1"/>
            <w:noWrap/>
            <w:hideMark/>
          </w:tcPr>
          <w:p w14:paraId="4EF6683B" w14:textId="1D71359A"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w:t>
            </w:r>
          </w:p>
        </w:tc>
      </w:tr>
      <w:tr w:rsidR="00B807EE" w:rsidRPr="00024D5A" w14:paraId="1CA3F4A4"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2AB81889" w14:textId="3E2037D9"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3.1.1 Miratimi i VKM-së për unifikimin e Kodit Braille në nivel kombëtar</w:t>
            </w:r>
            <w:r w:rsidR="00905BB7"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 xml:space="preserve">(draft, ende </w:t>
            </w:r>
            <w:r w:rsidR="00905BB7" w:rsidRPr="00024D5A">
              <w:rPr>
                <w:rFonts w:ascii="Garamond" w:eastAsia="Times New Roman" w:hAnsi="Garamond"/>
                <w:sz w:val="6"/>
                <w:szCs w:val="16"/>
                <w:lang w:eastAsia="en-US"/>
              </w:rPr>
              <w:t>i</w:t>
            </w:r>
            <w:r w:rsidRPr="00024D5A">
              <w:rPr>
                <w:rFonts w:ascii="Garamond" w:eastAsia="Times New Roman" w:hAnsi="Garamond"/>
                <w:sz w:val="6"/>
                <w:szCs w:val="16"/>
                <w:lang w:eastAsia="en-US"/>
              </w:rPr>
              <w:t xml:space="preserve"> paaprovuar). </w:t>
            </w:r>
          </w:p>
        </w:tc>
        <w:tc>
          <w:tcPr>
            <w:tcW w:w="567" w:type="dxa"/>
            <w:tcBorders>
              <w:top w:val="nil"/>
              <w:left w:val="nil"/>
              <w:bottom w:val="single" w:sz="4" w:space="0" w:color="auto"/>
              <w:right w:val="single" w:sz="4" w:space="0" w:color="auto"/>
            </w:tcBorders>
            <w:hideMark/>
          </w:tcPr>
          <w:p w14:paraId="7392181B"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567" w:type="dxa"/>
            <w:tcBorders>
              <w:top w:val="nil"/>
              <w:left w:val="nil"/>
              <w:bottom w:val="single" w:sz="4" w:space="0" w:color="auto"/>
              <w:right w:val="single" w:sz="4" w:space="0" w:color="auto"/>
            </w:tcBorders>
            <w:hideMark/>
          </w:tcPr>
          <w:p w14:paraId="46B3C9EE"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1134" w:type="dxa"/>
            <w:tcBorders>
              <w:top w:val="nil"/>
              <w:left w:val="nil"/>
              <w:bottom w:val="single" w:sz="4" w:space="0" w:color="auto"/>
              <w:right w:val="single" w:sz="4" w:space="0" w:color="auto"/>
            </w:tcBorders>
            <w:hideMark/>
          </w:tcPr>
          <w:p w14:paraId="7A568E8B"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MoE</w:t>
            </w:r>
          </w:p>
        </w:tc>
        <w:tc>
          <w:tcPr>
            <w:tcW w:w="1418" w:type="dxa"/>
            <w:tcBorders>
              <w:top w:val="nil"/>
              <w:left w:val="nil"/>
              <w:bottom w:val="single" w:sz="4" w:space="0" w:color="auto"/>
              <w:right w:val="single" w:sz="8" w:space="0" w:color="auto"/>
            </w:tcBorders>
            <w:hideMark/>
          </w:tcPr>
          <w:p w14:paraId="65A75797"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MSHMS</w:t>
            </w:r>
          </w:p>
        </w:tc>
        <w:tc>
          <w:tcPr>
            <w:tcW w:w="708" w:type="dxa"/>
            <w:tcBorders>
              <w:top w:val="nil"/>
              <w:left w:val="single" w:sz="4" w:space="0" w:color="auto"/>
              <w:bottom w:val="single" w:sz="4" w:space="0" w:color="auto"/>
              <w:right w:val="single" w:sz="4" w:space="0" w:color="auto"/>
            </w:tcBorders>
            <w:hideMark/>
          </w:tcPr>
          <w:p w14:paraId="5FD827AD" w14:textId="0681283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0277004D" w14:textId="37DB090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462</w:t>
            </w:r>
          </w:p>
        </w:tc>
        <w:tc>
          <w:tcPr>
            <w:tcW w:w="567" w:type="dxa"/>
            <w:tcBorders>
              <w:top w:val="nil"/>
              <w:left w:val="nil"/>
              <w:bottom w:val="single" w:sz="4" w:space="0" w:color="auto"/>
              <w:right w:val="single" w:sz="4" w:space="0" w:color="auto"/>
            </w:tcBorders>
            <w:hideMark/>
          </w:tcPr>
          <w:p w14:paraId="2A534564" w14:textId="2C85305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5799E8BE" w14:textId="44D217C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4682A294" w14:textId="4C99A5B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526B6E6A"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58ECE821" w14:textId="7DA719B3"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3.1.2 Zhvillimi në vazhdim i kërkimit dhe dokumentimit të gjuhës së </w:t>
            </w:r>
            <w:r w:rsidR="00905BB7" w:rsidRPr="00024D5A">
              <w:rPr>
                <w:rFonts w:ascii="Garamond" w:eastAsia="Times New Roman" w:hAnsi="Garamond"/>
                <w:sz w:val="6"/>
                <w:szCs w:val="16"/>
                <w:lang w:eastAsia="en-US"/>
              </w:rPr>
              <w:t>shenjave</w:t>
            </w:r>
            <w:r w:rsidRPr="00024D5A">
              <w:rPr>
                <w:rFonts w:ascii="Garamond" w:eastAsia="Times New Roman" w:hAnsi="Garamond"/>
                <w:sz w:val="6"/>
                <w:szCs w:val="16"/>
                <w:lang w:eastAsia="en-US"/>
              </w:rPr>
              <w:t xml:space="preserve"> shqipe,</w:t>
            </w:r>
            <w:r w:rsidR="00905BB7"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pasurimi i</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 xml:space="preserve">fjalorit. </w:t>
            </w:r>
          </w:p>
        </w:tc>
        <w:tc>
          <w:tcPr>
            <w:tcW w:w="567" w:type="dxa"/>
            <w:tcBorders>
              <w:top w:val="nil"/>
              <w:left w:val="nil"/>
              <w:bottom w:val="single" w:sz="4" w:space="0" w:color="auto"/>
              <w:right w:val="single" w:sz="4" w:space="0" w:color="auto"/>
            </w:tcBorders>
            <w:hideMark/>
          </w:tcPr>
          <w:p w14:paraId="13922ECE"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6A1A4F21"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2029</w:t>
            </w:r>
          </w:p>
        </w:tc>
        <w:tc>
          <w:tcPr>
            <w:tcW w:w="1134" w:type="dxa"/>
            <w:tcBorders>
              <w:top w:val="nil"/>
              <w:left w:val="nil"/>
              <w:bottom w:val="single" w:sz="4" w:space="0" w:color="auto"/>
              <w:right w:val="single" w:sz="4" w:space="0" w:color="auto"/>
            </w:tcBorders>
            <w:hideMark/>
          </w:tcPr>
          <w:p w14:paraId="0E5A8AF8"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MA</w:t>
            </w:r>
          </w:p>
        </w:tc>
        <w:tc>
          <w:tcPr>
            <w:tcW w:w="1418" w:type="dxa"/>
            <w:tcBorders>
              <w:top w:val="nil"/>
              <w:left w:val="nil"/>
              <w:bottom w:val="single" w:sz="4" w:space="0" w:color="auto"/>
              <w:right w:val="single" w:sz="8" w:space="0" w:color="auto"/>
            </w:tcBorders>
            <w:hideMark/>
          </w:tcPr>
          <w:p w14:paraId="429207BD"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QB për njerëzit që nuk dëgjojnë; MSHMS</w:t>
            </w:r>
          </w:p>
        </w:tc>
        <w:tc>
          <w:tcPr>
            <w:tcW w:w="708" w:type="dxa"/>
            <w:tcBorders>
              <w:top w:val="nil"/>
              <w:left w:val="single" w:sz="4" w:space="0" w:color="auto"/>
              <w:bottom w:val="single" w:sz="4" w:space="0" w:color="auto"/>
              <w:right w:val="single" w:sz="4" w:space="0" w:color="auto"/>
            </w:tcBorders>
            <w:hideMark/>
          </w:tcPr>
          <w:p w14:paraId="773FA79D" w14:textId="7B8FEC3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4,000</w:t>
            </w:r>
          </w:p>
        </w:tc>
        <w:tc>
          <w:tcPr>
            <w:tcW w:w="567" w:type="dxa"/>
            <w:tcBorders>
              <w:top w:val="nil"/>
              <w:left w:val="nil"/>
              <w:bottom w:val="single" w:sz="4" w:space="0" w:color="auto"/>
              <w:right w:val="single" w:sz="4" w:space="0" w:color="auto"/>
            </w:tcBorders>
            <w:hideMark/>
          </w:tcPr>
          <w:p w14:paraId="600E1696" w14:textId="013EE1D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4,000</w:t>
            </w:r>
          </w:p>
        </w:tc>
        <w:tc>
          <w:tcPr>
            <w:tcW w:w="567" w:type="dxa"/>
            <w:tcBorders>
              <w:top w:val="nil"/>
              <w:left w:val="nil"/>
              <w:bottom w:val="single" w:sz="4" w:space="0" w:color="auto"/>
              <w:right w:val="single" w:sz="4" w:space="0" w:color="auto"/>
            </w:tcBorders>
            <w:hideMark/>
          </w:tcPr>
          <w:p w14:paraId="17856F8E" w14:textId="6CEBB59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4,000</w:t>
            </w:r>
          </w:p>
        </w:tc>
        <w:tc>
          <w:tcPr>
            <w:tcW w:w="1134" w:type="dxa"/>
            <w:tcBorders>
              <w:top w:val="nil"/>
              <w:left w:val="nil"/>
              <w:bottom w:val="single" w:sz="4" w:space="0" w:color="auto"/>
              <w:right w:val="single" w:sz="4" w:space="0" w:color="auto"/>
            </w:tcBorders>
            <w:hideMark/>
          </w:tcPr>
          <w:p w14:paraId="7515661C" w14:textId="793C50B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4,000</w:t>
            </w:r>
          </w:p>
        </w:tc>
        <w:tc>
          <w:tcPr>
            <w:tcW w:w="1615" w:type="dxa"/>
            <w:tcBorders>
              <w:top w:val="nil"/>
              <w:left w:val="nil"/>
              <w:bottom w:val="single" w:sz="4" w:space="0" w:color="auto"/>
              <w:right w:val="single" w:sz="4" w:space="0" w:color="auto"/>
            </w:tcBorders>
            <w:hideMark/>
          </w:tcPr>
          <w:p w14:paraId="50FB43F8" w14:textId="5BC2AB5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4,000</w:t>
            </w:r>
          </w:p>
        </w:tc>
      </w:tr>
      <w:tr w:rsidR="00B807EE" w:rsidRPr="00024D5A" w14:paraId="08A5210E"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7E77B2DE" w14:textId="691C4A03"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3.1.3 Rishikimi i VKM </w:t>
            </w:r>
            <w:r w:rsidR="00905BB7" w:rsidRPr="00024D5A">
              <w:rPr>
                <w:rFonts w:ascii="Garamond" w:eastAsia="Times New Roman" w:hAnsi="Garamond"/>
                <w:sz w:val="6"/>
                <w:szCs w:val="16"/>
                <w:lang w:eastAsia="en-US"/>
              </w:rPr>
              <w:t xml:space="preserve">nr. </w:t>
            </w:r>
            <w:r w:rsidRPr="00024D5A">
              <w:rPr>
                <w:rFonts w:ascii="Garamond" w:eastAsia="Times New Roman" w:hAnsi="Garamond"/>
                <w:sz w:val="6"/>
                <w:szCs w:val="16"/>
                <w:lang w:eastAsia="en-US"/>
              </w:rPr>
              <w:t xml:space="preserve">837, datë 3.12.2014, për aprovimi e alfabetit të zgjeruar të gjuhës së </w:t>
            </w:r>
            <w:r w:rsidR="00905BB7" w:rsidRPr="00024D5A">
              <w:rPr>
                <w:rFonts w:ascii="Garamond" w:eastAsia="Times New Roman" w:hAnsi="Garamond"/>
                <w:sz w:val="6"/>
                <w:szCs w:val="16"/>
                <w:lang w:eastAsia="en-US"/>
              </w:rPr>
              <w:t>shenjave</w:t>
            </w:r>
            <w:r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5115F11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567" w:type="dxa"/>
            <w:tcBorders>
              <w:top w:val="nil"/>
              <w:left w:val="nil"/>
              <w:bottom w:val="single" w:sz="4" w:space="0" w:color="auto"/>
              <w:right w:val="single" w:sz="4" w:space="0" w:color="auto"/>
            </w:tcBorders>
            <w:hideMark/>
          </w:tcPr>
          <w:p w14:paraId="51CF2F10"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144D50A2"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MA</w:t>
            </w:r>
          </w:p>
        </w:tc>
        <w:tc>
          <w:tcPr>
            <w:tcW w:w="1418" w:type="dxa"/>
            <w:tcBorders>
              <w:top w:val="nil"/>
              <w:left w:val="nil"/>
              <w:bottom w:val="single" w:sz="4" w:space="0" w:color="auto"/>
              <w:right w:val="single" w:sz="8" w:space="0" w:color="auto"/>
            </w:tcBorders>
            <w:hideMark/>
          </w:tcPr>
          <w:p w14:paraId="751B05D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QB për njerëzit që nuk dëgjojnë; MSHMS</w:t>
            </w:r>
          </w:p>
        </w:tc>
        <w:tc>
          <w:tcPr>
            <w:tcW w:w="708" w:type="dxa"/>
            <w:tcBorders>
              <w:top w:val="nil"/>
              <w:left w:val="single" w:sz="4" w:space="0" w:color="auto"/>
              <w:bottom w:val="single" w:sz="4" w:space="0" w:color="auto"/>
              <w:right w:val="single" w:sz="4" w:space="0" w:color="auto"/>
            </w:tcBorders>
            <w:hideMark/>
          </w:tcPr>
          <w:p w14:paraId="28BB91F3" w14:textId="4868214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3EDADB63" w14:textId="6E7393B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6D1F4313" w14:textId="350C30C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635D0F22" w14:textId="1DD23A8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041A8676" w14:textId="4EBA22C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462</w:t>
            </w:r>
          </w:p>
        </w:tc>
      </w:tr>
      <w:tr w:rsidR="00B807EE" w:rsidRPr="00024D5A" w14:paraId="46DD3AE6"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DCE6F1"/>
            <w:hideMark/>
          </w:tcPr>
          <w:p w14:paraId="41F1D4CD" w14:textId="313AC505"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Masa </w:t>
            </w:r>
            <w:r w:rsidR="00905BB7" w:rsidRPr="00024D5A">
              <w:rPr>
                <w:rFonts w:ascii="Garamond" w:eastAsia="Times New Roman" w:hAnsi="Garamond"/>
                <w:b/>
                <w:bCs/>
                <w:sz w:val="6"/>
                <w:szCs w:val="16"/>
                <w:lang w:eastAsia="en-US"/>
              </w:rPr>
              <w:t xml:space="preserve">prioritare </w:t>
            </w:r>
            <w:r w:rsidRPr="00024D5A">
              <w:rPr>
                <w:rFonts w:ascii="Garamond" w:eastAsia="Times New Roman" w:hAnsi="Garamond"/>
                <w:b/>
                <w:bCs/>
                <w:sz w:val="6"/>
                <w:szCs w:val="16"/>
                <w:lang w:eastAsia="en-US"/>
              </w:rPr>
              <w:t>3.2</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Akreditimi dhe integrimi i moduleve të trajnimit të hartuara nga </w:t>
            </w:r>
            <w:r w:rsidR="00905BB7" w:rsidRPr="00024D5A">
              <w:rPr>
                <w:rFonts w:ascii="Garamond" w:eastAsia="Times New Roman" w:hAnsi="Garamond"/>
                <w:b/>
                <w:bCs/>
                <w:sz w:val="6"/>
                <w:szCs w:val="16"/>
                <w:lang w:eastAsia="en-US"/>
              </w:rPr>
              <w:t xml:space="preserve">qendrat burimore </w:t>
            </w:r>
            <w:r w:rsidRPr="00024D5A">
              <w:rPr>
                <w:rFonts w:ascii="Garamond" w:eastAsia="Times New Roman" w:hAnsi="Garamond"/>
                <w:b/>
                <w:bCs/>
                <w:sz w:val="6"/>
                <w:szCs w:val="16"/>
                <w:lang w:eastAsia="en-US"/>
              </w:rPr>
              <w:t>në programet kombëtare të zhvillimit.</w:t>
            </w:r>
          </w:p>
        </w:tc>
        <w:tc>
          <w:tcPr>
            <w:tcW w:w="567" w:type="dxa"/>
            <w:tcBorders>
              <w:top w:val="nil"/>
              <w:left w:val="nil"/>
              <w:bottom w:val="single" w:sz="4" w:space="0" w:color="auto"/>
              <w:right w:val="single" w:sz="4" w:space="0" w:color="auto"/>
            </w:tcBorders>
            <w:shd w:val="clear" w:color="000000" w:fill="DCE6F1"/>
            <w:noWrap/>
            <w:hideMark/>
          </w:tcPr>
          <w:p w14:paraId="757D9795"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shd w:val="clear" w:color="000000" w:fill="DCE6F1"/>
            <w:noWrap/>
            <w:hideMark/>
          </w:tcPr>
          <w:p w14:paraId="6E2D2A8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shd w:val="clear" w:color="000000" w:fill="DCE6F1"/>
            <w:hideMark/>
          </w:tcPr>
          <w:p w14:paraId="55C5A9E7"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ASCAP, MA</w:t>
            </w:r>
          </w:p>
        </w:tc>
        <w:tc>
          <w:tcPr>
            <w:tcW w:w="1418" w:type="dxa"/>
            <w:tcBorders>
              <w:top w:val="nil"/>
              <w:left w:val="nil"/>
              <w:bottom w:val="single" w:sz="4" w:space="0" w:color="auto"/>
              <w:right w:val="single" w:sz="8" w:space="0" w:color="auto"/>
            </w:tcBorders>
            <w:shd w:val="clear" w:color="000000" w:fill="DCE6F1"/>
            <w:hideMark/>
          </w:tcPr>
          <w:p w14:paraId="1B13DE8F" w14:textId="180D7CC5"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Qendra Burimore për Nxënësit që nuk dëgjojnë</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Qendra Burimore </w:t>
            </w:r>
            <w:r w:rsidR="0078161D"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Ramazan Kabashi</w:t>
            </w:r>
            <w:r w:rsidR="0078161D" w:rsidRPr="00024D5A">
              <w:rPr>
                <w:rFonts w:ascii="Garamond" w:eastAsia="Times New Roman" w:hAnsi="Garamond"/>
                <w:b/>
                <w:bCs/>
                <w:sz w:val="6"/>
                <w:szCs w:val="16"/>
                <w:lang w:eastAsia="en-US"/>
              </w:rPr>
              <w:t>”</w:t>
            </w:r>
          </w:p>
        </w:tc>
        <w:tc>
          <w:tcPr>
            <w:tcW w:w="708" w:type="dxa"/>
            <w:tcBorders>
              <w:top w:val="nil"/>
              <w:left w:val="single" w:sz="4" w:space="0" w:color="auto"/>
              <w:bottom w:val="single" w:sz="4" w:space="0" w:color="auto"/>
              <w:right w:val="single" w:sz="4" w:space="0" w:color="auto"/>
            </w:tcBorders>
            <w:shd w:val="clear" w:color="000000" w:fill="C5D9F1"/>
            <w:noWrap/>
            <w:hideMark/>
          </w:tcPr>
          <w:p w14:paraId="644DCD0B" w14:textId="72DE7ED8"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shd w:val="clear" w:color="000000" w:fill="C5D9F1"/>
            <w:noWrap/>
            <w:hideMark/>
          </w:tcPr>
          <w:p w14:paraId="17C00893" w14:textId="28787842"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400</w:t>
            </w:r>
          </w:p>
        </w:tc>
        <w:tc>
          <w:tcPr>
            <w:tcW w:w="567" w:type="dxa"/>
            <w:tcBorders>
              <w:top w:val="nil"/>
              <w:left w:val="nil"/>
              <w:bottom w:val="single" w:sz="4" w:space="0" w:color="auto"/>
              <w:right w:val="single" w:sz="4" w:space="0" w:color="auto"/>
            </w:tcBorders>
            <w:shd w:val="clear" w:color="000000" w:fill="C5D9F1"/>
            <w:noWrap/>
            <w:hideMark/>
          </w:tcPr>
          <w:p w14:paraId="3D15A042" w14:textId="0F7A7DD2"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w:t>
            </w:r>
          </w:p>
        </w:tc>
        <w:tc>
          <w:tcPr>
            <w:tcW w:w="1134" w:type="dxa"/>
            <w:tcBorders>
              <w:top w:val="nil"/>
              <w:left w:val="nil"/>
              <w:bottom w:val="single" w:sz="4" w:space="0" w:color="auto"/>
              <w:right w:val="single" w:sz="4" w:space="0" w:color="auto"/>
            </w:tcBorders>
            <w:shd w:val="clear" w:color="000000" w:fill="C5D9F1"/>
            <w:noWrap/>
            <w:hideMark/>
          </w:tcPr>
          <w:p w14:paraId="01B1C7F1" w14:textId="60AE1924"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w:t>
            </w:r>
          </w:p>
        </w:tc>
        <w:tc>
          <w:tcPr>
            <w:tcW w:w="1615" w:type="dxa"/>
            <w:tcBorders>
              <w:top w:val="nil"/>
              <w:left w:val="nil"/>
              <w:bottom w:val="single" w:sz="4" w:space="0" w:color="auto"/>
              <w:right w:val="single" w:sz="4" w:space="0" w:color="auto"/>
            </w:tcBorders>
            <w:shd w:val="clear" w:color="000000" w:fill="C5D9F1"/>
            <w:noWrap/>
            <w:hideMark/>
          </w:tcPr>
          <w:p w14:paraId="1C50125D" w14:textId="413BECBD"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w:t>
            </w:r>
          </w:p>
        </w:tc>
      </w:tr>
      <w:tr w:rsidR="00B807EE" w:rsidRPr="00024D5A" w14:paraId="07A933AB"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3029747B" w14:textId="2DB67C98"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3.2.1</w:t>
            </w:r>
            <w:r w:rsidR="00905BB7"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Përfundimi i procesit të akreditimit të moduleve të trajnimit të zhvilluara nga INND</w:t>
            </w:r>
            <w:r w:rsidR="00905BB7" w:rsidRPr="00024D5A">
              <w:rPr>
                <w:rFonts w:ascii="Garamond" w:eastAsia="Times New Roman" w:hAnsi="Garamond"/>
                <w:sz w:val="6"/>
                <w:szCs w:val="16"/>
                <w:lang w:eastAsia="en-US"/>
              </w:rPr>
              <w:t>-ja</w:t>
            </w:r>
            <w:r w:rsidRPr="00024D5A">
              <w:rPr>
                <w:rFonts w:ascii="Garamond" w:eastAsia="Times New Roman" w:hAnsi="Garamond"/>
                <w:sz w:val="6"/>
                <w:szCs w:val="16"/>
                <w:lang w:eastAsia="en-US"/>
              </w:rPr>
              <w:t xml:space="preserve"> dhe INNSH</w:t>
            </w:r>
            <w:r w:rsidR="00401482" w:rsidRPr="00024D5A">
              <w:rPr>
                <w:rFonts w:ascii="Garamond" w:eastAsia="Times New Roman" w:hAnsi="Garamond"/>
                <w:sz w:val="6"/>
                <w:szCs w:val="16"/>
                <w:lang w:eastAsia="en-US"/>
              </w:rPr>
              <w:t>-ja,</w:t>
            </w:r>
            <w:r w:rsidRPr="00024D5A">
              <w:rPr>
                <w:rFonts w:ascii="Garamond" w:eastAsia="Times New Roman" w:hAnsi="Garamond"/>
                <w:sz w:val="6"/>
                <w:szCs w:val="16"/>
                <w:lang w:eastAsia="en-US"/>
              </w:rPr>
              <w:t xml:space="preserve"> Qendra Burimore për Nxënësit që nuk </w:t>
            </w:r>
            <w:r w:rsidR="00401482" w:rsidRPr="00024D5A">
              <w:rPr>
                <w:rFonts w:ascii="Garamond" w:eastAsia="Times New Roman" w:hAnsi="Garamond"/>
                <w:sz w:val="6"/>
                <w:szCs w:val="16"/>
                <w:lang w:eastAsia="en-US"/>
              </w:rPr>
              <w:t>Dëgjojnë</w:t>
            </w:r>
            <w:r w:rsidR="007675EC"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Qendra Burimore </w:t>
            </w:r>
            <w:r w:rsidR="0078161D"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Ramazan Kabashi</w:t>
            </w:r>
            <w:r w:rsidR="0078161D" w:rsidRPr="00024D5A">
              <w:rPr>
                <w:rFonts w:ascii="Garamond" w:eastAsia="Times New Roman" w:hAnsi="Garamond"/>
                <w:sz w:val="6"/>
                <w:szCs w:val="16"/>
                <w:lang w:eastAsia="en-US"/>
              </w:rPr>
              <w:t>”</w:t>
            </w:r>
            <w:r w:rsidR="00401482"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41664DE1"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567" w:type="dxa"/>
            <w:tcBorders>
              <w:top w:val="nil"/>
              <w:left w:val="nil"/>
              <w:bottom w:val="single" w:sz="4" w:space="0" w:color="auto"/>
              <w:right w:val="single" w:sz="4" w:space="0" w:color="auto"/>
            </w:tcBorders>
            <w:hideMark/>
          </w:tcPr>
          <w:p w14:paraId="0CC67740"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1134" w:type="dxa"/>
            <w:tcBorders>
              <w:top w:val="nil"/>
              <w:left w:val="nil"/>
              <w:bottom w:val="single" w:sz="4" w:space="0" w:color="auto"/>
              <w:right w:val="single" w:sz="4" w:space="0" w:color="auto"/>
            </w:tcBorders>
            <w:hideMark/>
          </w:tcPr>
          <w:p w14:paraId="34D982CE"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ASCAP, MA</w:t>
            </w:r>
          </w:p>
        </w:tc>
        <w:tc>
          <w:tcPr>
            <w:tcW w:w="1418" w:type="dxa"/>
            <w:tcBorders>
              <w:top w:val="nil"/>
              <w:left w:val="nil"/>
              <w:bottom w:val="single" w:sz="4" w:space="0" w:color="auto"/>
              <w:right w:val="single" w:sz="8" w:space="0" w:color="auto"/>
            </w:tcBorders>
            <w:hideMark/>
          </w:tcPr>
          <w:p w14:paraId="177BE74A" w14:textId="6AAF1C9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Qendra Burimore për Nxënësit që nuk dëgjojnë</w:t>
            </w:r>
            <w:r w:rsidR="007675EC"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Qendra Burimore </w:t>
            </w:r>
            <w:r w:rsidR="0078161D"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Ramazan Kabashi</w:t>
            </w:r>
            <w:r w:rsidR="0078161D" w:rsidRPr="00024D5A">
              <w:rPr>
                <w:rFonts w:ascii="Garamond" w:eastAsia="Times New Roman" w:hAnsi="Garamond"/>
                <w:sz w:val="6"/>
                <w:szCs w:val="16"/>
                <w:lang w:eastAsia="en-US"/>
              </w:rPr>
              <w:t>”</w:t>
            </w:r>
          </w:p>
        </w:tc>
        <w:tc>
          <w:tcPr>
            <w:tcW w:w="708" w:type="dxa"/>
            <w:tcBorders>
              <w:top w:val="nil"/>
              <w:left w:val="single" w:sz="4" w:space="0" w:color="auto"/>
              <w:bottom w:val="single" w:sz="4" w:space="0" w:color="auto"/>
              <w:right w:val="single" w:sz="4" w:space="0" w:color="auto"/>
            </w:tcBorders>
            <w:hideMark/>
          </w:tcPr>
          <w:p w14:paraId="0764BC2E" w14:textId="1CF3FE8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3E93F053" w14:textId="598C930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400</w:t>
            </w:r>
          </w:p>
        </w:tc>
        <w:tc>
          <w:tcPr>
            <w:tcW w:w="567" w:type="dxa"/>
            <w:tcBorders>
              <w:top w:val="nil"/>
              <w:left w:val="nil"/>
              <w:bottom w:val="single" w:sz="4" w:space="0" w:color="auto"/>
              <w:right w:val="single" w:sz="4" w:space="0" w:color="auto"/>
            </w:tcBorders>
            <w:hideMark/>
          </w:tcPr>
          <w:p w14:paraId="4C778228" w14:textId="3BA6FCB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1FC928DA" w14:textId="7143EFA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0330F164" w14:textId="1C48F64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3A24480B"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012FCC4B"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3.2.2 Zgjerimi i përdorimit të moduleve në trajnime të detyrueshme për stafin arsimor në shkollat e zakonshme.</w:t>
            </w:r>
          </w:p>
        </w:tc>
        <w:tc>
          <w:tcPr>
            <w:tcW w:w="567" w:type="dxa"/>
            <w:tcBorders>
              <w:top w:val="nil"/>
              <w:left w:val="nil"/>
              <w:bottom w:val="single" w:sz="4" w:space="0" w:color="auto"/>
              <w:right w:val="single" w:sz="4" w:space="0" w:color="auto"/>
            </w:tcBorders>
            <w:hideMark/>
          </w:tcPr>
          <w:p w14:paraId="21BD00F3"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2028</w:t>
            </w:r>
          </w:p>
        </w:tc>
        <w:tc>
          <w:tcPr>
            <w:tcW w:w="567" w:type="dxa"/>
            <w:tcBorders>
              <w:top w:val="nil"/>
              <w:left w:val="nil"/>
              <w:bottom w:val="single" w:sz="4" w:space="0" w:color="auto"/>
              <w:right w:val="single" w:sz="4" w:space="0" w:color="auto"/>
            </w:tcBorders>
            <w:hideMark/>
          </w:tcPr>
          <w:p w14:paraId="6ADA3F33"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1134" w:type="dxa"/>
            <w:tcBorders>
              <w:top w:val="nil"/>
              <w:left w:val="nil"/>
              <w:bottom w:val="single" w:sz="4" w:space="0" w:color="auto"/>
              <w:right w:val="single" w:sz="4" w:space="0" w:color="auto"/>
            </w:tcBorders>
            <w:hideMark/>
          </w:tcPr>
          <w:p w14:paraId="51B76C91"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ASCAP, MA</w:t>
            </w:r>
          </w:p>
        </w:tc>
        <w:tc>
          <w:tcPr>
            <w:tcW w:w="1418" w:type="dxa"/>
            <w:tcBorders>
              <w:top w:val="nil"/>
              <w:left w:val="nil"/>
              <w:bottom w:val="single" w:sz="4" w:space="0" w:color="auto"/>
              <w:right w:val="single" w:sz="8" w:space="0" w:color="auto"/>
            </w:tcBorders>
            <w:hideMark/>
          </w:tcPr>
          <w:p w14:paraId="04CCE174" w14:textId="04B687E8"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INN Qendra Burimore për Nxënësit që nuk dëgjojnë/INNSH Qendra Burimore </w:t>
            </w:r>
            <w:r w:rsidR="0078161D"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Ramazan Kabashi</w:t>
            </w:r>
            <w:r w:rsidR="0078161D" w:rsidRPr="00024D5A">
              <w:rPr>
                <w:rFonts w:ascii="Garamond" w:eastAsia="Times New Roman" w:hAnsi="Garamond"/>
                <w:sz w:val="6"/>
                <w:szCs w:val="16"/>
                <w:lang w:eastAsia="en-US"/>
              </w:rPr>
              <w:t>”</w:t>
            </w:r>
            <w:r w:rsidRPr="00024D5A">
              <w:rPr>
                <w:rFonts w:ascii="Garamond" w:eastAsia="Times New Roman" w:hAnsi="Garamond"/>
                <w:sz w:val="6"/>
                <w:szCs w:val="16"/>
                <w:lang w:eastAsia="en-US"/>
              </w:rPr>
              <w:br/>
              <w:t>/IAP/IAL</w:t>
            </w:r>
          </w:p>
        </w:tc>
        <w:tc>
          <w:tcPr>
            <w:tcW w:w="708" w:type="dxa"/>
            <w:tcBorders>
              <w:top w:val="nil"/>
              <w:left w:val="single" w:sz="4" w:space="0" w:color="auto"/>
              <w:bottom w:val="single" w:sz="4" w:space="0" w:color="auto"/>
              <w:right w:val="single" w:sz="4" w:space="0" w:color="auto"/>
            </w:tcBorders>
            <w:hideMark/>
          </w:tcPr>
          <w:p w14:paraId="42F1CC66" w14:textId="0A6ADB5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513B33CE" w14:textId="163E26B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673F3C00" w14:textId="4C5C454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7FEDC7DA" w14:textId="18B6D67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60190010" w14:textId="09B68E0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40848F19"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1CECACDC"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3.2.3 Forcimi i lidhjes ndërmjet qendrave burimore dhe institucioneve të arsimit të lartë për përgatitjen afatgjatë të specialistëve.</w:t>
            </w:r>
          </w:p>
        </w:tc>
        <w:tc>
          <w:tcPr>
            <w:tcW w:w="567" w:type="dxa"/>
            <w:tcBorders>
              <w:top w:val="nil"/>
              <w:left w:val="nil"/>
              <w:bottom w:val="single" w:sz="4" w:space="0" w:color="auto"/>
              <w:right w:val="single" w:sz="4" w:space="0" w:color="auto"/>
            </w:tcBorders>
            <w:hideMark/>
          </w:tcPr>
          <w:p w14:paraId="3EB025C0"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06A50893"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0446B05F"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MA</w:t>
            </w:r>
          </w:p>
        </w:tc>
        <w:tc>
          <w:tcPr>
            <w:tcW w:w="1418" w:type="dxa"/>
            <w:tcBorders>
              <w:top w:val="nil"/>
              <w:left w:val="nil"/>
              <w:bottom w:val="single" w:sz="4" w:space="0" w:color="auto"/>
              <w:right w:val="single" w:sz="8" w:space="0" w:color="auto"/>
            </w:tcBorders>
            <w:hideMark/>
          </w:tcPr>
          <w:p w14:paraId="26E8CC22"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IAL</w:t>
            </w:r>
          </w:p>
        </w:tc>
        <w:tc>
          <w:tcPr>
            <w:tcW w:w="708" w:type="dxa"/>
            <w:tcBorders>
              <w:top w:val="nil"/>
              <w:left w:val="single" w:sz="4" w:space="0" w:color="auto"/>
              <w:bottom w:val="single" w:sz="4" w:space="0" w:color="auto"/>
              <w:right w:val="single" w:sz="4" w:space="0" w:color="auto"/>
            </w:tcBorders>
            <w:hideMark/>
          </w:tcPr>
          <w:p w14:paraId="4BEC00DA" w14:textId="6A719E3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37E9967E" w14:textId="75A2CE2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173F3DD0" w14:textId="6AC280F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70330676" w14:textId="2DD4285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708BDC05" w14:textId="3B1D021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1B43FB9E"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DCE6F1"/>
            <w:hideMark/>
          </w:tcPr>
          <w:p w14:paraId="38727F7C" w14:textId="75C78A3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Masa </w:t>
            </w:r>
            <w:r w:rsidR="00401482" w:rsidRPr="00024D5A">
              <w:rPr>
                <w:rFonts w:ascii="Garamond" w:eastAsia="Times New Roman" w:hAnsi="Garamond"/>
                <w:b/>
                <w:bCs/>
                <w:sz w:val="6"/>
                <w:szCs w:val="16"/>
                <w:lang w:eastAsia="en-US"/>
              </w:rPr>
              <w:t xml:space="preserve">prioritare </w:t>
            </w:r>
            <w:r w:rsidRPr="00024D5A">
              <w:rPr>
                <w:rFonts w:ascii="Garamond" w:eastAsia="Times New Roman" w:hAnsi="Garamond"/>
                <w:b/>
                <w:bCs/>
                <w:sz w:val="6"/>
                <w:szCs w:val="16"/>
                <w:lang w:eastAsia="en-US"/>
              </w:rPr>
              <w:t>3.3</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Zgjerimi territorial dhe funksional i shërbimeve të qendrave burimore</w:t>
            </w:r>
            <w:r w:rsidR="00401482" w:rsidRPr="00024D5A">
              <w:rPr>
                <w:rFonts w:ascii="Garamond" w:eastAsia="Times New Roman" w:hAnsi="Garamond"/>
                <w:b/>
                <w:bCs/>
                <w:sz w:val="6"/>
                <w:szCs w:val="16"/>
                <w:lang w:eastAsia="en-US"/>
              </w:rPr>
              <w:t>.</w:t>
            </w:r>
          </w:p>
        </w:tc>
        <w:tc>
          <w:tcPr>
            <w:tcW w:w="567" w:type="dxa"/>
            <w:tcBorders>
              <w:top w:val="nil"/>
              <w:left w:val="nil"/>
              <w:bottom w:val="single" w:sz="4" w:space="0" w:color="auto"/>
              <w:right w:val="single" w:sz="4" w:space="0" w:color="auto"/>
            </w:tcBorders>
            <w:shd w:val="clear" w:color="000000" w:fill="DCE6F1"/>
            <w:hideMark/>
          </w:tcPr>
          <w:p w14:paraId="1B9183E0"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shd w:val="clear" w:color="000000" w:fill="DCE6F1"/>
            <w:hideMark/>
          </w:tcPr>
          <w:p w14:paraId="387CFB52"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shd w:val="clear" w:color="000000" w:fill="DCE6F1"/>
            <w:hideMark/>
          </w:tcPr>
          <w:p w14:paraId="2DC2558D"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w:t>
            </w:r>
          </w:p>
        </w:tc>
        <w:tc>
          <w:tcPr>
            <w:tcW w:w="1418" w:type="dxa"/>
            <w:tcBorders>
              <w:top w:val="nil"/>
              <w:left w:val="nil"/>
              <w:bottom w:val="single" w:sz="4" w:space="0" w:color="auto"/>
              <w:right w:val="single" w:sz="8" w:space="0" w:color="auto"/>
            </w:tcBorders>
            <w:shd w:val="clear" w:color="000000" w:fill="DCE6F1"/>
            <w:hideMark/>
          </w:tcPr>
          <w:p w14:paraId="1358D71F" w14:textId="0CB632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ZVAP</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DRAP</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NJVV</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ASCAP</w:t>
            </w:r>
          </w:p>
        </w:tc>
        <w:tc>
          <w:tcPr>
            <w:tcW w:w="708" w:type="dxa"/>
            <w:tcBorders>
              <w:top w:val="nil"/>
              <w:left w:val="single" w:sz="4" w:space="0" w:color="auto"/>
              <w:bottom w:val="single" w:sz="4" w:space="0" w:color="auto"/>
              <w:right w:val="single" w:sz="4" w:space="0" w:color="auto"/>
            </w:tcBorders>
            <w:shd w:val="clear" w:color="000000" w:fill="C5D9F1"/>
            <w:noWrap/>
            <w:hideMark/>
          </w:tcPr>
          <w:p w14:paraId="52416C05" w14:textId="325106BF"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27,500</w:t>
            </w:r>
          </w:p>
        </w:tc>
        <w:tc>
          <w:tcPr>
            <w:tcW w:w="567" w:type="dxa"/>
            <w:tcBorders>
              <w:top w:val="nil"/>
              <w:left w:val="nil"/>
              <w:bottom w:val="single" w:sz="4" w:space="0" w:color="auto"/>
              <w:right w:val="single" w:sz="4" w:space="0" w:color="auto"/>
            </w:tcBorders>
            <w:shd w:val="clear" w:color="000000" w:fill="C5D9F1"/>
            <w:noWrap/>
            <w:hideMark/>
          </w:tcPr>
          <w:p w14:paraId="32D9D8A7" w14:textId="69B5E0F4"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27,500</w:t>
            </w:r>
          </w:p>
        </w:tc>
        <w:tc>
          <w:tcPr>
            <w:tcW w:w="567" w:type="dxa"/>
            <w:tcBorders>
              <w:top w:val="nil"/>
              <w:left w:val="nil"/>
              <w:bottom w:val="single" w:sz="4" w:space="0" w:color="auto"/>
              <w:right w:val="single" w:sz="4" w:space="0" w:color="auto"/>
            </w:tcBorders>
            <w:shd w:val="clear" w:color="000000" w:fill="C5D9F1"/>
            <w:noWrap/>
            <w:hideMark/>
          </w:tcPr>
          <w:p w14:paraId="6A595A87" w14:textId="3B03BF70"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27,500</w:t>
            </w:r>
          </w:p>
        </w:tc>
        <w:tc>
          <w:tcPr>
            <w:tcW w:w="1134" w:type="dxa"/>
            <w:tcBorders>
              <w:top w:val="nil"/>
              <w:left w:val="nil"/>
              <w:bottom w:val="single" w:sz="4" w:space="0" w:color="auto"/>
              <w:right w:val="single" w:sz="4" w:space="0" w:color="auto"/>
            </w:tcBorders>
            <w:shd w:val="clear" w:color="000000" w:fill="C5D9F1"/>
            <w:noWrap/>
            <w:hideMark/>
          </w:tcPr>
          <w:p w14:paraId="00F2E169" w14:textId="75CDEA36"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21,500</w:t>
            </w:r>
          </w:p>
        </w:tc>
        <w:tc>
          <w:tcPr>
            <w:tcW w:w="1615" w:type="dxa"/>
            <w:tcBorders>
              <w:top w:val="nil"/>
              <w:left w:val="nil"/>
              <w:bottom w:val="single" w:sz="4" w:space="0" w:color="auto"/>
              <w:right w:val="single" w:sz="4" w:space="0" w:color="auto"/>
            </w:tcBorders>
            <w:shd w:val="clear" w:color="000000" w:fill="C5D9F1"/>
            <w:noWrap/>
            <w:hideMark/>
          </w:tcPr>
          <w:p w14:paraId="00BE2FFF" w14:textId="2B9A96E3"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21,500</w:t>
            </w:r>
          </w:p>
        </w:tc>
      </w:tr>
      <w:tr w:rsidR="00B807EE" w:rsidRPr="00024D5A" w14:paraId="6D5BE426"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1A18A14C" w14:textId="54236EC8"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3.3.1 Shtrirja graduale e shërbimeve mbështetëse dhe rehabilituese të qendrave burimore në të gjitha qarqet, përmes zgjerimit të </w:t>
            </w:r>
            <w:r w:rsidR="00401482" w:rsidRPr="00024D5A">
              <w:rPr>
                <w:rFonts w:ascii="Garamond" w:eastAsia="Times New Roman" w:hAnsi="Garamond"/>
                <w:sz w:val="6"/>
                <w:szCs w:val="16"/>
                <w:lang w:eastAsia="en-US"/>
              </w:rPr>
              <w:t>funksionit</w:t>
            </w:r>
            <w:r w:rsidRPr="00024D5A">
              <w:rPr>
                <w:rFonts w:ascii="Garamond" w:eastAsia="Times New Roman" w:hAnsi="Garamond"/>
                <w:sz w:val="6"/>
                <w:szCs w:val="16"/>
                <w:lang w:eastAsia="en-US"/>
              </w:rPr>
              <w:t xml:space="preserve"> të </w:t>
            </w:r>
            <w:r w:rsidR="00401482" w:rsidRPr="00024D5A">
              <w:rPr>
                <w:rFonts w:ascii="Garamond" w:eastAsia="Times New Roman" w:hAnsi="Garamond"/>
                <w:sz w:val="6"/>
                <w:szCs w:val="16"/>
                <w:lang w:eastAsia="en-US"/>
              </w:rPr>
              <w:t>hapësirave</w:t>
            </w:r>
            <w:r w:rsidRPr="00024D5A">
              <w:rPr>
                <w:rFonts w:ascii="Garamond" w:eastAsia="Times New Roman" w:hAnsi="Garamond"/>
                <w:sz w:val="6"/>
                <w:szCs w:val="16"/>
                <w:lang w:eastAsia="en-US"/>
              </w:rPr>
              <w:t xml:space="preserve"> zhvillimore dhe ngritjes e fuqizimit të tyre në IAP</w:t>
            </w:r>
            <w:r w:rsidR="00401482"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ku ende mungojnë.</w:t>
            </w:r>
          </w:p>
        </w:tc>
        <w:tc>
          <w:tcPr>
            <w:tcW w:w="567" w:type="dxa"/>
            <w:tcBorders>
              <w:top w:val="nil"/>
              <w:left w:val="nil"/>
              <w:bottom w:val="single" w:sz="4" w:space="0" w:color="auto"/>
              <w:right w:val="single" w:sz="4" w:space="0" w:color="auto"/>
            </w:tcBorders>
            <w:hideMark/>
          </w:tcPr>
          <w:p w14:paraId="3DF090FA"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50F69708"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1F0CE5B9"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MA</w:t>
            </w:r>
          </w:p>
        </w:tc>
        <w:tc>
          <w:tcPr>
            <w:tcW w:w="1418" w:type="dxa"/>
            <w:tcBorders>
              <w:top w:val="nil"/>
              <w:left w:val="nil"/>
              <w:bottom w:val="single" w:sz="4" w:space="0" w:color="auto"/>
              <w:right w:val="single" w:sz="8" w:space="0" w:color="auto"/>
            </w:tcBorders>
            <w:hideMark/>
          </w:tcPr>
          <w:p w14:paraId="4CD5BF8D"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ZVAP, DRAP, NJVV</w:t>
            </w:r>
          </w:p>
        </w:tc>
        <w:tc>
          <w:tcPr>
            <w:tcW w:w="708" w:type="dxa"/>
            <w:tcBorders>
              <w:top w:val="nil"/>
              <w:left w:val="single" w:sz="4" w:space="0" w:color="auto"/>
              <w:bottom w:val="single" w:sz="4" w:space="0" w:color="auto"/>
              <w:right w:val="single" w:sz="4" w:space="0" w:color="auto"/>
            </w:tcBorders>
            <w:hideMark/>
          </w:tcPr>
          <w:p w14:paraId="3F2259CB" w14:textId="3667B71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20,000</w:t>
            </w:r>
          </w:p>
        </w:tc>
        <w:tc>
          <w:tcPr>
            <w:tcW w:w="567" w:type="dxa"/>
            <w:tcBorders>
              <w:top w:val="nil"/>
              <w:left w:val="nil"/>
              <w:bottom w:val="single" w:sz="4" w:space="0" w:color="auto"/>
              <w:right w:val="single" w:sz="4" w:space="0" w:color="auto"/>
            </w:tcBorders>
            <w:hideMark/>
          </w:tcPr>
          <w:p w14:paraId="23DB84DC" w14:textId="02BF0AE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20,000</w:t>
            </w:r>
          </w:p>
        </w:tc>
        <w:tc>
          <w:tcPr>
            <w:tcW w:w="567" w:type="dxa"/>
            <w:tcBorders>
              <w:top w:val="nil"/>
              <w:left w:val="nil"/>
              <w:bottom w:val="single" w:sz="4" w:space="0" w:color="auto"/>
              <w:right w:val="single" w:sz="4" w:space="0" w:color="auto"/>
            </w:tcBorders>
            <w:hideMark/>
          </w:tcPr>
          <w:p w14:paraId="3784A3AB" w14:textId="580765C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20,000</w:t>
            </w:r>
          </w:p>
        </w:tc>
        <w:tc>
          <w:tcPr>
            <w:tcW w:w="1134" w:type="dxa"/>
            <w:tcBorders>
              <w:top w:val="nil"/>
              <w:left w:val="nil"/>
              <w:bottom w:val="single" w:sz="4" w:space="0" w:color="auto"/>
              <w:right w:val="single" w:sz="4" w:space="0" w:color="auto"/>
            </w:tcBorders>
            <w:hideMark/>
          </w:tcPr>
          <w:p w14:paraId="7687B65A" w14:textId="2E51219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20,000</w:t>
            </w:r>
          </w:p>
        </w:tc>
        <w:tc>
          <w:tcPr>
            <w:tcW w:w="1615" w:type="dxa"/>
            <w:tcBorders>
              <w:top w:val="nil"/>
              <w:left w:val="nil"/>
              <w:bottom w:val="single" w:sz="4" w:space="0" w:color="auto"/>
              <w:right w:val="single" w:sz="4" w:space="0" w:color="auto"/>
            </w:tcBorders>
            <w:hideMark/>
          </w:tcPr>
          <w:p w14:paraId="4F6B95BA" w14:textId="3FC0AB8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20,000</w:t>
            </w:r>
          </w:p>
        </w:tc>
      </w:tr>
      <w:tr w:rsidR="00B807EE" w:rsidRPr="00024D5A" w14:paraId="55336792"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794C6F00"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3.3.2 Zhvillimi dhe shpërndarja e materialeve didaktike të specializuara për përdorim në shkallë kombëtare.</w:t>
            </w:r>
          </w:p>
        </w:tc>
        <w:tc>
          <w:tcPr>
            <w:tcW w:w="567" w:type="dxa"/>
            <w:tcBorders>
              <w:top w:val="nil"/>
              <w:left w:val="nil"/>
              <w:bottom w:val="single" w:sz="4" w:space="0" w:color="auto"/>
              <w:right w:val="single" w:sz="4" w:space="0" w:color="auto"/>
            </w:tcBorders>
            <w:hideMark/>
          </w:tcPr>
          <w:p w14:paraId="044B541B"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58E64216"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14821B43"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MA</w:t>
            </w:r>
          </w:p>
        </w:tc>
        <w:tc>
          <w:tcPr>
            <w:tcW w:w="1418" w:type="dxa"/>
            <w:tcBorders>
              <w:top w:val="nil"/>
              <w:left w:val="nil"/>
              <w:bottom w:val="single" w:sz="4" w:space="0" w:color="auto"/>
              <w:right w:val="single" w:sz="8" w:space="0" w:color="auto"/>
            </w:tcBorders>
            <w:hideMark/>
          </w:tcPr>
          <w:p w14:paraId="5E5CA7F0"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ZVAP, DRAP, NJVV</w:t>
            </w:r>
          </w:p>
        </w:tc>
        <w:tc>
          <w:tcPr>
            <w:tcW w:w="708" w:type="dxa"/>
            <w:tcBorders>
              <w:top w:val="nil"/>
              <w:left w:val="single" w:sz="4" w:space="0" w:color="auto"/>
              <w:bottom w:val="single" w:sz="4" w:space="0" w:color="auto"/>
              <w:right w:val="single" w:sz="4" w:space="0" w:color="auto"/>
            </w:tcBorders>
            <w:hideMark/>
          </w:tcPr>
          <w:p w14:paraId="23A390C9" w14:textId="43E651C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1,500</w:t>
            </w:r>
          </w:p>
        </w:tc>
        <w:tc>
          <w:tcPr>
            <w:tcW w:w="567" w:type="dxa"/>
            <w:tcBorders>
              <w:top w:val="nil"/>
              <w:left w:val="nil"/>
              <w:bottom w:val="single" w:sz="4" w:space="0" w:color="auto"/>
              <w:right w:val="single" w:sz="4" w:space="0" w:color="auto"/>
            </w:tcBorders>
            <w:hideMark/>
          </w:tcPr>
          <w:p w14:paraId="54F62664" w14:textId="24C3690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1,500</w:t>
            </w:r>
          </w:p>
        </w:tc>
        <w:tc>
          <w:tcPr>
            <w:tcW w:w="567" w:type="dxa"/>
            <w:tcBorders>
              <w:top w:val="nil"/>
              <w:left w:val="nil"/>
              <w:bottom w:val="single" w:sz="4" w:space="0" w:color="auto"/>
              <w:right w:val="single" w:sz="4" w:space="0" w:color="auto"/>
            </w:tcBorders>
            <w:hideMark/>
          </w:tcPr>
          <w:p w14:paraId="022BAD16" w14:textId="57EDB47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1,500</w:t>
            </w:r>
          </w:p>
        </w:tc>
        <w:tc>
          <w:tcPr>
            <w:tcW w:w="1134" w:type="dxa"/>
            <w:tcBorders>
              <w:top w:val="nil"/>
              <w:left w:val="nil"/>
              <w:bottom w:val="single" w:sz="4" w:space="0" w:color="auto"/>
              <w:right w:val="single" w:sz="4" w:space="0" w:color="auto"/>
            </w:tcBorders>
            <w:hideMark/>
          </w:tcPr>
          <w:p w14:paraId="609BE7E7" w14:textId="630F5CF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1,500</w:t>
            </w:r>
          </w:p>
        </w:tc>
        <w:tc>
          <w:tcPr>
            <w:tcW w:w="1615" w:type="dxa"/>
            <w:tcBorders>
              <w:top w:val="nil"/>
              <w:left w:val="nil"/>
              <w:bottom w:val="single" w:sz="4" w:space="0" w:color="auto"/>
              <w:right w:val="single" w:sz="4" w:space="0" w:color="auto"/>
            </w:tcBorders>
            <w:hideMark/>
          </w:tcPr>
          <w:p w14:paraId="581C6AA0" w14:textId="12C749F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1,500</w:t>
            </w:r>
          </w:p>
        </w:tc>
      </w:tr>
      <w:tr w:rsidR="00B807EE" w:rsidRPr="00024D5A" w14:paraId="590D6A7A"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30193803" w14:textId="6E5DE1F8"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3.3.3 Forcimi i rolit të qendrave burimore</w:t>
            </w:r>
            <w:r w:rsidR="00401482"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si qendra ekspertize për shkollat e zakonshme.</w:t>
            </w:r>
          </w:p>
        </w:tc>
        <w:tc>
          <w:tcPr>
            <w:tcW w:w="567" w:type="dxa"/>
            <w:tcBorders>
              <w:top w:val="nil"/>
              <w:left w:val="nil"/>
              <w:bottom w:val="single" w:sz="4" w:space="0" w:color="auto"/>
              <w:right w:val="single" w:sz="4" w:space="0" w:color="auto"/>
            </w:tcBorders>
            <w:hideMark/>
          </w:tcPr>
          <w:p w14:paraId="52869B1D"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10F98114"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4ED99210"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MA</w:t>
            </w:r>
          </w:p>
        </w:tc>
        <w:tc>
          <w:tcPr>
            <w:tcW w:w="1418" w:type="dxa"/>
            <w:tcBorders>
              <w:top w:val="nil"/>
              <w:left w:val="nil"/>
              <w:bottom w:val="single" w:sz="4" w:space="0" w:color="auto"/>
              <w:right w:val="single" w:sz="8" w:space="0" w:color="auto"/>
            </w:tcBorders>
            <w:hideMark/>
          </w:tcPr>
          <w:p w14:paraId="0BC559B1"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ZVAP, DRAP, AKAP, ASCAP</w:t>
            </w:r>
          </w:p>
        </w:tc>
        <w:tc>
          <w:tcPr>
            <w:tcW w:w="708" w:type="dxa"/>
            <w:tcBorders>
              <w:top w:val="nil"/>
              <w:left w:val="single" w:sz="4" w:space="0" w:color="auto"/>
              <w:bottom w:val="single" w:sz="4" w:space="0" w:color="auto"/>
              <w:right w:val="single" w:sz="4" w:space="0" w:color="auto"/>
            </w:tcBorders>
            <w:hideMark/>
          </w:tcPr>
          <w:p w14:paraId="2D0E81AA" w14:textId="656F51C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6,000</w:t>
            </w:r>
          </w:p>
        </w:tc>
        <w:tc>
          <w:tcPr>
            <w:tcW w:w="567" w:type="dxa"/>
            <w:tcBorders>
              <w:top w:val="nil"/>
              <w:left w:val="nil"/>
              <w:bottom w:val="single" w:sz="4" w:space="0" w:color="auto"/>
              <w:right w:val="single" w:sz="4" w:space="0" w:color="auto"/>
            </w:tcBorders>
            <w:hideMark/>
          </w:tcPr>
          <w:p w14:paraId="20913099" w14:textId="6E346A4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6,000</w:t>
            </w:r>
          </w:p>
        </w:tc>
        <w:tc>
          <w:tcPr>
            <w:tcW w:w="567" w:type="dxa"/>
            <w:tcBorders>
              <w:top w:val="nil"/>
              <w:left w:val="nil"/>
              <w:bottom w:val="single" w:sz="4" w:space="0" w:color="auto"/>
              <w:right w:val="single" w:sz="4" w:space="0" w:color="auto"/>
            </w:tcBorders>
            <w:hideMark/>
          </w:tcPr>
          <w:p w14:paraId="7D022F40" w14:textId="5E93CBC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6,000</w:t>
            </w:r>
          </w:p>
        </w:tc>
        <w:tc>
          <w:tcPr>
            <w:tcW w:w="1134" w:type="dxa"/>
            <w:tcBorders>
              <w:top w:val="nil"/>
              <w:left w:val="nil"/>
              <w:bottom w:val="single" w:sz="4" w:space="0" w:color="auto"/>
              <w:right w:val="single" w:sz="4" w:space="0" w:color="auto"/>
            </w:tcBorders>
            <w:hideMark/>
          </w:tcPr>
          <w:p w14:paraId="57DBAA00" w14:textId="3DD4143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2115B6AA" w14:textId="7DB5077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527A39FA"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B8CCE4"/>
            <w:hideMark/>
          </w:tcPr>
          <w:p w14:paraId="72BAB889" w14:textId="4AA7AC69"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Masa </w:t>
            </w:r>
            <w:r w:rsidR="00401482" w:rsidRPr="00024D5A">
              <w:rPr>
                <w:rFonts w:ascii="Garamond" w:eastAsia="Times New Roman" w:hAnsi="Garamond"/>
                <w:b/>
                <w:bCs/>
                <w:sz w:val="6"/>
                <w:szCs w:val="16"/>
                <w:lang w:eastAsia="en-US"/>
              </w:rPr>
              <w:t xml:space="preserve">prioritare </w:t>
            </w:r>
            <w:r w:rsidRPr="00024D5A">
              <w:rPr>
                <w:rFonts w:ascii="Garamond" w:eastAsia="Times New Roman" w:hAnsi="Garamond"/>
                <w:b/>
                <w:bCs/>
                <w:sz w:val="6"/>
                <w:szCs w:val="16"/>
                <w:lang w:eastAsia="en-US"/>
              </w:rPr>
              <w:t>3.4</w:t>
            </w:r>
            <w:r w:rsidR="003526AF">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Monitorimi, vlerësimi dhe sigurimi i cilësisë së funksionimit të qendrave burimore</w:t>
            </w:r>
            <w:r w:rsidR="00401482" w:rsidRPr="00024D5A">
              <w:rPr>
                <w:rFonts w:ascii="Garamond" w:eastAsia="Times New Roman" w:hAnsi="Garamond"/>
                <w:b/>
                <w:bCs/>
                <w:sz w:val="6"/>
                <w:szCs w:val="16"/>
                <w:lang w:eastAsia="en-US"/>
              </w:rPr>
              <w:t>.</w:t>
            </w:r>
          </w:p>
        </w:tc>
        <w:tc>
          <w:tcPr>
            <w:tcW w:w="567" w:type="dxa"/>
            <w:tcBorders>
              <w:top w:val="nil"/>
              <w:left w:val="nil"/>
              <w:bottom w:val="single" w:sz="4" w:space="0" w:color="auto"/>
              <w:right w:val="single" w:sz="4" w:space="0" w:color="auto"/>
            </w:tcBorders>
            <w:shd w:val="clear" w:color="000000" w:fill="B8CCE4"/>
            <w:noWrap/>
            <w:hideMark/>
          </w:tcPr>
          <w:p w14:paraId="00466765"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2028</w:t>
            </w:r>
          </w:p>
        </w:tc>
        <w:tc>
          <w:tcPr>
            <w:tcW w:w="567" w:type="dxa"/>
            <w:tcBorders>
              <w:top w:val="nil"/>
              <w:left w:val="nil"/>
              <w:bottom w:val="single" w:sz="4" w:space="0" w:color="auto"/>
              <w:right w:val="single" w:sz="4" w:space="0" w:color="auto"/>
            </w:tcBorders>
            <w:shd w:val="clear" w:color="000000" w:fill="B8CCE4"/>
            <w:noWrap/>
            <w:hideMark/>
          </w:tcPr>
          <w:p w14:paraId="27F93854"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shd w:val="clear" w:color="000000" w:fill="B8CCE4"/>
            <w:noWrap/>
            <w:hideMark/>
          </w:tcPr>
          <w:p w14:paraId="1EF2AF8F"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w:t>
            </w:r>
          </w:p>
        </w:tc>
        <w:tc>
          <w:tcPr>
            <w:tcW w:w="1418" w:type="dxa"/>
            <w:tcBorders>
              <w:top w:val="nil"/>
              <w:left w:val="nil"/>
              <w:bottom w:val="single" w:sz="4" w:space="0" w:color="auto"/>
              <w:right w:val="single" w:sz="8" w:space="0" w:color="auto"/>
            </w:tcBorders>
            <w:shd w:val="clear" w:color="000000" w:fill="B8CCE4"/>
            <w:hideMark/>
          </w:tcPr>
          <w:p w14:paraId="5F45B5EC"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ZVAP, DRAP, AKAP, ASCAP</w:t>
            </w:r>
          </w:p>
        </w:tc>
        <w:tc>
          <w:tcPr>
            <w:tcW w:w="708" w:type="dxa"/>
            <w:tcBorders>
              <w:top w:val="nil"/>
              <w:left w:val="single" w:sz="4" w:space="0" w:color="auto"/>
              <w:bottom w:val="single" w:sz="4" w:space="0" w:color="auto"/>
              <w:right w:val="single" w:sz="4" w:space="0" w:color="auto"/>
            </w:tcBorders>
            <w:shd w:val="clear" w:color="000000" w:fill="C5D9F1"/>
            <w:noWrap/>
            <w:hideMark/>
          </w:tcPr>
          <w:p w14:paraId="106108B0" w14:textId="1DA93824"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77</w:t>
            </w:r>
          </w:p>
        </w:tc>
        <w:tc>
          <w:tcPr>
            <w:tcW w:w="567" w:type="dxa"/>
            <w:tcBorders>
              <w:top w:val="nil"/>
              <w:left w:val="nil"/>
              <w:bottom w:val="single" w:sz="4" w:space="0" w:color="auto"/>
              <w:right w:val="single" w:sz="4" w:space="0" w:color="auto"/>
            </w:tcBorders>
            <w:shd w:val="clear" w:color="000000" w:fill="C5D9F1"/>
            <w:noWrap/>
            <w:hideMark/>
          </w:tcPr>
          <w:p w14:paraId="7596F544" w14:textId="2048EB75"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77</w:t>
            </w:r>
          </w:p>
        </w:tc>
        <w:tc>
          <w:tcPr>
            <w:tcW w:w="567" w:type="dxa"/>
            <w:tcBorders>
              <w:top w:val="nil"/>
              <w:left w:val="nil"/>
              <w:bottom w:val="single" w:sz="4" w:space="0" w:color="auto"/>
              <w:right w:val="single" w:sz="4" w:space="0" w:color="auto"/>
            </w:tcBorders>
            <w:shd w:val="clear" w:color="000000" w:fill="C5D9F1"/>
            <w:noWrap/>
            <w:hideMark/>
          </w:tcPr>
          <w:p w14:paraId="3B4C2DC9" w14:textId="7A60EACB"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327</w:t>
            </w:r>
          </w:p>
        </w:tc>
        <w:tc>
          <w:tcPr>
            <w:tcW w:w="1134" w:type="dxa"/>
            <w:tcBorders>
              <w:top w:val="nil"/>
              <w:left w:val="nil"/>
              <w:bottom w:val="single" w:sz="4" w:space="0" w:color="auto"/>
              <w:right w:val="single" w:sz="4" w:space="0" w:color="auto"/>
            </w:tcBorders>
            <w:shd w:val="clear" w:color="000000" w:fill="C5D9F1"/>
            <w:noWrap/>
            <w:hideMark/>
          </w:tcPr>
          <w:p w14:paraId="74854A10" w14:textId="25314F56"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77</w:t>
            </w:r>
          </w:p>
        </w:tc>
        <w:tc>
          <w:tcPr>
            <w:tcW w:w="1615" w:type="dxa"/>
            <w:tcBorders>
              <w:top w:val="nil"/>
              <w:left w:val="nil"/>
              <w:bottom w:val="single" w:sz="4" w:space="0" w:color="auto"/>
              <w:right w:val="single" w:sz="4" w:space="0" w:color="auto"/>
            </w:tcBorders>
            <w:shd w:val="clear" w:color="000000" w:fill="C5D9F1"/>
            <w:noWrap/>
            <w:hideMark/>
          </w:tcPr>
          <w:p w14:paraId="3877440B" w14:textId="4E514C07"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77</w:t>
            </w:r>
          </w:p>
        </w:tc>
      </w:tr>
      <w:tr w:rsidR="00B807EE" w:rsidRPr="00024D5A" w14:paraId="67845F4B"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360F1FCF" w14:textId="309F007E"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3.4.1 Vendosja e indikatorëve të performancës për shërbimet mbështetëse që </w:t>
            </w:r>
            <w:r w:rsidR="00401482" w:rsidRPr="00024D5A">
              <w:rPr>
                <w:rFonts w:ascii="Garamond" w:eastAsia="Times New Roman" w:hAnsi="Garamond"/>
                <w:sz w:val="6"/>
                <w:szCs w:val="16"/>
                <w:lang w:eastAsia="en-US"/>
              </w:rPr>
              <w:t>qendrat</w:t>
            </w:r>
            <w:r w:rsidRPr="00024D5A">
              <w:rPr>
                <w:rFonts w:ascii="Garamond" w:eastAsia="Times New Roman" w:hAnsi="Garamond"/>
                <w:sz w:val="6"/>
                <w:szCs w:val="16"/>
                <w:lang w:eastAsia="en-US"/>
              </w:rPr>
              <w:t xml:space="preserve"> burimore ofrojnë, trajnimet dhe ndikimin e tyre në arsimin gjithëpërfshirës.</w:t>
            </w:r>
          </w:p>
        </w:tc>
        <w:tc>
          <w:tcPr>
            <w:tcW w:w="567" w:type="dxa"/>
            <w:tcBorders>
              <w:top w:val="nil"/>
              <w:left w:val="nil"/>
              <w:bottom w:val="single" w:sz="4" w:space="0" w:color="auto"/>
              <w:right w:val="single" w:sz="4" w:space="0" w:color="auto"/>
            </w:tcBorders>
            <w:hideMark/>
          </w:tcPr>
          <w:p w14:paraId="7D4428EE"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2028</w:t>
            </w:r>
          </w:p>
        </w:tc>
        <w:tc>
          <w:tcPr>
            <w:tcW w:w="567" w:type="dxa"/>
            <w:tcBorders>
              <w:top w:val="nil"/>
              <w:left w:val="nil"/>
              <w:bottom w:val="single" w:sz="4" w:space="0" w:color="auto"/>
              <w:right w:val="single" w:sz="4" w:space="0" w:color="auto"/>
            </w:tcBorders>
            <w:hideMark/>
          </w:tcPr>
          <w:p w14:paraId="3AE31F68"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1134" w:type="dxa"/>
            <w:tcBorders>
              <w:top w:val="nil"/>
              <w:left w:val="nil"/>
              <w:bottom w:val="single" w:sz="4" w:space="0" w:color="auto"/>
              <w:right w:val="single" w:sz="4" w:space="0" w:color="auto"/>
            </w:tcBorders>
            <w:hideMark/>
          </w:tcPr>
          <w:p w14:paraId="3638B6AB"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MA</w:t>
            </w:r>
          </w:p>
        </w:tc>
        <w:tc>
          <w:tcPr>
            <w:tcW w:w="1418" w:type="dxa"/>
            <w:tcBorders>
              <w:top w:val="nil"/>
              <w:left w:val="nil"/>
              <w:bottom w:val="single" w:sz="4" w:space="0" w:color="auto"/>
              <w:right w:val="single" w:sz="8" w:space="0" w:color="auto"/>
            </w:tcBorders>
            <w:hideMark/>
          </w:tcPr>
          <w:p w14:paraId="38C48873"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ZVAP, DRAP, AKAP, ASCAP</w:t>
            </w:r>
          </w:p>
        </w:tc>
        <w:tc>
          <w:tcPr>
            <w:tcW w:w="708" w:type="dxa"/>
            <w:tcBorders>
              <w:top w:val="nil"/>
              <w:left w:val="single" w:sz="4" w:space="0" w:color="auto"/>
              <w:bottom w:val="single" w:sz="4" w:space="0" w:color="auto"/>
              <w:right w:val="single" w:sz="4" w:space="0" w:color="auto"/>
            </w:tcBorders>
            <w:hideMark/>
          </w:tcPr>
          <w:p w14:paraId="66B384CF" w14:textId="3916DA6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0FFADBA9" w14:textId="1FDFEB0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25C9896F" w14:textId="1C2D03F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250</w:t>
            </w:r>
          </w:p>
        </w:tc>
        <w:tc>
          <w:tcPr>
            <w:tcW w:w="1134" w:type="dxa"/>
            <w:tcBorders>
              <w:top w:val="nil"/>
              <w:left w:val="nil"/>
              <w:bottom w:val="single" w:sz="4" w:space="0" w:color="auto"/>
              <w:right w:val="single" w:sz="4" w:space="0" w:color="auto"/>
            </w:tcBorders>
            <w:hideMark/>
          </w:tcPr>
          <w:p w14:paraId="3FAA3327" w14:textId="7DFAAFE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7F79321C" w14:textId="24F90F5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6E421D85"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5C48BB80"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3.4.2 Raportim periodik mbi efektivitetin e qendrave burimore dhe përdorimi i gjetjeve për përmirësim të politikave.</w:t>
            </w:r>
          </w:p>
        </w:tc>
        <w:tc>
          <w:tcPr>
            <w:tcW w:w="567" w:type="dxa"/>
            <w:tcBorders>
              <w:top w:val="nil"/>
              <w:left w:val="nil"/>
              <w:bottom w:val="single" w:sz="4" w:space="0" w:color="auto"/>
              <w:right w:val="single" w:sz="4" w:space="0" w:color="auto"/>
            </w:tcBorders>
            <w:hideMark/>
          </w:tcPr>
          <w:p w14:paraId="6D4E15FB"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2028</w:t>
            </w:r>
          </w:p>
        </w:tc>
        <w:tc>
          <w:tcPr>
            <w:tcW w:w="567" w:type="dxa"/>
            <w:tcBorders>
              <w:top w:val="nil"/>
              <w:left w:val="nil"/>
              <w:bottom w:val="single" w:sz="4" w:space="0" w:color="auto"/>
              <w:right w:val="single" w:sz="4" w:space="0" w:color="auto"/>
            </w:tcBorders>
            <w:hideMark/>
          </w:tcPr>
          <w:p w14:paraId="67AE4162"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230F288A"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MA</w:t>
            </w:r>
          </w:p>
        </w:tc>
        <w:tc>
          <w:tcPr>
            <w:tcW w:w="1418" w:type="dxa"/>
            <w:tcBorders>
              <w:top w:val="nil"/>
              <w:left w:val="nil"/>
              <w:bottom w:val="single" w:sz="4" w:space="0" w:color="auto"/>
              <w:right w:val="single" w:sz="8" w:space="0" w:color="auto"/>
            </w:tcBorders>
            <w:hideMark/>
          </w:tcPr>
          <w:p w14:paraId="17930B1B"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ZVAP, DRAP, AKAP, ASCAP</w:t>
            </w:r>
          </w:p>
        </w:tc>
        <w:tc>
          <w:tcPr>
            <w:tcW w:w="708" w:type="dxa"/>
            <w:tcBorders>
              <w:top w:val="nil"/>
              <w:left w:val="single" w:sz="4" w:space="0" w:color="auto"/>
              <w:bottom w:val="single" w:sz="4" w:space="0" w:color="auto"/>
              <w:right w:val="single" w:sz="4" w:space="0" w:color="auto"/>
            </w:tcBorders>
            <w:hideMark/>
          </w:tcPr>
          <w:p w14:paraId="7F1DBD88" w14:textId="7C6B69F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77</w:t>
            </w:r>
          </w:p>
        </w:tc>
        <w:tc>
          <w:tcPr>
            <w:tcW w:w="567" w:type="dxa"/>
            <w:tcBorders>
              <w:top w:val="nil"/>
              <w:left w:val="nil"/>
              <w:bottom w:val="single" w:sz="4" w:space="0" w:color="auto"/>
              <w:right w:val="single" w:sz="4" w:space="0" w:color="auto"/>
            </w:tcBorders>
            <w:hideMark/>
          </w:tcPr>
          <w:p w14:paraId="32FD097C" w14:textId="5E3DDE9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77</w:t>
            </w:r>
          </w:p>
        </w:tc>
        <w:tc>
          <w:tcPr>
            <w:tcW w:w="567" w:type="dxa"/>
            <w:tcBorders>
              <w:top w:val="nil"/>
              <w:left w:val="nil"/>
              <w:bottom w:val="single" w:sz="4" w:space="0" w:color="auto"/>
              <w:right w:val="single" w:sz="4" w:space="0" w:color="auto"/>
            </w:tcBorders>
            <w:hideMark/>
          </w:tcPr>
          <w:p w14:paraId="3061B649" w14:textId="26EE614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77</w:t>
            </w:r>
          </w:p>
        </w:tc>
        <w:tc>
          <w:tcPr>
            <w:tcW w:w="1134" w:type="dxa"/>
            <w:tcBorders>
              <w:top w:val="nil"/>
              <w:left w:val="nil"/>
              <w:bottom w:val="single" w:sz="4" w:space="0" w:color="auto"/>
              <w:right w:val="single" w:sz="4" w:space="0" w:color="auto"/>
            </w:tcBorders>
            <w:hideMark/>
          </w:tcPr>
          <w:p w14:paraId="2F9AD900" w14:textId="68D5825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77</w:t>
            </w:r>
          </w:p>
        </w:tc>
        <w:tc>
          <w:tcPr>
            <w:tcW w:w="1615" w:type="dxa"/>
            <w:tcBorders>
              <w:top w:val="nil"/>
              <w:left w:val="nil"/>
              <w:bottom w:val="single" w:sz="4" w:space="0" w:color="auto"/>
              <w:right w:val="single" w:sz="4" w:space="0" w:color="auto"/>
            </w:tcBorders>
            <w:hideMark/>
          </w:tcPr>
          <w:p w14:paraId="62839D9B" w14:textId="3ED9564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77</w:t>
            </w:r>
          </w:p>
        </w:tc>
      </w:tr>
      <w:tr w:rsidR="00B807EE" w:rsidRPr="00024D5A" w14:paraId="7CFB40FA"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FDE9D9"/>
            <w:hideMark/>
          </w:tcPr>
          <w:p w14:paraId="79736BD4" w14:textId="296FAD4E"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Objektivi </w:t>
            </w:r>
            <w:r w:rsidR="00401482" w:rsidRPr="00024D5A">
              <w:rPr>
                <w:rFonts w:ascii="Garamond" w:eastAsia="Times New Roman" w:hAnsi="Garamond"/>
                <w:b/>
                <w:bCs/>
                <w:sz w:val="6"/>
                <w:szCs w:val="16"/>
                <w:lang w:eastAsia="en-US"/>
              </w:rPr>
              <w:t xml:space="preserve">specifik </w:t>
            </w:r>
            <w:r w:rsidRPr="00024D5A">
              <w:rPr>
                <w:rFonts w:ascii="Garamond" w:eastAsia="Times New Roman" w:hAnsi="Garamond"/>
                <w:b/>
                <w:bCs/>
                <w:sz w:val="6"/>
                <w:szCs w:val="16"/>
                <w:lang w:eastAsia="en-US"/>
              </w:rPr>
              <w:t>4</w:t>
            </w:r>
            <w:r w:rsidR="003526AF">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Arsim i lartë gjithëpërfshirës që plotëson standardet ndërkombëtare të aksesueshmërisë, cilësisë dhe mbështetjes për studentët me aftësi të kufizuara.</w:t>
            </w:r>
          </w:p>
        </w:tc>
        <w:tc>
          <w:tcPr>
            <w:tcW w:w="567" w:type="dxa"/>
            <w:tcBorders>
              <w:top w:val="nil"/>
              <w:left w:val="nil"/>
              <w:bottom w:val="single" w:sz="4" w:space="0" w:color="auto"/>
              <w:right w:val="single" w:sz="4" w:space="0" w:color="auto"/>
            </w:tcBorders>
            <w:shd w:val="clear" w:color="000000" w:fill="FDE9D9"/>
            <w:hideMark/>
          </w:tcPr>
          <w:p w14:paraId="5BFC8F3D"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shd w:val="clear" w:color="000000" w:fill="FDE9D9"/>
            <w:hideMark/>
          </w:tcPr>
          <w:p w14:paraId="030FEE4E"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shd w:val="clear" w:color="000000" w:fill="FDE9D9"/>
            <w:hideMark/>
          </w:tcPr>
          <w:p w14:paraId="1535E355"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w:t>
            </w:r>
          </w:p>
        </w:tc>
        <w:tc>
          <w:tcPr>
            <w:tcW w:w="1418" w:type="dxa"/>
            <w:tcBorders>
              <w:top w:val="nil"/>
              <w:left w:val="nil"/>
              <w:bottom w:val="single" w:sz="4" w:space="0" w:color="auto"/>
              <w:right w:val="single" w:sz="8" w:space="0" w:color="auto"/>
            </w:tcBorders>
            <w:shd w:val="clear" w:color="000000" w:fill="FDE9D9"/>
            <w:hideMark/>
          </w:tcPr>
          <w:p w14:paraId="4F5EE1D0"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ASCAL/IAL</w:t>
            </w:r>
          </w:p>
        </w:tc>
        <w:tc>
          <w:tcPr>
            <w:tcW w:w="708" w:type="dxa"/>
            <w:tcBorders>
              <w:top w:val="nil"/>
              <w:left w:val="single" w:sz="4" w:space="0" w:color="auto"/>
              <w:bottom w:val="single" w:sz="4" w:space="0" w:color="auto"/>
              <w:right w:val="single" w:sz="4" w:space="0" w:color="auto"/>
            </w:tcBorders>
            <w:shd w:val="clear" w:color="000000" w:fill="FDE9D9"/>
            <w:hideMark/>
          </w:tcPr>
          <w:p w14:paraId="0609C04F" w14:textId="6632E976"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1,089</w:t>
            </w:r>
          </w:p>
        </w:tc>
        <w:tc>
          <w:tcPr>
            <w:tcW w:w="567" w:type="dxa"/>
            <w:tcBorders>
              <w:top w:val="nil"/>
              <w:left w:val="nil"/>
              <w:bottom w:val="single" w:sz="4" w:space="0" w:color="auto"/>
              <w:right w:val="single" w:sz="4" w:space="0" w:color="auto"/>
            </w:tcBorders>
            <w:shd w:val="clear" w:color="000000" w:fill="FDE9D9"/>
            <w:hideMark/>
          </w:tcPr>
          <w:p w14:paraId="3F233EB6" w14:textId="2BDFC2B9"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126,101</w:t>
            </w:r>
          </w:p>
        </w:tc>
        <w:tc>
          <w:tcPr>
            <w:tcW w:w="567" w:type="dxa"/>
            <w:tcBorders>
              <w:top w:val="nil"/>
              <w:left w:val="nil"/>
              <w:bottom w:val="single" w:sz="4" w:space="0" w:color="auto"/>
              <w:right w:val="single" w:sz="4" w:space="0" w:color="auto"/>
            </w:tcBorders>
            <w:shd w:val="clear" w:color="000000" w:fill="FDE9D9"/>
            <w:hideMark/>
          </w:tcPr>
          <w:p w14:paraId="4629A5CE" w14:textId="6195B662"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125,033</w:t>
            </w:r>
          </w:p>
        </w:tc>
        <w:tc>
          <w:tcPr>
            <w:tcW w:w="1134" w:type="dxa"/>
            <w:tcBorders>
              <w:top w:val="nil"/>
              <w:left w:val="nil"/>
              <w:bottom w:val="single" w:sz="4" w:space="0" w:color="auto"/>
              <w:right w:val="single" w:sz="4" w:space="0" w:color="auto"/>
            </w:tcBorders>
            <w:shd w:val="clear" w:color="000000" w:fill="FDE9D9"/>
            <w:hideMark/>
          </w:tcPr>
          <w:p w14:paraId="46CAB9EF" w14:textId="7CF66DD8"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125,033</w:t>
            </w:r>
          </w:p>
        </w:tc>
        <w:tc>
          <w:tcPr>
            <w:tcW w:w="1615" w:type="dxa"/>
            <w:tcBorders>
              <w:top w:val="nil"/>
              <w:left w:val="nil"/>
              <w:bottom w:val="single" w:sz="4" w:space="0" w:color="auto"/>
              <w:right w:val="single" w:sz="4" w:space="0" w:color="auto"/>
            </w:tcBorders>
            <w:shd w:val="clear" w:color="000000" w:fill="FDE9D9"/>
            <w:hideMark/>
          </w:tcPr>
          <w:p w14:paraId="6A4BE774" w14:textId="168A27A6"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125,033</w:t>
            </w:r>
          </w:p>
        </w:tc>
      </w:tr>
      <w:tr w:rsidR="00B807EE" w:rsidRPr="00024D5A" w14:paraId="21F22C33"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DCE6F1"/>
            <w:hideMark/>
          </w:tcPr>
          <w:p w14:paraId="4DF8AFFB" w14:textId="1BEF9D30"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Masa </w:t>
            </w:r>
            <w:r w:rsidR="00401482" w:rsidRPr="00024D5A">
              <w:rPr>
                <w:rFonts w:ascii="Garamond" w:eastAsia="Times New Roman" w:hAnsi="Garamond"/>
                <w:b/>
                <w:bCs/>
                <w:sz w:val="6"/>
                <w:szCs w:val="16"/>
                <w:lang w:eastAsia="en-US"/>
              </w:rPr>
              <w:t xml:space="preserve">prioritare </w:t>
            </w:r>
            <w:r w:rsidRPr="00024D5A">
              <w:rPr>
                <w:rFonts w:ascii="Garamond" w:eastAsia="Times New Roman" w:hAnsi="Garamond"/>
                <w:b/>
                <w:bCs/>
                <w:sz w:val="6"/>
                <w:szCs w:val="16"/>
                <w:lang w:eastAsia="en-US"/>
              </w:rPr>
              <w:t>4.1</w:t>
            </w:r>
            <w:r w:rsidR="00401482" w:rsidRPr="00024D5A">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Rishikimi dhe forcimi i një kuadri të qëndrueshëm ligjor dhe institucional</w:t>
            </w:r>
            <w:r w:rsidR="00401482"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që garanton mosdiskriminimin, aksesin e barabartë dhe respektimin e standardeve ndërkombëtare të gjithëpërfshirjes së studentëve me aftësi të kufizuara në arsimin e lartë, i integruar me mekanizma të monitorimit dhe sigurimit të cilësisë.</w:t>
            </w:r>
          </w:p>
        </w:tc>
        <w:tc>
          <w:tcPr>
            <w:tcW w:w="567" w:type="dxa"/>
            <w:tcBorders>
              <w:top w:val="nil"/>
              <w:left w:val="nil"/>
              <w:bottom w:val="single" w:sz="4" w:space="0" w:color="auto"/>
              <w:right w:val="single" w:sz="4" w:space="0" w:color="auto"/>
            </w:tcBorders>
            <w:shd w:val="clear" w:color="000000" w:fill="DCE6F1"/>
            <w:hideMark/>
          </w:tcPr>
          <w:p w14:paraId="5883FF15"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shd w:val="clear" w:color="000000" w:fill="DCE6F1"/>
            <w:hideMark/>
          </w:tcPr>
          <w:p w14:paraId="5ADDACBB"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shd w:val="clear" w:color="000000" w:fill="DCE6F1"/>
            <w:hideMark/>
          </w:tcPr>
          <w:p w14:paraId="0538758D"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w:t>
            </w:r>
          </w:p>
        </w:tc>
        <w:tc>
          <w:tcPr>
            <w:tcW w:w="1418" w:type="dxa"/>
            <w:tcBorders>
              <w:top w:val="nil"/>
              <w:left w:val="nil"/>
              <w:bottom w:val="single" w:sz="4" w:space="0" w:color="auto"/>
              <w:right w:val="single" w:sz="8" w:space="0" w:color="auto"/>
            </w:tcBorders>
            <w:shd w:val="clear" w:color="000000" w:fill="DCE6F1"/>
            <w:hideMark/>
          </w:tcPr>
          <w:p w14:paraId="6202601D"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ASCAL/IAL</w:t>
            </w:r>
          </w:p>
        </w:tc>
        <w:tc>
          <w:tcPr>
            <w:tcW w:w="708" w:type="dxa"/>
            <w:tcBorders>
              <w:top w:val="nil"/>
              <w:left w:val="single" w:sz="4" w:space="0" w:color="auto"/>
              <w:bottom w:val="single" w:sz="4" w:space="0" w:color="auto"/>
              <w:right w:val="single" w:sz="4" w:space="0" w:color="auto"/>
            </w:tcBorders>
            <w:shd w:val="clear" w:color="000000" w:fill="C5D9F1"/>
            <w:noWrap/>
            <w:hideMark/>
          </w:tcPr>
          <w:p w14:paraId="102E13BA" w14:textId="585C5401"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389</w:t>
            </w:r>
          </w:p>
        </w:tc>
        <w:tc>
          <w:tcPr>
            <w:tcW w:w="567" w:type="dxa"/>
            <w:tcBorders>
              <w:top w:val="nil"/>
              <w:left w:val="nil"/>
              <w:bottom w:val="single" w:sz="4" w:space="0" w:color="auto"/>
              <w:right w:val="single" w:sz="4" w:space="0" w:color="auto"/>
            </w:tcBorders>
            <w:shd w:val="clear" w:color="000000" w:fill="C5D9F1"/>
            <w:noWrap/>
            <w:hideMark/>
          </w:tcPr>
          <w:p w14:paraId="52B77C38" w14:textId="15F8D1EA"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1,101</w:t>
            </w:r>
          </w:p>
        </w:tc>
        <w:tc>
          <w:tcPr>
            <w:tcW w:w="567" w:type="dxa"/>
            <w:tcBorders>
              <w:top w:val="nil"/>
              <w:left w:val="nil"/>
              <w:bottom w:val="single" w:sz="4" w:space="0" w:color="auto"/>
              <w:right w:val="single" w:sz="4" w:space="0" w:color="auto"/>
            </w:tcBorders>
            <w:shd w:val="clear" w:color="000000" w:fill="C5D9F1"/>
            <w:noWrap/>
            <w:hideMark/>
          </w:tcPr>
          <w:p w14:paraId="64254C47" w14:textId="7745B0AB"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33</w:t>
            </w:r>
          </w:p>
        </w:tc>
        <w:tc>
          <w:tcPr>
            <w:tcW w:w="1134" w:type="dxa"/>
            <w:tcBorders>
              <w:top w:val="nil"/>
              <w:left w:val="nil"/>
              <w:bottom w:val="single" w:sz="4" w:space="0" w:color="auto"/>
              <w:right w:val="single" w:sz="4" w:space="0" w:color="auto"/>
            </w:tcBorders>
            <w:shd w:val="clear" w:color="000000" w:fill="C5D9F1"/>
            <w:noWrap/>
            <w:hideMark/>
          </w:tcPr>
          <w:p w14:paraId="05EC3B21" w14:textId="1BD379F9"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33</w:t>
            </w:r>
          </w:p>
        </w:tc>
        <w:tc>
          <w:tcPr>
            <w:tcW w:w="1615" w:type="dxa"/>
            <w:tcBorders>
              <w:top w:val="nil"/>
              <w:left w:val="nil"/>
              <w:bottom w:val="single" w:sz="4" w:space="0" w:color="auto"/>
              <w:right w:val="single" w:sz="4" w:space="0" w:color="auto"/>
            </w:tcBorders>
            <w:shd w:val="clear" w:color="000000" w:fill="C5D9F1"/>
            <w:noWrap/>
            <w:hideMark/>
          </w:tcPr>
          <w:p w14:paraId="52A513B7" w14:textId="2D852873"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33</w:t>
            </w:r>
          </w:p>
        </w:tc>
      </w:tr>
      <w:tr w:rsidR="00B807EE" w:rsidRPr="00024D5A" w14:paraId="7F5822A4"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62965666" w14:textId="526DF136"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4.1.1 Rishikimi dhe përditësimi i politikave, rregulloreve dhe udhëzimeve të IAL-ve për të garantuar arsimin e lartë gjithëpërfshirës. Harmonizimi me legjislacionin kombëtar dhe standardet ndërkombëtare të aksesueshmërisë</w:t>
            </w:r>
            <w:r w:rsidR="00401482"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3C7D77E6"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346D7B2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1134" w:type="dxa"/>
            <w:tcBorders>
              <w:top w:val="nil"/>
              <w:left w:val="nil"/>
              <w:bottom w:val="single" w:sz="4" w:space="0" w:color="auto"/>
              <w:right w:val="single" w:sz="4" w:space="0" w:color="auto"/>
            </w:tcBorders>
            <w:hideMark/>
          </w:tcPr>
          <w:p w14:paraId="671AAE1B"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MA</w:t>
            </w:r>
          </w:p>
        </w:tc>
        <w:tc>
          <w:tcPr>
            <w:tcW w:w="1418" w:type="dxa"/>
            <w:tcBorders>
              <w:top w:val="nil"/>
              <w:left w:val="nil"/>
              <w:bottom w:val="single" w:sz="4" w:space="0" w:color="auto"/>
              <w:right w:val="single" w:sz="8" w:space="0" w:color="auto"/>
            </w:tcBorders>
            <w:hideMark/>
          </w:tcPr>
          <w:p w14:paraId="05963653"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ASCAL/IAL</w:t>
            </w:r>
          </w:p>
        </w:tc>
        <w:tc>
          <w:tcPr>
            <w:tcW w:w="708" w:type="dxa"/>
            <w:tcBorders>
              <w:top w:val="nil"/>
              <w:left w:val="single" w:sz="4" w:space="0" w:color="auto"/>
              <w:bottom w:val="single" w:sz="4" w:space="0" w:color="auto"/>
              <w:right w:val="single" w:sz="4" w:space="0" w:color="auto"/>
            </w:tcBorders>
            <w:hideMark/>
          </w:tcPr>
          <w:p w14:paraId="6EAED2EF" w14:textId="4CE90EB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356</w:t>
            </w:r>
          </w:p>
        </w:tc>
        <w:tc>
          <w:tcPr>
            <w:tcW w:w="567" w:type="dxa"/>
            <w:tcBorders>
              <w:top w:val="nil"/>
              <w:left w:val="nil"/>
              <w:bottom w:val="single" w:sz="4" w:space="0" w:color="auto"/>
              <w:right w:val="single" w:sz="4" w:space="0" w:color="auto"/>
            </w:tcBorders>
            <w:hideMark/>
          </w:tcPr>
          <w:p w14:paraId="43DF1149" w14:textId="7A8D130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356</w:t>
            </w:r>
          </w:p>
        </w:tc>
        <w:tc>
          <w:tcPr>
            <w:tcW w:w="567" w:type="dxa"/>
            <w:tcBorders>
              <w:top w:val="nil"/>
              <w:left w:val="nil"/>
              <w:bottom w:val="single" w:sz="4" w:space="0" w:color="auto"/>
              <w:right w:val="single" w:sz="4" w:space="0" w:color="auto"/>
            </w:tcBorders>
            <w:hideMark/>
          </w:tcPr>
          <w:p w14:paraId="5FA6FE1A" w14:textId="3A8AC34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246F0A75" w14:textId="3042E55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52F0EA44" w14:textId="09CF288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149B183C"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7335FC04" w14:textId="752D7A1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4.1.2 Integrimi i indikatorëve të gjithëpërfshirjes dhe aksesueshmërisë në sistemet e brendshme dhe të jashtme të sigurimit të cilësisë dhe akreditimit të IAL</w:t>
            </w:r>
            <w:r w:rsidR="00401482" w:rsidRPr="00024D5A">
              <w:rPr>
                <w:rFonts w:ascii="Garamond" w:eastAsia="Times New Roman" w:hAnsi="Garamond"/>
                <w:sz w:val="6"/>
                <w:szCs w:val="16"/>
                <w:lang w:eastAsia="en-US"/>
              </w:rPr>
              <w:t>-së</w:t>
            </w:r>
            <w:r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79120AD4"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567" w:type="dxa"/>
            <w:tcBorders>
              <w:top w:val="nil"/>
              <w:left w:val="nil"/>
              <w:bottom w:val="single" w:sz="4" w:space="0" w:color="auto"/>
              <w:right w:val="single" w:sz="4" w:space="0" w:color="auto"/>
            </w:tcBorders>
            <w:hideMark/>
          </w:tcPr>
          <w:p w14:paraId="44365E14"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1134" w:type="dxa"/>
            <w:tcBorders>
              <w:top w:val="nil"/>
              <w:left w:val="nil"/>
              <w:bottom w:val="single" w:sz="4" w:space="0" w:color="auto"/>
              <w:right w:val="single" w:sz="4" w:space="0" w:color="auto"/>
            </w:tcBorders>
            <w:hideMark/>
          </w:tcPr>
          <w:p w14:paraId="74C3F0DE"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MA</w:t>
            </w:r>
          </w:p>
        </w:tc>
        <w:tc>
          <w:tcPr>
            <w:tcW w:w="1418" w:type="dxa"/>
            <w:tcBorders>
              <w:top w:val="nil"/>
              <w:left w:val="nil"/>
              <w:bottom w:val="single" w:sz="4" w:space="0" w:color="auto"/>
              <w:right w:val="single" w:sz="8" w:space="0" w:color="auto"/>
            </w:tcBorders>
            <w:hideMark/>
          </w:tcPr>
          <w:p w14:paraId="1BFC590E"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IAL</w:t>
            </w:r>
          </w:p>
        </w:tc>
        <w:tc>
          <w:tcPr>
            <w:tcW w:w="708" w:type="dxa"/>
            <w:tcBorders>
              <w:top w:val="nil"/>
              <w:left w:val="single" w:sz="4" w:space="0" w:color="auto"/>
              <w:bottom w:val="single" w:sz="4" w:space="0" w:color="auto"/>
              <w:right w:val="single" w:sz="4" w:space="0" w:color="auto"/>
            </w:tcBorders>
            <w:hideMark/>
          </w:tcPr>
          <w:p w14:paraId="3AF130D9" w14:textId="788B0B8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51EBC89A" w14:textId="5EAF6B4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712</w:t>
            </w:r>
          </w:p>
        </w:tc>
        <w:tc>
          <w:tcPr>
            <w:tcW w:w="567" w:type="dxa"/>
            <w:tcBorders>
              <w:top w:val="nil"/>
              <w:left w:val="nil"/>
              <w:bottom w:val="single" w:sz="4" w:space="0" w:color="auto"/>
              <w:right w:val="single" w:sz="4" w:space="0" w:color="auto"/>
            </w:tcBorders>
            <w:hideMark/>
          </w:tcPr>
          <w:p w14:paraId="5D7B98A1" w14:textId="248718D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699B4CC6" w14:textId="26F5E16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05DD448A" w14:textId="073D732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2BEB84E0"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1CFD6ED2"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4.1.3 Raportim periodik mbi progresin dhe ndikimin e masave për arsimin e lartë gjithëpërfshirës.</w:t>
            </w:r>
          </w:p>
        </w:tc>
        <w:tc>
          <w:tcPr>
            <w:tcW w:w="567" w:type="dxa"/>
            <w:tcBorders>
              <w:top w:val="nil"/>
              <w:left w:val="nil"/>
              <w:bottom w:val="single" w:sz="4" w:space="0" w:color="auto"/>
              <w:right w:val="single" w:sz="4" w:space="0" w:color="auto"/>
            </w:tcBorders>
            <w:hideMark/>
          </w:tcPr>
          <w:p w14:paraId="41912A88"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567" w:type="dxa"/>
            <w:tcBorders>
              <w:top w:val="nil"/>
              <w:left w:val="nil"/>
              <w:bottom w:val="single" w:sz="4" w:space="0" w:color="auto"/>
              <w:right w:val="single" w:sz="4" w:space="0" w:color="auto"/>
            </w:tcBorders>
            <w:hideMark/>
          </w:tcPr>
          <w:p w14:paraId="79197EBE"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622028F8"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MA</w:t>
            </w:r>
          </w:p>
        </w:tc>
        <w:tc>
          <w:tcPr>
            <w:tcW w:w="1418" w:type="dxa"/>
            <w:tcBorders>
              <w:top w:val="nil"/>
              <w:left w:val="nil"/>
              <w:bottom w:val="single" w:sz="4" w:space="0" w:color="auto"/>
              <w:right w:val="single" w:sz="8" w:space="0" w:color="auto"/>
            </w:tcBorders>
            <w:hideMark/>
          </w:tcPr>
          <w:p w14:paraId="06D0AC28"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IAL/ASCAL</w:t>
            </w:r>
          </w:p>
        </w:tc>
        <w:tc>
          <w:tcPr>
            <w:tcW w:w="708" w:type="dxa"/>
            <w:tcBorders>
              <w:top w:val="nil"/>
              <w:left w:val="single" w:sz="4" w:space="0" w:color="auto"/>
              <w:bottom w:val="single" w:sz="4" w:space="0" w:color="auto"/>
              <w:right w:val="single" w:sz="4" w:space="0" w:color="auto"/>
            </w:tcBorders>
            <w:hideMark/>
          </w:tcPr>
          <w:p w14:paraId="0E6929E4" w14:textId="615B3CE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33</w:t>
            </w:r>
          </w:p>
        </w:tc>
        <w:tc>
          <w:tcPr>
            <w:tcW w:w="567" w:type="dxa"/>
            <w:tcBorders>
              <w:top w:val="nil"/>
              <w:left w:val="nil"/>
              <w:bottom w:val="single" w:sz="4" w:space="0" w:color="auto"/>
              <w:right w:val="single" w:sz="4" w:space="0" w:color="auto"/>
            </w:tcBorders>
            <w:hideMark/>
          </w:tcPr>
          <w:p w14:paraId="7378BB82" w14:textId="26D544C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33</w:t>
            </w:r>
          </w:p>
        </w:tc>
        <w:tc>
          <w:tcPr>
            <w:tcW w:w="567" w:type="dxa"/>
            <w:tcBorders>
              <w:top w:val="nil"/>
              <w:left w:val="nil"/>
              <w:bottom w:val="single" w:sz="4" w:space="0" w:color="auto"/>
              <w:right w:val="single" w:sz="4" w:space="0" w:color="auto"/>
            </w:tcBorders>
            <w:hideMark/>
          </w:tcPr>
          <w:p w14:paraId="79BE6674" w14:textId="1B81DC4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33</w:t>
            </w:r>
          </w:p>
        </w:tc>
        <w:tc>
          <w:tcPr>
            <w:tcW w:w="1134" w:type="dxa"/>
            <w:tcBorders>
              <w:top w:val="nil"/>
              <w:left w:val="nil"/>
              <w:bottom w:val="single" w:sz="4" w:space="0" w:color="auto"/>
              <w:right w:val="single" w:sz="4" w:space="0" w:color="auto"/>
            </w:tcBorders>
            <w:hideMark/>
          </w:tcPr>
          <w:p w14:paraId="186D767D" w14:textId="1E01A9B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33</w:t>
            </w:r>
          </w:p>
        </w:tc>
        <w:tc>
          <w:tcPr>
            <w:tcW w:w="1615" w:type="dxa"/>
            <w:tcBorders>
              <w:top w:val="nil"/>
              <w:left w:val="nil"/>
              <w:bottom w:val="single" w:sz="4" w:space="0" w:color="auto"/>
              <w:right w:val="single" w:sz="4" w:space="0" w:color="auto"/>
            </w:tcBorders>
            <w:hideMark/>
          </w:tcPr>
          <w:p w14:paraId="3A67671D" w14:textId="2B2107E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33</w:t>
            </w:r>
          </w:p>
        </w:tc>
      </w:tr>
      <w:tr w:rsidR="00B807EE" w:rsidRPr="00024D5A" w14:paraId="2C6863AF"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B8CCE4"/>
            <w:hideMark/>
          </w:tcPr>
          <w:p w14:paraId="055547D7" w14:textId="259C8A20"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Masa </w:t>
            </w:r>
            <w:r w:rsidR="00024D5A" w:rsidRPr="00024D5A">
              <w:rPr>
                <w:rFonts w:ascii="Garamond" w:eastAsia="Times New Roman" w:hAnsi="Garamond"/>
                <w:b/>
                <w:bCs/>
                <w:sz w:val="6"/>
                <w:szCs w:val="16"/>
                <w:lang w:eastAsia="en-US"/>
              </w:rPr>
              <w:t xml:space="preserve">prioritare </w:t>
            </w:r>
            <w:r w:rsidRPr="00024D5A">
              <w:rPr>
                <w:rFonts w:ascii="Garamond" w:eastAsia="Times New Roman" w:hAnsi="Garamond"/>
                <w:b/>
                <w:bCs/>
                <w:sz w:val="6"/>
                <w:szCs w:val="16"/>
                <w:lang w:eastAsia="en-US"/>
              </w:rPr>
              <w:t>4.2</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Aksesueshmëri e plotë fizike, digjitale dhe akademike në institucionet e arsimit të lartë Sigurimi i një mjedisi universitar të aksesueshëm për të gjithë studentët, përmes përshtatjes së infrastrukturës, teknologjisë, komunikimit dhe proceseve akademike, në përputhje me parimet e dizajnit universal.</w:t>
            </w:r>
          </w:p>
        </w:tc>
        <w:tc>
          <w:tcPr>
            <w:tcW w:w="567" w:type="dxa"/>
            <w:tcBorders>
              <w:top w:val="nil"/>
              <w:left w:val="nil"/>
              <w:bottom w:val="single" w:sz="4" w:space="0" w:color="auto"/>
              <w:right w:val="single" w:sz="4" w:space="0" w:color="auto"/>
            </w:tcBorders>
            <w:shd w:val="clear" w:color="000000" w:fill="B8CCE4"/>
            <w:noWrap/>
            <w:hideMark/>
          </w:tcPr>
          <w:p w14:paraId="33B1BB01"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567" w:type="dxa"/>
            <w:tcBorders>
              <w:top w:val="nil"/>
              <w:left w:val="nil"/>
              <w:bottom w:val="single" w:sz="4" w:space="0" w:color="auto"/>
              <w:right w:val="single" w:sz="4" w:space="0" w:color="auto"/>
            </w:tcBorders>
            <w:shd w:val="clear" w:color="000000" w:fill="B8CCE4"/>
            <w:noWrap/>
            <w:hideMark/>
          </w:tcPr>
          <w:p w14:paraId="445FDC2C"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shd w:val="clear" w:color="000000" w:fill="B8CCE4"/>
            <w:noWrap/>
            <w:hideMark/>
          </w:tcPr>
          <w:p w14:paraId="2C8E506A"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w:t>
            </w:r>
          </w:p>
        </w:tc>
        <w:tc>
          <w:tcPr>
            <w:tcW w:w="1418" w:type="dxa"/>
            <w:tcBorders>
              <w:top w:val="nil"/>
              <w:left w:val="nil"/>
              <w:bottom w:val="single" w:sz="4" w:space="0" w:color="auto"/>
              <w:right w:val="single" w:sz="8" w:space="0" w:color="auto"/>
            </w:tcBorders>
            <w:shd w:val="clear" w:color="000000" w:fill="B8CCE4"/>
            <w:noWrap/>
            <w:hideMark/>
          </w:tcPr>
          <w:p w14:paraId="6AAFB07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IAL</w:t>
            </w:r>
          </w:p>
        </w:tc>
        <w:tc>
          <w:tcPr>
            <w:tcW w:w="708" w:type="dxa"/>
            <w:tcBorders>
              <w:top w:val="nil"/>
              <w:left w:val="single" w:sz="4" w:space="0" w:color="auto"/>
              <w:bottom w:val="single" w:sz="4" w:space="0" w:color="auto"/>
              <w:right w:val="single" w:sz="4" w:space="0" w:color="auto"/>
            </w:tcBorders>
            <w:shd w:val="clear" w:color="000000" w:fill="C5D9F1"/>
            <w:noWrap/>
            <w:hideMark/>
          </w:tcPr>
          <w:p w14:paraId="7111F41C" w14:textId="7538D0BA"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700</w:t>
            </w:r>
          </w:p>
        </w:tc>
        <w:tc>
          <w:tcPr>
            <w:tcW w:w="567" w:type="dxa"/>
            <w:tcBorders>
              <w:top w:val="nil"/>
              <w:left w:val="nil"/>
              <w:bottom w:val="single" w:sz="4" w:space="0" w:color="auto"/>
              <w:right w:val="single" w:sz="4" w:space="0" w:color="auto"/>
            </w:tcBorders>
            <w:shd w:val="clear" w:color="000000" w:fill="C5D9F1"/>
            <w:noWrap/>
            <w:hideMark/>
          </w:tcPr>
          <w:p w14:paraId="58CED46D" w14:textId="363A45D0"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50,000</w:t>
            </w:r>
          </w:p>
        </w:tc>
        <w:tc>
          <w:tcPr>
            <w:tcW w:w="567" w:type="dxa"/>
            <w:tcBorders>
              <w:top w:val="nil"/>
              <w:left w:val="nil"/>
              <w:bottom w:val="single" w:sz="4" w:space="0" w:color="auto"/>
              <w:right w:val="single" w:sz="4" w:space="0" w:color="auto"/>
            </w:tcBorders>
            <w:shd w:val="clear" w:color="000000" w:fill="C5D9F1"/>
            <w:noWrap/>
            <w:hideMark/>
          </w:tcPr>
          <w:p w14:paraId="11B835FD" w14:textId="1760D565"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50,000</w:t>
            </w:r>
          </w:p>
        </w:tc>
        <w:tc>
          <w:tcPr>
            <w:tcW w:w="1134" w:type="dxa"/>
            <w:tcBorders>
              <w:top w:val="nil"/>
              <w:left w:val="nil"/>
              <w:bottom w:val="single" w:sz="4" w:space="0" w:color="auto"/>
              <w:right w:val="single" w:sz="4" w:space="0" w:color="auto"/>
            </w:tcBorders>
            <w:shd w:val="clear" w:color="000000" w:fill="C5D9F1"/>
            <w:noWrap/>
            <w:hideMark/>
          </w:tcPr>
          <w:p w14:paraId="62FBDCF6" w14:textId="58DA82B0"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50,000</w:t>
            </w:r>
          </w:p>
        </w:tc>
        <w:tc>
          <w:tcPr>
            <w:tcW w:w="1615" w:type="dxa"/>
            <w:tcBorders>
              <w:top w:val="nil"/>
              <w:left w:val="nil"/>
              <w:bottom w:val="single" w:sz="4" w:space="0" w:color="auto"/>
              <w:right w:val="single" w:sz="4" w:space="0" w:color="auto"/>
            </w:tcBorders>
            <w:shd w:val="clear" w:color="000000" w:fill="C5D9F1"/>
            <w:noWrap/>
            <w:hideMark/>
          </w:tcPr>
          <w:p w14:paraId="7358B017" w14:textId="6219408B"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50,000</w:t>
            </w:r>
          </w:p>
        </w:tc>
      </w:tr>
      <w:tr w:rsidR="00B807EE" w:rsidRPr="00024D5A" w14:paraId="162522BA"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3BC4F7AF"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4.2.1 Investime në përshtatjen e infrastrukturës fizike, ambienteve mësimore, bibliotekave dhe laboratorëve.</w:t>
            </w:r>
          </w:p>
        </w:tc>
        <w:tc>
          <w:tcPr>
            <w:tcW w:w="567" w:type="dxa"/>
            <w:tcBorders>
              <w:top w:val="nil"/>
              <w:left w:val="nil"/>
              <w:bottom w:val="single" w:sz="4" w:space="0" w:color="auto"/>
              <w:right w:val="single" w:sz="4" w:space="0" w:color="auto"/>
            </w:tcBorders>
            <w:hideMark/>
          </w:tcPr>
          <w:p w14:paraId="0E5EB684"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567" w:type="dxa"/>
            <w:tcBorders>
              <w:top w:val="nil"/>
              <w:left w:val="nil"/>
              <w:bottom w:val="single" w:sz="4" w:space="0" w:color="auto"/>
              <w:right w:val="single" w:sz="4" w:space="0" w:color="auto"/>
            </w:tcBorders>
            <w:hideMark/>
          </w:tcPr>
          <w:p w14:paraId="628C936F"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4600ECFB"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MA</w:t>
            </w:r>
          </w:p>
        </w:tc>
        <w:tc>
          <w:tcPr>
            <w:tcW w:w="1418" w:type="dxa"/>
            <w:tcBorders>
              <w:top w:val="nil"/>
              <w:left w:val="nil"/>
              <w:bottom w:val="single" w:sz="4" w:space="0" w:color="auto"/>
              <w:right w:val="single" w:sz="8" w:space="0" w:color="auto"/>
            </w:tcBorders>
            <w:hideMark/>
          </w:tcPr>
          <w:p w14:paraId="2C9022FD"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IAL</w:t>
            </w:r>
          </w:p>
        </w:tc>
        <w:tc>
          <w:tcPr>
            <w:tcW w:w="708" w:type="dxa"/>
            <w:tcBorders>
              <w:top w:val="nil"/>
              <w:left w:val="single" w:sz="4" w:space="0" w:color="auto"/>
              <w:bottom w:val="single" w:sz="4" w:space="0" w:color="auto"/>
              <w:right w:val="single" w:sz="4" w:space="0" w:color="auto"/>
            </w:tcBorders>
            <w:hideMark/>
          </w:tcPr>
          <w:p w14:paraId="309B1A87" w14:textId="6492B8F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495585FC" w14:textId="1F59018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50,000</w:t>
            </w:r>
          </w:p>
        </w:tc>
        <w:tc>
          <w:tcPr>
            <w:tcW w:w="567" w:type="dxa"/>
            <w:tcBorders>
              <w:top w:val="nil"/>
              <w:left w:val="nil"/>
              <w:bottom w:val="single" w:sz="4" w:space="0" w:color="auto"/>
              <w:right w:val="single" w:sz="4" w:space="0" w:color="auto"/>
            </w:tcBorders>
            <w:hideMark/>
          </w:tcPr>
          <w:p w14:paraId="7101DF53" w14:textId="0EADA48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50,000</w:t>
            </w:r>
          </w:p>
        </w:tc>
        <w:tc>
          <w:tcPr>
            <w:tcW w:w="1134" w:type="dxa"/>
            <w:tcBorders>
              <w:top w:val="nil"/>
              <w:left w:val="nil"/>
              <w:bottom w:val="single" w:sz="4" w:space="0" w:color="auto"/>
              <w:right w:val="single" w:sz="4" w:space="0" w:color="auto"/>
            </w:tcBorders>
            <w:hideMark/>
          </w:tcPr>
          <w:p w14:paraId="6FE157A1" w14:textId="570400C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50,000</w:t>
            </w:r>
          </w:p>
        </w:tc>
        <w:tc>
          <w:tcPr>
            <w:tcW w:w="1615" w:type="dxa"/>
            <w:tcBorders>
              <w:top w:val="nil"/>
              <w:left w:val="nil"/>
              <w:bottom w:val="single" w:sz="4" w:space="0" w:color="auto"/>
              <w:right w:val="single" w:sz="4" w:space="0" w:color="auto"/>
            </w:tcBorders>
            <w:hideMark/>
          </w:tcPr>
          <w:p w14:paraId="32EBABA8" w14:textId="16CB142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50,000</w:t>
            </w:r>
          </w:p>
        </w:tc>
      </w:tr>
      <w:tr w:rsidR="00B807EE" w:rsidRPr="00024D5A" w14:paraId="1013D26A"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29B1F31E"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4.2.2 Aksesueshmëria e platformave digjitale, materialeve mësimore dhe shërbimeve të informacionit.</w:t>
            </w:r>
          </w:p>
        </w:tc>
        <w:tc>
          <w:tcPr>
            <w:tcW w:w="567" w:type="dxa"/>
            <w:tcBorders>
              <w:top w:val="nil"/>
              <w:left w:val="nil"/>
              <w:bottom w:val="single" w:sz="4" w:space="0" w:color="auto"/>
              <w:right w:val="single" w:sz="4" w:space="0" w:color="auto"/>
            </w:tcBorders>
            <w:hideMark/>
          </w:tcPr>
          <w:p w14:paraId="2AC88C8F"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567" w:type="dxa"/>
            <w:tcBorders>
              <w:top w:val="nil"/>
              <w:left w:val="nil"/>
              <w:bottom w:val="single" w:sz="4" w:space="0" w:color="auto"/>
              <w:right w:val="single" w:sz="4" w:space="0" w:color="auto"/>
            </w:tcBorders>
            <w:hideMark/>
          </w:tcPr>
          <w:p w14:paraId="6AC50870"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1134" w:type="dxa"/>
            <w:tcBorders>
              <w:top w:val="nil"/>
              <w:left w:val="nil"/>
              <w:bottom w:val="single" w:sz="4" w:space="0" w:color="auto"/>
              <w:right w:val="single" w:sz="4" w:space="0" w:color="auto"/>
            </w:tcBorders>
            <w:hideMark/>
          </w:tcPr>
          <w:p w14:paraId="23E19D43"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MA</w:t>
            </w:r>
          </w:p>
        </w:tc>
        <w:tc>
          <w:tcPr>
            <w:tcW w:w="1418" w:type="dxa"/>
            <w:tcBorders>
              <w:top w:val="nil"/>
              <w:left w:val="nil"/>
              <w:bottom w:val="single" w:sz="4" w:space="0" w:color="auto"/>
              <w:right w:val="single" w:sz="4" w:space="0" w:color="auto"/>
            </w:tcBorders>
            <w:hideMark/>
          </w:tcPr>
          <w:p w14:paraId="215ACE76"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IAL</w:t>
            </w:r>
          </w:p>
        </w:tc>
        <w:tc>
          <w:tcPr>
            <w:tcW w:w="708" w:type="dxa"/>
            <w:tcBorders>
              <w:top w:val="nil"/>
              <w:left w:val="nil"/>
              <w:bottom w:val="single" w:sz="4" w:space="0" w:color="auto"/>
              <w:right w:val="single" w:sz="4" w:space="0" w:color="auto"/>
            </w:tcBorders>
            <w:hideMark/>
          </w:tcPr>
          <w:p w14:paraId="33AF4468" w14:textId="19EA644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700</w:t>
            </w:r>
          </w:p>
        </w:tc>
        <w:tc>
          <w:tcPr>
            <w:tcW w:w="567" w:type="dxa"/>
            <w:tcBorders>
              <w:top w:val="nil"/>
              <w:left w:val="nil"/>
              <w:bottom w:val="single" w:sz="4" w:space="0" w:color="auto"/>
              <w:right w:val="single" w:sz="4" w:space="0" w:color="auto"/>
            </w:tcBorders>
            <w:hideMark/>
          </w:tcPr>
          <w:p w14:paraId="65E024D1" w14:textId="41E6599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62F15A5D" w14:textId="5286019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602485F6" w14:textId="2A3ECAE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743428F2" w14:textId="2882700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11CB058D"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637BE1C8"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4.2.3 Përshtatja e metodave të mësimdhënies, të vlerësimit dhe pjesëmarrjes akademike.</w:t>
            </w:r>
          </w:p>
        </w:tc>
        <w:tc>
          <w:tcPr>
            <w:tcW w:w="567" w:type="dxa"/>
            <w:tcBorders>
              <w:top w:val="nil"/>
              <w:left w:val="nil"/>
              <w:bottom w:val="single" w:sz="4" w:space="0" w:color="auto"/>
              <w:right w:val="single" w:sz="4" w:space="0" w:color="auto"/>
            </w:tcBorders>
            <w:hideMark/>
          </w:tcPr>
          <w:p w14:paraId="2291951E"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567" w:type="dxa"/>
            <w:tcBorders>
              <w:top w:val="nil"/>
              <w:left w:val="nil"/>
              <w:bottom w:val="single" w:sz="4" w:space="0" w:color="auto"/>
              <w:right w:val="single" w:sz="4" w:space="0" w:color="auto"/>
            </w:tcBorders>
            <w:hideMark/>
          </w:tcPr>
          <w:p w14:paraId="4612631C"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4A710063"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IAL</w:t>
            </w:r>
          </w:p>
        </w:tc>
        <w:tc>
          <w:tcPr>
            <w:tcW w:w="1418" w:type="dxa"/>
            <w:tcBorders>
              <w:top w:val="nil"/>
              <w:left w:val="nil"/>
              <w:bottom w:val="single" w:sz="4" w:space="0" w:color="auto"/>
              <w:right w:val="single" w:sz="4" w:space="0" w:color="auto"/>
            </w:tcBorders>
            <w:hideMark/>
          </w:tcPr>
          <w:p w14:paraId="6C28C049"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IAL</w:t>
            </w:r>
          </w:p>
        </w:tc>
        <w:tc>
          <w:tcPr>
            <w:tcW w:w="708" w:type="dxa"/>
            <w:tcBorders>
              <w:top w:val="nil"/>
              <w:left w:val="nil"/>
              <w:bottom w:val="single" w:sz="4" w:space="0" w:color="auto"/>
              <w:right w:val="single" w:sz="4" w:space="0" w:color="auto"/>
            </w:tcBorders>
            <w:hideMark/>
          </w:tcPr>
          <w:p w14:paraId="7265A70E" w14:textId="4877E4F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40C6AB90" w14:textId="4211BA8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20B0874F" w14:textId="14830D2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2F43ACEE" w14:textId="6DAFB18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524DE806" w14:textId="31850AA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543B9282"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DCE6F1"/>
            <w:hideMark/>
          </w:tcPr>
          <w:p w14:paraId="34A09DC2" w14:textId="1C51CE9D"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Masa </w:t>
            </w:r>
            <w:r w:rsidR="00024D5A" w:rsidRPr="00024D5A">
              <w:rPr>
                <w:rFonts w:ascii="Garamond" w:eastAsia="Times New Roman" w:hAnsi="Garamond"/>
                <w:b/>
                <w:bCs/>
                <w:sz w:val="6"/>
                <w:szCs w:val="16"/>
                <w:lang w:eastAsia="en-US"/>
              </w:rPr>
              <w:t xml:space="preserve">prioritare </w:t>
            </w:r>
            <w:r w:rsidRPr="00024D5A">
              <w:rPr>
                <w:rFonts w:ascii="Garamond" w:eastAsia="Times New Roman" w:hAnsi="Garamond"/>
                <w:b/>
                <w:bCs/>
                <w:sz w:val="6"/>
                <w:szCs w:val="16"/>
                <w:lang w:eastAsia="en-US"/>
              </w:rPr>
              <w:t>4.3</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Shërbime mbështetëse dhe zhvillim kapacitetesh për arsimin e lartë gjithëpërfshirës </w:t>
            </w:r>
            <w:r w:rsidR="00024D5A" w:rsidRPr="00024D5A">
              <w:rPr>
                <w:rFonts w:ascii="Garamond" w:eastAsia="Times New Roman" w:hAnsi="Garamond"/>
                <w:b/>
                <w:bCs/>
                <w:sz w:val="6"/>
                <w:szCs w:val="16"/>
                <w:lang w:eastAsia="en-US"/>
              </w:rPr>
              <w:t xml:space="preserve">forcimi </w:t>
            </w:r>
            <w:r w:rsidRPr="00024D5A">
              <w:rPr>
                <w:rFonts w:ascii="Garamond" w:eastAsia="Times New Roman" w:hAnsi="Garamond"/>
                <w:b/>
                <w:bCs/>
                <w:sz w:val="6"/>
                <w:szCs w:val="16"/>
                <w:lang w:eastAsia="en-US"/>
              </w:rPr>
              <w:t>i mbështetjes institucionale dhe profesionale për studentët me aftësi të kufizuara, përmes shërbimeve të specializuara dhe rritjes së kapaciteteve të stafit akademik dhe administrativ.</w:t>
            </w:r>
          </w:p>
        </w:tc>
        <w:tc>
          <w:tcPr>
            <w:tcW w:w="567" w:type="dxa"/>
            <w:tcBorders>
              <w:top w:val="nil"/>
              <w:left w:val="nil"/>
              <w:bottom w:val="single" w:sz="4" w:space="0" w:color="auto"/>
              <w:right w:val="single" w:sz="4" w:space="0" w:color="auto"/>
            </w:tcBorders>
            <w:shd w:val="clear" w:color="000000" w:fill="DCE6F1"/>
            <w:hideMark/>
          </w:tcPr>
          <w:p w14:paraId="10D0E36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567" w:type="dxa"/>
            <w:tcBorders>
              <w:top w:val="nil"/>
              <w:left w:val="nil"/>
              <w:bottom w:val="single" w:sz="4" w:space="0" w:color="auto"/>
              <w:right w:val="single" w:sz="4" w:space="0" w:color="auto"/>
            </w:tcBorders>
            <w:shd w:val="clear" w:color="000000" w:fill="DCE6F1"/>
            <w:hideMark/>
          </w:tcPr>
          <w:p w14:paraId="38B0F502"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shd w:val="clear" w:color="000000" w:fill="DCE6F1"/>
            <w:hideMark/>
          </w:tcPr>
          <w:p w14:paraId="77B41A9A"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IAL</w:t>
            </w:r>
          </w:p>
        </w:tc>
        <w:tc>
          <w:tcPr>
            <w:tcW w:w="1418" w:type="dxa"/>
            <w:tcBorders>
              <w:top w:val="nil"/>
              <w:left w:val="nil"/>
              <w:bottom w:val="single" w:sz="4" w:space="0" w:color="auto"/>
              <w:right w:val="single" w:sz="4" w:space="0" w:color="auto"/>
            </w:tcBorders>
            <w:shd w:val="clear" w:color="000000" w:fill="DCE6F1"/>
            <w:hideMark/>
          </w:tcPr>
          <w:p w14:paraId="536D6DB8"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IAL</w:t>
            </w:r>
          </w:p>
        </w:tc>
        <w:tc>
          <w:tcPr>
            <w:tcW w:w="708" w:type="dxa"/>
            <w:tcBorders>
              <w:top w:val="nil"/>
              <w:left w:val="nil"/>
              <w:bottom w:val="single" w:sz="4" w:space="0" w:color="auto"/>
              <w:right w:val="single" w:sz="4" w:space="0" w:color="auto"/>
            </w:tcBorders>
            <w:shd w:val="clear" w:color="000000" w:fill="C5D9F1"/>
            <w:noWrap/>
            <w:hideMark/>
          </w:tcPr>
          <w:p w14:paraId="28171BB7" w14:textId="4F06D998"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shd w:val="clear" w:color="000000" w:fill="C5D9F1"/>
            <w:noWrap/>
            <w:hideMark/>
          </w:tcPr>
          <w:p w14:paraId="198EF63A" w14:textId="416ADB68"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75,000</w:t>
            </w:r>
          </w:p>
        </w:tc>
        <w:tc>
          <w:tcPr>
            <w:tcW w:w="567" w:type="dxa"/>
            <w:tcBorders>
              <w:top w:val="nil"/>
              <w:left w:val="nil"/>
              <w:bottom w:val="single" w:sz="4" w:space="0" w:color="auto"/>
              <w:right w:val="single" w:sz="4" w:space="0" w:color="auto"/>
            </w:tcBorders>
            <w:shd w:val="clear" w:color="000000" w:fill="C5D9F1"/>
            <w:noWrap/>
            <w:hideMark/>
          </w:tcPr>
          <w:p w14:paraId="1C88D222" w14:textId="53A47EA1"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75,000</w:t>
            </w:r>
          </w:p>
        </w:tc>
        <w:tc>
          <w:tcPr>
            <w:tcW w:w="1134" w:type="dxa"/>
            <w:tcBorders>
              <w:top w:val="nil"/>
              <w:left w:val="nil"/>
              <w:bottom w:val="single" w:sz="4" w:space="0" w:color="auto"/>
              <w:right w:val="single" w:sz="4" w:space="0" w:color="auto"/>
            </w:tcBorders>
            <w:shd w:val="clear" w:color="000000" w:fill="C5D9F1"/>
            <w:noWrap/>
            <w:hideMark/>
          </w:tcPr>
          <w:p w14:paraId="47F22BA2" w14:textId="15D970C8"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75,000</w:t>
            </w:r>
          </w:p>
        </w:tc>
        <w:tc>
          <w:tcPr>
            <w:tcW w:w="1615" w:type="dxa"/>
            <w:tcBorders>
              <w:top w:val="nil"/>
              <w:left w:val="nil"/>
              <w:bottom w:val="single" w:sz="4" w:space="0" w:color="auto"/>
              <w:right w:val="single" w:sz="4" w:space="0" w:color="auto"/>
            </w:tcBorders>
            <w:shd w:val="clear" w:color="000000" w:fill="C5D9F1"/>
            <w:noWrap/>
            <w:hideMark/>
          </w:tcPr>
          <w:p w14:paraId="3080B20E" w14:textId="11A551F2"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75,000</w:t>
            </w:r>
          </w:p>
        </w:tc>
      </w:tr>
      <w:tr w:rsidR="00B807EE" w:rsidRPr="00024D5A" w14:paraId="7D6B6180"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0C7073C0" w14:textId="1DBB3EFA"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4.3.1</w:t>
            </w:r>
            <w:r w:rsid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Krijimi</w:t>
            </w:r>
            <w:r w:rsidR="007675EC"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forcimi i njësive të posaçme mbështetëse për studentët me aftësi të kufizuara në IAL.</w:t>
            </w:r>
          </w:p>
        </w:tc>
        <w:tc>
          <w:tcPr>
            <w:tcW w:w="567" w:type="dxa"/>
            <w:tcBorders>
              <w:top w:val="nil"/>
              <w:left w:val="nil"/>
              <w:bottom w:val="single" w:sz="4" w:space="0" w:color="auto"/>
              <w:right w:val="single" w:sz="4" w:space="0" w:color="auto"/>
            </w:tcBorders>
            <w:hideMark/>
          </w:tcPr>
          <w:p w14:paraId="51153D27"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567" w:type="dxa"/>
            <w:tcBorders>
              <w:top w:val="nil"/>
              <w:left w:val="nil"/>
              <w:bottom w:val="single" w:sz="4" w:space="0" w:color="auto"/>
              <w:right w:val="single" w:sz="4" w:space="0" w:color="auto"/>
            </w:tcBorders>
            <w:hideMark/>
          </w:tcPr>
          <w:p w14:paraId="36D7E80C"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13EDD6E6"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IAL</w:t>
            </w:r>
          </w:p>
        </w:tc>
        <w:tc>
          <w:tcPr>
            <w:tcW w:w="1418" w:type="dxa"/>
            <w:tcBorders>
              <w:top w:val="nil"/>
              <w:left w:val="nil"/>
              <w:bottom w:val="single" w:sz="4" w:space="0" w:color="auto"/>
              <w:right w:val="single" w:sz="4" w:space="0" w:color="auto"/>
            </w:tcBorders>
            <w:hideMark/>
          </w:tcPr>
          <w:p w14:paraId="2659F46C"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IAL</w:t>
            </w:r>
          </w:p>
        </w:tc>
        <w:tc>
          <w:tcPr>
            <w:tcW w:w="708" w:type="dxa"/>
            <w:tcBorders>
              <w:top w:val="nil"/>
              <w:left w:val="nil"/>
              <w:bottom w:val="single" w:sz="4" w:space="0" w:color="auto"/>
              <w:right w:val="single" w:sz="4" w:space="0" w:color="auto"/>
            </w:tcBorders>
            <w:hideMark/>
          </w:tcPr>
          <w:p w14:paraId="640295EB" w14:textId="174300D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523E4B89" w14:textId="6011236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75,000</w:t>
            </w:r>
          </w:p>
        </w:tc>
        <w:tc>
          <w:tcPr>
            <w:tcW w:w="567" w:type="dxa"/>
            <w:tcBorders>
              <w:top w:val="nil"/>
              <w:left w:val="nil"/>
              <w:bottom w:val="single" w:sz="4" w:space="0" w:color="auto"/>
              <w:right w:val="single" w:sz="4" w:space="0" w:color="auto"/>
            </w:tcBorders>
            <w:hideMark/>
          </w:tcPr>
          <w:p w14:paraId="3AE4A794" w14:textId="34E3BB3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75,000</w:t>
            </w:r>
          </w:p>
        </w:tc>
        <w:tc>
          <w:tcPr>
            <w:tcW w:w="1134" w:type="dxa"/>
            <w:tcBorders>
              <w:top w:val="nil"/>
              <w:left w:val="nil"/>
              <w:bottom w:val="single" w:sz="4" w:space="0" w:color="auto"/>
              <w:right w:val="single" w:sz="4" w:space="0" w:color="auto"/>
            </w:tcBorders>
            <w:hideMark/>
          </w:tcPr>
          <w:p w14:paraId="70FDA650" w14:textId="313EA33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75,000</w:t>
            </w:r>
          </w:p>
        </w:tc>
        <w:tc>
          <w:tcPr>
            <w:tcW w:w="1615" w:type="dxa"/>
            <w:tcBorders>
              <w:top w:val="nil"/>
              <w:left w:val="nil"/>
              <w:bottom w:val="single" w:sz="4" w:space="0" w:color="auto"/>
              <w:right w:val="single" w:sz="4" w:space="0" w:color="auto"/>
            </w:tcBorders>
            <w:hideMark/>
          </w:tcPr>
          <w:p w14:paraId="4DE24B30" w14:textId="71C2A13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75,000</w:t>
            </w:r>
          </w:p>
        </w:tc>
      </w:tr>
      <w:tr w:rsidR="00B807EE" w:rsidRPr="00024D5A" w14:paraId="4C283456"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1B886F60"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4.3.2 Ofrimi i këshillimit akademik, psikosocial dhe ndërmjetësimit për të garantuar përshtatjen e arsyeshme.</w:t>
            </w:r>
          </w:p>
        </w:tc>
        <w:tc>
          <w:tcPr>
            <w:tcW w:w="567" w:type="dxa"/>
            <w:tcBorders>
              <w:top w:val="nil"/>
              <w:left w:val="nil"/>
              <w:bottom w:val="single" w:sz="4" w:space="0" w:color="auto"/>
              <w:right w:val="single" w:sz="4" w:space="0" w:color="auto"/>
            </w:tcBorders>
            <w:hideMark/>
          </w:tcPr>
          <w:p w14:paraId="5C2583B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567" w:type="dxa"/>
            <w:tcBorders>
              <w:top w:val="nil"/>
              <w:left w:val="nil"/>
              <w:bottom w:val="single" w:sz="4" w:space="0" w:color="auto"/>
              <w:right w:val="single" w:sz="4" w:space="0" w:color="auto"/>
            </w:tcBorders>
            <w:hideMark/>
          </w:tcPr>
          <w:p w14:paraId="263B45D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4AF3500D"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IAL</w:t>
            </w:r>
          </w:p>
        </w:tc>
        <w:tc>
          <w:tcPr>
            <w:tcW w:w="1418" w:type="dxa"/>
            <w:tcBorders>
              <w:top w:val="nil"/>
              <w:left w:val="nil"/>
              <w:bottom w:val="single" w:sz="4" w:space="0" w:color="auto"/>
              <w:right w:val="single" w:sz="4" w:space="0" w:color="auto"/>
            </w:tcBorders>
            <w:hideMark/>
          </w:tcPr>
          <w:p w14:paraId="7352E1BB"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IAL</w:t>
            </w:r>
          </w:p>
        </w:tc>
        <w:tc>
          <w:tcPr>
            <w:tcW w:w="708" w:type="dxa"/>
            <w:tcBorders>
              <w:top w:val="nil"/>
              <w:left w:val="nil"/>
              <w:bottom w:val="single" w:sz="4" w:space="0" w:color="auto"/>
              <w:right w:val="single" w:sz="4" w:space="0" w:color="auto"/>
            </w:tcBorders>
            <w:hideMark/>
          </w:tcPr>
          <w:p w14:paraId="4DAAA90F" w14:textId="5868755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27249478" w14:textId="45399E5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41608846" w14:textId="08D9AB2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2F58C69D" w14:textId="60D775C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7BC83F10" w14:textId="4C3D934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5F431A5F" w14:textId="77777777" w:rsidTr="002B321E">
        <w:trPr>
          <w:trHeight w:val="20"/>
        </w:trPr>
        <w:tc>
          <w:tcPr>
            <w:tcW w:w="4673" w:type="dxa"/>
            <w:tcBorders>
              <w:top w:val="single" w:sz="8" w:space="0" w:color="auto"/>
              <w:left w:val="single" w:sz="4" w:space="0" w:color="auto"/>
              <w:bottom w:val="single" w:sz="8" w:space="0" w:color="auto"/>
              <w:right w:val="single" w:sz="4" w:space="0" w:color="auto"/>
            </w:tcBorders>
            <w:shd w:val="clear" w:color="000000" w:fill="F276AB"/>
            <w:hideMark/>
          </w:tcPr>
          <w:p w14:paraId="3D6C93E5"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V. MBROJTJA SOCIALE</w:t>
            </w:r>
          </w:p>
        </w:tc>
        <w:tc>
          <w:tcPr>
            <w:tcW w:w="567" w:type="dxa"/>
            <w:tcBorders>
              <w:top w:val="single" w:sz="8" w:space="0" w:color="auto"/>
              <w:left w:val="nil"/>
              <w:bottom w:val="single" w:sz="8" w:space="0" w:color="auto"/>
              <w:right w:val="single" w:sz="4" w:space="0" w:color="auto"/>
            </w:tcBorders>
            <w:shd w:val="clear" w:color="000000" w:fill="F276AB"/>
            <w:hideMark/>
          </w:tcPr>
          <w:p w14:paraId="09728B11"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567" w:type="dxa"/>
            <w:tcBorders>
              <w:top w:val="single" w:sz="8" w:space="0" w:color="auto"/>
              <w:left w:val="nil"/>
              <w:bottom w:val="single" w:sz="8" w:space="0" w:color="auto"/>
              <w:right w:val="single" w:sz="4" w:space="0" w:color="auto"/>
            </w:tcBorders>
            <w:shd w:val="clear" w:color="000000" w:fill="F276AB"/>
            <w:hideMark/>
          </w:tcPr>
          <w:p w14:paraId="0A4DBA9C"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1134" w:type="dxa"/>
            <w:tcBorders>
              <w:top w:val="single" w:sz="8" w:space="0" w:color="auto"/>
              <w:left w:val="nil"/>
              <w:bottom w:val="single" w:sz="8" w:space="0" w:color="auto"/>
              <w:right w:val="single" w:sz="4" w:space="0" w:color="auto"/>
            </w:tcBorders>
            <w:shd w:val="clear" w:color="000000" w:fill="F276AB"/>
            <w:hideMark/>
          </w:tcPr>
          <w:p w14:paraId="62FCA552"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1418" w:type="dxa"/>
            <w:tcBorders>
              <w:top w:val="single" w:sz="8" w:space="0" w:color="auto"/>
              <w:left w:val="nil"/>
              <w:bottom w:val="single" w:sz="8" w:space="0" w:color="auto"/>
              <w:right w:val="single" w:sz="4" w:space="0" w:color="auto"/>
            </w:tcBorders>
            <w:shd w:val="clear" w:color="000000" w:fill="F276AB"/>
            <w:hideMark/>
          </w:tcPr>
          <w:p w14:paraId="115F32E7"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708" w:type="dxa"/>
            <w:tcBorders>
              <w:top w:val="single" w:sz="8" w:space="0" w:color="auto"/>
              <w:left w:val="nil"/>
              <w:bottom w:val="single" w:sz="8" w:space="0" w:color="auto"/>
              <w:right w:val="single" w:sz="4" w:space="0" w:color="auto"/>
            </w:tcBorders>
            <w:shd w:val="clear" w:color="000000" w:fill="F276AB"/>
            <w:hideMark/>
          </w:tcPr>
          <w:p w14:paraId="0C3081EA" w14:textId="1DCAE747"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19,630</w:t>
            </w:r>
          </w:p>
        </w:tc>
        <w:tc>
          <w:tcPr>
            <w:tcW w:w="567" w:type="dxa"/>
            <w:tcBorders>
              <w:top w:val="single" w:sz="8" w:space="0" w:color="auto"/>
              <w:left w:val="nil"/>
              <w:bottom w:val="single" w:sz="8" w:space="0" w:color="auto"/>
              <w:right w:val="single" w:sz="4" w:space="0" w:color="auto"/>
            </w:tcBorders>
            <w:shd w:val="clear" w:color="000000" w:fill="F276AB"/>
            <w:hideMark/>
          </w:tcPr>
          <w:p w14:paraId="3BF4B81D" w14:textId="77C2AFC8"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169,287</w:t>
            </w:r>
          </w:p>
        </w:tc>
        <w:tc>
          <w:tcPr>
            <w:tcW w:w="567" w:type="dxa"/>
            <w:tcBorders>
              <w:top w:val="single" w:sz="8" w:space="0" w:color="auto"/>
              <w:left w:val="nil"/>
              <w:bottom w:val="single" w:sz="8" w:space="0" w:color="auto"/>
              <w:right w:val="single" w:sz="4" w:space="0" w:color="auto"/>
            </w:tcBorders>
            <w:shd w:val="clear" w:color="000000" w:fill="F276AB"/>
            <w:hideMark/>
          </w:tcPr>
          <w:p w14:paraId="3647FCAA" w14:textId="2CB9DEEA"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69,042</w:t>
            </w:r>
          </w:p>
        </w:tc>
        <w:tc>
          <w:tcPr>
            <w:tcW w:w="1134" w:type="dxa"/>
            <w:tcBorders>
              <w:top w:val="single" w:sz="8" w:space="0" w:color="auto"/>
              <w:left w:val="nil"/>
              <w:bottom w:val="single" w:sz="8" w:space="0" w:color="auto"/>
              <w:right w:val="single" w:sz="4" w:space="0" w:color="auto"/>
            </w:tcBorders>
            <w:shd w:val="clear" w:color="000000" w:fill="F276AB"/>
            <w:hideMark/>
          </w:tcPr>
          <w:p w14:paraId="02B4CE38" w14:textId="0F1E74EB"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61,668</w:t>
            </w:r>
          </w:p>
        </w:tc>
        <w:tc>
          <w:tcPr>
            <w:tcW w:w="1615" w:type="dxa"/>
            <w:tcBorders>
              <w:top w:val="single" w:sz="8" w:space="0" w:color="auto"/>
              <w:left w:val="nil"/>
              <w:bottom w:val="single" w:sz="8" w:space="0" w:color="auto"/>
              <w:right w:val="single" w:sz="4" w:space="0" w:color="auto"/>
            </w:tcBorders>
            <w:shd w:val="clear" w:color="000000" w:fill="F276AB"/>
            <w:hideMark/>
          </w:tcPr>
          <w:p w14:paraId="6D57E041" w14:textId="7FFDDF91"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187,047</w:t>
            </w:r>
          </w:p>
        </w:tc>
      </w:tr>
      <w:tr w:rsidR="00B807EE" w:rsidRPr="00024D5A" w14:paraId="619D35D9" w14:textId="77777777" w:rsidTr="002B321E">
        <w:trPr>
          <w:trHeight w:val="20"/>
        </w:trPr>
        <w:tc>
          <w:tcPr>
            <w:tcW w:w="4673" w:type="dxa"/>
            <w:tcBorders>
              <w:top w:val="single" w:sz="4" w:space="0" w:color="auto"/>
              <w:left w:val="single" w:sz="4" w:space="0" w:color="auto"/>
              <w:bottom w:val="single" w:sz="4" w:space="0" w:color="auto"/>
              <w:right w:val="nil"/>
            </w:tcBorders>
            <w:shd w:val="clear" w:color="000000" w:fill="FDE9D9"/>
            <w:hideMark/>
          </w:tcPr>
          <w:p w14:paraId="2C57898D" w14:textId="3004976A"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Objektivi </w:t>
            </w:r>
            <w:r w:rsidR="00024D5A" w:rsidRPr="00024D5A">
              <w:rPr>
                <w:rFonts w:ascii="Garamond" w:eastAsia="Times New Roman" w:hAnsi="Garamond"/>
                <w:b/>
                <w:bCs/>
                <w:sz w:val="6"/>
                <w:szCs w:val="16"/>
                <w:lang w:eastAsia="en-US"/>
              </w:rPr>
              <w:t xml:space="preserve">specifik </w:t>
            </w:r>
            <w:r w:rsidRPr="00024D5A">
              <w:rPr>
                <w:rFonts w:ascii="Garamond" w:eastAsia="Times New Roman" w:hAnsi="Garamond"/>
                <w:b/>
                <w:bCs/>
                <w:sz w:val="6"/>
                <w:szCs w:val="16"/>
                <w:lang w:eastAsia="en-US"/>
              </w:rPr>
              <w:t>1</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Përmirësimi i jetesës për </w:t>
            </w:r>
            <w:r w:rsidR="00024D5A" w:rsidRPr="00024D5A">
              <w:rPr>
                <w:rFonts w:ascii="Garamond" w:eastAsia="Times New Roman" w:hAnsi="Garamond"/>
                <w:b/>
                <w:bCs/>
                <w:sz w:val="6"/>
                <w:szCs w:val="16"/>
                <w:lang w:eastAsia="en-US"/>
              </w:rPr>
              <w:t xml:space="preserve">personat me aftësi të kufizuara </w:t>
            </w:r>
            <w:r w:rsidRPr="00024D5A">
              <w:rPr>
                <w:rFonts w:ascii="Garamond" w:eastAsia="Times New Roman" w:hAnsi="Garamond"/>
                <w:b/>
                <w:bCs/>
                <w:sz w:val="6"/>
                <w:szCs w:val="16"/>
                <w:lang w:eastAsia="en-US"/>
              </w:rPr>
              <w:t>nëpërmjet skemave financiare të përshtatshme, të mirëshënjestruara, transparente dhe të afta për të përballuar rreziqet e ndryshme</w:t>
            </w:r>
          </w:p>
        </w:tc>
        <w:tc>
          <w:tcPr>
            <w:tcW w:w="567" w:type="dxa"/>
            <w:tcBorders>
              <w:top w:val="single" w:sz="4" w:space="0" w:color="auto"/>
              <w:left w:val="single" w:sz="4" w:space="0" w:color="auto"/>
              <w:bottom w:val="single" w:sz="4" w:space="0" w:color="auto"/>
              <w:right w:val="single" w:sz="4" w:space="0" w:color="auto"/>
            </w:tcBorders>
            <w:shd w:val="clear" w:color="000000" w:fill="FDE9D9"/>
            <w:hideMark/>
          </w:tcPr>
          <w:p w14:paraId="3544B44D"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single" w:sz="4" w:space="0" w:color="auto"/>
              <w:left w:val="nil"/>
              <w:bottom w:val="single" w:sz="4" w:space="0" w:color="auto"/>
              <w:right w:val="single" w:sz="4" w:space="0" w:color="auto"/>
            </w:tcBorders>
            <w:shd w:val="clear" w:color="000000" w:fill="FDE9D9"/>
            <w:hideMark/>
          </w:tcPr>
          <w:p w14:paraId="27C5ABCA"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single" w:sz="4" w:space="0" w:color="auto"/>
              <w:left w:val="nil"/>
              <w:bottom w:val="single" w:sz="4" w:space="0" w:color="auto"/>
              <w:right w:val="single" w:sz="4" w:space="0" w:color="auto"/>
            </w:tcBorders>
            <w:shd w:val="clear" w:color="000000" w:fill="FDE9D9"/>
            <w:hideMark/>
          </w:tcPr>
          <w:p w14:paraId="655C389A"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single" w:sz="4" w:space="0" w:color="auto"/>
              <w:left w:val="nil"/>
              <w:bottom w:val="single" w:sz="4" w:space="0" w:color="auto"/>
              <w:right w:val="single" w:sz="8" w:space="0" w:color="auto"/>
            </w:tcBorders>
            <w:shd w:val="clear" w:color="000000" w:fill="FDE9D9"/>
            <w:hideMark/>
          </w:tcPr>
          <w:p w14:paraId="1DF44C15"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SHSSH/INSTAT</w:t>
            </w:r>
          </w:p>
        </w:tc>
        <w:tc>
          <w:tcPr>
            <w:tcW w:w="708" w:type="dxa"/>
            <w:tcBorders>
              <w:top w:val="single" w:sz="4" w:space="0" w:color="auto"/>
              <w:left w:val="single" w:sz="4" w:space="0" w:color="auto"/>
              <w:bottom w:val="single" w:sz="4" w:space="0" w:color="auto"/>
              <w:right w:val="single" w:sz="4" w:space="0" w:color="auto"/>
            </w:tcBorders>
            <w:shd w:val="clear" w:color="000000" w:fill="FDE9D9"/>
            <w:noWrap/>
            <w:hideMark/>
          </w:tcPr>
          <w:p w14:paraId="401776D4" w14:textId="6CC96230"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1,259</w:t>
            </w:r>
          </w:p>
        </w:tc>
        <w:tc>
          <w:tcPr>
            <w:tcW w:w="567" w:type="dxa"/>
            <w:tcBorders>
              <w:top w:val="single" w:sz="4" w:space="0" w:color="auto"/>
              <w:left w:val="nil"/>
              <w:bottom w:val="single" w:sz="4" w:space="0" w:color="auto"/>
              <w:right w:val="single" w:sz="4" w:space="0" w:color="auto"/>
            </w:tcBorders>
            <w:shd w:val="clear" w:color="000000" w:fill="FDE9D9"/>
            <w:noWrap/>
            <w:hideMark/>
          </w:tcPr>
          <w:p w14:paraId="5F367B81" w14:textId="241F9C70"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8,109</w:t>
            </w:r>
          </w:p>
        </w:tc>
        <w:tc>
          <w:tcPr>
            <w:tcW w:w="567" w:type="dxa"/>
            <w:tcBorders>
              <w:top w:val="single" w:sz="4" w:space="0" w:color="auto"/>
              <w:left w:val="nil"/>
              <w:bottom w:val="single" w:sz="4" w:space="0" w:color="auto"/>
              <w:right w:val="single" w:sz="4" w:space="0" w:color="auto"/>
            </w:tcBorders>
            <w:shd w:val="clear" w:color="000000" w:fill="FDE9D9"/>
            <w:noWrap/>
            <w:hideMark/>
          </w:tcPr>
          <w:p w14:paraId="482CF18F" w14:textId="6C9EBFE2"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9,795</w:t>
            </w:r>
          </w:p>
        </w:tc>
        <w:tc>
          <w:tcPr>
            <w:tcW w:w="1134" w:type="dxa"/>
            <w:tcBorders>
              <w:top w:val="single" w:sz="4" w:space="0" w:color="auto"/>
              <w:left w:val="nil"/>
              <w:bottom w:val="single" w:sz="4" w:space="0" w:color="auto"/>
              <w:right w:val="single" w:sz="4" w:space="0" w:color="auto"/>
            </w:tcBorders>
            <w:shd w:val="clear" w:color="000000" w:fill="FDE9D9"/>
            <w:noWrap/>
            <w:hideMark/>
          </w:tcPr>
          <w:p w14:paraId="7F3BD1CA" w14:textId="6B94EC46"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9,285</w:t>
            </w:r>
          </w:p>
        </w:tc>
        <w:tc>
          <w:tcPr>
            <w:tcW w:w="1615" w:type="dxa"/>
            <w:tcBorders>
              <w:top w:val="single" w:sz="4" w:space="0" w:color="auto"/>
              <w:left w:val="nil"/>
              <w:bottom w:val="single" w:sz="4" w:space="0" w:color="auto"/>
              <w:right w:val="single" w:sz="4" w:space="0" w:color="auto"/>
            </w:tcBorders>
            <w:shd w:val="clear" w:color="000000" w:fill="FDE9D9"/>
            <w:noWrap/>
            <w:hideMark/>
          </w:tcPr>
          <w:p w14:paraId="34EC203B" w14:textId="685FE754"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8,985</w:t>
            </w:r>
          </w:p>
        </w:tc>
      </w:tr>
      <w:tr w:rsidR="00B807EE" w:rsidRPr="00024D5A" w14:paraId="035AEC1D"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DCE6F1"/>
            <w:hideMark/>
          </w:tcPr>
          <w:p w14:paraId="6727AB6F" w14:textId="5480A7AA"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Masa </w:t>
            </w:r>
            <w:r w:rsidR="00024D5A" w:rsidRPr="00024D5A">
              <w:rPr>
                <w:rFonts w:ascii="Garamond" w:eastAsia="Times New Roman" w:hAnsi="Garamond"/>
                <w:b/>
                <w:bCs/>
                <w:sz w:val="6"/>
                <w:szCs w:val="16"/>
                <w:lang w:eastAsia="en-US"/>
              </w:rPr>
              <w:t xml:space="preserve">prioritare </w:t>
            </w:r>
            <w:r w:rsidRPr="00024D5A">
              <w:rPr>
                <w:rFonts w:ascii="Garamond" w:eastAsia="Times New Roman" w:hAnsi="Garamond"/>
                <w:b/>
                <w:bCs/>
                <w:sz w:val="6"/>
                <w:szCs w:val="16"/>
                <w:lang w:eastAsia="en-US"/>
              </w:rPr>
              <w:t>1.1</w:t>
            </w:r>
            <w:r w:rsidR="003526AF">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Konsolidimi dhe përmirësimi i skemës së pagesave të aftësisë së kufizuar, për të garantuar rritjen e masës së përfitimit, për të mbuluar kostot që lidhen me aftësinë e kufizuar, por edhe skemave të</w:t>
            </w:r>
            <w:r w:rsidR="008F29FA" w:rsidRPr="00024D5A">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tjera mbështetëse financiare (NE etj</w:t>
            </w:r>
            <w:r w:rsid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për të garantuar akses, mbështetje për personat me aftësi të kufizuara dhe familjarët e tyre me ndikim zbutjen e varfërisë dhe pabarazisë</w:t>
            </w:r>
            <w:r w:rsidR="00024D5A">
              <w:rPr>
                <w:rFonts w:ascii="Garamond" w:eastAsia="Times New Roman" w:hAnsi="Garamond"/>
                <w:b/>
                <w:bCs/>
                <w:sz w:val="6"/>
                <w:szCs w:val="16"/>
                <w:lang w:eastAsia="en-US"/>
              </w:rPr>
              <w:t>.</w:t>
            </w:r>
          </w:p>
        </w:tc>
        <w:tc>
          <w:tcPr>
            <w:tcW w:w="567" w:type="dxa"/>
            <w:tcBorders>
              <w:top w:val="nil"/>
              <w:left w:val="nil"/>
              <w:bottom w:val="single" w:sz="4" w:space="0" w:color="auto"/>
              <w:right w:val="single" w:sz="4" w:space="0" w:color="auto"/>
            </w:tcBorders>
            <w:shd w:val="clear" w:color="000000" w:fill="DCE6F1"/>
            <w:hideMark/>
          </w:tcPr>
          <w:p w14:paraId="77E8A6D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shd w:val="clear" w:color="000000" w:fill="DCE6F1"/>
            <w:hideMark/>
          </w:tcPr>
          <w:p w14:paraId="3355D7C2"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shd w:val="clear" w:color="000000" w:fill="DCE6F1"/>
            <w:hideMark/>
          </w:tcPr>
          <w:p w14:paraId="7F42E9CA"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8" w:space="0" w:color="auto"/>
            </w:tcBorders>
            <w:shd w:val="clear" w:color="000000" w:fill="DCE6F1"/>
            <w:hideMark/>
          </w:tcPr>
          <w:p w14:paraId="450FF30D"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SHSSH/INSTA</w:t>
            </w:r>
          </w:p>
        </w:tc>
        <w:tc>
          <w:tcPr>
            <w:tcW w:w="708" w:type="dxa"/>
            <w:tcBorders>
              <w:top w:val="nil"/>
              <w:left w:val="single" w:sz="4" w:space="0" w:color="auto"/>
              <w:bottom w:val="single" w:sz="4" w:space="0" w:color="auto"/>
              <w:right w:val="single" w:sz="4" w:space="0" w:color="auto"/>
            </w:tcBorders>
            <w:shd w:val="clear" w:color="000000" w:fill="DCE6F1"/>
            <w:hideMark/>
          </w:tcPr>
          <w:p w14:paraId="0FEC1F8E" w14:textId="5997E120"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w:t>
            </w:r>
          </w:p>
        </w:tc>
        <w:tc>
          <w:tcPr>
            <w:tcW w:w="567" w:type="dxa"/>
            <w:tcBorders>
              <w:top w:val="nil"/>
              <w:left w:val="nil"/>
              <w:bottom w:val="single" w:sz="4" w:space="0" w:color="auto"/>
              <w:right w:val="single" w:sz="4" w:space="0" w:color="auto"/>
            </w:tcBorders>
            <w:shd w:val="clear" w:color="000000" w:fill="DCE6F1"/>
            <w:hideMark/>
          </w:tcPr>
          <w:p w14:paraId="7083384A" w14:textId="6B3674CD"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500</w:t>
            </w:r>
          </w:p>
        </w:tc>
        <w:tc>
          <w:tcPr>
            <w:tcW w:w="567" w:type="dxa"/>
            <w:tcBorders>
              <w:top w:val="nil"/>
              <w:left w:val="nil"/>
              <w:bottom w:val="single" w:sz="4" w:space="0" w:color="auto"/>
              <w:right w:val="single" w:sz="4" w:space="0" w:color="auto"/>
            </w:tcBorders>
            <w:shd w:val="clear" w:color="000000" w:fill="DCE6F1"/>
            <w:hideMark/>
          </w:tcPr>
          <w:p w14:paraId="75136771" w14:textId="610BF511"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300</w:t>
            </w:r>
          </w:p>
        </w:tc>
        <w:tc>
          <w:tcPr>
            <w:tcW w:w="1134" w:type="dxa"/>
            <w:tcBorders>
              <w:top w:val="nil"/>
              <w:left w:val="nil"/>
              <w:bottom w:val="single" w:sz="4" w:space="0" w:color="auto"/>
              <w:right w:val="single" w:sz="4" w:space="0" w:color="auto"/>
            </w:tcBorders>
            <w:shd w:val="clear" w:color="000000" w:fill="DCE6F1"/>
            <w:hideMark/>
          </w:tcPr>
          <w:p w14:paraId="04743DEF" w14:textId="0BF3A046"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990</w:t>
            </w:r>
          </w:p>
        </w:tc>
        <w:tc>
          <w:tcPr>
            <w:tcW w:w="1615" w:type="dxa"/>
            <w:tcBorders>
              <w:top w:val="nil"/>
              <w:left w:val="nil"/>
              <w:bottom w:val="single" w:sz="4" w:space="0" w:color="auto"/>
              <w:right w:val="single" w:sz="4" w:space="0" w:color="auto"/>
            </w:tcBorders>
            <w:shd w:val="clear" w:color="000000" w:fill="DCE6F1"/>
            <w:hideMark/>
          </w:tcPr>
          <w:p w14:paraId="7A78B23E" w14:textId="023050F3"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690</w:t>
            </w:r>
          </w:p>
        </w:tc>
      </w:tr>
      <w:tr w:rsidR="00B807EE" w:rsidRPr="00024D5A" w14:paraId="1D9668F4"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5220C41D" w14:textId="12BBE71C" w:rsidR="00700D7D" w:rsidRPr="00024D5A" w:rsidRDefault="000C2D3A" w:rsidP="000C2D3A">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1.1.1 </w:t>
            </w:r>
            <w:r w:rsidR="00700D7D" w:rsidRPr="00024D5A">
              <w:rPr>
                <w:rFonts w:ascii="Garamond" w:eastAsia="Times New Roman" w:hAnsi="Garamond"/>
                <w:sz w:val="6"/>
                <w:szCs w:val="16"/>
                <w:lang w:eastAsia="en-US"/>
              </w:rPr>
              <w:t>Ndërtimi i një mekanizmi vjetor për rishikimin/indeksimin e masës së përfitimit të aftësisë së kufizuar (</w:t>
            </w:r>
            <w:r w:rsidR="00024D5A" w:rsidRPr="00024D5A">
              <w:rPr>
                <w:rFonts w:ascii="Garamond" w:eastAsia="Times New Roman" w:hAnsi="Garamond"/>
                <w:sz w:val="6"/>
                <w:szCs w:val="16"/>
                <w:lang w:eastAsia="en-US"/>
              </w:rPr>
              <w:t xml:space="preserve">ndërhyrja </w:t>
            </w:r>
            <w:r w:rsidR="00700D7D" w:rsidRPr="00024D5A">
              <w:rPr>
                <w:rFonts w:ascii="Garamond" w:eastAsia="Times New Roman" w:hAnsi="Garamond"/>
                <w:sz w:val="6"/>
                <w:szCs w:val="16"/>
                <w:lang w:eastAsia="en-US"/>
              </w:rPr>
              <w:t>A2.1.4 SMS)</w:t>
            </w:r>
            <w:r w:rsid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4E10737C"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single" w:sz="4" w:space="0" w:color="auto"/>
            </w:tcBorders>
            <w:hideMark/>
          </w:tcPr>
          <w:p w14:paraId="682B4BEA"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600C311D"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w:t>
            </w:r>
          </w:p>
        </w:tc>
        <w:tc>
          <w:tcPr>
            <w:tcW w:w="1418" w:type="dxa"/>
            <w:tcBorders>
              <w:top w:val="nil"/>
              <w:left w:val="nil"/>
              <w:bottom w:val="single" w:sz="4" w:space="0" w:color="auto"/>
              <w:right w:val="single" w:sz="8" w:space="0" w:color="auto"/>
            </w:tcBorders>
            <w:hideMark/>
          </w:tcPr>
          <w:p w14:paraId="4EC50EF5"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SHSSH</w:t>
            </w:r>
          </w:p>
        </w:tc>
        <w:tc>
          <w:tcPr>
            <w:tcW w:w="708" w:type="dxa"/>
            <w:tcBorders>
              <w:top w:val="nil"/>
              <w:left w:val="single" w:sz="4" w:space="0" w:color="auto"/>
              <w:bottom w:val="single" w:sz="4" w:space="0" w:color="auto"/>
              <w:right w:val="single" w:sz="4" w:space="0" w:color="auto"/>
            </w:tcBorders>
            <w:hideMark/>
          </w:tcPr>
          <w:p w14:paraId="78DBBCA5" w14:textId="59FD6EE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20E0F882" w14:textId="55B77D0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71AA62B9" w14:textId="12762C3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309A48B2" w14:textId="2FE6EDD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29E3A750" w14:textId="00BC5C5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1A2C27F6"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2E4517A8" w14:textId="50DE4F58"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1.1.2. Përfshirja e indikatorëve të aftësisë së kufizuar në </w:t>
            </w:r>
            <w:r w:rsidR="00024D5A" w:rsidRPr="00024D5A">
              <w:rPr>
                <w:rFonts w:ascii="Garamond" w:eastAsia="Times New Roman" w:hAnsi="Garamond"/>
                <w:sz w:val="6"/>
                <w:szCs w:val="16"/>
                <w:lang w:eastAsia="en-US"/>
              </w:rPr>
              <w:t xml:space="preserve">anketat </w:t>
            </w:r>
            <w:r w:rsidRPr="00024D5A">
              <w:rPr>
                <w:rFonts w:ascii="Garamond" w:eastAsia="Times New Roman" w:hAnsi="Garamond"/>
                <w:sz w:val="6"/>
                <w:szCs w:val="16"/>
                <w:lang w:eastAsia="en-US"/>
              </w:rPr>
              <w:t xml:space="preserve">e </w:t>
            </w:r>
            <w:r w:rsidR="00024D5A" w:rsidRPr="00024D5A">
              <w:rPr>
                <w:rFonts w:ascii="Garamond" w:eastAsia="Times New Roman" w:hAnsi="Garamond"/>
                <w:sz w:val="6"/>
                <w:szCs w:val="16"/>
                <w:lang w:eastAsia="en-US"/>
              </w:rPr>
              <w:t xml:space="preserve">të ardhurave të nivelit </w:t>
            </w:r>
            <w:r w:rsidRPr="00024D5A">
              <w:rPr>
                <w:rFonts w:ascii="Garamond" w:eastAsia="Times New Roman" w:hAnsi="Garamond"/>
                <w:sz w:val="6"/>
                <w:szCs w:val="16"/>
                <w:lang w:eastAsia="en-US"/>
              </w:rPr>
              <w:t xml:space="preserve">të </w:t>
            </w:r>
            <w:r w:rsidR="00024D5A" w:rsidRPr="00024D5A">
              <w:rPr>
                <w:rFonts w:ascii="Garamond" w:eastAsia="Times New Roman" w:hAnsi="Garamond"/>
                <w:sz w:val="6"/>
                <w:szCs w:val="16"/>
                <w:lang w:eastAsia="en-US"/>
              </w:rPr>
              <w:t xml:space="preserve">jetesës </w:t>
            </w:r>
            <w:r w:rsidRPr="00024D5A">
              <w:rPr>
                <w:rFonts w:ascii="Garamond" w:eastAsia="Times New Roman" w:hAnsi="Garamond"/>
                <w:sz w:val="6"/>
                <w:szCs w:val="16"/>
                <w:lang w:eastAsia="en-US"/>
              </w:rPr>
              <w:t xml:space="preserve">për të matur nivelin e varfërisë te personat me aftësi të kufizuara e familjet e tyre; </w:t>
            </w:r>
            <w:r w:rsidR="00024D5A" w:rsidRPr="00024D5A">
              <w:rPr>
                <w:rFonts w:ascii="Garamond" w:eastAsia="Times New Roman" w:hAnsi="Garamond"/>
                <w:sz w:val="6"/>
                <w:szCs w:val="16"/>
                <w:lang w:eastAsia="en-US"/>
              </w:rPr>
              <w:t xml:space="preserve">realizimi </w:t>
            </w:r>
            <w:r w:rsidRPr="00024D5A">
              <w:rPr>
                <w:rFonts w:ascii="Garamond" w:eastAsia="Times New Roman" w:hAnsi="Garamond"/>
                <w:sz w:val="6"/>
                <w:szCs w:val="16"/>
                <w:lang w:eastAsia="en-US"/>
              </w:rPr>
              <w:t>i raporteve periodike mbi nivelin e varfërisë brenda popullatës së njerëzve me aftësi të kufizuara dhe familjarëve të tyre (</w:t>
            </w:r>
            <w:r w:rsidR="006B7B62" w:rsidRPr="00024D5A">
              <w:rPr>
                <w:rFonts w:ascii="Garamond" w:eastAsia="Times New Roman" w:hAnsi="Garamond"/>
                <w:sz w:val="6"/>
                <w:szCs w:val="16"/>
                <w:lang w:eastAsia="en-US"/>
              </w:rPr>
              <w:t xml:space="preserve">ndërhyrja </w:t>
            </w:r>
            <w:r w:rsidRPr="00024D5A">
              <w:rPr>
                <w:rFonts w:ascii="Garamond" w:eastAsia="Times New Roman" w:hAnsi="Garamond"/>
                <w:sz w:val="6"/>
                <w:szCs w:val="16"/>
                <w:lang w:eastAsia="en-US"/>
              </w:rPr>
              <w:t>A2.1.16 SMS)</w:t>
            </w:r>
            <w:r w:rsid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w:t>
            </w:r>
          </w:p>
        </w:tc>
        <w:tc>
          <w:tcPr>
            <w:tcW w:w="567" w:type="dxa"/>
            <w:tcBorders>
              <w:top w:val="nil"/>
              <w:left w:val="nil"/>
              <w:bottom w:val="single" w:sz="4" w:space="0" w:color="auto"/>
              <w:right w:val="single" w:sz="4" w:space="0" w:color="auto"/>
            </w:tcBorders>
            <w:hideMark/>
          </w:tcPr>
          <w:p w14:paraId="2BA958A8"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2027</w:t>
            </w:r>
          </w:p>
        </w:tc>
        <w:tc>
          <w:tcPr>
            <w:tcW w:w="567" w:type="dxa"/>
            <w:tcBorders>
              <w:top w:val="nil"/>
              <w:left w:val="nil"/>
              <w:bottom w:val="single" w:sz="4" w:space="0" w:color="auto"/>
              <w:right w:val="single" w:sz="4" w:space="0" w:color="auto"/>
            </w:tcBorders>
            <w:hideMark/>
          </w:tcPr>
          <w:p w14:paraId="1ABAE998"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2029</w:t>
            </w:r>
          </w:p>
        </w:tc>
        <w:tc>
          <w:tcPr>
            <w:tcW w:w="1134" w:type="dxa"/>
            <w:tcBorders>
              <w:top w:val="nil"/>
              <w:left w:val="nil"/>
              <w:bottom w:val="single" w:sz="4" w:space="0" w:color="auto"/>
              <w:right w:val="single" w:sz="4" w:space="0" w:color="auto"/>
            </w:tcBorders>
            <w:hideMark/>
          </w:tcPr>
          <w:p w14:paraId="0FA0276A"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w:t>
            </w:r>
          </w:p>
        </w:tc>
        <w:tc>
          <w:tcPr>
            <w:tcW w:w="1418" w:type="dxa"/>
            <w:tcBorders>
              <w:top w:val="nil"/>
              <w:left w:val="nil"/>
              <w:bottom w:val="single" w:sz="4" w:space="0" w:color="auto"/>
              <w:right w:val="single" w:sz="8" w:space="0" w:color="auto"/>
            </w:tcBorders>
            <w:hideMark/>
          </w:tcPr>
          <w:p w14:paraId="0E14D405"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INSTAT</w:t>
            </w:r>
          </w:p>
        </w:tc>
        <w:tc>
          <w:tcPr>
            <w:tcW w:w="708" w:type="dxa"/>
            <w:tcBorders>
              <w:top w:val="nil"/>
              <w:left w:val="single" w:sz="4" w:space="0" w:color="auto"/>
              <w:bottom w:val="single" w:sz="4" w:space="0" w:color="auto"/>
              <w:right w:val="single" w:sz="4" w:space="0" w:color="auto"/>
            </w:tcBorders>
            <w:hideMark/>
          </w:tcPr>
          <w:p w14:paraId="5016745F" w14:textId="6274898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087B2EF7" w14:textId="0F4557E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500</w:t>
            </w:r>
          </w:p>
        </w:tc>
        <w:tc>
          <w:tcPr>
            <w:tcW w:w="567" w:type="dxa"/>
            <w:tcBorders>
              <w:top w:val="nil"/>
              <w:left w:val="nil"/>
              <w:bottom w:val="single" w:sz="4" w:space="0" w:color="auto"/>
              <w:right w:val="single" w:sz="4" w:space="0" w:color="auto"/>
            </w:tcBorders>
            <w:hideMark/>
          </w:tcPr>
          <w:p w14:paraId="78C57406" w14:textId="72898B4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300</w:t>
            </w:r>
          </w:p>
        </w:tc>
        <w:tc>
          <w:tcPr>
            <w:tcW w:w="1134" w:type="dxa"/>
            <w:tcBorders>
              <w:top w:val="nil"/>
              <w:left w:val="nil"/>
              <w:bottom w:val="single" w:sz="4" w:space="0" w:color="auto"/>
              <w:right w:val="single" w:sz="4" w:space="0" w:color="auto"/>
            </w:tcBorders>
            <w:hideMark/>
          </w:tcPr>
          <w:p w14:paraId="4A00F028" w14:textId="45929B0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300</w:t>
            </w:r>
          </w:p>
        </w:tc>
        <w:tc>
          <w:tcPr>
            <w:tcW w:w="1615" w:type="dxa"/>
            <w:tcBorders>
              <w:top w:val="nil"/>
              <w:left w:val="nil"/>
              <w:bottom w:val="single" w:sz="4" w:space="0" w:color="auto"/>
              <w:right w:val="single" w:sz="4" w:space="0" w:color="auto"/>
            </w:tcBorders>
            <w:hideMark/>
          </w:tcPr>
          <w:p w14:paraId="210A109D" w14:textId="1879920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5D34D6D7"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2B05C270" w14:textId="62204F40"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1.1.3. Analizë për ofrimin e shërbimeve mbështetëse për personat me aftësi të kufizuara gjatë krizave apo emergjencave civile (A2.1.8 SMS)</w:t>
            </w:r>
            <w:r w:rsidR="00C712B0">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170113C3"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2029</w:t>
            </w:r>
          </w:p>
        </w:tc>
        <w:tc>
          <w:tcPr>
            <w:tcW w:w="567" w:type="dxa"/>
            <w:tcBorders>
              <w:top w:val="nil"/>
              <w:left w:val="nil"/>
              <w:bottom w:val="single" w:sz="4" w:space="0" w:color="auto"/>
              <w:right w:val="single" w:sz="4" w:space="0" w:color="auto"/>
            </w:tcBorders>
            <w:hideMark/>
          </w:tcPr>
          <w:p w14:paraId="1F5FE7D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3D4E38AA"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8" w:space="0" w:color="auto"/>
            </w:tcBorders>
            <w:hideMark/>
          </w:tcPr>
          <w:p w14:paraId="7CE09A83"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SHSSH</w:t>
            </w:r>
          </w:p>
        </w:tc>
        <w:tc>
          <w:tcPr>
            <w:tcW w:w="708" w:type="dxa"/>
            <w:tcBorders>
              <w:top w:val="nil"/>
              <w:left w:val="single" w:sz="4" w:space="0" w:color="auto"/>
              <w:bottom w:val="single" w:sz="4" w:space="0" w:color="auto"/>
              <w:right w:val="single" w:sz="4" w:space="0" w:color="auto"/>
            </w:tcBorders>
            <w:hideMark/>
          </w:tcPr>
          <w:p w14:paraId="4F947BBD" w14:textId="7BC2515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0E5BEDEF" w14:textId="58237EC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77C3AF5B" w14:textId="4A0CAF9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292B257B" w14:textId="3AFEEA4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7749970D" w14:textId="7A00955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26B52D45"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4F22DF61" w14:textId="1E6C0F7F"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1.1.4.</w:t>
            </w:r>
            <w:r w:rsidR="000C2D3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Përgatitja e udhëzuesve me qëllim krijimin e skemave fleksibël të mbështetjes financiare në raste emergjencash (fatkeqësi natyrore, kriza shëndetësore, zhvendosje), me prioritizim të personave me aftësi të kufizuara</w:t>
            </w:r>
            <w:r w:rsidR="00C712B0">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07E06DF3"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2029</w:t>
            </w:r>
          </w:p>
        </w:tc>
        <w:tc>
          <w:tcPr>
            <w:tcW w:w="567" w:type="dxa"/>
            <w:tcBorders>
              <w:top w:val="nil"/>
              <w:left w:val="nil"/>
              <w:bottom w:val="single" w:sz="4" w:space="0" w:color="auto"/>
              <w:right w:val="single" w:sz="4" w:space="0" w:color="auto"/>
            </w:tcBorders>
            <w:hideMark/>
          </w:tcPr>
          <w:p w14:paraId="47E6B15C"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782EE518"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8" w:space="0" w:color="auto"/>
            </w:tcBorders>
            <w:hideMark/>
          </w:tcPr>
          <w:p w14:paraId="3A17BF48"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SHSSH</w:t>
            </w:r>
          </w:p>
        </w:tc>
        <w:tc>
          <w:tcPr>
            <w:tcW w:w="708" w:type="dxa"/>
            <w:tcBorders>
              <w:top w:val="nil"/>
              <w:left w:val="single" w:sz="4" w:space="0" w:color="auto"/>
              <w:bottom w:val="single" w:sz="4" w:space="0" w:color="auto"/>
              <w:right w:val="single" w:sz="4" w:space="0" w:color="auto"/>
            </w:tcBorders>
            <w:hideMark/>
          </w:tcPr>
          <w:p w14:paraId="3C1206D9" w14:textId="5334166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1A9D7692" w14:textId="4579856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25DA7A4F" w14:textId="4865F93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4992F62D" w14:textId="5E860F9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690</w:t>
            </w:r>
          </w:p>
        </w:tc>
        <w:tc>
          <w:tcPr>
            <w:tcW w:w="1615" w:type="dxa"/>
            <w:tcBorders>
              <w:top w:val="nil"/>
              <w:left w:val="nil"/>
              <w:bottom w:val="single" w:sz="4" w:space="0" w:color="auto"/>
              <w:right w:val="single" w:sz="4" w:space="0" w:color="auto"/>
            </w:tcBorders>
            <w:hideMark/>
          </w:tcPr>
          <w:p w14:paraId="25FAEF25" w14:textId="3DDD76D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690</w:t>
            </w:r>
          </w:p>
        </w:tc>
      </w:tr>
      <w:tr w:rsidR="00B807EE" w:rsidRPr="00024D5A" w14:paraId="362D3BFD"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0F9666D8" w14:textId="3558CEFC"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1.1.5 Mbështetja me skemën financiare të personave me aftësi të kufizuara (A.2.1.4 në SMS)</w:t>
            </w:r>
            <w:r w:rsidR="00C712B0">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17F4177B"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0A358734"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42908E3D"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8" w:space="0" w:color="auto"/>
            </w:tcBorders>
            <w:hideMark/>
          </w:tcPr>
          <w:p w14:paraId="3EAD846A"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SHSSH</w:t>
            </w:r>
          </w:p>
        </w:tc>
        <w:tc>
          <w:tcPr>
            <w:tcW w:w="708" w:type="dxa"/>
            <w:tcBorders>
              <w:top w:val="nil"/>
              <w:left w:val="single" w:sz="4" w:space="0" w:color="auto"/>
              <w:bottom w:val="single" w:sz="4" w:space="0" w:color="auto"/>
              <w:right w:val="single" w:sz="4" w:space="0" w:color="auto"/>
            </w:tcBorders>
            <w:hideMark/>
          </w:tcPr>
          <w:p w14:paraId="21BDB093" w14:textId="572A5AE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052BB79F" w14:textId="602C9B8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792FF56C" w14:textId="60051F9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3FE725F2" w14:textId="11A5F8E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21A79C8B" w14:textId="62AA8D3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74584C5C"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B8CCE4"/>
            <w:noWrap/>
            <w:hideMark/>
          </w:tcPr>
          <w:p w14:paraId="00633B4C" w14:textId="16230015"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Masa prioritare 1.2</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Konsolidimi i vlerësimit biopsikosocial të aftësisë së kufizuar</w:t>
            </w:r>
            <w:r w:rsidR="00C712B0">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me qëllim adresimin efektiv dhe të përgjegjshëm gjinor të nevojave individuale të tyre.</w:t>
            </w:r>
          </w:p>
        </w:tc>
        <w:tc>
          <w:tcPr>
            <w:tcW w:w="567" w:type="dxa"/>
            <w:tcBorders>
              <w:top w:val="nil"/>
              <w:left w:val="nil"/>
              <w:bottom w:val="single" w:sz="4" w:space="0" w:color="auto"/>
              <w:right w:val="single" w:sz="4" w:space="0" w:color="auto"/>
            </w:tcBorders>
            <w:shd w:val="clear" w:color="000000" w:fill="B8CCE4"/>
            <w:hideMark/>
          </w:tcPr>
          <w:p w14:paraId="79E672AD"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shd w:val="clear" w:color="000000" w:fill="B8CCE4"/>
            <w:hideMark/>
          </w:tcPr>
          <w:p w14:paraId="18CA4D2A"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shd w:val="clear" w:color="000000" w:fill="B8CCE4"/>
            <w:hideMark/>
          </w:tcPr>
          <w:p w14:paraId="23FEFEC7"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8" w:space="0" w:color="auto"/>
            </w:tcBorders>
            <w:shd w:val="clear" w:color="000000" w:fill="B8CCE4"/>
            <w:hideMark/>
          </w:tcPr>
          <w:p w14:paraId="0880ECD1"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SHSSH</w:t>
            </w:r>
          </w:p>
        </w:tc>
        <w:tc>
          <w:tcPr>
            <w:tcW w:w="708" w:type="dxa"/>
            <w:tcBorders>
              <w:top w:val="nil"/>
              <w:left w:val="single" w:sz="4" w:space="0" w:color="auto"/>
              <w:bottom w:val="single" w:sz="4" w:space="0" w:color="auto"/>
              <w:right w:val="single" w:sz="4" w:space="0" w:color="auto"/>
            </w:tcBorders>
            <w:shd w:val="clear" w:color="000000" w:fill="B8CCE4"/>
            <w:hideMark/>
          </w:tcPr>
          <w:p w14:paraId="5509BD34" w14:textId="4C1E7CE5"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1,259</w:t>
            </w:r>
          </w:p>
        </w:tc>
        <w:tc>
          <w:tcPr>
            <w:tcW w:w="567" w:type="dxa"/>
            <w:tcBorders>
              <w:top w:val="nil"/>
              <w:left w:val="nil"/>
              <w:bottom w:val="single" w:sz="4" w:space="0" w:color="auto"/>
              <w:right w:val="single" w:sz="4" w:space="0" w:color="auto"/>
            </w:tcBorders>
            <w:shd w:val="clear" w:color="000000" w:fill="B8CCE4"/>
            <w:hideMark/>
          </w:tcPr>
          <w:p w14:paraId="71AC6554" w14:textId="44618756"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7,609</w:t>
            </w:r>
          </w:p>
        </w:tc>
        <w:tc>
          <w:tcPr>
            <w:tcW w:w="567" w:type="dxa"/>
            <w:tcBorders>
              <w:top w:val="nil"/>
              <w:left w:val="nil"/>
              <w:bottom w:val="single" w:sz="4" w:space="0" w:color="auto"/>
              <w:right w:val="single" w:sz="4" w:space="0" w:color="auto"/>
            </w:tcBorders>
            <w:shd w:val="clear" w:color="000000" w:fill="B8CCE4"/>
            <w:hideMark/>
          </w:tcPr>
          <w:p w14:paraId="7DB847DD" w14:textId="3233C297"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9,495</w:t>
            </w:r>
          </w:p>
        </w:tc>
        <w:tc>
          <w:tcPr>
            <w:tcW w:w="1134" w:type="dxa"/>
            <w:tcBorders>
              <w:top w:val="nil"/>
              <w:left w:val="nil"/>
              <w:bottom w:val="single" w:sz="4" w:space="0" w:color="auto"/>
              <w:right w:val="single" w:sz="4" w:space="0" w:color="auto"/>
            </w:tcBorders>
            <w:shd w:val="clear" w:color="000000" w:fill="B8CCE4"/>
            <w:hideMark/>
          </w:tcPr>
          <w:p w14:paraId="21A9EF56" w14:textId="1AD31907"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8,295</w:t>
            </w:r>
          </w:p>
        </w:tc>
        <w:tc>
          <w:tcPr>
            <w:tcW w:w="1615" w:type="dxa"/>
            <w:tcBorders>
              <w:top w:val="nil"/>
              <w:left w:val="nil"/>
              <w:bottom w:val="single" w:sz="4" w:space="0" w:color="auto"/>
              <w:right w:val="single" w:sz="4" w:space="0" w:color="auto"/>
            </w:tcBorders>
            <w:shd w:val="clear" w:color="000000" w:fill="B8CCE4"/>
            <w:hideMark/>
          </w:tcPr>
          <w:p w14:paraId="0F4F6813" w14:textId="0B35A1AE"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8,295</w:t>
            </w:r>
          </w:p>
        </w:tc>
      </w:tr>
      <w:tr w:rsidR="00B807EE" w:rsidRPr="00024D5A" w14:paraId="164B1DB3"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7A764CBF" w14:textId="2B0957D0"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1.2.1 Analizë periodike e impaktit të skemës së vlerësimit të PAK</w:t>
            </w:r>
            <w:r w:rsidR="00C712B0">
              <w:rPr>
                <w:rFonts w:ascii="Garamond" w:eastAsia="Times New Roman" w:hAnsi="Garamond"/>
                <w:sz w:val="6"/>
                <w:szCs w:val="16"/>
                <w:lang w:eastAsia="en-US"/>
              </w:rPr>
              <w:t>-së</w:t>
            </w:r>
            <w:r w:rsidRPr="00024D5A">
              <w:rPr>
                <w:rFonts w:ascii="Garamond" w:eastAsia="Times New Roman" w:hAnsi="Garamond"/>
                <w:sz w:val="6"/>
                <w:szCs w:val="16"/>
                <w:lang w:eastAsia="en-US"/>
              </w:rPr>
              <w:t>, përfshirë vlerësimin përmes lenteve gjinore të impaktit te gratë dhe burrat me aftësi të kufizuar</w:t>
            </w:r>
            <w:r w:rsidR="00070BC1" w:rsidRPr="00024D5A">
              <w:rPr>
                <w:rFonts w:ascii="Garamond" w:eastAsia="Times New Roman" w:hAnsi="Garamond"/>
                <w:sz w:val="6"/>
                <w:szCs w:val="16"/>
                <w:lang w:eastAsia="en-US"/>
              </w:rPr>
              <w:t>a</w:t>
            </w:r>
            <w:r w:rsidRPr="00024D5A">
              <w:rPr>
                <w:rFonts w:ascii="Garamond" w:eastAsia="Times New Roman" w:hAnsi="Garamond"/>
                <w:sz w:val="6"/>
                <w:szCs w:val="16"/>
                <w:lang w:eastAsia="en-US"/>
              </w:rPr>
              <w:t>, si edhe te fëmijët me aftësi të kufizuara, me qëllim sugjerime të përmirësimeve lidhur me mirëshënjestrimin, përshtatshmërinë dhe efektivitetin e skemës (</w:t>
            </w:r>
            <w:r w:rsidR="00C712B0" w:rsidRPr="00024D5A">
              <w:rPr>
                <w:rFonts w:ascii="Garamond" w:eastAsia="Times New Roman" w:hAnsi="Garamond"/>
                <w:sz w:val="6"/>
                <w:szCs w:val="16"/>
                <w:lang w:eastAsia="en-US"/>
              </w:rPr>
              <w:t xml:space="preserve">ndërhyrja </w:t>
            </w:r>
            <w:r w:rsidRPr="00024D5A">
              <w:rPr>
                <w:rFonts w:ascii="Garamond" w:eastAsia="Times New Roman" w:hAnsi="Garamond"/>
                <w:sz w:val="6"/>
                <w:szCs w:val="16"/>
                <w:lang w:eastAsia="en-US"/>
              </w:rPr>
              <w:t>A2.1.1 SMS)</w:t>
            </w:r>
            <w:r w:rsidR="00C712B0">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276B27CF"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single" w:sz="4" w:space="0" w:color="auto"/>
            </w:tcBorders>
            <w:hideMark/>
          </w:tcPr>
          <w:p w14:paraId="54E303BE"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2028</w:t>
            </w:r>
          </w:p>
        </w:tc>
        <w:tc>
          <w:tcPr>
            <w:tcW w:w="1134" w:type="dxa"/>
            <w:tcBorders>
              <w:top w:val="nil"/>
              <w:left w:val="nil"/>
              <w:bottom w:val="single" w:sz="4" w:space="0" w:color="auto"/>
              <w:right w:val="single" w:sz="4" w:space="0" w:color="auto"/>
            </w:tcBorders>
            <w:hideMark/>
          </w:tcPr>
          <w:p w14:paraId="24137E2C"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w:t>
            </w:r>
          </w:p>
        </w:tc>
        <w:tc>
          <w:tcPr>
            <w:tcW w:w="1418" w:type="dxa"/>
            <w:tcBorders>
              <w:top w:val="nil"/>
              <w:left w:val="nil"/>
              <w:bottom w:val="single" w:sz="4" w:space="0" w:color="auto"/>
              <w:right w:val="single" w:sz="8" w:space="0" w:color="auto"/>
            </w:tcBorders>
            <w:hideMark/>
          </w:tcPr>
          <w:p w14:paraId="1ADC11EA"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SHSSH</w:t>
            </w:r>
          </w:p>
        </w:tc>
        <w:tc>
          <w:tcPr>
            <w:tcW w:w="708" w:type="dxa"/>
            <w:tcBorders>
              <w:top w:val="nil"/>
              <w:left w:val="single" w:sz="4" w:space="0" w:color="auto"/>
              <w:bottom w:val="single" w:sz="4" w:space="0" w:color="auto"/>
              <w:right w:val="single" w:sz="4" w:space="0" w:color="auto"/>
            </w:tcBorders>
            <w:hideMark/>
          </w:tcPr>
          <w:p w14:paraId="07A7ECC4" w14:textId="3DBC070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5032DBDE" w14:textId="2E5BD07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4A29A41F" w14:textId="6AA301D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3A8A1640" w14:textId="5DBD25E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5E8458AF" w14:textId="7AB5775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436CF93D"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5ABF139F" w14:textId="207A9E3B"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1.2.2 Rishikimi i kritereve të vlerësimit biopsikosocial për të rritur dhe për fëmijë,</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në përputhje me aplikimin e ICD 11 në sistemin e shëndetësisë</w:t>
            </w:r>
            <w:r w:rsidR="00C712B0">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6F60B26B"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2028</w:t>
            </w:r>
          </w:p>
        </w:tc>
        <w:tc>
          <w:tcPr>
            <w:tcW w:w="567" w:type="dxa"/>
            <w:tcBorders>
              <w:top w:val="nil"/>
              <w:left w:val="nil"/>
              <w:bottom w:val="single" w:sz="4" w:space="0" w:color="auto"/>
              <w:right w:val="single" w:sz="4" w:space="0" w:color="auto"/>
            </w:tcBorders>
            <w:hideMark/>
          </w:tcPr>
          <w:p w14:paraId="6BA9B625"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68BD8C45"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w:t>
            </w:r>
          </w:p>
        </w:tc>
        <w:tc>
          <w:tcPr>
            <w:tcW w:w="1418" w:type="dxa"/>
            <w:tcBorders>
              <w:top w:val="nil"/>
              <w:left w:val="nil"/>
              <w:bottom w:val="single" w:sz="4" w:space="0" w:color="auto"/>
              <w:right w:val="single" w:sz="8" w:space="0" w:color="auto"/>
            </w:tcBorders>
            <w:hideMark/>
          </w:tcPr>
          <w:p w14:paraId="4ABB2362"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SHSSH</w:t>
            </w:r>
          </w:p>
        </w:tc>
        <w:tc>
          <w:tcPr>
            <w:tcW w:w="708" w:type="dxa"/>
            <w:tcBorders>
              <w:top w:val="nil"/>
              <w:left w:val="single" w:sz="4" w:space="0" w:color="auto"/>
              <w:bottom w:val="single" w:sz="4" w:space="0" w:color="auto"/>
              <w:right w:val="single" w:sz="4" w:space="0" w:color="auto"/>
            </w:tcBorders>
            <w:hideMark/>
          </w:tcPr>
          <w:p w14:paraId="08494B29" w14:textId="45BA7BA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409</w:t>
            </w:r>
          </w:p>
        </w:tc>
        <w:tc>
          <w:tcPr>
            <w:tcW w:w="567" w:type="dxa"/>
            <w:tcBorders>
              <w:top w:val="nil"/>
              <w:left w:val="nil"/>
              <w:bottom w:val="single" w:sz="4" w:space="0" w:color="auto"/>
              <w:right w:val="single" w:sz="4" w:space="0" w:color="auto"/>
            </w:tcBorders>
            <w:hideMark/>
          </w:tcPr>
          <w:p w14:paraId="7ED50E3A" w14:textId="62D36F1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409</w:t>
            </w:r>
          </w:p>
        </w:tc>
        <w:tc>
          <w:tcPr>
            <w:tcW w:w="567" w:type="dxa"/>
            <w:tcBorders>
              <w:top w:val="nil"/>
              <w:left w:val="nil"/>
              <w:bottom w:val="single" w:sz="4" w:space="0" w:color="auto"/>
              <w:right w:val="single" w:sz="4" w:space="0" w:color="auto"/>
            </w:tcBorders>
            <w:hideMark/>
          </w:tcPr>
          <w:p w14:paraId="4E8FB8F6" w14:textId="4AD0070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409</w:t>
            </w:r>
          </w:p>
        </w:tc>
        <w:tc>
          <w:tcPr>
            <w:tcW w:w="1134" w:type="dxa"/>
            <w:tcBorders>
              <w:top w:val="nil"/>
              <w:left w:val="nil"/>
              <w:bottom w:val="single" w:sz="4" w:space="0" w:color="auto"/>
              <w:right w:val="single" w:sz="4" w:space="0" w:color="auto"/>
            </w:tcBorders>
            <w:hideMark/>
          </w:tcPr>
          <w:p w14:paraId="7AB792CD" w14:textId="3A544AD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409</w:t>
            </w:r>
          </w:p>
        </w:tc>
        <w:tc>
          <w:tcPr>
            <w:tcW w:w="1615" w:type="dxa"/>
            <w:tcBorders>
              <w:top w:val="nil"/>
              <w:left w:val="nil"/>
              <w:bottom w:val="single" w:sz="4" w:space="0" w:color="auto"/>
              <w:right w:val="single" w:sz="4" w:space="0" w:color="auto"/>
            </w:tcBorders>
            <w:hideMark/>
          </w:tcPr>
          <w:p w14:paraId="6F87AFB7" w14:textId="63B62CD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409</w:t>
            </w:r>
          </w:p>
        </w:tc>
      </w:tr>
      <w:tr w:rsidR="00B807EE" w:rsidRPr="00024D5A" w14:paraId="7BB03C3B"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46A27971" w14:textId="1B1504D8"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1.2.3 Përmirësimi i infrastrukturës së vlerësimit të PAK</w:t>
            </w:r>
            <w:r w:rsidR="00C712B0">
              <w:rPr>
                <w:rFonts w:ascii="Garamond" w:eastAsia="Times New Roman" w:hAnsi="Garamond"/>
                <w:sz w:val="6"/>
                <w:szCs w:val="16"/>
                <w:lang w:eastAsia="en-US"/>
              </w:rPr>
              <w:t>-së</w:t>
            </w:r>
            <w:r w:rsidRPr="00024D5A">
              <w:rPr>
                <w:rFonts w:ascii="Garamond" w:eastAsia="Times New Roman" w:hAnsi="Garamond"/>
                <w:sz w:val="6"/>
                <w:szCs w:val="16"/>
                <w:lang w:eastAsia="en-US"/>
              </w:rPr>
              <w:t xml:space="preserve"> me synim realizimin e aksesueshmërisë në mjediset e vlerësimit, përfshirë atë në informacion e komunikim (A2.1.5 SMS)</w:t>
            </w:r>
            <w:r w:rsidR="00C712B0">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6219CD8C"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2027</w:t>
            </w:r>
          </w:p>
        </w:tc>
        <w:tc>
          <w:tcPr>
            <w:tcW w:w="567" w:type="dxa"/>
            <w:tcBorders>
              <w:top w:val="nil"/>
              <w:left w:val="nil"/>
              <w:bottom w:val="single" w:sz="4" w:space="0" w:color="auto"/>
              <w:right w:val="single" w:sz="4" w:space="0" w:color="auto"/>
            </w:tcBorders>
            <w:hideMark/>
          </w:tcPr>
          <w:p w14:paraId="12EF6A79"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05D46C0B"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w:t>
            </w:r>
          </w:p>
        </w:tc>
        <w:tc>
          <w:tcPr>
            <w:tcW w:w="1418" w:type="dxa"/>
            <w:tcBorders>
              <w:top w:val="nil"/>
              <w:left w:val="nil"/>
              <w:bottom w:val="single" w:sz="4" w:space="0" w:color="auto"/>
              <w:right w:val="single" w:sz="8" w:space="0" w:color="auto"/>
            </w:tcBorders>
            <w:hideMark/>
          </w:tcPr>
          <w:p w14:paraId="41418B6F"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SHSSH</w:t>
            </w:r>
          </w:p>
        </w:tc>
        <w:tc>
          <w:tcPr>
            <w:tcW w:w="708" w:type="dxa"/>
            <w:tcBorders>
              <w:top w:val="nil"/>
              <w:left w:val="single" w:sz="4" w:space="0" w:color="auto"/>
              <w:bottom w:val="single" w:sz="4" w:space="0" w:color="auto"/>
              <w:right w:val="single" w:sz="4" w:space="0" w:color="auto"/>
            </w:tcBorders>
            <w:hideMark/>
          </w:tcPr>
          <w:p w14:paraId="0A8EE5F6" w14:textId="30EF33B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2718D088" w14:textId="671B07F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6,000</w:t>
            </w:r>
          </w:p>
        </w:tc>
        <w:tc>
          <w:tcPr>
            <w:tcW w:w="567" w:type="dxa"/>
            <w:tcBorders>
              <w:top w:val="nil"/>
              <w:left w:val="nil"/>
              <w:bottom w:val="single" w:sz="4" w:space="0" w:color="auto"/>
              <w:right w:val="single" w:sz="4" w:space="0" w:color="auto"/>
            </w:tcBorders>
            <w:hideMark/>
          </w:tcPr>
          <w:p w14:paraId="7E04B3CA" w14:textId="61C7E9F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6,000</w:t>
            </w:r>
          </w:p>
        </w:tc>
        <w:tc>
          <w:tcPr>
            <w:tcW w:w="1134" w:type="dxa"/>
            <w:tcBorders>
              <w:top w:val="nil"/>
              <w:left w:val="nil"/>
              <w:bottom w:val="single" w:sz="4" w:space="0" w:color="auto"/>
              <w:right w:val="single" w:sz="4" w:space="0" w:color="auto"/>
            </w:tcBorders>
            <w:hideMark/>
          </w:tcPr>
          <w:p w14:paraId="15724A0A" w14:textId="723D348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6,000</w:t>
            </w:r>
          </w:p>
        </w:tc>
        <w:tc>
          <w:tcPr>
            <w:tcW w:w="1615" w:type="dxa"/>
            <w:tcBorders>
              <w:top w:val="nil"/>
              <w:left w:val="nil"/>
              <w:bottom w:val="single" w:sz="4" w:space="0" w:color="auto"/>
              <w:right w:val="single" w:sz="4" w:space="0" w:color="auto"/>
            </w:tcBorders>
            <w:hideMark/>
          </w:tcPr>
          <w:p w14:paraId="5C8F2CA2" w14:textId="75AC2FF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6,000</w:t>
            </w:r>
          </w:p>
        </w:tc>
      </w:tr>
      <w:tr w:rsidR="00B807EE" w:rsidRPr="00024D5A" w14:paraId="4592D2FA"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3303AD87" w14:textId="106789EB"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1.2.4 Rritja e performancës së strukturave zbatuese të reformës së vlerësimit biopsikosocial në nivelin qendror, rajonal dhe lokal (</w:t>
            </w:r>
            <w:r w:rsidR="00C712B0" w:rsidRPr="00024D5A">
              <w:rPr>
                <w:rFonts w:ascii="Garamond" w:eastAsia="Times New Roman" w:hAnsi="Garamond"/>
                <w:sz w:val="6"/>
                <w:szCs w:val="16"/>
                <w:lang w:eastAsia="en-US"/>
              </w:rPr>
              <w:t xml:space="preserve">studim </w:t>
            </w:r>
            <w:r w:rsidRPr="00024D5A">
              <w:rPr>
                <w:rFonts w:ascii="Garamond" w:eastAsia="Times New Roman" w:hAnsi="Garamond"/>
                <w:sz w:val="6"/>
                <w:szCs w:val="16"/>
                <w:lang w:eastAsia="en-US"/>
              </w:rPr>
              <w:t>dhe rekomandime për burime njerëzore, trajnim për miradministrim, monitorim, vlerësim) (A.2.1.6 SMS)</w:t>
            </w:r>
            <w:r w:rsidR="00C712B0">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2F24E4E4"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single" w:sz="4" w:space="0" w:color="auto"/>
            </w:tcBorders>
            <w:hideMark/>
          </w:tcPr>
          <w:p w14:paraId="356DD84B"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520F8A70"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w:t>
            </w:r>
          </w:p>
        </w:tc>
        <w:tc>
          <w:tcPr>
            <w:tcW w:w="1418" w:type="dxa"/>
            <w:tcBorders>
              <w:top w:val="nil"/>
              <w:left w:val="nil"/>
              <w:bottom w:val="single" w:sz="4" w:space="0" w:color="auto"/>
              <w:right w:val="single" w:sz="8" w:space="0" w:color="auto"/>
            </w:tcBorders>
            <w:hideMark/>
          </w:tcPr>
          <w:p w14:paraId="393ED8AF"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SHSSH</w:t>
            </w:r>
          </w:p>
        </w:tc>
        <w:tc>
          <w:tcPr>
            <w:tcW w:w="708" w:type="dxa"/>
            <w:tcBorders>
              <w:top w:val="nil"/>
              <w:left w:val="single" w:sz="4" w:space="0" w:color="auto"/>
              <w:bottom w:val="single" w:sz="4" w:space="0" w:color="auto"/>
              <w:right w:val="single" w:sz="4" w:space="0" w:color="auto"/>
            </w:tcBorders>
            <w:hideMark/>
          </w:tcPr>
          <w:p w14:paraId="3B0B7DED" w14:textId="164899C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42EACA75" w14:textId="7810645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4465D0C8" w14:textId="766033F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1107602D" w14:textId="0CD1F5D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630157D1" w14:textId="2261D91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33616065"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2CB4A9CC" w14:textId="6F22BFBB"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1.2.5 Rritja e mbështetjes për personat me aftësi të kufizuara, të referuar nga vlerësimi biopsikosocial me shërbime mbështetëse (shërbime shoqërore, shërbime të kujdesit shëndetësor, shërbime arsimore, shërbime të formimit të aftësive dhe punësimit, pajisje dhe teknologji ndihmëse) (A2.1.7 SMS)</w:t>
            </w:r>
            <w:r w:rsidR="00C712B0">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29E2BCF2"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single" w:sz="4" w:space="0" w:color="auto"/>
            </w:tcBorders>
            <w:hideMark/>
          </w:tcPr>
          <w:p w14:paraId="7A774E7A"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4E0A91DC"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w:t>
            </w:r>
          </w:p>
        </w:tc>
        <w:tc>
          <w:tcPr>
            <w:tcW w:w="1418" w:type="dxa"/>
            <w:tcBorders>
              <w:top w:val="nil"/>
              <w:left w:val="nil"/>
              <w:bottom w:val="single" w:sz="4" w:space="0" w:color="auto"/>
              <w:right w:val="single" w:sz="8" w:space="0" w:color="auto"/>
            </w:tcBorders>
            <w:hideMark/>
          </w:tcPr>
          <w:p w14:paraId="068A8236"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SHSSH</w:t>
            </w:r>
          </w:p>
        </w:tc>
        <w:tc>
          <w:tcPr>
            <w:tcW w:w="708" w:type="dxa"/>
            <w:tcBorders>
              <w:top w:val="nil"/>
              <w:left w:val="single" w:sz="4" w:space="0" w:color="auto"/>
              <w:bottom w:val="single" w:sz="4" w:space="0" w:color="auto"/>
              <w:right w:val="single" w:sz="4" w:space="0" w:color="auto"/>
            </w:tcBorders>
            <w:hideMark/>
          </w:tcPr>
          <w:p w14:paraId="0AB20A91" w14:textId="1D4DE7E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6B4C11F3" w14:textId="5D2DA13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605976BC" w14:textId="06C2BE1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632CF3DE" w14:textId="156BA84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4E94893A" w14:textId="0CC8BA3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3FFABCFB"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39BBD2DE" w14:textId="23224E1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1.2.6 Fuqizimi i strukturave</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kontrolluese dhe monitoruese (rishikimi i funksioneve dhe burimeve njerëzore, plotësimi i stafeve, trajnimi etj.) dhe fuqizimi i kapaciteteve të tyre (A2.1.9 SMS)</w:t>
            </w:r>
            <w:r w:rsidR="00C712B0">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w:t>
            </w:r>
          </w:p>
        </w:tc>
        <w:tc>
          <w:tcPr>
            <w:tcW w:w="567" w:type="dxa"/>
            <w:tcBorders>
              <w:top w:val="nil"/>
              <w:left w:val="nil"/>
              <w:bottom w:val="single" w:sz="4" w:space="0" w:color="auto"/>
              <w:right w:val="single" w:sz="4" w:space="0" w:color="auto"/>
            </w:tcBorders>
            <w:hideMark/>
          </w:tcPr>
          <w:p w14:paraId="75954FC2"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2027</w:t>
            </w:r>
          </w:p>
        </w:tc>
        <w:tc>
          <w:tcPr>
            <w:tcW w:w="567" w:type="dxa"/>
            <w:tcBorders>
              <w:top w:val="nil"/>
              <w:left w:val="nil"/>
              <w:bottom w:val="single" w:sz="4" w:space="0" w:color="auto"/>
              <w:right w:val="single" w:sz="4" w:space="0" w:color="auto"/>
            </w:tcBorders>
            <w:hideMark/>
          </w:tcPr>
          <w:p w14:paraId="7C21BFC2"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35C6601A"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w:t>
            </w:r>
          </w:p>
        </w:tc>
        <w:tc>
          <w:tcPr>
            <w:tcW w:w="1418" w:type="dxa"/>
            <w:tcBorders>
              <w:top w:val="nil"/>
              <w:left w:val="nil"/>
              <w:bottom w:val="single" w:sz="4" w:space="0" w:color="auto"/>
              <w:right w:val="single" w:sz="8" w:space="0" w:color="auto"/>
            </w:tcBorders>
            <w:hideMark/>
          </w:tcPr>
          <w:p w14:paraId="16618B35"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SHSSH</w:t>
            </w:r>
          </w:p>
        </w:tc>
        <w:tc>
          <w:tcPr>
            <w:tcW w:w="708" w:type="dxa"/>
            <w:tcBorders>
              <w:top w:val="nil"/>
              <w:left w:val="single" w:sz="4" w:space="0" w:color="auto"/>
              <w:bottom w:val="single" w:sz="4" w:space="0" w:color="auto"/>
              <w:right w:val="single" w:sz="4" w:space="0" w:color="auto"/>
            </w:tcBorders>
            <w:hideMark/>
          </w:tcPr>
          <w:p w14:paraId="372627DA" w14:textId="1FC7E93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4DD3A77E" w14:textId="173A8E5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4BCD69AF" w14:textId="55E1A1A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225C4168" w14:textId="5E825C1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4845FCA9" w14:textId="1FBFD3C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0C828642"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1130BE01" w14:textId="761A8438"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1.2.7 Përmirësimi i sistemit të m</w:t>
            </w:r>
            <w:r w:rsidR="00C712B0">
              <w:rPr>
                <w:rFonts w:ascii="Garamond" w:eastAsia="Times New Roman" w:hAnsi="Garamond"/>
                <w:sz w:val="6"/>
                <w:szCs w:val="16"/>
                <w:lang w:eastAsia="en-US"/>
              </w:rPr>
              <w:t>e</w:t>
            </w:r>
            <w:r w:rsidRPr="00024D5A">
              <w:rPr>
                <w:rFonts w:ascii="Garamond" w:eastAsia="Times New Roman" w:hAnsi="Garamond"/>
                <w:sz w:val="6"/>
                <w:szCs w:val="16"/>
                <w:lang w:eastAsia="en-US"/>
              </w:rPr>
              <w:t>naxhimit të informacionit dhe integrimi i plotë me sistemin e shërbimeve shoqërore, shëndetësore, të arsimit, formimit profesional, punësimit etj., mbështetur në sugjerimet e analizave periodike (A2.1.10)</w:t>
            </w:r>
            <w:r w:rsidR="00C712B0">
              <w:rPr>
                <w:rFonts w:ascii="Garamond" w:eastAsia="Times New Roman" w:hAnsi="Garamond"/>
                <w:sz w:val="6"/>
                <w:szCs w:val="16"/>
                <w:lang w:eastAsia="en-US"/>
              </w:rPr>
              <w:t>.</w:t>
            </w:r>
            <w:r w:rsidR="008F29FA" w:rsidRPr="00024D5A">
              <w:rPr>
                <w:rFonts w:ascii="Garamond" w:eastAsia="Times New Roman" w:hAnsi="Garamond"/>
                <w:sz w:val="6"/>
                <w:szCs w:val="16"/>
                <w:lang w:eastAsia="en-US"/>
              </w:rPr>
              <w:t xml:space="preserve"> </w:t>
            </w:r>
          </w:p>
        </w:tc>
        <w:tc>
          <w:tcPr>
            <w:tcW w:w="567" w:type="dxa"/>
            <w:tcBorders>
              <w:top w:val="nil"/>
              <w:left w:val="nil"/>
              <w:bottom w:val="single" w:sz="4" w:space="0" w:color="auto"/>
              <w:right w:val="single" w:sz="4" w:space="0" w:color="auto"/>
            </w:tcBorders>
            <w:hideMark/>
          </w:tcPr>
          <w:p w14:paraId="15F5F785"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567" w:type="dxa"/>
            <w:tcBorders>
              <w:top w:val="nil"/>
              <w:left w:val="nil"/>
              <w:bottom w:val="single" w:sz="4" w:space="0" w:color="auto"/>
              <w:right w:val="single" w:sz="4" w:space="0" w:color="auto"/>
            </w:tcBorders>
            <w:hideMark/>
          </w:tcPr>
          <w:p w14:paraId="182563EA"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6D76BD21"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w:t>
            </w:r>
          </w:p>
        </w:tc>
        <w:tc>
          <w:tcPr>
            <w:tcW w:w="1418" w:type="dxa"/>
            <w:tcBorders>
              <w:top w:val="nil"/>
              <w:left w:val="nil"/>
              <w:bottom w:val="single" w:sz="4" w:space="0" w:color="auto"/>
              <w:right w:val="single" w:sz="8" w:space="0" w:color="auto"/>
            </w:tcBorders>
            <w:hideMark/>
          </w:tcPr>
          <w:p w14:paraId="7F4292DF"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SHSSH</w:t>
            </w:r>
          </w:p>
        </w:tc>
        <w:tc>
          <w:tcPr>
            <w:tcW w:w="708" w:type="dxa"/>
            <w:tcBorders>
              <w:top w:val="nil"/>
              <w:left w:val="single" w:sz="4" w:space="0" w:color="auto"/>
              <w:bottom w:val="single" w:sz="4" w:space="0" w:color="auto"/>
              <w:right w:val="single" w:sz="4" w:space="0" w:color="auto"/>
            </w:tcBorders>
            <w:hideMark/>
          </w:tcPr>
          <w:p w14:paraId="380966D4" w14:textId="5A0DC6C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5BBAA98E" w14:textId="4C3D686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2307A4EC" w14:textId="604EA52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774EC0A1" w14:textId="02FEF0E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2340EAF5" w14:textId="4EEA53D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157C0EA4"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06654FDF" w14:textId="724F5D90"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1.2.8</w:t>
            </w:r>
            <w:r w:rsidR="000C2D3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 xml:space="preserve">Konsolidimi i </w:t>
            </w:r>
            <w:r w:rsidR="00C712B0" w:rsidRPr="00024D5A">
              <w:rPr>
                <w:rFonts w:ascii="Garamond" w:eastAsia="Times New Roman" w:hAnsi="Garamond"/>
                <w:sz w:val="6"/>
                <w:szCs w:val="16"/>
                <w:lang w:eastAsia="en-US"/>
              </w:rPr>
              <w:t xml:space="preserve">mekanizmit të referimit </w:t>
            </w:r>
            <w:r w:rsidRPr="00024D5A">
              <w:rPr>
                <w:rFonts w:ascii="Garamond" w:eastAsia="Times New Roman" w:hAnsi="Garamond"/>
                <w:sz w:val="6"/>
                <w:szCs w:val="16"/>
                <w:lang w:eastAsia="en-US"/>
              </w:rPr>
              <w:t xml:space="preserve">të personave me aftësi të kufizuara, me qëllim menaxhimin e integruar të rastit dhe sigurimin e mbështetjes maksimale bazuar në protokolle specifike (kujdes dhe vëmendje e veçantë për gratë dhe vajzat me aftësi të kufizuara, të cilat janë viktima të dhunës gjinore); </w:t>
            </w:r>
            <w:r w:rsidR="00C712B0" w:rsidRPr="00024D5A">
              <w:rPr>
                <w:rFonts w:ascii="Garamond" w:eastAsia="Times New Roman" w:hAnsi="Garamond"/>
                <w:sz w:val="6"/>
                <w:szCs w:val="16"/>
                <w:lang w:eastAsia="en-US"/>
              </w:rPr>
              <w:t xml:space="preserve">krijimi </w:t>
            </w:r>
            <w:r w:rsidRPr="00024D5A">
              <w:rPr>
                <w:rFonts w:ascii="Garamond" w:eastAsia="Times New Roman" w:hAnsi="Garamond"/>
                <w:sz w:val="6"/>
                <w:szCs w:val="16"/>
                <w:lang w:eastAsia="en-US"/>
              </w:rPr>
              <w:t>i profileve individuale të shënjestruara të PAK</w:t>
            </w:r>
            <w:r w:rsidR="00C712B0">
              <w:rPr>
                <w:rFonts w:ascii="Garamond" w:eastAsia="Times New Roman" w:hAnsi="Garamond"/>
                <w:sz w:val="6"/>
                <w:szCs w:val="16"/>
                <w:lang w:eastAsia="en-US"/>
              </w:rPr>
              <w:t>-së</w:t>
            </w:r>
            <w:r w:rsidRPr="00024D5A">
              <w:rPr>
                <w:rFonts w:ascii="Garamond" w:eastAsia="Times New Roman" w:hAnsi="Garamond"/>
                <w:sz w:val="6"/>
                <w:szCs w:val="16"/>
                <w:lang w:eastAsia="en-US"/>
              </w:rPr>
              <w:t xml:space="preserve"> bazuar në vlerësimet e ekipeve multidisiplinare, të pasuruara pranë çdo sektori (A2.1.11 SMS)</w:t>
            </w:r>
            <w:r w:rsidR="00C712B0">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w:t>
            </w:r>
          </w:p>
        </w:tc>
        <w:tc>
          <w:tcPr>
            <w:tcW w:w="567" w:type="dxa"/>
            <w:tcBorders>
              <w:top w:val="nil"/>
              <w:left w:val="nil"/>
              <w:bottom w:val="single" w:sz="4" w:space="0" w:color="auto"/>
              <w:right w:val="single" w:sz="4" w:space="0" w:color="auto"/>
            </w:tcBorders>
            <w:hideMark/>
          </w:tcPr>
          <w:p w14:paraId="77B5D2D5"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single" w:sz="4" w:space="0" w:color="auto"/>
            </w:tcBorders>
            <w:hideMark/>
          </w:tcPr>
          <w:p w14:paraId="156637C2"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2028</w:t>
            </w:r>
          </w:p>
        </w:tc>
        <w:tc>
          <w:tcPr>
            <w:tcW w:w="1134" w:type="dxa"/>
            <w:tcBorders>
              <w:top w:val="nil"/>
              <w:left w:val="nil"/>
              <w:bottom w:val="single" w:sz="4" w:space="0" w:color="auto"/>
              <w:right w:val="single" w:sz="4" w:space="0" w:color="auto"/>
            </w:tcBorders>
            <w:hideMark/>
          </w:tcPr>
          <w:p w14:paraId="0D75C30E"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w:t>
            </w:r>
          </w:p>
        </w:tc>
        <w:tc>
          <w:tcPr>
            <w:tcW w:w="1418" w:type="dxa"/>
            <w:tcBorders>
              <w:top w:val="nil"/>
              <w:left w:val="nil"/>
              <w:bottom w:val="single" w:sz="4" w:space="0" w:color="auto"/>
              <w:right w:val="single" w:sz="8" w:space="0" w:color="auto"/>
            </w:tcBorders>
            <w:hideMark/>
          </w:tcPr>
          <w:p w14:paraId="79C89EB0"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SHSSH</w:t>
            </w:r>
          </w:p>
        </w:tc>
        <w:tc>
          <w:tcPr>
            <w:tcW w:w="708" w:type="dxa"/>
            <w:tcBorders>
              <w:top w:val="nil"/>
              <w:left w:val="single" w:sz="4" w:space="0" w:color="auto"/>
              <w:bottom w:val="single" w:sz="4" w:space="0" w:color="auto"/>
              <w:right w:val="single" w:sz="4" w:space="0" w:color="auto"/>
            </w:tcBorders>
            <w:hideMark/>
          </w:tcPr>
          <w:p w14:paraId="207CC565" w14:textId="729625C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850</w:t>
            </w:r>
          </w:p>
        </w:tc>
        <w:tc>
          <w:tcPr>
            <w:tcW w:w="567" w:type="dxa"/>
            <w:tcBorders>
              <w:top w:val="nil"/>
              <w:left w:val="nil"/>
              <w:bottom w:val="single" w:sz="4" w:space="0" w:color="auto"/>
              <w:right w:val="single" w:sz="4" w:space="0" w:color="auto"/>
            </w:tcBorders>
            <w:hideMark/>
          </w:tcPr>
          <w:p w14:paraId="6DAD661E" w14:textId="1E19E36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1,200</w:t>
            </w:r>
          </w:p>
        </w:tc>
        <w:tc>
          <w:tcPr>
            <w:tcW w:w="567" w:type="dxa"/>
            <w:tcBorders>
              <w:top w:val="nil"/>
              <w:left w:val="nil"/>
              <w:bottom w:val="single" w:sz="4" w:space="0" w:color="auto"/>
              <w:right w:val="single" w:sz="4" w:space="0" w:color="auto"/>
            </w:tcBorders>
            <w:hideMark/>
          </w:tcPr>
          <w:p w14:paraId="3033701B" w14:textId="3F9F7DD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1,200</w:t>
            </w:r>
          </w:p>
        </w:tc>
        <w:tc>
          <w:tcPr>
            <w:tcW w:w="1134" w:type="dxa"/>
            <w:tcBorders>
              <w:top w:val="nil"/>
              <w:left w:val="nil"/>
              <w:bottom w:val="single" w:sz="4" w:space="0" w:color="auto"/>
              <w:right w:val="single" w:sz="4" w:space="0" w:color="auto"/>
            </w:tcBorders>
            <w:hideMark/>
          </w:tcPr>
          <w:p w14:paraId="4060822B" w14:textId="4C1E1DD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516E749A" w14:textId="3CF0223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4606E913"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534A631F" w14:textId="69C55C04"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1.2.9 Zhvillimi i fushatave të komunikimit dhe</w:t>
            </w:r>
            <w:r w:rsidR="00C712B0">
              <w:rPr>
                <w:rFonts w:ascii="Garamond" w:eastAsia="Times New Roman" w:hAnsi="Garamond"/>
                <w:sz w:val="6"/>
                <w:szCs w:val="16"/>
                <w:lang w:eastAsia="en-US"/>
              </w:rPr>
              <w:t xml:space="preserve"> të </w:t>
            </w:r>
            <w:r w:rsidRPr="00024D5A">
              <w:rPr>
                <w:rFonts w:ascii="Garamond" w:eastAsia="Times New Roman" w:hAnsi="Garamond"/>
                <w:sz w:val="6"/>
                <w:szCs w:val="16"/>
                <w:lang w:eastAsia="en-US"/>
              </w:rPr>
              <w:t>informimit të vazhdueshëm të aksesueshëm për sistemin e vlerësimit të personave me aftësi të kufizuara dhe dimensionit gjinor të këtij vlerësimi (A2.1.12 SMS)</w:t>
            </w:r>
            <w:r w:rsidR="00C712B0">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w:t>
            </w:r>
          </w:p>
        </w:tc>
        <w:tc>
          <w:tcPr>
            <w:tcW w:w="567" w:type="dxa"/>
            <w:tcBorders>
              <w:top w:val="nil"/>
              <w:left w:val="nil"/>
              <w:bottom w:val="single" w:sz="4" w:space="0" w:color="auto"/>
              <w:right w:val="single" w:sz="4" w:space="0" w:color="auto"/>
            </w:tcBorders>
            <w:hideMark/>
          </w:tcPr>
          <w:p w14:paraId="67C98948"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single" w:sz="4" w:space="0" w:color="auto"/>
            </w:tcBorders>
            <w:hideMark/>
          </w:tcPr>
          <w:p w14:paraId="39A47403"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75035D4B"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w:t>
            </w:r>
          </w:p>
        </w:tc>
        <w:tc>
          <w:tcPr>
            <w:tcW w:w="1418" w:type="dxa"/>
            <w:tcBorders>
              <w:top w:val="nil"/>
              <w:left w:val="nil"/>
              <w:bottom w:val="single" w:sz="4" w:space="0" w:color="auto"/>
              <w:right w:val="single" w:sz="8" w:space="0" w:color="auto"/>
            </w:tcBorders>
            <w:hideMark/>
          </w:tcPr>
          <w:p w14:paraId="1D1F0E05"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SHSSH</w:t>
            </w:r>
          </w:p>
        </w:tc>
        <w:tc>
          <w:tcPr>
            <w:tcW w:w="708" w:type="dxa"/>
            <w:tcBorders>
              <w:top w:val="nil"/>
              <w:left w:val="single" w:sz="4" w:space="0" w:color="auto"/>
              <w:bottom w:val="single" w:sz="4" w:space="0" w:color="auto"/>
              <w:right w:val="single" w:sz="4" w:space="0" w:color="auto"/>
            </w:tcBorders>
            <w:hideMark/>
          </w:tcPr>
          <w:p w14:paraId="4B698E63" w14:textId="01A23DB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2B884B20" w14:textId="22D4FD0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26B6D854" w14:textId="7CF0A56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4F95CFDA" w14:textId="313909E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4153C705" w14:textId="1A97581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0708555B"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12286B13" w14:textId="2C1C1573"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1.2.10 Vlerësimi periodik i nivelit të kënaqësisë së përfituesve të aftësisë së kufizuar dhe familjarëve të tyre me skemën e vlerësimit biopsikosocial (A2.1.13)</w:t>
            </w:r>
            <w:r w:rsidR="00C712B0">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33A08455"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2028</w:t>
            </w:r>
          </w:p>
        </w:tc>
        <w:tc>
          <w:tcPr>
            <w:tcW w:w="567" w:type="dxa"/>
            <w:tcBorders>
              <w:top w:val="nil"/>
              <w:left w:val="nil"/>
              <w:bottom w:val="single" w:sz="4" w:space="0" w:color="auto"/>
              <w:right w:val="single" w:sz="4" w:space="0" w:color="auto"/>
            </w:tcBorders>
            <w:hideMark/>
          </w:tcPr>
          <w:p w14:paraId="30016ED9"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420636A0"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w:t>
            </w:r>
          </w:p>
        </w:tc>
        <w:tc>
          <w:tcPr>
            <w:tcW w:w="1418" w:type="dxa"/>
            <w:tcBorders>
              <w:top w:val="nil"/>
              <w:left w:val="nil"/>
              <w:bottom w:val="single" w:sz="4" w:space="0" w:color="auto"/>
              <w:right w:val="single" w:sz="8" w:space="0" w:color="auto"/>
            </w:tcBorders>
            <w:hideMark/>
          </w:tcPr>
          <w:p w14:paraId="036A7005"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SHSSH</w:t>
            </w:r>
          </w:p>
        </w:tc>
        <w:tc>
          <w:tcPr>
            <w:tcW w:w="708" w:type="dxa"/>
            <w:tcBorders>
              <w:top w:val="nil"/>
              <w:left w:val="single" w:sz="4" w:space="0" w:color="auto"/>
              <w:bottom w:val="single" w:sz="4" w:space="0" w:color="auto"/>
              <w:right w:val="single" w:sz="4" w:space="0" w:color="auto"/>
            </w:tcBorders>
            <w:hideMark/>
          </w:tcPr>
          <w:p w14:paraId="255825C4" w14:textId="1912548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41ADA1A7" w14:textId="4E2F220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3D1F4827" w14:textId="2E67B9A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741FDAC1" w14:textId="4202BEF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05180F1C" w14:textId="2809D69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7823EB0C"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65BF2FAA" w14:textId="4C6FA9F4"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1.2.11 Analizë mbi praktikat e vlerësimit dhe përfitimeve të të gjitha kategorive të aftësisë së kufizuar (përfshirë </w:t>
            </w:r>
            <w:r w:rsidR="00C712B0" w:rsidRPr="00024D5A">
              <w:rPr>
                <w:rFonts w:ascii="Garamond" w:eastAsia="Times New Roman" w:hAnsi="Garamond"/>
                <w:sz w:val="6"/>
                <w:szCs w:val="16"/>
                <w:lang w:eastAsia="en-US"/>
              </w:rPr>
              <w:t>gjininë</w:t>
            </w:r>
            <w:r w:rsidRPr="00024D5A">
              <w:rPr>
                <w:rFonts w:ascii="Garamond" w:eastAsia="Times New Roman" w:hAnsi="Garamond"/>
                <w:sz w:val="6"/>
                <w:szCs w:val="16"/>
                <w:lang w:eastAsia="en-US"/>
              </w:rPr>
              <w:t xml:space="preserve"> dhe statuset) (A2.1.14)</w:t>
            </w:r>
            <w:r w:rsidR="00C712B0">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72948205"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2028</w:t>
            </w:r>
          </w:p>
        </w:tc>
        <w:tc>
          <w:tcPr>
            <w:tcW w:w="567" w:type="dxa"/>
            <w:tcBorders>
              <w:top w:val="nil"/>
              <w:left w:val="nil"/>
              <w:bottom w:val="single" w:sz="4" w:space="0" w:color="auto"/>
              <w:right w:val="single" w:sz="4" w:space="0" w:color="auto"/>
            </w:tcBorders>
            <w:hideMark/>
          </w:tcPr>
          <w:p w14:paraId="464CDDEC"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0DEA73FD"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w:t>
            </w:r>
          </w:p>
        </w:tc>
        <w:tc>
          <w:tcPr>
            <w:tcW w:w="1418" w:type="dxa"/>
            <w:tcBorders>
              <w:top w:val="nil"/>
              <w:left w:val="nil"/>
              <w:bottom w:val="single" w:sz="4" w:space="0" w:color="auto"/>
              <w:right w:val="single" w:sz="8" w:space="0" w:color="auto"/>
            </w:tcBorders>
            <w:hideMark/>
          </w:tcPr>
          <w:p w14:paraId="76706ECC"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SHSSH</w:t>
            </w:r>
          </w:p>
        </w:tc>
        <w:tc>
          <w:tcPr>
            <w:tcW w:w="708" w:type="dxa"/>
            <w:tcBorders>
              <w:top w:val="nil"/>
              <w:left w:val="single" w:sz="4" w:space="0" w:color="auto"/>
              <w:bottom w:val="single" w:sz="4" w:space="0" w:color="auto"/>
              <w:right w:val="single" w:sz="4" w:space="0" w:color="auto"/>
            </w:tcBorders>
            <w:hideMark/>
          </w:tcPr>
          <w:p w14:paraId="525789A9" w14:textId="120159D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0348F47C" w14:textId="39F5DD3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20D7F597" w14:textId="169CBCA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17F572B5" w14:textId="347F282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3E3E53DC" w14:textId="206CC36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33A7099B"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14FD1A2E" w14:textId="59AD946B"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1.2.12. Mbështetje e integruar socioshëndetësore e familjarëve/kujdestarëve të personave me AK, si edhe mbështetje për punësim (A2.1.19 SMS).</w:t>
            </w:r>
          </w:p>
        </w:tc>
        <w:tc>
          <w:tcPr>
            <w:tcW w:w="567" w:type="dxa"/>
            <w:tcBorders>
              <w:top w:val="nil"/>
              <w:left w:val="nil"/>
              <w:bottom w:val="single" w:sz="4" w:space="0" w:color="auto"/>
              <w:right w:val="single" w:sz="4" w:space="0" w:color="auto"/>
            </w:tcBorders>
            <w:hideMark/>
          </w:tcPr>
          <w:p w14:paraId="4CE22310"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2028</w:t>
            </w:r>
          </w:p>
        </w:tc>
        <w:tc>
          <w:tcPr>
            <w:tcW w:w="567" w:type="dxa"/>
            <w:tcBorders>
              <w:top w:val="nil"/>
              <w:left w:val="nil"/>
              <w:bottom w:val="single" w:sz="4" w:space="0" w:color="auto"/>
              <w:right w:val="single" w:sz="4" w:space="0" w:color="auto"/>
            </w:tcBorders>
            <w:hideMark/>
          </w:tcPr>
          <w:p w14:paraId="1A67FA2D"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21F55043"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w:t>
            </w:r>
          </w:p>
        </w:tc>
        <w:tc>
          <w:tcPr>
            <w:tcW w:w="1418" w:type="dxa"/>
            <w:tcBorders>
              <w:top w:val="nil"/>
              <w:left w:val="nil"/>
              <w:bottom w:val="single" w:sz="4" w:space="0" w:color="auto"/>
              <w:right w:val="single" w:sz="8" w:space="0" w:color="auto"/>
            </w:tcBorders>
            <w:hideMark/>
          </w:tcPr>
          <w:p w14:paraId="5B14F1DB"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SHSSH</w:t>
            </w:r>
          </w:p>
        </w:tc>
        <w:tc>
          <w:tcPr>
            <w:tcW w:w="708" w:type="dxa"/>
            <w:tcBorders>
              <w:top w:val="nil"/>
              <w:left w:val="single" w:sz="4" w:space="0" w:color="auto"/>
              <w:bottom w:val="single" w:sz="4" w:space="0" w:color="auto"/>
              <w:right w:val="single" w:sz="4" w:space="0" w:color="auto"/>
            </w:tcBorders>
            <w:hideMark/>
          </w:tcPr>
          <w:p w14:paraId="4D8F3E64" w14:textId="07C8CB7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0B596862" w14:textId="503756E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00063A38" w14:textId="22CFE4F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1,886</w:t>
            </w:r>
          </w:p>
        </w:tc>
        <w:tc>
          <w:tcPr>
            <w:tcW w:w="1134" w:type="dxa"/>
            <w:tcBorders>
              <w:top w:val="nil"/>
              <w:left w:val="nil"/>
              <w:bottom w:val="single" w:sz="4" w:space="0" w:color="auto"/>
              <w:right w:val="single" w:sz="4" w:space="0" w:color="auto"/>
            </w:tcBorders>
            <w:hideMark/>
          </w:tcPr>
          <w:p w14:paraId="09F415D1" w14:textId="276F0E7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1,886</w:t>
            </w:r>
          </w:p>
        </w:tc>
        <w:tc>
          <w:tcPr>
            <w:tcW w:w="1615" w:type="dxa"/>
            <w:tcBorders>
              <w:top w:val="nil"/>
              <w:left w:val="nil"/>
              <w:bottom w:val="single" w:sz="4" w:space="0" w:color="auto"/>
              <w:right w:val="single" w:sz="4" w:space="0" w:color="auto"/>
            </w:tcBorders>
            <w:hideMark/>
          </w:tcPr>
          <w:p w14:paraId="73F5B17D" w14:textId="4272CDF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1,886</w:t>
            </w:r>
          </w:p>
        </w:tc>
      </w:tr>
      <w:tr w:rsidR="00B807EE" w:rsidRPr="00024D5A" w14:paraId="42C13140"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2A28570D" w14:textId="72D7D2EC"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1.2.13 Trajnimi </w:t>
            </w:r>
            <w:r w:rsidR="00C712B0">
              <w:rPr>
                <w:rFonts w:ascii="Garamond" w:eastAsia="Times New Roman" w:hAnsi="Garamond"/>
                <w:sz w:val="6"/>
                <w:szCs w:val="16"/>
                <w:lang w:eastAsia="en-US"/>
              </w:rPr>
              <w:t xml:space="preserve">i </w:t>
            </w:r>
            <w:r w:rsidRPr="00024D5A">
              <w:rPr>
                <w:rFonts w:ascii="Garamond" w:eastAsia="Times New Roman" w:hAnsi="Garamond"/>
                <w:sz w:val="6"/>
                <w:szCs w:val="16"/>
                <w:lang w:eastAsia="en-US"/>
              </w:rPr>
              <w:t xml:space="preserve">personelit të shërbimeve sociale dhe Komisioneve të Vlerësimit të Aftësisë së Kufizuar për bazat e komunikimit efikas me personat që nuk dëgjojnë, përmes ofrimit të trajnimit bazik në </w:t>
            </w:r>
            <w:r w:rsidR="00C712B0" w:rsidRPr="00024D5A">
              <w:rPr>
                <w:rFonts w:ascii="Garamond" w:eastAsia="Times New Roman" w:hAnsi="Garamond"/>
                <w:sz w:val="6"/>
                <w:szCs w:val="16"/>
                <w:lang w:eastAsia="en-US"/>
              </w:rPr>
              <w:t>gjuhën e shenjave shqipe</w:t>
            </w:r>
            <w:r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68A05C18"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2027</w:t>
            </w:r>
          </w:p>
        </w:tc>
        <w:tc>
          <w:tcPr>
            <w:tcW w:w="567" w:type="dxa"/>
            <w:tcBorders>
              <w:top w:val="nil"/>
              <w:left w:val="nil"/>
              <w:bottom w:val="single" w:sz="4" w:space="0" w:color="auto"/>
              <w:right w:val="single" w:sz="4" w:space="0" w:color="auto"/>
            </w:tcBorders>
            <w:hideMark/>
          </w:tcPr>
          <w:p w14:paraId="6AFA04C5"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1495E3AB"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w:t>
            </w:r>
          </w:p>
        </w:tc>
        <w:tc>
          <w:tcPr>
            <w:tcW w:w="1418" w:type="dxa"/>
            <w:tcBorders>
              <w:top w:val="nil"/>
              <w:left w:val="nil"/>
              <w:bottom w:val="single" w:sz="4" w:space="0" w:color="auto"/>
              <w:right w:val="single" w:sz="8" w:space="0" w:color="auto"/>
            </w:tcBorders>
            <w:hideMark/>
          </w:tcPr>
          <w:p w14:paraId="554BD263"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SHSSH</w:t>
            </w:r>
          </w:p>
        </w:tc>
        <w:tc>
          <w:tcPr>
            <w:tcW w:w="708" w:type="dxa"/>
            <w:tcBorders>
              <w:top w:val="nil"/>
              <w:left w:val="single" w:sz="4" w:space="0" w:color="auto"/>
              <w:bottom w:val="single" w:sz="4" w:space="0" w:color="auto"/>
              <w:right w:val="single" w:sz="4" w:space="0" w:color="auto"/>
            </w:tcBorders>
            <w:hideMark/>
          </w:tcPr>
          <w:p w14:paraId="58D313CE" w14:textId="32C371E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34AB98A2" w14:textId="1B6EED8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360B4DAD" w14:textId="1474DBF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6AAFC2FB" w14:textId="02172A4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73D80EEB" w14:textId="72BDFBB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739489AC" w14:textId="77777777" w:rsidTr="002B321E">
        <w:trPr>
          <w:trHeight w:val="20"/>
        </w:trPr>
        <w:tc>
          <w:tcPr>
            <w:tcW w:w="4673" w:type="dxa"/>
            <w:tcBorders>
              <w:top w:val="nil"/>
              <w:left w:val="single" w:sz="4" w:space="0" w:color="auto"/>
              <w:bottom w:val="single" w:sz="4" w:space="0" w:color="auto"/>
              <w:right w:val="nil"/>
            </w:tcBorders>
            <w:shd w:val="clear" w:color="000000" w:fill="FDE9D9"/>
            <w:hideMark/>
          </w:tcPr>
          <w:p w14:paraId="088B430A" w14:textId="067D44B4"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Objektivi </w:t>
            </w:r>
            <w:r w:rsidR="00C712B0" w:rsidRPr="00024D5A">
              <w:rPr>
                <w:rFonts w:ascii="Garamond" w:eastAsia="Times New Roman" w:hAnsi="Garamond"/>
                <w:b/>
                <w:bCs/>
                <w:sz w:val="6"/>
                <w:szCs w:val="16"/>
                <w:lang w:eastAsia="en-US"/>
              </w:rPr>
              <w:t xml:space="preserve">specifik </w:t>
            </w:r>
            <w:r w:rsidRPr="00024D5A">
              <w:rPr>
                <w:rFonts w:ascii="Garamond" w:eastAsia="Times New Roman" w:hAnsi="Garamond"/>
                <w:b/>
                <w:bCs/>
                <w:sz w:val="6"/>
                <w:szCs w:val="16"/>
                <w:lang w:eastAsia="en-US"/>
              </w:rPr>
              <w:t>2</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Zgjerimi i shërbimeve sociale të integruara, të aksesueshme e cilësore</w:t>
            </w:r>
            <w:r w:rsidR="008C5C68">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si dhe avancimi i deinstitucionalizimit, në partneritet me pushtetin vendor dhe aktorët e tjerë. </w:t>
            </w:r>
          </w:p>
        </w:tc>
        <w:tc>
          <w:tcPr>
            <w:tcW w:w="567" w:type="dxa"/>
            <w:tcBorders>
              <w:top w:val="nil"/>
              <w:left w:val="single" w:sz="4" w:space="0" w:color="auto"/>
              <w:bottom w:val="single" w:sz="4" w:space="0" w:color="auto"/>
              <w:right w:val="single" w:sz="4" w:space="0" w:color="auto"/>
            </w:tcBorders>
            <w:shd w:val="clear" w:color="000000" w:fill="FDE9D9"/>
            <w:hideMark/>
          </w:tcPr>
          <w:p w14:paraId="6197817D"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shd w:val="clear" w:color="000000" w:fill="FDE9D9"/>
            <w:hideMark/>
          </w:tcPr>
          <w:p w14:paraId="0C4F94B8"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shd w:val="clear" w:color="000000" w:fill="FDE9D9"/>
            <w:hideMark/>
          </w:tcPr>
          <w:p w14:paraId="6409176E"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MSHMS/ASCK</w:t>
            </w:r>
          </w:p>
        </w:tc>
        <w:tc>
          <w:tcPr>
            <w:tcW w:w="1418" w:type="dxa"/>
            <w:tcBorders>
              <w:top w:val="nil"/>
              <w:left w:val="nil"/>
              <w:bottom w:val="single" w:sz="4" w:space="0" w:color="auto"/>
              <w:right w:val="single" w:sz="8" w:space="0" w:color="auto"/>
            </w:tcBorders>
            <w:shd w:val="clear" w:color="000000" w:fill="FDE9D9"/>
            <w:hideMark/>
          </w:tcPr>
          <w:p w14:paraId="4BD4C6D4"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SHSSH</w:t>
            </w:r>
          </w:p>
        </w:tc>
        <w:tc>
          <w:tcPr>
            <w:tcW w:w="708" w:type="dxa"/>
            <w:tcBorders>
              <w:top w:val="nil"/>
              <w:left w:val="single" w:sz="4" w:space="0" w:color="auto"/>
              <w:bottom w:val="single" w:sz="4" w:space="0" w:color="auto"/>
              <w:right w:val="single" w:sz="4" w:space="0" w:color="auto"/>
            </w:tcBorders>
            <w:shd w:val="clear" w:color="000000" w:fill="FDE9D9"/>
            <w:hideMark/>
          </w:tcPr>
          <w:p w14:paraId="3CDC9420" w14:textId="019774C1"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9,760</w:t>
            </w:r>
          </w:p>
        </w:tc>
        <w:tc>
          <w:tcPr>
            <w:tcW w:w="567" w:type="dxa"/>
            <w:tcBorders>
              <w:top w:val="nil"/>
              <w:left w:val="nil"/>
              <w:bottom w:val="single" w:sz="4" w:space="0" w:color="auto"/>
              <w:right w:val="single" w:sz="4" w:space="0" w:color="auto"/>
            </w:tcBorders>
            <w:shd w:val="clear" w:color="000000" w:fill="FDE9D9"/>
            <w:hideMark/>
          </w:tcPr>
          <w:p w14:paraId="752B52AF" w14:textId="43CC0522"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13,005</w:t>
            </w:r>
          </w:p>
        </w:tc>
        <w:tc>
          <w:tcPr>
            <w:tcW w:w="567" w:type="dxa"/>
            <w:tcBorders>
              <w:top w:val="nil"/>
              <w:left w:val="nil"/>
              <w:bottom w:val="single" w:sz="4" w:space="0" w:color="auto"/>
              <w:right w:val="single" w:sz="4" w:space="0" w:color="auto"/>
            </w:tcBorders>
            <w:shd w:val="clear" w:color="000000" w:fill="FDE9D9"/>
            <w:hideMark/>
          </w:tcPr>
          <w:p w14:paraId="1A0FF338" w14:textId="2E4DE8A1"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16,110</w:t>
            </w:r>
          </w:p>
        </w:tc>
        <w:tc>
          <w:tcPr>
            <w:tcW w:w="1134" w:type="dxa"/>
            <w:tcBorders>
              <w:top w:val="nil"/>
              <w:left w:val="nil"/>
              <w:bottom w:val="single" w:sz="4" w:space="0" w:color="auto"/>
              <w:right w:val="single" w:sz="4" w:space="0" w:color="auto"/>
            </w:tcBorders>
            <w:shd w:val="clear" w:color="000000" w:fill="FDE9D9"/>
            <w:hideMark/>
          </w:tcPr>
          <w:p w14:paraId="70F2778B" w14:textId="6CBE1AAF"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14,160</w:t>
            </w:r>
          </w:p>
        </w:tc>
        <w:tc>
          <w:tcPr>
            <w:tcW w:w="1615" w:type="dxa"/>
            <w:tcBorders>
              <w:top w:val="nil"/>
              <w:left w:val="nil"/>
              <w:bottom w:val="single" w:sz="4" w:space="0" w:color="auto"/>
              <w:right w:val="single" w:sz="4" w:space="0" w:color="auto"/>
            </w:tcBorders>
            <w:shd w:val="clear" w:color="000000" w:fill="FDE9D9"/>
            <w:hideMark/>
          </w:tcPr>
          <w:p w14:paraId="20E10549" w14:textId="69F05313"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15,024</w:t>
            </w:r>
          </w:p>
        </w:tc>
      </w:tr>
      <w:tr w:rsidR="00B807EE" w:rsidRPr="00024D5A" w14:paraId="037D64DA"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DCE6F1"/>
            <w:hideMark/>
          </w:tcPr>
          <w:p w14:paraId="2472889E" w14:textId="2B7478E9"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Masa </w:t>
            </w:r>
            <w:r w:rsidR="008C5C68" w:rsidRPr="00024D5A">
              <w:rPr>
                <w:rFonts w:ascii="Garamond" w:eastAsia="Times New Roman" w:hAnsi="Garamond"/>
                <w:b/>
                <w:bCs/>
                <w:sz w:val="6"/>
                <w:szCs w:val="16"/>
                <w:lang w:eastAsia="en-US"/>
              </w:rPr>
              <w:t xml:space="preserve">prioritare </w:t>
            </w:r>
            <w:r w:rsidRPr="00024D5A">
              <w:rPr>
                <w:rFonts w:ascii="Garamond" w:eastAsia="Times New Roman" w:hAnsi="Garamond"/>
                <w:b/>
                <w:bCs/>
                <w:sz w:val="6"/>
                <w:szCs w:val="16"/>
                <w:lang w:eastAsia="en-US"/>
              </w:rPr>
              <w:t>2.1</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Rishikimi dhe konsolidimi i kuadrit rregullator ligjor dhe institucional për mundësimin e shërbimeve të përkujdes</w:t>
            </w:r>
            <w:r w:rsidR="00A2057C" w:rsidRPr="00024D5A">
              <w:rPr>
                <w:rFonts w:ascii="Garamond" w:eastAsia="Times New Roman" w:hAnsi="Garamond"/>
                <w:b/>
                <w:bCs/>
                <w:sz w:val="6"/>
                <w:szCs w:val="16"/>
                <w:lang w:eastAsia="en-US"/>
              </w:rPr>
              <w:t>jes</w:t>
            </w:r>
            <w:r w:rsidRPr="00024D5A">
              <w:rPr>
                <w:rFonts w:ascii="Garamond" w:eastAsia="Times New Roman" w:hAnsi="Garamond"/>
                <w:b/>
                <w:bCs/>
                <w:sz w:val="6"/>
                <w:szCs w:val="16"/>
                <w:lang w:eastAsia="en-US"/>
              </w:rPr>
              <w:t xml:space="preserve"> shoqëror</w:t>
            </w:r>
            <w:r w:rsidR="00A2057C" w:rsidRPr="00024D5A">
              <w:rPr>
                <w:rFonts w:ascii="Garamond" w:eastAsia="Times New Roman" w:hAnsi="Garamond"/>
                <w:b/>
                <w:bCs/>
                <w:sz w:val="6"/>
                <w:szCs w:val="16"/>
                <w:lang w:eastAsia="en-US"/>
              </w:rPr>
              <w:t>e</w:t>
            </w:r>
            <w:r w:rsidRPr="00024D5A">
              <w:rPr>
                <w:rFonts w:ascii="Garamond" w:eastAsia="Times New Roman" w:hAnsi="Garamond"/>
                <w:b/>
                <w:bCs/>
                <w:sz w:val="6"/>
                <w:szCs w:val="16"/>
                <w:lang w:eastAsia="en-US"/>
              </w:rPr>
              <w:t xml:space="preserve"> për personat me aftësi të kufizuara, udhëhequr nga parimet e qasjes duale dhe shërbimeve gjatë gjithë ciklit të jetës.</w:t>
            </w:r>
          </w:p>
        </w:tc>
        <w:tc>
          <w:tcPr>
            <w:tcW w:w="567" w:type="dxa"/>
            <w:tcBorders>
              <w:top w:val="nil"/>
              <w:left w:val="nil"/>
              <w:bottom w:val="single" w:sz="4" w:space="0" w:color="auto"/>
              <w:right w:val="single" w:sz="4" w:space="0" w:color="auto"/>
            </w:tcBorders>
            <w:shd w:val="clear" w:color="000000" w:fill="DCE6F1"/>
            <w:hideMark/>
          </w:tcPr>
          <w:p w14:paraId="58EFD5E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shd w:val="clear" w:color="000000" w:fill="DCE6F1"/>
            <w:hideMark/>
          </w:tcPr>
          <w:p w14:paraId="03EE348C"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shd w:val="clear" w:color="000000" w:fill="DCE6F1"/>
            <w:hideMark/>
          </w:tcPr>
          <w:p w14:paraId="64629DB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8" w:space="0" w:color="auto"/>
            </w:tcBorders>
            <w:shd w:val="clear" w:color="000000" w:fill="DCE6F1"/>
            <w:hideMark/>
          </w:tcPr>
          <w:p w14:paraId="3649AB42"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SHSSH</w:t>
            </w:r>
          </w:p>
        </w:tc>
        <w:tc>
          <w:tcPr>
            <w:tcW w:w="708" w:type="dxa"/>
            <w:tcBorders>
              <w:top w:val="nil"/>
              <w:left w:val="single" w:sz="4" w:space="0" w:color="auto"/>
              <w:bottom w:val="single" w:sz="4" w:space="0" w:color="auto"/>
              <w:right w:val="single" w:sz="4" w:space="0" w:color="auto"/>
            </w:tcBorders>
            <w:shd w:val="clear" w:color="000000" w:fill="C5D9F1"/>
            <w:noWrap/>
            <w:hideMark/>
          </w:tcPr>
          <w:p w14:paraId="433BCFC7" w14:textId="4F129F3C"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9,760</w:t>
            </w:r>
          </w:p>
        </w:tc>
        <w:tc>
          <w:tcPr>
            <w:tcW w:w="567" w:type="dxa"/>
            <w:tcBorders>
              <w:top w:val="nil"/>
              <w:left w:val="nil"/>
              <w:bottom w:val="single" w:sz="4" w:space="0" w:color="auto"/>
              <w:right w:val="single" w:sz="4" w:space="0" w:color="auto"/>
            </w:tcBorders>
            <w:shd w:val="clear" w:color="000000" w:fill="C5D9F1"/>
            <w:noWrap/>
            <w:hideMark/>
          </w:tcPr>
          <w:p w14:paraId="689EE619" w14:textId="26258F35"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13,005</w:t>
            </w:r>
          </w:p>
        </w:tc>
        <w:tc>
          <w:tcPr>
            <w:tcW w:w="567" w:type="dxa"/>
            <w:tcBorders>
              <w:top w:val="nil"/>
              <w:left w:val="nil"/>
              <w:bottom w:val="single" w:sz="4" w:space="0" w:color="auto"/>
              <w:right w:val="single" w:sz="4" w:space="0" w:color="auto"/>
            </w:tcBorders>
            <w:shd w:val="clear" w:color="000000" w:fill="C5D9F1"/>
            <w:noWrap/>
            <w:hideMark/>
          </w:tcPr>
          <w:p w14:paraId="32EE40FF" w14:textId="6477AB6B"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16,110</w:t>
            </w:r>
          </w:p>
        </w:tc>
        <w:tc>
          <w:tcPr>
            <w:tcW w:w="1134" w:type="dxa"/>
            <w:tcBorders>
              <w:top w:val="nil"/>
              <w:left w:val="nil"/>
              <w:bottom w:val="single" w:sz="4" w:space="0" w:color="auto"/>
              <w:right w:val="single" w:sz="4" w:space="0" w:color="auto"/>
            </w:tcBorders>
            <w:shd w:val="clear" w:color="000000" w:fill="C5D9F1"/>
            <w:noWrap/>
            <w:hideMark/>
          </w:tcPr>
          <w:p w14:paraId="79405066" w14:textId="10ED37B2"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14,160</w:t>
            </w:r>
          </w:p>
        </w:tc>
        <w:tc>
          <w:tcPr>
            <w:tcW w:w="1615" w:type="dxa"/>
            <w:tcBorders>
              <w:top w:val="nil"/>
              <w:left w:val="nil"/>
              <w:bottom w:val="single" w:sz="4" w:space="0" w:color="auto"/>
              <w:right w:val="single" w:sz="4" w:space="0" w:color="auto"/>
            </w:tcBorders>
            <w:shd w:val="clear" w:color="000000" w:fill="C5D9F1"/>
            <w:noWrap/>
            <w:hideMark/>
          </w:tcPr>
          <w:p w14:paraId="33594A1F" w14:textId="446FF1C7"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15,024</w:t>
            </w:r>
          </w:p>
        </w:tc>
      </w:tr>
      <w:tr w:rsidR="00B807EE" w:rsidRPr="00024D5A" w14:paraId="147471C6"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7C92ADA6" w14:textId="5CC3AD68"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2.1.1 Përmirësimi i protokolleve dhe</w:t>
            </w:r>
            <w:r w:rsidR="008C5C68">
              <w:rPr>
                <w:rFonts w:ascii="Garamond" w:eastAsia="Times New Roman" w:hAnsi="Garamond"/>
                <w:sz w:val="6"/>
                <w:szCs w:val="16"/>
                <w:lang w:eastAsia="en-US"/>
              </w:rPr>
              <w:t xml:space="preserve"> i</w:t>
            </w:r>
            <w:r w:rsidRPr="00024D5A">
              <w:rPr>
                <w:rFonts w:ascii="Garamond" w:eastAsia="Times New Roman" w:hAnsi="Garamond"/>
                <w:sz w:val="6"/>
                <w:szCs w:val="16"/>
                <w:lang w:eastAsia="en-US"/>
              </w:rPr>
              <w:t xml:space="preserve"> procedurave operacionale të referimeve nga komisionet biopsikosociale të vlerësimit të aftësisë së kufizuar, me qëllim përmirësimin e ndërveprimit për menaxhimin e integruar të rastit nga </w:t>
            </w:r>
            <w:r w:rsidR="005016FE" w:rsidRPr="00024D5A">
              <w:rPr>
                <w:rFonts w:ascii="Garamond" w:eastAsia="Times New Roman" w:hAnsi="Garamond"/>
                <w:sz w:val="6"/>
                <w:szCs w:val="16"/>
                <w:lang w:eastAsia="en-US"/>
              </w:rPr>
              <w:t>çdo</w:t>
            </w:r>
            <w:r w:rsidRPr="00024D5A">
              <w:rPr>
                <w:rFonts w:ascii="Garamond" w:eastAsia="Times New Roman" w:hAnsi="Garamond"/>
                <w:sz w:val="6"/>
                <w:szCs w:val="16"/>
                <w:lang w:eastAsia="en-US"/>
              </w:rPr>
              <w:t xml:space="preserve"> institucion dhe</w:t>
            </w:r>
            <w:r w:rsidR="007675EC"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apo shërbim i referuar</w:t>
            </w:r>
            <w:r w:rsidR="008C5C68">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221CAAD3"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2027</w:t>
            </w:r>
          </w:p>
        </w:tc>
        <w:tc>
          <w:tcPr>
            <w:tcW w:w="567" w:type="dxa"/>
            <w:tcBorders>
              <w:top w:val="nil"/>
              <w:left w:val="nil"/>
              <w:bottom w:val="single" w:sz="4" w:space="0" w:color="auto"/>
              <w:right w:val="single" w:sz="4" w:space="0" w:color="auto"/>
            </w:tcBorders>
            <w:hideMark/>
          </w:tcPr>
          <w:p w14:paraId="40D21B52"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2029</w:t>
            </w:r>
          </w:p>
        </w:tc>
        <w:tc>
          <w:tcPr>
            <w:tcW w:w="1134" w:type="dxa"/>
            <w:tcBorders>
              <w:top w:val="nil"/>
              <w:left w:val="nil"/>
              <w:bottom w:val="single" w:sz="4" w:space="0" w:color="auto"/>
              <w:right w:val="single" w:sz="4" w:space="0" w:color="auto"/>
            </w:tcBorders>
            <w:hideMark/>
          </w:tcPr>
          <w:p w14:paraId="576EFB3E"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w:t>
            </w:r>
          </w:p>
        </w:tc>
        <w:tc>
          <w:tcPr>
            <w:tcW w:w="1418" w:type="dxa"/>
            <w:tcBorders>
              <w:top w:val="nil"/>
              <w:left w:val="nil"/>
              <w:bottom w:val="single" w:sz="4" w:space="0" w:color="auto"/>
              <w:right w:val="single" w:sz="8" w:space="0" w:color="auto"/>
            </w:tcBorders>
            <w:hideMark/>
          </w:tcPr>
          <w:p w14:paraId="57A96D49"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SHSSH</w:t>
            </w:r>
          </w:p>
        </w:tc>
        <w:tc>
          <w:tcPr>
            <w:tcW w:w="708" w:type="dxa"/>
            <w:tcBorders>
              <w:top w:val="nil"/>
              <w:left w:val="single" w:sz="4" w:space="0" w:color="auto"/>
              <w:bottom w:val="single" w:sz="4" w:space="0" w:color="auto"/>
              <w:right w:val="single" w:sz="4" w:space="0" w:color="auto"/>
            </w:tcBorders>
            <w:hideMark/>
          </w:tcPr>
          <w:p w14:paraId="19D27BB7" w14:textId="7ECEE05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3AE0C810" w14:textId="14E2C75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1,086</w:t>
            </w:r>
          </w:p>
        </w:tc>
        <w:tc>
          <w:tcPr>
            <w:tcW w:w="567" w:type="dxa"/>
            <w:tcBorders>
              <w:top w:val="nil"/>
              <w:left w:val="nil"/>
              <w:bottom w:val="single" w:sz="4" w:space="0" w:color="auto"/>
              <w:right w:val="single" w:sz="4" w:space="0" w:color="auto"/>
            </w:tcBorders>
            <w:hideMark/>
          </w:tcPr>
          <w:p w14:paraId="5C67EA93" w14:textId="6D689E4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1,086</w:t>
            </w:r>
          </w:p>
        </w:tc>
        <w:tc>
          <w:tcPr>
            <w:tcW w:w="1134" w:type="dxa"/>
            <w:tcBorders>
              <w:top w:val="nil"/>
              <w:left w:val="nil"/>
              <w:bottom w:val="single" w:sz="4" w:space="0" w:color="auto"/>
              <w:right w:val="single" w:sz="4" w:space="0" w:color="auto"/>
            </w:tcBorders>
            <w:hideMark/>
          </w:tcPr>
          <w:p w14:paraId="199EDE4C" w14:textId="2151715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1,086</w:t>
            </w:r>
          </w:p>
        </w:tc>
        <w:tc>
          <w:tcPr>
            <w:tcW w:w="1615" w:type="dxa"/>
            <w:tcBorders>
              <w:top w:val="nil"/>
              <w:left w:val="nil"/>
              <w:bottom w:val="single" w:sz="4" w:space="0" w:color="auto"/>
              <w:right w:val="single" w:sz="4" w:space="0" w:color="auto"/>
            </w:tcBorders>
            <w:hideMark/>
          </w:tcPr>
          <w:p w14:paraId="7EC2DBBA" w14:textId="594A2DA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651935AA"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523D6E81" w14:textId="59E04A6B"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2.1.2 Vlerësim i situatës së fëmijëve dhe të rriturve me aftësi të kufizuara për shërbime alternative, përfshirë skenarët e mundshëm, planet individuale dhe kostimin (B3.2.1. SMS)</w:t>
            </w:r>
            <w:r w:rsidR="008C5C68">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w:t>
            </w:r>
          </w:p>
        </w:tc>
        <w:tc>
          <w:tcPr>
            <w:tcW w:w="567" w:type="dxa"/>
            <w:tcBorders>
              <w:top w:val="nil"/>
              <w:left w:val="nil"/>
              <w:bottom w:val="single" w:sz="4" w:space="0" w:color="auto"/>
              <w:right w:val="single" w:sz="4" w:space="0" w:color="auto"/>
            </w:tcBorders>
            <w:hideMark/>
          </w:tcPr>
          <w:p w14:paraId="19C51FD6"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2028</w:t>
            </w:r>
          </w:p>
        </w:tc>
        <w:tc>
          <w:tcPr>
            <w:tcW w:w="567" w:type="dxa"/>
            <w:tcBorders>
              <w:top w:val="nil"/>
              <w:left w:val="nil"/>
              <w:bottom w:val="single" w:sz="4" w:space="0" w:color="auto"/>
              <w:right w:val="single" w:sz="4" w:space="0" w:color="auto"/>
            </w:tcBorders>
            <w:hideMark/>
          </w:tcPr>
          <w:p w14:paraId="3A630778"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04225F50"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w:t>
            </w:r>
          </w:p>
        </w:tc>
        <w:tc>
          <w:tcPr>
            <w:tcW w:w="1418" w:type="dxa"/>
            <w:tcBorders>
              <w:top w:val="nil"/>
              <w:left w:val="nil"/>
              <w:bottom w:val="single" w:sz="4" w:space="0" w:color="auto"/>
              <w:right w:val="single" w:sz="8" w:space="0" w:color="auto"/>
            </w:tcBorders>
            <w:hideMark/>
          </w:tcPr>
          <w:p w14:paraId="35AF35F0"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SHSSH</w:t>
            </w:r>
          </w:p>
        </w:tc>
        <w:tc>
          <w:tcPr>
            <w:tcW w:w="708" w:type="dxa"/>
            <w:tcBorders>
              <w:top w:val="nil"/>
              <w:left w:val="single" w:sz="4" w:space="0" w:color="auto"/>
              <w:bottom w:val="single" w:sz="4" w:space="0" w:color="auto"/>
              <w:right w:val="single" w:sz="4" w:space="0" w:color="auto"/>
            </w:tcBorders>
            <w:hideMark/>
          </w:tcPr>
          <w:p w14:paraId="1DB502AB" w14:textId="2DEEB3E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443422BA" w14:textId="4C4D9D5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1F2513C9" w14:textId="20A9AA4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6C74D42B" w14:textId="248AFC6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58FC60C4" w14:textId="63F261E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40C02A4B"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132C9B45"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567" w:type="dxa"/>
            <w:tcBorders>
              <w:top w:val="nil"/>
              <w:left w:val="nil"/>
              <w:bottom w:val="single" w:sz="4" w:space="0" w:color="auto"/>
              <w:right w:val="single" w:sz="4" w:space="0" w:color="auto"/>
            </w:tcBorders>
            <w:hideMark/>
          </w:tcPr>
          <w:p w14:paraId="314D57BF"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 </w:t>
            </w:r>
          </w:p>
        </w:tc>
        <w:tc>
          <w:tcPr>
            <w:tcW w:w="567" w:type="dxa"/>
            <w:tcBorders>
              <w:top w:val="nil"/>
              <w:left w:val="nil"/>
              <w:bottom w:val="single" w:sz="4" w:space="0" w:color="auto"/>
              <w:right w:val="single" w:sz="4" w:space="0" w:color="auto"/>
            </w:tcBorders>
            <w:hideMark/>
          </w:tcPr>
          <w:p w14:paraId="7F2BFE45"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 </w:t>
            </w:r>
          </w:p>
        </w:tc>
        <w:tc>
          <w:tcPr>
            <w:tcW w:w="1134" w:type="dxa"/>
            <w:tcBorders>
              <w:top w:val="nil"/>
              <w:left w:val="nil"/>
              <w:bottom w:val="single" w:sz="4" w:space="0" w:color="auto"/>
              <w:right w:val="single" w:sz="4" w:space="0" w:color="auto"/>
            </w:tcBorders>
            <w:hideMark/>
          </w:tcPr>
          <w:p w14:paraId="55C68CA2"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1418" w:type="dxa"/>
            <w:tcBorders>
              <w:top w:val="nil"/>
              <w:left w:val="nil"/>
              <w:bottom w:val="single" w:sz="4" w:space="0" w:color="auto"/>
              <w:right w:val="single" w:sz="8" w:space="0" w:color="auto"/>
            </w:tcBorders>
            <w:hideMark/>
          </w:tcPr>
          <w:p w14:paraId="3D0E0E86"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708" w:type="dxa"/>
            <w:tcBorders>
              <w:top w:val="nil"/>
              <w:left w:val="single" w:sz="4" w:space="0" w:color="auto"/>
              <w:bottom w:val="single" w:sz="4" w:space="0" w:color="auto"/>
              <w:right w:val="single" w:sz="4" w:space="0" w:color="auto"/>
            </w:tcBorders>
            <w:hideMark/>
          </w:tcPr>
          <w:p w14:paraId="5F500531" w14:textId="41FA2C0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1BE412D4" w14:textId="035A70B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17B30352" w14:textId="77669CF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49930C06" w14:textId="5915309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2941149A" w14:textId="5378DD9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04243CB4"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27234AA0" w14:textId="0C93CA55"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2.1.3 Mbështetja dhe zgjerimi i shërbimeve lëvizëse të specializuara, por edhe </w:t>
            </w:r>
            <w:r w:rsidRPr="008C5C68">
              <w:rPr>
                <w:rFonts w:ascii="Garamond" w:eastAsia="Times New Roman" w:hAnsi="Garamond"/>
                <w:i/>
                <w:iCs/>
                <w:sz w:val="6"/>
                <w:szCs w:val="16"/>
                <w:lang w:eastAsia="en-US"/>
              </w:rPr>
              <w:t>online</w:t>
            </w:r>
            <w:r w:rsidRPr="00024D5A">
              <w:rPr>
                <w:rFonts w:ascii="Garamond" w:eastAsia="Times New Roman" w:hAnsi="Garamond"/>
                <w:sz w:val="6"/>
                <w:szCs w:val="16"/>
                <w:lang w:eastAsia="en-US"/>
              </w:rPr>
              <w:t>, në zonat e largëta e pa shërbime me ndihmës profesionalë (B.3.2.4 SMS)</w:t>
            </w:r>
            <w:r w:rsidR="008C5C68">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0FF2ABA1"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single" w:sz="4" w:space="0" w:color="auto"/>
            </w:tcBorders>
            <w:hideMark/>
          </w:tcPr>
          <w:p w14:paraId="6BAEE83F"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3010B1E6"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w:t>
            </w:r>
          </w:p>
        </w:tc>
        <w:tc>
          <w:tcPr>
            <w:tcW w:w="1418" w:type="dxa"/>
            <w:tcBorders>
              <w:top w:val="nil"/>
              <w:left w:val="nil"/>
              <w:bottom w:val="single" w:sz="4" w:space="0" w:color="auto"/>
              <w:right w:val="single" w:sz="8" w:space="0" w:color="auto"/>
            </w:tcBorders>
            <w:hideMark/>
          </w:tcPr>
          <w:p w14:paraId="0B858585"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SHSSH</w:t>
            </w:r>
          </w:p>
        </w:tc>
        <w:tc>
          <w:tcPr>
            <w:tcW w:w="708" w:type="dxa"/>
            <w:tcBorders>
              <w:top w:val="nil"/>
              <w:left w:val="single" w:sz="4" w:space="0" w:color="auto"/>
              <w:bottom w:val="single" w:sz="4" w:space="0" w:color="auto"/>
              <w:right w:val="single" w:sz="4" w:space="0" w:color="auto"/>
            </w:tcBorders>
            <w:hideMark/>
          </w:tcPr>
          <w:p w14:paraId="1C60054D" w14:textId="7609DC7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2AB8277A" w14:textId="0FF0821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75CF3840" w14:textId="139002C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29ADF3A6" w14:textId="692D414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1168FFA6" w14:textId="4A0B4EC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74CAEE51"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7D397E1C" w14:textId="1CC5E218"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2.1.5 Zgjerimi i shërbimeve të ndërhyrjes së hershme, ditore, rehabilituese, psikosociale, këshillimore dhe mbështetëse në komunitet, të përshtatura për fëmijët, adoleshentët, të rriturit</w:t>
            </w:r>
            <w:r w:rsidR="00DB3C2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me aft</w:t>
            </w:r>
            <w:r w:rsidR="00DB3C2A"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si t</w:t>
            </w:r>
            <w:r w:rsidR="00DB3C2A"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kufizuara</w:t>
            </w:r>
            <w:r w:rsidR="008C5C68">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B 3.2.4-B.3.2.6</w:t>
            </w:r>
            <w:r w:rsidR="008C5C68">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21A7E545"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single" w:sz="4" w:space="0" w:color="auto"/>
            </w:tcBorders>
            <w:hideMark/>
          </w:tcPr>
          <w:p w14:paraId="41134D86"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1C91F622"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w:t>
            </w:r>
          </w:p>
        </w:tc>
        <w:tc>
          <w:tcPr>
            <w:tcW w:w="1418" w:type="dxa"/>
            <w:tcBorders>
              <w:top w:val="nil"/>
              <w:left w:val="nil"/>
              <w:bottom w:val="single" w:sz="4" w:space="0" w:color="auto"/>
              <w:right w:val="single" w:sz="8" w:space="0" w:color="auto"/>
            </w:tcBorders>
            <w:hideMark/>
          </w:tcPr>
          <w:p w14:paraId="269C31C6"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SHSSH</w:t>
            </w:r>
          </w:p>
        </w:tc>
        <w:tc>
          <w:tcPr>
            <w:tcW w:w="708" w:type="dxa"/>
            <w:tcBorders>
              <w:top w:val="nil"/>
              <w:left w:val="single" w:sz="4" w:space="0" w:color="auto"/>
              <w:bottom w:val="single" w:sz="4" w:space="0" w:color="auto"/>
              <w:right w:val="single" w:sz="4" w:space="0" w:color="auto"/>
            </w:tcBorders>
            <w:hideMark/>
          </w:tcPr>
          <w:p w14:paraId="512E2DFA" w14:textId="6283D00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73A6C0BC" w14:textId="0888FFD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5F3CE23C" w14:textId="4D1E8F8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3DBFEDE4" w14:textId="3D6BBA9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0716125B" w14:textId="4ADE805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310614AF"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2825A1A6" w14:textId="6E7F6392"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2.1.6 Mbështetja e ngritjes së modelit të kujdestarisë alternative</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p</w:t>
            </w:r>
            <w:r w:rsidR="000D5711"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r f</w:t>
            </w:r>
            <w:r w:rsidR="000D5711"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mij</w:t>
            </w:r>
            <w:r w:rsidR="000D5711"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t me aft</w:t>
            </w:r>
            <w:r w:rsidR="00DB3C2A"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si t</w:t>
            </w:r>
            <w:r w:rsidR="00DB3C2A"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kufizuara (B.3.2.3 SMS)</w:t>
            </w:r>
            <w:r w:rsidR="008C5C68">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46B71952"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single" w:sz="4" w:space="0" w:color="auto"/>
            </w:tcBorders>
            <w:hideMark/>
          </w:tcPr>
          <w:p w14:paraId="79534B95"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0B878972"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w:t>
            </w:r>
          </w:p>
        </w:tc>
        <w:tc>
          <w:tcPr>
            <w:tcW w:w="1418" w:type="dxa"/>
            <w:tcBorders>
              <w:top w:val="nil"/>
              <w:left w:val="nil"/>
              <w:bottom w:val="single" w:sz="4" w:space="0" w:color="auto"/>
              <w:right w:val="single" w:sz="8" w:space="0" w:color="auto"/>
            </w:tcBorders>
            <w:hideMark/>
          </w:tcPr>
          <w:p w14:paraId="69B086B2"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SHSSH</w:t>
            </w:r>
          </w:p>
        </w:tc>
        <w:tc>
          <w:tcPr>
            <w:tcW w:w="708" w:type="dxa"/>
            <w:tcBorders>
              <w:top w:val="nil"/>
              <w:left w:val="single" w:sz="4" w:space="0" w:color="auto"/>
              <w:bottom w:val="single" w:sz="4" w:space="0" w:color="auto"/>
              <w:right w:val="single" w:sz="4" w:space="0" w:color="auto"/>
            </w:tcBorders>
            <w:hideMark/>
          </w:tcPr>
          <w:p w14:paraId="342C41EB" w14:textId="42B2983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20E99363" w14:textId="20F654A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3BC80D97" w14:textId="2404487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04BE1E6B" w14:textId="4CC2227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0CA1AA11" w14:textId="0873D3E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7666F43A"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5154547E" w14:textId="281BC25D" w:rsidR="00700D7D" w:rsidRPr="00024D5A" w:rsidRDefault="00700D7D" w:rsidP="00180DF3">
            <w:pPr>
              <w:jc w:val="both"/>
              <w:rPr>
                <w:rFonts w:ascii="Garamond" w:eastAsia="Times New Roman" w:hAnsi="Garamond"/>
                <w:sz w:val="6"/>
                <w:szCs w:val="16"/>
                <w:lang w:eastAsia="en-US"/>
              </w:rPr>
            </w:pPr>
            <w:r w:rsidRPr="00CB1F64">
              <w:rPr>
                <w:rFonts w:ascii="Garamond" w:eastAsia="Times New Roman" w:hAnsi="Garamond"/>
                <w:sz w:val="6"/>
                <w:szCs w:val="16"/>
                <w:lang w:eastAsia="en-US"/>
              </w:rPr>
              <w:t>2.1.6</w:t>
            </w:r>
            <w:r w:rsidR="005016FE" w:rsidRPr="00CB1F64">
              <w:rPr>
                <w:rFonts w:ascii="Garamond" w:eastAsia="Times New Roman" w:hAnsi="Garamond"/>
                <w:sz w:val="6"/>
                <w:szCs w:val="16"/>
                <w:lang w:eastAsia="en-US"/>
              </w:rPr>
              <w:t xml:space="preserve"> </w:t>
            </w:r>
            <w:r w:rsidRPr="00CB1F64">
              <w:rPr>
                <w:rFonts w:ascii="Garamond" w:eastAsia="Times New Roman" w:hAnsi="Garamond"/>
                <w:sz w:val="6"/>
                <w:szCs w:val="16"/>
                <w:lang w:eastAsia="en-US"/>
              </w:rPr>
              <w:t>Ofrimi</w:t>
            </w:r>
            <w:r w:rsidRPr="00024D5A">
              <w:rPr>
                <w:rFonts w:ascii="Garamond" w:eastAsia="Times New Roman" w:hAnsi="Garamond"/>
                <w:sz w:val="6"/>
                <w:szCs w:val="16"/>
                <w:lang w:eastAsia="en-US"/>
              </w:rPr>
              <w:t xml:space="preserve"> i kujdesit/shërbimeve për prindërit dhe familjen e personave me aftësi të kufizuara në komunitetet ku ata jetojnë, përfshirë inicimin e shërbimit të Respite Care (B.3.2.5 SMS)</w:t>
            </w:r>
            <w:r w:rsidR="00BF4FA2">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2B3A343A"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2027</w:t>
            </w:r>
          </w:p>
        </w:tc>
        <w:tc>
          <w:tcPr>
            <w:tcW w:w="567" w:type="dxa"/>
            <w:tcBorders>
              <w:top w:val="nil"/>
              <w:left w:val="nil"/>
              <w:bottom w:val="single" w:sz="4" w:space="0" w:color="auto"/>
              <w:right w:val="single" w:sz="4" w:space="0" w:color="auto"/>
            </w:tcBorders>
            <w:hideMark/>
          </w:tcPr>
          <w:p w14:paraId="72F24F5D"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54DB88C3"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w:t>
            </w:r>
          </w:p>
        </w:tc>
        <w:tc>
          <w:tcPr>
            <w:tcW w:w="1418" w:type="dxa"/>
            <w:tcBorders>
              <w:top w:val="nil"/>
              <w:left w:val="nil"/>
              <w:bottom w:val="single" w:sz="4" w:space="0" w:color="auto"/>
              <w:right w:val="single" w:sz="8" w:space="0" w:color="auto"/>
            </w:tcBorders>
            <w:hideMark/>
          </w:tcPr>
          <w:p w14:paraId="051A82ED"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SHSSH</w:t>
            </w:r>
          </w:p>
        </w:tc>
        <w:tc>
          <w:tcPr>
            <w:tcW w:w="708" w:type="dxa"/>
            <w:tcBorders>
              <w:top w:val="nil"/>
              <w:left w:val="single" w:sz="4" w:space="0" w:color="auto"/>
              <w:bottom w:val="single" w:sz="4" w:space="0" w:color="auto"/>
              <w:right w:val="single" w:sz="4" w:space="0" w:color="auto"/>
            </w:tcBorders>
            <w:hideMark/>
          </w:tcPr>
          <w:p w14:paraId="651D68A8" w14:textId="107DB53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3444D577" w14:textId="7630FD7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4FBE074D" w14:textId="6F1B802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482B0358" w14:textId="3B3CAEE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352C0FCD" w14:textId="08BF072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1BFF8578"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66B43D38" w14:textId="690CF451"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2.1.7</w:t>
            </w:r>
            <w:r w:rsidR="00BF4FA2">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Mbështetja për ngritjen e shërbimeve shtëpi familje në komunitet për të rriturit e vetmuar me aftësi të kufizuara dhe në prag institucionalizimi (B.3.2.6 SMS);</w:t>
            </w:r>
          </w:p>
        </w:tc>
        <w:tc>
          <w:tcPr>
            <w:tcW w:w="567" w:type="dxa"/>
            <w:tcBorders>
              <w:top w:val="nil"/>
              <w:left w:val="nil"/>
              <w:bottom w:val="single" w:sz="4" w:space="0" w:color="auto"/>
              <w:right w:val="single" w:sz="4" w:space="0" w:color="auto"/>
            </w:tcBorders>
            <w:hideMark/>
          </w:tcPr>
          <w:p w14:paraId="2B9D799E"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2027</w:t>
            </w:r>
          </w:p>
        </w:tc>
        <w:tc>
          <w:tcPr>
            <w:tcW w:w="567" w:type="dxa"/>
            <w:tcBorders>
              <w:top w:val="nil"/>
              <w:left w:val="nil"/>
              <w:bottom w:val="single" w:sz="4" w:space="0" w:color="auto"/>
              <w:right w:val="single" w:sz="4" w:space="0" w:color="auto"/>
            </w:tcBorders>
            <w:hideMark/>
          </w:tcPr>
          <w:p w14:paraId="534F67EE"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285304E2"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w:t>
            </w:r>
          </w:p>
        </w:tc>
        <w:tc>
          <w:tcPr>
            <w:tcW w:w="1418" w:type="dxa"/>
            <w:tcBorders>
              <w:top w:val="nil"/>
              <w:left w:val="nil"/>
              <w:bottom w:val="single" w:sz="4" w:space="0" w:color="auto"/>
              <w:right w:val="single" w:sz="8" w:space="0" w:color="auto"/>
            </w:tcBorders>
            <w:hideMark/>
          </w:tcPr>
          <w:p w14:paraId="13EF0967"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SHSSH</w:t>
            </w:r>
          </w:p>
        </w:tc>
        <w:tc>
          <w:tcPr>
            <w:tcW w:w="708" w:type="dxa"/>
            <w:tcBorders>
              <w:top w:val="nil"/>
              <w:left w:val="single" w:sz="4" w:space="0" w:color="auto"/>
              <w:bottom w:val="single" w:sz="4" w:space="0" w:color="auto"/>
              <w:right w:val="single" w:sz="4" w:space="0" w:color="auto"/>
            </w:tcBorders>
            <w:hideMark/>
          </w:tcPr>
          <w:p w14:paraId="544869D7" w14:textId="37BB48D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79114A7F" w14:textId="7253C27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2763F1D5" w14:textId="6F5FA08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4041506C" w14:textId="7119B5B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24B7031F" w14:textId="59FF5F5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3C1DCEAD"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34B011D4" w14:textId="3105A995"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2.1.8 Përfshirja e indikatorëve për personat me aftësi të kufizuara në çdo shërbim gjithëpërfshirës në komunitet, duke marrë në konsideratë pengesat e shtuara për gratë më aftësi të kufizuara, personat që jetojnë në zonat rurale etj. Koment Blerta: Nuk duhet hequr, duhet pare si do zbatohet se ka qene dhe me pare, por nuk </w:t>
            </w:r>
            <w:r w:rsidR="005016FE" w:rsidRPr="00024D5A">
              <w:rPr>
                <w:rFonts w:ascii="Garamond" w:eastAsia="Times New Roman" w:hAnsi="Garamond"/>
                <w:sz w:val="6"/>
                <w:szCs w:val="16"/>
                <w:lang w:eastAsia="en-US"/>
              </w:rPr>
              <w:t>është</w:t>
            </w:r>
            <w:r w:rsidRPr="00024D5A">
              <w:rPr>
                <w:rFonts w:ascii="Garamond" w:eastAsia="Times New Roman" w:hAnsi="Garamond"/>
                <w:sz w:val="6"/>
                <w:szCs w:val="16"/>
                <w:lang w:eastAsia="en-US"/>
              </w:rPr>
              <w:t xml:space="preserve"> zbatuar.</w:t>
            </w:r>
          </w:p>
        </w:tc>
        <w:tc>
          <w:tcPr>
            <w:tcW w:w="567" w:type="dxa"/>
            <w:tcBorders>
              <w:top w:val="nil"/>
              <w:left w:val="nil"/>
              <w:bottom w:val="single" w:sz="4" w:space="0" w:color="auto"/>
              <w:right w:val="single" w:sz="4" w:space="0" w:color="auto"/>
            </w:tcBorders>
            <w:hideMark/>
          </w:tcPr>
          <w:p w14:paraId="61A8C58F"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2028</w:t>
            </w:r>
          </w:p>
        </w:tc>
        <w:tc>
          <w:tcPr>
            <w:tcW w:w="567" w:type="dxa"/>
            <w:tcBorders>
              <w:top w:val="nil"/>
              <w:left w:val="nil"/>
              <w:bottom w:val="single" w:sz="4" w:space="0" w:color="auto"/>
              <w:right w:val="single" w:sz="4" w:space="0" w:color="auto"/>
            </w:tcBorders>
            <w:hideMark/>
          </w:tcPr>
          <w:p w14:paraId="22AFED19"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52278C02"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w:t>
            </w:r>
          </w:p>
        </w:tc>
        <w:tc>
          <w:tcPr>
            <w:tcW w:w="1418" w:type="dxa"/>
            <w:tcBorders>
              <w:top w:val="nil"/>
              <w:left w:val="nil"/>
              <w:bottom w:val="single" w:sz="4" w:space="0" w:color="auto"/>
              <w:right w:val="single" w:sz="8" w:space="0" w:color="auto"/>
            </w:tcBorders>
            <w:hideMark/>
          </w:tcPr>
          <w:p w14:paraId="5232FDD8"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SHSSH</w:t>
            </w:r>
          </w:p>
        </w:tc>
        <w:tc>
          <w:tcPr>
            <w:tcW w:w="708" w:type="dxa"/>
            <w:tcBorders>
              <w:top w:val="nil"/>
              <w:left w:val="single" w:sz="4" w:space="0" w:color="auto"/>
              <w:bottom w:val="single" w:sz="4" w:space="0" w:color="auto"/>
              <w:right w:val="single" w:sz="4" w:space="0" w:color="auto"/>
            </w:tcBorders>
            <w:hideMark/>
          </w:tcPr>
          <w:p w14:paraId="09412E80" w14:textId="7600618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24A18E9D" w14:textId="4ADDFA3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64E8D3A8" w14:textId="6368DAE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1,109</w:t>
            </w:r>
          </w:p>
        </w:tc>
        <w:tc>
          <w:tcPr>
            <w:tcW w:w="1134" w:type="dxa"/>
            <w:tcBorders>
              <w:top w:val="nil"/>
              <w:left w:val="nil"/>
              <w:bottom w:val="single" w:sz="4" w:space="0" w:color="auto"/>
              <w:right w:val="single" w:sz="4" w:space="0" w:color="auto"/>
            </w:tcBorders>
            <w:hideMark/>
          </w:tcPr>
          <w:p w14:paraId="530CBDD4" w14:textId="11B9341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1,155</w:t>
            </w:r>
          </w:p>
        </w:tc>
        <w:tc>
          <w:tcPr>
            <w:tcW w:w="1615" w:type="dxa"/>
            <w:tcBorders>
              <w:top w:val="nil"/>
              <w:left w:val="nil"/>
              <w:bottom w:val="single" w:sz="4" w:space="0" w:color="auto"/>
              <w:right w:val="single" w:sz="4" w:space="0" w:color="auto"/>
            </w:tcBorders>
            <w:hideMark/>
          </w:tcPr>
          <w:p w14:paraId="2ADB5A24" w14:textId="22288E4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1,109</w:t>
            </w:r>
          </w:p>
        </w:tc>
      </w:tr>
      <w:tr w:rsidR="00B807EE" w:rsidRPr="00024D5A" w14:paraId="677EFC52"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5E8E9425" w14:textId="66019D0D"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2.1.9 Përmirësimi i </w:t>
            </w:r>
            <w:r w:rsidR="005016FE" w:rsidRPr="00024D5A">
              <w:rPr>
                <w:rFonts w:ascii="Garamond" w:eastAsia="Times New Roman" w:hAnsi="Garamond"/>
                <w:sz w:val="6"/>
                <w:szCs w:val="16"/>
                <w:lang w:eastAsia="en-US"/>
              </w:rPr>
              <w:t>standardeve</w:t>
            </w:r>
            <w:r w:rsidRPr="00024D5A">
              <w:rPr>
                <w:rFonts w:ascii="Garamond" w:eastAsia="Times New Roman" w:hAnsi="Garamond"/>
                <w:sz w:val="6"/>
                <w:szCs w:val="16"/>
                <w:lang w:eastAsia="en-US"/>
              </w:rPr>
              <w:t xml:space="preserve"> ekzistuese e hartimi i atyre të reja për çdo shërbim,</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nën frymën e përfshirjes në to të element</w:t>
            </w:r>
            <w:r w:rsidR="005016FE" w:rsidRPr="00024D5A">
              <w:rPr>
                <w:rFonts w:ascii="Garamond" w:eastAsia="Times New Roman" w:hAnsi="Garamond"/>
                <w:sz w:val="6"/>
                <w:szCs w:val="16"/>
                <w:lang w:eastAsia="en-US"/>
              </w:rPr>
              <w:t>e</w:t>
            </w:r>
            <w:r w:rsidRPr="00024D5A">
              <w:rPr>
                <w:rFonts w:ascii="Garamond" w:eastAsia="Times New Roman" w:hAnsi="Garamond"/>
                <w:sz w:val="6"/>
                <w:szCs w:val="16"/>
                <w:lang w:eastAsia="en-US"/>
              </w:rPr>
              <w:t xml:space="preserve">ve që çojnë drejt shërbimeve gjithëpërfshirëse për personat me aftësi të kufizuara, sipas Kornizës së </w:t>
            </w:r>
            <w:r w:rsidR="005016FE" w:rsidRPr="00024D5A">
              <w:rPr>
                <w:rFonts w:ascii="Garamond" w:eastAsia="Times New Roman" w:hAnsi="Garamond"/>
                <w:sz w:val="6"/>
                <w:szCs w:val="16"/>
                <w:lang w:eastAsia="en-US"/>
              </w:rPr>
              <w:t>Standardeve</w:t>
            </w:r>
            <w:r w:rsidRPr="00024D5A">
              <w:rPr>
                <w:rFonts w:ascii="Garamond" w:eastAsia="Times New Roman" w:hAnsi="Garamond"/>
                <w:sz w:val="6"/>
                <w:szCs w:val="16"/>
                <w:lang w:eastAsia="en-US"/>
              </w:rPr>
              <w:t xml:space="preserve"> Bazë të Cilësisë për Shërbimet e Kujdesit Shoqëror; </w:t>
            </w:r>
            <w:r w:rsidR="00BF4FA2" w:rsidRPr="00024D5A">
              <w:rPr>
                <w:rFonts w:ascii="Garamond" w:eastAsia="Times New Roman" w:hAnsi="Garamond"/>
                <w:sz w:val="6"/>
                <w:szCs w:val="16"/>
                <w:lang w:eastAsia="en-US"/>
              </w:rPr>
              <w:t xml:space="preserve">përfshirja </w:t>
            </w:r>
            <w:r w:rsidRPr="00024D5A">
              <w:rPr>
                <w:rFonts w:ascii="Garamond" w:eastAsia="Times New Roman" w:hAnsi="Garamond"/>
                <w:sz w:val="6"/>
                <w:szCs w:val="16"/>
                <w:lang w:eastAsia="en-US"/>
              </w:rPr>
              <w:t xml:space="preserve">e </w:t>
            </w:r>
            <w:r w:rsidR="005016FE" w:rsidRPr="00024D5A">
              <w:rPr>
                <w:rFonts w:ascii="Garamond" w:eastAsia="Times New Roman" w:hAnsi="Garamond"/>
                <w:sz w:val="6"/>
                <w:szCs w:val="16"/>
                <w:lang w:eastAsia="en-US"/>
              </w:rPr>
              <w:t>standardeve</w:t>
            </w:r>
            <w:r w:rsidRPr="00024D5A">
              <w:rPr>
                <w:rFonts w:ascii="Garamond" w:eastAsia="Times New Roman" w:hAnsi="Garamond"/>
                <w:sz w:val="6"/>
                <w:szCs w:val="16"/>
                <w:lang w:eastAsia="en-US"/>
              </w:rPr>
              <w:t xml:space="preserve"> të aksesueshmërisë</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në dizenjimin e çdo shërbimi, qoftë ky gjithëpërfshirës apo specifik për personat me aftësi të kufizuara</w:t>
            </w:r>
            <w:r w:rsidR="00BF4FA2">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1ED62C5B"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2027</w:t>
            </w:r>
          </w:p>
        </w:tc>
        <w:tc>
          <w:tcPr>
            <w:tcW w:w="567" w:type="dxa"/>
            <w:tcBorders>
              <w:top w:val="nil"/>
              <w:left w:val="nil"/>
              <w:bottom w:val="single" w:sz="4" w:space="0" w:color="auto"/>
              <w:right w:val="single" w:sz="4" w:space="0" w:color="auto"/>
            </w:tcBorders>
            <w:hideMark/>
          </w:tcPr>
          <w:p w14:paraId="19705B87"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067413ED"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w:t>
            </w:r>
          </w:p>
        </w:tc>
        <w:tc>
          <w:tcPr>
            <w:tcW w:w="1418" w:type="dxa"/>
            <w:tcBorders>
              <w:top w:val="nil"/>
              <w:left w:val="nil"/>
              <w:bottom w:val="single" w:sz="4" w:space="0" w:color="auto"/>
              <w:right w:val="single" w:sz="8" w:space="0" w:color="auto"/>
            </w:tcBorders>
            <w:hideMark/>
          </w:tcPr>
          <w:p w14:paraId="2E2D2252"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SHSSH</w:t>
            </w:r>
          </w:p>
        </w:tc>
        <w:tc>
          <w:tcPr>
            <w:tcW w:w="708" w:type="dxa"/>
            <w:tcBorders>
              <w:top w:val="nil"/>
              <w:left w:val="single" w:sz="4" w:space="0" w:color="auto"/>
              <w:bottom w:val="single" w:sz="4" w:space="0" w:color="auto"/>
              <w:right w:val="single" w:sz="4" w:space="0" w:color="auto"/>
            </w:tcBorders>
            <w:hideMark/>
          </w:tcPr>
          <w:p w14:paraId="148A789C" w14:textId="79B9856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1F41C3D4" w14:textId="699823F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2,159</w:t>
            </w:r>
          </w:p>
        </w:tc>
        <w:tc>
          <w:tcPr>
            <w:tcW w:w="567" w:type="dxa"/>
            <w:tcBorders>
              <w:top w:val="nil"/>
              <w:left w:val="nil"/>
              <w:bottom w:val="single" w:sz="4" w:space="0" w:color="auto"/>
              <w:right w:val="single" w:sz="4" w:space="0" w:color="auto"/>
            </w:tcBorders>
            <w:hideMark/>
          </w:tcPr>
          <w:p w14:paraId="3902569C" w14:textId="430C327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2,159</w:t>
            </w:r>
          </w:p>
        </w:tc>
        <w:tc>
          <w:tcPr>
            <w:tcW w:w="1134" w:type="dxa"/>
            <w:tcBorders>
              <w:top w:val="nil"/>
              <w:left w:val="nil"/>
              <w:bottom w:val="single" w:sz="4" w:space="0" w:color="auto"/>
              <w:right w:val="single" w:sz="4" w:space="0" w:color="auto"/>
            </w:tcBorders>
            <w:hideMark/>
          </w:tcPr>
          <w:p w14:paraId="29C17A29" w14:textId="11E6FF9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2,159</w:t>
            </w:r>
          </w:p>
        </w:tc>
        <w:tc>
          <w:tcPr>
            <w:tcW w:w="1615" w:type="dxa"/>
            <w:tcBorders>
              <w:top w:val="nil"/>
              <w:left w:val="nil"/>
              <w:bottom w:val="single" w:sz="4" w:space="0" w:color="auto"/>
              <w:right w:val="single" w:sz="4" w:space="0" w:color="auto"/>
            </w:tcBorders>
            <w:hideMark/>
          </w:tcPr>
          <w:p w14:paraId="7E78486A" w14:textId="1D5944A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2,159</w:t>
            </w:r>
          </w:p>
        </w:tc>
      </w:tr>
      <w:tr w:rsidR="00B807EE" w:rsidRPr="00024D5A" w14:paraId="698CBD9D"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0DA2D2B3" w14:textId="4D00C312"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2.1.10</w:t>
            </w:r>
            <w:r w:rsidR="00BF4FA2">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Trajnimi i personelit për shërbimet alternative, si dhe për parandalimin e institucionalizimit (B3.2.8 SMS)</w:t>
            </w:r>
            <w:r w:rsidR="00BF4FA2">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3A79C8A3"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single" w:sz="4" w:space="0" w:color="auto"/>
            </w:tcBorders>
            <w:hideMark/>
          </w:tcPr>
          <w:p w14:paraId="6D12E41D"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08C610A5"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w:t>
            </w:r>
          </w:p>
        </w:tc>
        <w:tc>
          <w:tcPr>
            <w:tcW w:w="1418" w:type="dxa"/>
            <w:tcBorders>
              <w:top w:val="nil"/>
              <w:left w:val="nil"/>
              <w:bottom w:val="single" w:sz="4" w:space="0" w:color="auto"/>
              <w:right w:val="single" w:sz="8" w:space="0" w:color="auto"/>
            </w:tcBorders>
            <w:hideMark/>
          </w:tcPr>
          <w:p w14:paraId="317930D5"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SHSSH</w:t>
            </w:r>
          </w:p>
        </w:tc>
        <w:tc>
          <w:tcPr>
            <w:tcW w:w="708" w:type="dxa"/>
            <w:tcBorders>
              <w:top w:val="nil"/>
              <w:left w:val="single" w:sz="4" w:space="0" w:color="auto"/>
              <w:bottom w:val="single" w:sz="4" w:space="0" w:color="auto"/>
              <w:right w:val="single" w:sz="4" w:space="0" w:color="auto"/>
            </w:tcBorders>
            <w:hideMark/>
          </w:tcPr>
          <w:p w14:paraId="11531946" w14:textId="5111EAC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3BFD4741" w14:textId="54D3946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7EA3649F" w14:textId="69DCEF5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5D582A10" w14:textId="5056F35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1A527CDC" w14:textId="4C84512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2BB9A46D"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57532AFE" w14:textId="532E07EA"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2.1.11</w:t>
            </w:r>
            <w:r w:rsidR="00746D0F"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 xml:space="preserve">Monitorimi i procesit të deinstitucionalizmit; </w:t>
            </w:r>
            <w:r w:rsidR="00BF4FA2" w:rsidRPr="00024D5A">
              <w:rPr>
                <w:rFonts w:ascii="Garamond" w:eastAsia="Times New Roman" w:hAnsi="Garamond"/>
                <w:sz w:val="6"/>
                <w:szCs w:val="16"/>
                <w:lang w:eastAsia="en-US"/>
              </w:rPr>
              <w:t xml:space="preserve">ndërtimi </w:t>
            </w:r>
            <w:r w:rsidRPr="00024D5A">
              <w:rPr>
                <w:rFonts w:ascii="Garamond" w:eastAsia="Times New Roman" w:hAnsi="Garamond"/>
                <w:sz w:val="6"/>
                <w:szCs w:val="16"/>
                <w:lang w:eastAsia="en-US"/>
              </w:rPr>
              <w:t>i bazës së të dhënave dhe treguesve, si dhe qartësimi i</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përgjegjësive për mbledhjen dhe përditësimin e të dhënave për kujdestarinë alternative, përfshirë të dhënat cilësore (fëmijë dhe të rritur) (B3.2.10 i SMS)</w:t>
            </w:r>
            <w:r w:rsidR="00BF4FA2">
              <w:rPr>
                <w:rFonts w:ascii="Garamond" w:eastAsia="Times New Roman" w:hAnsi="Garamond"/>
                <w:sz w:val="6"/>
                <w:szCs w:val="16"/>
                <w:lang w:eastAsia="en-US"/>
              </w:rPr>
              <w:t>.</w:t>
            </w:r>
            <w:r w:rsidR="008F29FA" w:rsidRPr="00024D5A">
              <w:rPr>
                <w:rFonts w:ascii="Garamond" w:eastAsia="Times New Roman" w:hAnsi="Garamond"/>
                <w:sz w:val="6"/>
                <w:szCs w:val="16"/>
                <w:lang w:eastAsia="en-US"/>
              </w:rPr>
              <w:t xml:space="preserve"> </w:t>
            </w:r>
          </w:p>
        </w:tc>
        <w:tc>
          <w:tcPr>
            <w:tcW w:w="567" w:type="dxa"/>
            <w:tcBorders>
              <w:top w:val="nil"/>
              <w:left w:val="nil"/>
              <w:bottom w:val="single" w:sz="4" w:space="0" w:color="auto"/>
              <w:right w:val="single" w:sz="4" w:space="0" w:color="auto"/>
            </w:tcBorders>
            <w:hideMark/>
          </w:tcPr>
          <w:p w14:paraId="2CA52EE3"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2028</w:t>
            </w:r>
          </w:p>
        </w:tc>
        <w:tc>
          <w:tcPr>
            <w:tcW w:w="567" w:type="dxa"/>
            <w:tcBorders>
              <w:top w:val="nil"/>
              <w:left w:val="nil"/>
              <w:bottom w:val="single" w:sz="4" w:space="0" w:color="auto"/>
              <w:right w:val="single" w:sz="4" w:space="0" w:color="auto"/>
            </w:tcBorders>
            <w:hideMark/>
          </w:tcPr>
          <w:p w14:paraId="5804816C"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3FE5E699"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w:t>
            </w:r>
          </w:p>
        </w:tc>
        <w:tc>
          <w:tcPr>
            <w:tcW w:w="1418" w:type="dxa"/>
            <w:tcBorders>
              <w:top w:val="nil"/>
              <w:left w:val="nil"/>
              <w:bottom w:val="single" w:sz="4" w:space="0" w:color="auto"/>
              <w:right w:val="single" w:sz="8" w:space="0" w:color="auto"/>
            </w:tcBorders>
            <w:hideMark/>
          </w:tcPr>
          <w:p w14:paraId="71CC57AB"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SHSSH</w:t>
            </w:r>
          </w:p>
        </w:tc>
        <w:tc>
          <w:tcPr>
            <w:tcW w:w="708" w:type="dxa"/>
            <w:tcBorders>
              <w:top w:val="nil"/>
              <w:left w:val="single" w:sz="4" w:space="0" w:color="auto"/>
              <w:bottom w:val="single" w:sz="4" w:space="0" w:color="auto"/>
              <w:right w:val="single" w:sz="4" w:space="0" w:color="auto"/>
            </w:tcBorders>
            <w:hideMark/>
          </w:tcPr>
          <w:p w14:paraId="474C1E07" w14:textId="6AEE762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4E28C364" w14:textId="3BCEA84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0CDCACCC" w14:textId="523CDEB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08DDBCF1" w14:textId="194A31E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3DA6312F" w14:textId="1AD2227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16336159"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0BE5C6F6" w14:textId="27F2800A"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2.1.12</w:t>
            </w:r>
            <w:r w:rsidR="00746D0F"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Kryerja e vlerësimeve periodike të plota të nevojave, aftësive dhe preferencave të të rriturve, duke përfshirë kujdestarët/familjarët, profesionistët dhe vetë përfituesit në proces (B3.2.11 i SMS)</w:t>
            </w:r>
            <w:r w:rsidR="00BF4FA2">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090E8B49"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2027</w:t>
            </w:r>
          </w:p>
        </w:tc>
        <w:tc>
          <w:tcPr>
            <w:tcW w:w="567" w:type="dxa"/>
            <w:tcBorders>
              <w:top w:val="nil"/>
              <w:left w:val="nil"/>
              <w:bottom w:val="single" w:sz="4" w:space="0" w:color="auto"/>
              <w:right w:val="single" w:sz="4" w:space="0" w:color="auto"/>
            </w:tcBorders>
            <w:hideMark/>
          </w:tcPr>
          <w:p w14:paraId="0E0220AD"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02AC4652"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w:t>
            </w:r>
          </w:p>
        </w:tc>
        <w:tc>
          <w:tcPr>
            <w:tcW w:w="1418" w:type="dxa"/>
            <w:tcBorders>
              <w:top w:val="nil"/>
              <w:left w:val="nil"/>
              <w:bottom w:val="single" w:sz="4" w:space="0" w:color="auto"/>
              <w:right w:val="single" w:sz="8" w:space="0" w:color="auto"/>
            </w:tcBorders>
            <w:hideMark/>
          </w:tcPr>
          <w:p w14:paraId="2612777B"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SHSSH</w:t>
            </w:r>
          </w:p>
        </w:tc>
        <w:tc>
          <w:tcPr>
            <w:tcW w:w="708" w:type="dxa"/>
            <w:tcBorders>
              <w:top w:val="nil"/>
              <w:left w:val="single" w:sz="4" w:space="0" w:color="auto"/>
              <w:bottom w:val="single" w:sz="4" w:space="0" w:color="auto"/>
              <w:right w:val="single" w:sz="4" w:space="0" w:color="auto"/>
            </w:tcBorders>
            <w:hideMark/>
          </w:tcPr>
          <w:p w14:paraId="2D7E6C4C" w14:textId="7880FD8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9,760</w:t>
            </w:r>
          </w:p>
        </w:tc>
        <w:tc>
          <w:tcPr>
            <w:tcW w:w="567" w:type="dxa"/>
            <w:tcBorders>
              <w:top w:val="nil"/>
              <w:left w:val="nil"/>
              <w:bottom w:val="single" w:sz="4" w:space="0" w:color="auto"/>
              <w:right w:val="single" w:sz="4" w:space="0" w:color="auto"/>
            </w:tcBorders>
            <w:hideMark/>
          </w:tcPr>
          <w:p w14:paraId="660D7C72" w14:textId="74F395A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9,760</w:t>
            </w:r>
          </w:p>
        </w:tc>
        <w:tc>
          <w:tcPr>
            <w:tcW w:w="567" w:type="dxa"/>
            <w:tcBorders>
              <w:top w:val="nil"/>
              <w:left w:val="nil"/>
              <w:bottom w:val="single" w:sz="4" w:space="0" w:color="auto"/>
              <w:right w:val="single" w:sz="4" w:space="0" w:color="auto"/>
            </w:tcBorders>
            <w:hideMark/>
          </w:tcPr>
          <w:p w14:paraId="2E6BFD47" w14:textId="4BADEB9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9,760</w:t>
            </w:r>
          </w:p>
        </w:tc>
        <w:tc>
          <w:tcPr>
            <w:tcW w:w="1134" w:type="dxa"/>
            <w:tcBorders>
              <w:top w:val="nil"/>
              <w:left w:val="nil"/>
              <w:bottom w:val="single" w:sz="4" w:space="0" w:color="auto"/>
              <w:right w:val="single" w:sz="4" w:space="0" w:color="auto"/>
            </w:tcBorders>
            <w:hideMark/>
          </w:tcPr>
          <w:p w14:paraId="7FE05ACA" w14:textId="77F8F89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9,760</w:t>
            </w:r>
          </w:p>
        </w:tc>
        <w:tc>
          <w:tcPr>
            <w:tcW w:w="1615" w:type="dxa"/>
            <w:tcBorders>
              <w:top w:val="nil"/>
              <w:left w:val="nil"/>
              <w:bottom w:val="single" w:sz="4" w:space="0" w:color="auto"/>
              <w:right w:val="single" w:sz="4" w:space="0" w:color="auto"/>
            </w:tcBorders>
            <w:hideMark/>
          </w:tcPr>
          <w:p w14:paraId="5D07FAF5" w14:textId="2BFD053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9,760</w:t>
            </w:r>
          </w:p>
        </w:tc>
      </w:tr>
      <w:tr w:rsidR="00B807EE" w:rsidRPr="00024D5A" w14:paraId="57F14A39"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4C2A4CBA" w14:textId="2DFDD37F"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2.1.13 Vlerësim i cilësisë së shërbimeve të marra në çdo qendër shërbimesh në nivel të njësisë së vetëqeverisjes vendore, fokusuar në perceptimin e vetë personave me aftësi të kufizuara dhe të familjarëve të tyre.</w:t>
            </w:r>
          </w:p>
        </w:tc>
        <w:tc>
          <w:tcPr>
            <w:tcW w:w="567" w:type="dxa"/>
            <w:tcBorders>
              <w:top w:val="nil"/>
              <w:left w:val="nil"/>
              <w:bottom w:val="single" w:sz="4" w:space="0" w:color="auto"/>
              <w:right w:val="single" w:sz="4" w:space="0" w:color="auto"/>
            </w:tcBorders>
            <w:hideMark/>
          </w:tcPr>
          <w:p w14:paraId="0DCE5AA8"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2028</w:t>
            </w:r>
          </w:p>
        </w:tc>
        <w:tc>
          <w:tcPr>
            <w:tcW w:w="567" w:type="dxa"/>
            <w:tcBorders>
              <w:top w:val="nil"/>
              <w:left w:val="nil"/>
              <w:bottom w:val="single" w:sz="4" w:space="0" w:color="auto"/>
              <w:right w:val="single" w:sz="4" w:space="0" w:color="auto"/>
            </w:tcBorders>
            <w:hideMark/>
          </w:tcPr>
          <w:p w14:paraId="4078A5C4"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6F7C15A9"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ASCK</w:t>
            </w:r>
          </w:p>
        </w:tc>
        <w:tc>
          <w:tcPr>
            <w:tcW w:w="1418" w:type="dxa"/>
            <w:tcBorders>
              <w:top w:val="nil"/>
              <w:left w:val="nil"/>
              <w:bottom w:val="single" w:sz="4" w:space="0" w:color="auto"/>
              <w:right w:val="single" w:sz="8" w:space="0" w:color="auto"/>
            </w:tcBorders>
            <w:hideMark/>
          </w:tcPr>
          <w:p w14:paraId="0657DCD9"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SHSSH</w:t>
            </w:r>
          </w:p>
        </w:tc>
        <w:tc>
          <w:tcPr>
            <w:tcW w:w="708" w:type="dxa"/>
            <w:tcBorders>
              <w:top w:val="nil"/>
              <w:left w:val="single" w:sz="4" w:space="0" w:color="auto"/>
              <w:bottom w:val="single" w:sz="4" w:space="0" w:color="auto"/>
              <w:right w:val="single" w:sz="4" w:space="0" w:color="auto"/>
            </w:tcBorders>
            <w:hideMark/>
          </w:tcPr>
          <w:p w14:paraId="73C02C3F" w14:textId="4AC3FA6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2E6E6EAA" w14:textId="7319B8E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5D983A4F" w14:textId="2EA50E6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1,995</w:t>
            </w:r>
          </w:p>
        </w:tc>
        <w:tc>
          <w:tcPr>
            <w:tcW w:w="1134" w:type="dxa"/>
            <w:tcBorders>
              <w:top w:val="nil"/>
              <w:left w:val="nil"/>
              <w:bottom w:val="single" w:sz="4" w:space="0" w:color="auto"/>
              <w:right w:val="single" w:sz="4" w:space="0" w:color="auto"/>
            </w:tcBorders>
            <w:hideMark/>
          </w:tcPr>
          <w:p w14:paraId="3401DEA3" w14:textId="207E0A4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46C6E94F" w14:textId="5CF3972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1,995</w:t>
            </w:r>
          </w:p>
        </w:tc>
      </w:tr>
      <w:tr w:rsidR="00B807EE" w:rsidRPr="00024D5A" w14:paraId="24E4662C" w14:textId="77777777" w:rsidTr="002B321E">
        <w:trPr>
          <w:trHeight w:val="20"/>
        </w:trPr>
        <w:tc>
          <w:tcPr>
            <w:tcW w:w="4673" w:type="dxa"/>
            <w:tcBorders>
              <w:top w:val="nil"/>
              <w:left w:val="single" w:sz="4" w:space="0" w:color="auto"/>
              <w:bottom w:val="single" w:sz="4" w:space="0" w:color="auto"/>
              <w:right w:val="nil"/>
            </w:tcBorders>
            <w:shd w:val="clear" w:color="000000" w:fill="FDE9D9"/>
            <w:hideMark/>
          </w:tcPr>
          <w:p w14:paraId="5EB95455" w14:textId="30A54BE2"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Objektivi </w:t>
            </w:r>
            <w:r w:rsidR="00BF4FA2" w:rsidRPr="00024D5A">
              <w:rPr>
                <w:rFonts w:ascii="Garamond" w:eastAsia="Times New Roman" w:hAnsi="Garamond"/>
                <w:b/>
                <w:bCs/>
                <w:sz w:val="6"/>
                <w:szCs w:val="16"/>
                <w:lang w:eastAsia="en-US"/>
              </w:rPr>
              <w:t xml:space="preserve">specifik </w:t>
            </w:r>
            <w:r w:rsidRPr="00024D5A">
              <w:rPr>
                <w:rFonts w:ascii="Garamond" w:eastAsia="Times New Roman" w:hAnsi="Garamond"/>
                <w:b/>
                <w:bCs/>
                <w:sz w:val="6"/>
                <w:szCs w:val="16"/>
                <w:lang w:eastAsia="en-US"/>
              </w:rPr>
              <w:t>3</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Të mundësohet që të gjithë personat me aftësi të kufizuara në Shqipëri të kenë mundësi reale dhe të barabarta për të jetuar në komunitet, me zgjedhje dhe kontroll mbi jetën e tyre, përmes strehimit të aksesueshëm, mbështetjes individuale, shërbimeve të bazuara në komunitet dhe njohjes së plotë të kapacitetit ligjor, në përputhje me Konventën e OKB për të Drejtat e Personave me Aftësi të Kufizuara.</w:t>
            </w:r>
          </w:p>
        </w:tc>
        <w:tc>
          <w:tcPr>
            <w:tcW w:w="567" w:type="dxa"/>
            <w:tcBorders>
              <w:top w:val="nil"/>
              <w:left w:val="single" w:sz="4" w:space="0" w:color="auto"/>
              <w:bottom w:val="single" w:sz="4" w:space="0" w:color="auto"/>
              <w:right w:val="single" w:sz="4" w:space="0" w:color="auto"/>
            </w:tcBorders>
            <w:shd w:val="clear" w:color="000000" w:fill="FDE9D9"/>
            <w:hideMark/>
          </w:tcPr>
          <w:p w14:paraId="06E522BD"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shd w:val="clear" w:color="000000" w:fill="FDE9D9"/>
            <w:hideMark/>
          </w:tcPr>
          <w:p w14:paraId="1F7268AE"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shd w:val="clear" w:color="000000" w:fill="FDE9D9"/>
            <w:hideMark/>
          </w:tcPr>
          <w:p w14:paraId="0326A1A6"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MSHMS/MEI</w:t>
            </w:r>
          </w:p>
        </w:tc>
        <w:tc>
          <w:tcPr>
            <w:tcW w:w="1418" w:type="dxa"/>
            <w:tcBorders>
              <w:top w:val="nil"/>
              <w:left w:val="nil"/>
              <w:bottom w:val="single" w:sz="4" w:space="0" w:color="auto"/>
              <w:right w:val="single" w:sz="8" w:space="0" w:color="auto"/>
            </w:tcBorders>
            <w:shd w:val="clear" w:color="000000" w:fill="FDE9D9"/>
            <w:hideMark/>
          </w:tcPr>
          <w:p w14:paraId="7C1406E3" w14:textId="7DBA7809"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MEI/MSHMS</w:t>
            </w:r>
          </w:p>
        </w:tc>
        <w:tc>
          <w:tcPr>
            <w:tcW w:w="708" w:type="dxa"/>
            <w:tcBorders>
              <w:top w:val="nil"/>
              <w:left w:val="single" w:sz="4" w:space="0" w:color="auto"/>
              <w:bottom w:val="single" w:sz="4" w:space="0" w:color="auto"/>
              <w:right w:val="single" w:sz="4" w:space="0" w:color="auto"/>
            </w:tcBorders>
            <w:shd w:val="clear" w:color="000000" w:fill="FDE9D9"/>
            <w:hideMark/>
          </w:tcPr>
          <w:p w14:paraId="27592B67" w14:textId="18805D1A"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5,289</w:t>
            </w:r>
          </w:p>
        </w:tc>
        <w:tc>
          <w:tcPr>
            <w:tcW w:w="567" w:type="dxa"/>
            <w:tcBorders>
              <w:top w:val="nil"/>
              <w:left w:val="nil"/>
              <w:bottom w:val="single" w:sz="4" w:space="0" w:color="auto"/>
              <w:right w:val="single" w:sz="4" w:space="0" w:color="auto"/>
            </w:tcBorders>
            <w:shd w:val="clear" w:color="000000" w:fill="FDE9D9"/>
            <w:hideMark/>
          </w:tcPr>
          <w:p w14:paraId="22E2DF45" w14:textId="4AE61028"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16,580</w:t>
            </w:r>
          </w:p>
        </w:tc>
        <w:tc>
          <w:tcPr>
            <w:tcW w:w="567" w:type="dxa"/>
            <w:tcBorders>
              <w:top w:val="nil"/>
              <w:left w:val="nil"/>
              <w:bottom w:val="single" w:sz="4" w:space="0" w:color="auto"/>
              <w:right w:val="single" w:sz="4" w:space="0" w:color="auto"/>
            </w:tcBorders>
            <w:shd w:val="clear" w:color="000000" w:fill="FDE9D9"/>
            <w:hideMark/>
          </w:tcPr>
          <w:p w14:paraId="749C0D2A" w14:textId="560E6F54"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25,577</w:t>
            </w:r>
          </w:p>
        </w:tc>
        <w:tc>
          <w:tcPr>
            <w:tcW w:w="1134" w:type="dxa"/>
            <w:tcBorders>
              <w:top w:val="nil"/>
              <w:left w:val="nil"/>
              <w:bottom w:val="single" w:sz="4" w:space="0" w:color="auto"/>
              <w:right w:val="single" w:sz="4" w:space="0" w:color="auto"/>
            </w:tcBorders>
            <w:shd w:val="clear" w:color="000000" w:fill="FDE9D9"/>
            <w:hideMark/>
          </w:tcPr>
          <w:p w14:paraId="21B1FFD1" w14:textId="45F53813"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24,482</w:t>
            </w:r>
          </w:p>
        </w:tc>
        <w:tc>
          <w:tcPr>
            <w:tcW w:w="1615" w:type="dxa"/>
            <w:tcBorders>
              <w:top w:val="nil"/>
              <w:left w:val="nil"/>
              <w:bottom w:val="single" w:sz="4" w:space="0" w:color="auto"/>
              <w:right w:val="single" w:sz="4" w:space="0" w:color="auto"/>
            </w:tcBorders>
            <w:shd w:val="clear" w:color="000000" w:fill="FDE9D9"/>
            <w:hideMark/>
          </w:tcPr>
          <w:p w14:paraId="44AFBCA2" w14:textId="0235DA34"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26,827</w:t>
            </w:r>
          </w:p>
        </w:tc>
      </w:tr>
      <w:tr w:rsidR="00B807EE" w:rsidRPr="00024D5A" w14:paraId="5A91539B"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DCE6F1"/>
            <w:hideMark/>
          </w:tcPr>
          <w:p w14:paraId="69307F39" w14:textId="166C706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Masa </w:t>
            </w:r>
            <w:r w:rsidR="00BF4FA2" w:rsidRPr="00024D5A">
              <w:rPr>
                <w:rFonts w:ascii="Garamond" w:eastAsia="Times New Roman" w:hAnsi="Garamond"/>
                <w:b/>
                <w:bCs/>
                <w:sz w:val="6"/>
                <w:szCs w:val="16"/>
                <w:lang w:eastAsia="en-US"/>
              </w:rPr>
              <w:t xml:space="preserve">prioritare </w:t>
            </w:r>
            <w:r w:rsidRPr="00024D5A">
              <w:rPr>
                <w:rFonts w:ascii="Garamond" w:eastAsia="Times New Roman" w:hAnsi="Garamond"/>
                <w:b/>
                <w:bCs/>
                <w:sz w:val="6"/>
                <w:szCs w:val="16"/>
                <w:lang w:eastAsia="en-US"/>
              </w:rPr>
              <w:t>3.1</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Të garantohet e drejta e personave me aftësi të kufizuara për të jetuar në komunitet, me zgjedhje reale mbi ku, si dhe me kë jetojnë, përmes sigurimit të strehimit të aksesueshëm, shërbimeve mbështetëse në banesë dhe alternativave komunitare ndaj institucionalizimit.</w:t>
            </w:r>
          </w:p>
        </w:tc>
        <w:tc>
          <w:tcPr>
            <w:tcW w:w="567" w:type="dxa"/>
            <w:tcBorders>
              <w:top w:val="nil"/>
              <w:left w:val="nil"/>
              <w:bottom w:val="single" w:sz="4" w:space="0" w:color="auto"/>
              <w:right w:val="single" w:sz="4" w:space="0" w:color="auto"/>
            </w:tcBorders>
            <w:shd w:val="clear" w:color="000000" w:fill="DCE6F1"/>
            <w:hideMark/>
          </w:tcPr>
          <w:p w14:paraId="048D945D"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shd w:val="clear" w:color="000000" w:fill="DCE6F1"/>
            <w:hideMark/>
          </w:tcPr>
          <w:p w14:paraId="4681616B"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shd w:val="clear" w:color="000000" w:fill="DCE6F1"/>
            <w:hideMark/>
          </w:tcPr>
          <w:p w14:paraId="6C83111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MEI/MSHMS</w:t>
            </w:r>
          </w:p>
        </w:tc>
        <w:tc>
          <w:tcPr>
            <w:tcW w:w="1418" w:type="dxa"/>
            <w:tcBorders>
              <w:top w:val="nil"/>
              <w:left w:val="nil"/>
              <w:bottom w:val="single" w:sz="4" w:space="0" w:color="auto"/>
              <w:right w:val="single" w:sz="4" w:space="0" w:color="auto"/>
            </w:tcBorders>
            <w:shd w:val="clear" w:color="000000" w:fill="DCE6F1"/>
            <w:hideMark/>
          </w:tcPr>
          <w:p w14:paraId="7B33D401"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MEI/MSHMS</w:t>
            </w:r>
          </w:p>
        </w:tc>
        <w:tc>
          <w:tcPr>
            <w:tcW w:w="708" w:type="dxa"/>
            <w:tcBorders>
              <w:top w:val="nil"/>
              <w:left w:val="nil"/>
              <w:bottom w:val="single" w:sz="4" w:space="0" w:color="auto"/>
              <w:right w:val="single" w:sz="4" w:space="0" w:color="auto"/>
            </w:tcBorders>
            <w:shd w:val="clear" w:color="000000" w:fill="C5D9F1"/>
            <w:noWrap/>
            <w:hideMark/>
          </w:tcPr>
          <w:p w14:paraId="0E59282C" w14:textId="230A3A57"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shd w:val="clear" w:color="000000" w:fill="C5D9F1"/>
            <w:noWrap/>
            <w:hideMark/>
          </w:tcPr>
          <w:p w14:paraId="0D66D290" w14:textId="1BDE03F7"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2,345</w:t>
            </w:r>
          </w:p>
        </w:tc>
        <w:tc>
          <w:tcPr>
            <w:tcW w:w="567" w:type="dxa"/>
            <w:tcBorders>
              <w:top w:val="nil"/>
              <w:left w:val="nil"/>
              <w:bottom w:val="single" w:sz="4" w:space="0" w:color="auto"/>
              <w:right w:val="single" w:sz="4" w:space="0" w:color="auto"/>
            </w:tcBorders>
            <w:shd w:val="clear" w:color="000000" w:fill="C5D9F1"/>
            <w:noWrap/>
            <w:hideMark/>
          </w:tcPr>
          <w:p w14:paraId="3CA8A917" w14:textId="680008F2"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18,482</w:t>
            </w:r>
          </w:p>
        </w:tc>
        <w:tc>
          <w:tcPr>
            <w:tcW w:w="1134" w:type="dxa"/>
            <w:tcBorders>
              <w:top w:val="nil"/>
              <w:left w:val="nil"/>
              <w:bottom w:val="single" w:sz="4" w:space="0" w:color="auto"/>
              <w:right w:val="single" w:sz="4" w:space="0" w:color="auto"/>
            </w:tcBorders>
            <w:shd w:val="clear" w:color="000000" w:fill="C5D9F1"/>
            <w:noWrap/>
            <w:hideMark/>
          </w:tcPr>
          <w:p w14:paraId="2D6BBBD6" w14:textId="6D03E5DC"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18,482</w:t>
            </w:r>
          </w:p>
        </w:tc>
        <w:tc>
          <w:tcPr>
            <w:tcW w:w="1615" w:type="dxa"/>
            <w:tcBorders>
              <w:top w:val="nil"/>
              <w:left w:val="nil"/>
              <w:bottom w:val="single" w:sz="4" w:space="0" w:color="auto"/>
              <w:right w:val="single" w:sz="4" w:space="0" w:color="auto"/>
            </w:tcBorders>
            <w:shd w:val="clear" w:color="000000" w:fill="C5D9F1"/>
            <w:noWrap/>
            <w:hideMark/>
          </w:tcPr>
          <w:p w14:paraId="1911CA79" w14:textId="1E44BE5D"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20,827</w:t>
            </w:r>
          </w:p>
        </w:tc>
      </w:tr>
      <w:tr w:rsidR="00B807EE" w:rsidRPr="00024D5A" w14:paraId="74B992C2"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14413E5F" w14:textId="65FFADD6"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3.1.1</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Identifikimi dhe hartëzimi i personave me aftësi të kufizuar</w:t>
            </w:r>
            <w:r w:rsidR="00170447" w:rsidRPr="00024D5A">
              <w:rPr>
                <w:rFonts w:ascii="Garamond" w:eastAsia="Times New Roman" w:hAnsi="Garamond"/>
                <w:sz w:val="6"/>
                <w:szCs w:val="16"/>
                <w:lang w:eastAsia="en-US"/>
              </w:rPr>
              <w:t>a</w:t>
            </w:r>
            <w:r w:rsidRPr="00024D5A">
              <w:rPr>
                <w:rFonts w:ascii="Garamond" w:eastAsia="Times New Roman" w:hAnsi="Garamond"/>
                <w:sz w:val="6"/>
                <w:szCs w:val="16"/>
                <w:lang w:eastAsia="en-US"/>
              </w:rPr>
              <w:t xml:space="preserve"> në rrezik institucionalizimi në </w:t>
            </w:r>
            <w:r w:rsidR="005016FE" w:rsidRPr="00024D5A">
              <w:rPr>
                <w:rFonts w:ascii="Garamond" w:eastAsia="Times New Roman" w:hAnsi="Garamond"/>
                <w:sz w:val="6"/>
                <w:szCs w:val="16"/>
                <w:lang w:eastAsia="en-US"/>
              </w:rPr>
              <w:t>çdo</w:t>
            </w:r>
            <w:r w:rsidRPr="00024D5A">
              <w:rPr>
                <w:rFonts w:ascii="Garamond" w:eastAsia="Times New Roman" w:hAnsi="Garamond"/>
                <w:sz w:val="6"/>
                <w:szCs w:val="16"/>
                <w:lang w:eastAsia="en-US"/>
              </w:rPr>
              <w:t xml:space="preserve"> njësi administrative; </w:t>
            </w:r>
            <w:r w:rsidR="00BF4FA2" w:rsidRPr="00024D5A">
              <w:rPr>
                <w:rFonts w:ascii="Garamond" w:eastAsia="Times New Roman" w:hAnsi="Garamond"/>
                <w:sz w:val="6"/>
                <w:szCs w:val="16"/>
                <w:lang w:eastAsia="en-US"/>
              </w:rPr>
              <w:t xml:space="preserve">hartimi </w:t>
            </w:r>
            <w:r w:rsidRPr="00024D5A">
              <w:rPr>
                <w:rFonts w:ascii="Garamond" w:eastAsia="Times New Roman" w:hAnsi="Garamond"/>
                <w:sz w:val="6"/>
                <w:szCs w:val="16"/>
                <w:lang w:eastAsia="en-US"/>
              </w:rPr>
              <w:t xml:space="preserve">i një studimi kombëtar të nevojave për strehim të aksesueshëm për personat me </w:t>
            </w:r>
            <w:r w:rsidR="00BF4FA2" w:rsidRPr="00024D5A">
              <w:rPr>
                <w:rFonts w:ascii="Garamond" w:eastAsia="Times New Roman" w:hAnsi="Garamond"/>
                <w:sz w:val="6"/>
                <w:szCs w:val="16"/>
                <w:lang w:eastAsia="en-US"/>
              </w:rPr>
              <w:t>aftësi të kufizuara</w:t>
            </w:r>
            <w:r w:rsidRPr="00024D5A">
              <w:rPr>
                <w:rFonts w:ascii="Garamond" w:eastAsia="Times New Roman" w:hAnsi="Garamond"/>
                <w:sz w:val="6"/>
                <w:szCs w:val="16"/>
                <w:lang w:eastAsia="en-US"/>
              </w:rPr>
              <w:t>, me fokus në zvogëlimin e rrezikut të institucionalizimit</w:t>
            </w:r>
            <w:r w:rsidR="00BF4FA2">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26028CEB"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567" w:type="dxa"/>
            <w:tcBorders>
              <w:top w:val="nil"/>
              <w:left w:val="nil"/>
              <w:bottom w:val="single" w:sz="4" w:space="0" w:color="auto"/>
              <w:right w:val="single" w:sz="4" w:space="0" w:color="auto"/>
            </w:tcBorders>
            <w:hideMark/>
          </w:tcPr>
          <w:p w14:paraId="4AE4D502"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47CC8C10"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8" w:space="0" w:color="auto"/>
            </w:tcBorders>
            <w:noWrap/>
            <w:hideMark/>
          </w:tcPr>
          <w:p w14:paraId="0D260F97"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MEI</w:t>
            </w:r>
          </w:p>
        </w:tc>
        <w:tc>
          <w:tcPr>
            <w:tcW w:w="708" w:type="dxa"/>
            <w:tcBorders>
              <w:top w:val="nil"/>
              <w:left w:val="single" w:sz="4" w:space="0" w:color="auto"/>
              <w:bottom w:val="single" w:sz="4" w:space="0" w:color="auto"/>
              <w:right w:val="single" w:sz="4" w:space="0" w:color="auto"/>
            </w:tcBorders>
            <w:hideMark/>
          </w:tcPr>
          <w:p w14:paraId="0830DC2A" w14:textId="2FED0D3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557AF599" w14:textId="78A4D0E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2,345</w:t>
            </w:r>
          </w:p>
        </w:tc>
        <w:tc>
          <w:tcPr>
            <w:tcW w:w="567" w:type="dxa"/>
            <w:tcBorders>
              <w:top w:val="nil"/>
              <w:left w:val="nil"/>
              <w:bottom w:val="single" w:sz="4" w:space="0" w:color="auto"/>
              <w:right w:val="single" w:sz="4" w:space="0" w:color="auto"/>
            </w:tcBorders>
            <w:hideMark/>
          </w:tcPr>
          <w:p w14:paraId="692CCD37" w14:textId="49A8D8B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76C9A0A0" w14:textId="1BEB162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30241EAD" w14:textId="051CD70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2,345</w:t>
            </w:r>
          </w:p>
        </w:tc>
      </w:tr>
      <w:tr w:rsidR="00B807EE" w:rsidRPr="00024D5A" w14:paraId="40E42841"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0E401A5C" w14:textId="041CF56B"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3.1.2 Vlerësimi dhe vijimësia e aplikimit të kuotave për përfituesit me aftësi të kufizuara në banesat sociale</w:t>
            </w:r>
            <w:r w:rsidR="00BF4FA2">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4C3FF4E4"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4CA2B4E1"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190204B7"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MEI</w:t>
            </w:r>
          </w:p>
        </w:tc>
        <w:tc>
          <w:tcPr>
            <w:tcW w:w="1418" w:type="dxa"/>
            <w:tcBorders>
              <w:top w:val="nil"/>
              <w:left w:val="nil"/>
              <w:bottom w:val="single" w:sz="4" w:space="0" w:color="auto"/>
              <w:right w:val="single" w:sz="8" w:space="0" w:color="auto"/>
            </w:tcBorders>
            <w:noWrap/>
            <w:hideMark/>
          </w:tcPr>
          <w:p w14:paraId="7D7BA64F"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MEI</w:t>
            </w:r>
          </w:p>
        </w:tc>
        <w:tc>
          <w:tcPr>
            <w:tcW w:w="708" w:type="dxa"/>
            <w:tcBorders>
              <w:top w:val="nil"/>
              <w:left w:val="single" w:sz="4" w:space="0" w:color="auto"/>
              <w:bottom w:val="single" w:sz="4" w:space="0" w:color="auto"/>
              <w:right w:val="single" w:sz="4" w:space="0" w:color="auto"/>
            </w:tcBorders>
            <w:hideMark/>
          </w:tcPr>
          <w:p w14:paraId="0BA82FFF" w14:textId="0D203CC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4E45F086" w14:textId="304AA44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6C2928EE" w14:textId="528832E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02143404" w14:textId="2C2840F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5C1C332D" w14:textId="0289E28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31C4BB74"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0BE92D78" w14:textId="635D0F33"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3.1.3 Vlerësimi dhe vijimësia e përcaktimit të kuotave për subvencionimin e qerasë për persona me aftësi të kufizuara</w:t>
            </w:r>
            <w:r w:rsidR="00BF4FA2">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0B81FEA2"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15123C82"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77A80EC8"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MEI</w:t>
            </w:r>
          </w:p>
        </w:tc>
        <w:tc>
          <w:tcPr>
            <w:tcW w:w="1418" w:type="dxa"/>
            <w:tcBorders>
              <w:top w:val="nil"/>
              <w:left w:val="nil"/>
              <w:bottom w:val="single" w:sz="4" w:space="0" w:color="auto"/>
              <w:right w:val="single" w:sz="8" w:space="0" w:color="auto"/>
            </w:tcBorders>
            <w:noWrap/>
            <w:hideMark/>
          </w:tcPr>
          <w:p w14:paraId="054BFA68"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MEI</w:t>
            </w:r>
          </w:p>
        </w:tc>
        <w:tc>
          <w:tcPr>
            <w:tcW w:w="708" w:type="dxa"/>
            <w:tcBorders>
              <w:top w:val="nil"/>
              <w:left w:val="single" w:sz="4" w:space="0" w:color="auto"/>
              <w:bottom w:val="single" w:sz="4" w:space="0" w:color="auto"/>
              <w:right w:val="single" w:sz="4" w:space="0" w:color="auto"/>
            </w:tcBorders>
            <w:hideMark/>
          </w:tcPr>
          <w:p w14:paraId="4ED222E6" w14:textId="2BC4E2A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6E91B774" w14:textId="4400BDA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6737DE8A" w14:textId="1990E18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656148A5" w14:textId="1BB6CFB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602CCD16" w14:textId="1A2736B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5F7B1E55"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635831A5" w14:textId="1063E536"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3.1.4 Përgatitja e informacionit në formate të aksesueshëm mbi përfitimin e strehimi social</w:t>
            </w:r>
            <w:r w:rsidR="00BF4FA2">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49758558"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2028</w:t>
            </w:r>
          </w:p>
        </w:tc>
        <w:tc>
          <w:tcPr>
            <w:tcW w:w="567" w:type="dxa"/>
            <w:tcBorders>
              <w:top w:val="nil"/>
              <w:left w:val="nil"/>
              <w:bottom w:val="single" w:sz="4" w:space="0" w:color="auto"/>
              <w:right w:val="single" w:sz="4" w:space="0" w:color="auto"/>
            </w:tcBorders>
            <w:hideMark/>
          </w:tcPr>
          <w:p w14:paraId="3C896B38"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7EE30C8C"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MEI</w:t>
            </w:r>
          </w:p>
        </w:tc>
        <w:tc>
          <w:tcPr>
            <w:tcW w:w="1418" w:type="dxa"/>
            <w:tcBorders>
              <w:top w:val="nil"/>
              <w:left w:val="nil"/>
              <w:bottom w:val="single" w:sz="4" w:space="0" w:color="auto"/>
              <w:right w:val="single" w:sz="8" w:space="0" w:color="auto"/>
            </w:tcBorders>
            <w:noWrap/>
            <w:hideMark/>
          </w:tcPr>
          <w:p w14:paraId="67654274"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MEI</w:t>
            </w:r>
          </w:p>
        </w:tc>
        <w:tc>
          <w:tcPr>
            <w:tcW w:w="708" w:type="dxa"/>
            <w:tcBorders>
              <w:top w:val="nil"/>
              <w:left w:val="single" w:sz="4" w:space="0" w:color="auto"/>
              <w:bottom w:val="single" w:sz="4" w:space="0" w:color="auto"/>
              <w:right w:val="single" w:sz="4" w:space="0" w:color="auto"/>
            </w:tcBorders>
            <w:hideMark/>
          </w:tcPr>
          <w:p w14:paraId="32B3560D" w14:textId="5FC7EE2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24F8F882" w14:textId="44D2219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7E624726" w14:textId="26717DE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18,482</w:t>
            </w:r>
          </w:p>
        </w:tc>
        <w:tc>
          <w:tcPr>
            <w:tcW w:w="1134" w:type="dxa"/>
            <w:tcBorders>
              <w:top w:val="nil"/>
              <w:left w:val="nil"/>
              <w:bottom w:val="single" w:sz="4" w:space="0" w:color="auto"/>
              <w:right w:val="single" w:sz="4" w:space="0" w:color="auto"/>
            </w:tcBorders>
            <w:hideMark/>
          </w:tcPr>
          <w:p w14:paraId="1B50784A" w14:textId="35E2D4F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18,482</w:t>
            </w:r>
          </w:p>
        </w:tc>
        <w:tc>
          <w:tcPr>
            <w:tcW w:w="1615" w:type="dxa"/>
            <w:tcBorders>
              <w:top w:val="nil"/>
              <w:left w:val="nil"/>
              <w:bottom w:val="single" w:sz="4" w:space="0" w:color="auto"/>
              <w:right w:val="single" w:sz="4" w:space="0" w:color="auto"/>
            </w:tcBorders>
            <w:hideMark/>
          </w:tcPr>
          <w:p w14:paraId="79236F8B" w14:textId="7EA34C4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18,482</w:t>
            </w:r>
          </w:p>
        </w:tc>
      </w:tr>
      <w:tr w:rsidR="00B807EE" w:rsidRPr="00024D5A" w14:paraId="4ED8AE4F"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FFFFFF"/>
            <w:hideMark/>
          </w:tcPr>
          <w:p w14:paraId="11477FDE"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567" w:type="dxa"/>
            <w:tcBorders>
              <w:top w:val="nil"/>
              <w:left w:val="nil"/>
              <w:bottom w:val="single" w:sz="4" w:space="0" w:color="auto"/>
              <w:right w:val="single" w:sz="4" w:space="0" w:color="auto"/>
            </w:tcBorders>
            <w:shd w:val="clear" w:color="000000" w:fill="FFFFFF"/>
            <w:hideMark/>
          </w:tcPr>
          <w:p w14:paraId="7F012B15"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567" w:type="dxa"/>
            <w:tcBorders>
              <w:top w:val="nil"/>
              <w:left w:val="nil"/>
              <w:bottom w:val="single" w:sz="4" w:space="0" w:color="auto"/>
              <w:right w:val="single" w:sz="4" w:space="0" w:color="auto"/>
            </w:tcBorders>
            <w:shd w:val="clear" w:color="000000" w:fill="FFFFFF"/>
            <w:hideMark/>
          </w:tcPr>
          <w:p w14:paraId="6ADEB0C0"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1134" w:type="dxa"/>
            <w:tcBorders>
              <w:top w:val="nil"/>
              <w:left w:val="nil"/>
              <w:bottom w:val="single" w:sz="4" w:space="0" w:color="auto"/>
              <w:right w:val="single" w:sz="4" w:space="0" w:color="auto"/>
            </w:tcBorders>
            <w:shd w:val="clear" w:color="000000" w:fill="FFFFFF"/>
            <w:hideMark/>
          </w:tcPr>
          <w:p w14:paraId="7C2F93C8"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1418" w:type="dxa"/>
            <w:tcBorders>
              <w:top w:val="nil"/>
              <w:left w:val="nil"/>
              <w:bottom w:val="single" w:sz="4" w:space="0" w:color="auto"/>
              <w:right w:val="single" w:sz="8" w:space="0" w:color="auto"/>
            </w:tcBorders>
            <w:shd w:val="clear" w:color="000000" w:fill="FFFFFF"/>
            <w:noWrap/>
            <w:hideMark/>
          </w:tcPr>
          <w:p w14:paraId="48455E5C"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708" w:type="dxa"/>
            <w:tcBorders>
              <w:top w:val="nil"/>
              <w:left w:val="single" w:sz="4" w:space="0" w:color="auto"/>
              <w:bottom w:val="single" w:sz="4" w:space="0" w:color="auto"/>
              <w:right w:val="single" w:sz="4" w:space="0" w:color="auto"/>
            </w:tcBorders>
            <w:shd w:val="clear" w:color="000000" w:fill="FFFFFF"/>
            <w:hideMark/>
          </w:tcPr>
          <w:p w14:paraId="2841CF42" w14:textId="345CC97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shd w:val="clear" w:color="000000" w:fill="FFFFFF"/>
            <w:hideMark/>
          </w:tcPr>
          <w:p w14:paraId="7FB8D6A9" w14:textId="1B535B5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shd w:val="clear" w:color="000000" w:fill="FFFFFF"/>
            <w:hideMark/>
          </w:tcPr>
          <w:p w14:paraId="711020BB" w14:textId="2772865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shd w:val="clear" w:color="000000" w:fill="FFFFFF"/>
            <w:hideMark/>
          </w:tcPr>
          <w:p w14:paraId="12C49235" w14:textId="218D923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shd w:val="clear" w:color="000000" w:fill="FFFFFF"/>
            <w:hideMark/>
          </w:tcPr>
          <w:p w14:paraId="1A29C0DD" w14:textId="4DAFC51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2FD4736A"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69A3E63C"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567" w:type="dxa"/>
            <w:tcBorders>
              <w:top w:val="nil"/>
              <w:left w:val="nil"/>
              <w:bottom w:val="single" w:sz="4" w:space="0" w:color="auto"/>
              <w:right w:val="single" w:sz="4" w:space="0" w:color="auto"/>
            </w:tcBorders>
            <w:hideMark/>
          </w:tcPr>
          <w:p w14:paraId="4FC48E52"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567" w:type="dxa"/>
            <w:tcBorders>
              <w:top w:val="nil"/>
              <w:left w:val="nil"/>
              <w:bottom w:val="single" w:sz="4" w:space="0" w:color="auto"/>
              <w:right w:val="single" w:sz="4" w:space="0" w:color="auto"/>
            </w:tcBorders>
            <w:hideMark/>
          </w:tcPr>
          <w:p w14:paraId="4294C9AA"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1134" w:type="dxa"/>
            <w:tcBorders>
              <w:top w:val="nil"/>
              <w:left w:val="nil"/>
              <w:bottom w:val="single" w:sz="4" w:space="0" w:color="auto"/>
              <w:right w:val="single" w:sz="4" w:space="0" w:color="auto"/>
            </w:tcBorders>
            <w:hideMark/>
          </w:tcPr>
          <w:p w14:paraId="61094B7C"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1418" w:type="dxa"/>
            <w:tcBorders>
              <w:top w:val="nil"/>
              <w:left w:val="nil"/>
              <w:bottom w:val="single" w:sz="4" w:space="0" w:color="auto"/>
              <w:right w:val="single" w:sz="8" w:space="0" w:color="auto"/>
            </w:tcBorders>
            <w:noWrap/>
            <w:hideMark/>
          </w:tcPr>
          <w:p w14:paraId="3CA1ADE3"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708" w:type="dxa"/>
            <w:tcBorders>
              <w:top w:val="nil"/>
              <w:left w:val="single" w:sz="4" w:space="0" w:color="auto"/>
              <w:bottom w:val="single" w:sz="4" w:space="0" w:color="auto"/>
              <w:right w:val="single" w:sz="4" w:space="0" w:color="auto"/>
            </w:tcBorders>
            <w:hideMark/>
          </w:tcPr>
          <w:p w14:paraId="2198AF24" w14:textId="7C666AA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7983AB1A" w14:textId="5C5C4C0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4B47F909" w14:textId="5981443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23299A06" w14:textId="6C4C84D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0E06A429" w14:textId="1FD999A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28612428"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B8CCE4"/>
            <w:hideMark/>
          </w:tcPr>
          <w:p w14:paraId="045C7E08" w14:textId="5C781F2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Masa prioritare 3.2</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Të krijohet dhe zbatohet një program kombëtar i shërbimit të ndihmësit personal, në mbështetje të jetesës së pavarur, i standardizuar, i financuar dhe i monitoruar, që u mundëson personave me aftësi të kufizuara të kontrollojnë jetën e tyre, të marrin pjesë në komunitet.</w:t>
            </w:r>
          </w:p>
        </w:tc>
        <w:tc>
          <w:tcPr>
            <w:tcW w:w="567" w:type="dxa"/>
            <w:tcBorders>
              <w:top w:val="nil"/>
              <w:left w:val="nil"/>
              <w:bottom w:val="single" w:sz="4" w:space="0" w:color="auto"/>
              <w:right w:val="single" w:sz="4" w:space="0" w:color="auto"/>
            </w:tcBorders>
            <w:shd w:val="clear" w:color="000000" w:fill="B8CCE4"/>
            <w:noWrap/>
            <w:hideMark/>
          </w:tcPr>
          <w:p w14:paraId="6B5BA82F"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shd w:val="clear" w:color="000000" w:fill="B8CCE4"/>
            <w:noWrap/>
            <w:hideMark/>
          </w:tcPr>
          <w:p w14:paraId="36500484"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shd w:val="clear" w:color="000000" w:fill="B8CCE4"/>
            <w:noWrap/>
            <w:hideMark/>
          </w:tcPr>
          <w:p w14:paraId="36CA15F1"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8" w:space="0" w:color="auto"/>
            </w:tcBorders>
            <w:shd w:val="clear" w:color="000000" w:fill="B8CCE4"/>
            <w:noWrap/>
            <w:hideMark/>
          </w:tcPr>
          <w:p w14:paraId="01B89E2A"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SHSSH</w:t>
            </w:r>
          </w:p>
        </w:tc>
        <w:tc>
          <w:tcPr>
            <w:tcW w:w="708" w:type="dxa"/>
            <w:tcBorders>
              <w:top w:val="nil"/>
              <w:left w:val="single" w:sz="4" w:space="0" w:color="auto"/>
              <w:bottom w:val="single" w:sz="4" w:space="0" w:color="auto"/>
              <w:right w:val="single" w:sz="4" w:space="0" w:color="auto"/>
            </w:tcBorders>
            <w:shd w:val="clear" w:color="000000" w:fill="C5D9F1"/>
            <w:noWrap/>
            <w:hideMark/>
          </w:tcPr>
          <w:p w14:paraId="22985C0B" w14:textId="442D32C8"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4,789</w:t>
            </w:r>
          </w:p>
        </w:tc>
        <w:tc>
          <w:tcPr>
            <w:tcW w:w="567" w:type="dxa"/>
            <w:tcBorders>
              <w:top w:val="nil"/>
              <w:left w:val="nil"/>
              <w:bottom w:val="single" w:sz="4" w:space="0" w:color="auto"/>
              <w:right w:val="single" w:sz="4" w:space="0" w:color="auto"/>
            </w:tcBorders>
            <w:shd w:val="clear" w:color="000000" w:fill="C5D9F1"/>
            <w:noWrap/>
            <w:hideMark/>
          </w:tcPr>
          <w:p w14:paraId="4A0FE0F9" w14:textId="084BE54C"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12,734</w:t>
            </w:r>
          </w:p>
        </w:tc>
        <w:tc>
          <w:tcPr>
            <w:tcW w:w="567" w:type="dxa"/>
            <w:tcBorders>
              <w:top w:val="nil"/>
              <w:left w:val="nil"/>
              <w:bottom w:val="single" w:sz="4" w:space="0" w:color="auto"/>
              <w:right w:val="single" w:sz="4" w:space="0" w:color="auto"/>
            </w:tcBorders>
            <w:shd w:val="clear" w:color="000000" w:fill="C5D9F1"/>
            <w:noWrap/>
            <w:hideMark/>
          </w:tcPr>
          <w:p w14:paraId="5E368C2B" w14:textId="6A58A2E4"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6,595</w:t>
            </w:r>
          </w:p>
        </w:tc>
        <w:tc>
          <w:tcPr>
            <w:tcW w:w="1134" w:type="dxa"/>
            <w:tcBorders>
              <w:top w:val="nil"/>
              <w:left w:val="nil"/>
              <w:bottom w:val="single" w:sz="4" w:space="0" w:color="auto"/>
              <w:right w:val="single" w:sz="4" w:space="0" w:color="auto"/>
            </w:tcBorders>
            <w:shd w:val="clear" w:color="000000" w:fill="C5D9F1"/>
            <w:noWrap/>
            <w:hideMark/>
          </w:tcPr>
          <w:p w14:paraId="6DAC340C" w14:textId="448B0634"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6,000</w:t>
            </w:r>
          </w:p>
        </w:tc>
        <w:tc>
          <w:tcPr>
            <w:tcW w:w="1615" w:type="dxa"/>
            <w:tcBorders>
              <w:top w:val="nil"/>
              <w:left w:val="nil"/>
              <w:bottom w:val="single" w:sz="4" w:space="0" w:color="auto"/>
              <w:right w:val="single" w:sz="4" w:space="0" w:color="auto"/>
            </w:tcBorders>
            <w:shd w:val="clear" w:color="000000" w:fill="C5D9F1"/>
            <w:noWrap/>
            <w:hideMark/>
          </w:tcPr>
          <w:p w14:paraId="025595D1" w14:textId="72C3C883"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6,000</w:t>
            </w:r>
          </w:p>
        </w:tc>
      </w:tr>
      <w:tr w:rsidR="00B807EE" w:rsidRPr="00024D5A" w14:paraId="465A1CD6"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31B4D2F9" w14:textId="685E9AC2"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3.2.1 Kryerja e një studimi të vlerësimit të nevojës për shërbimin e ndihmësit personal, përmes një analize të thelluar ligjore dhe funksionale të skemave aktuale dhe</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 xml:space="preserve">parashikimeve për </w:t>
            </w:r>
            <w:r w:rsidR="005016FE" w:rsidRPr="00024D5A">
              <w:rPr>
                <w:rFonts w:ascii="Garamond" w:eastAsia="Times New Roman" w:hAnsi="Garamond"/>
                <w:sz w:val="6"/>
                <w:szCs w:val="16"/>
                <w:lang w:eastAsia="en-US"/>
              </w:rPr>
              <w:t>ndërhyrje</w:t>
            </w:r>
            <w:r w:rsidRPr="00024D5A">
              <w:rPr>
                <w:rFonts w:ascii="Garamond" w:eastAsia="Times New Roman" w:hAnsi="Garamond"/>
                <w:sz w:val="6"/>
                <w:szCs w:val="16"/>
                <w:lang w:eastAsia="en-US"/>
              </w:rPr>
              <w:t xml:space="preserve"> të nevojshme n</w:t>
            </w:r>
            <w:r w:rsidR="000E07F0"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kuadrin legjislativ t</w:t>
            </w:r>
            <w:r w:rsidR="00DB3C2A"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sh</w:t>
            </w:r>
            <w:r w:rsidR="00DB3C2A"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rbimeve sociale dhe n</w:t>
            </w:r>
            <w:r w:rsidR="00DB3C2A"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aktet n</w:t>
            </w:r>
            <w:r w:rsidR="000E07F0"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nligjore </w:t>
            </w:r>
            <w:r w:rsidR="005016FE" w:rsidRPr="00024D5A">
              <w:rPr>
                <w:rFonts w:ascii="Garamond" w:eastAsia="Times New Roman" w:hAnsi="Garamond"/>
                <w:sz w:val="6"/>
                <w:szCs w:val="16"/>
                <w:lang w:eastAsia="en-US"/>
              </w:rPr>
              <w:t>përkatëse</w:t>
            </w:r>
            <w:r w:rsidRPr="00024D5A">
              <w:rPr>
                <w:rFonts w:ascii="Garamond" w:eastAsia="Times New Roman" w:hAnsi="Garamond"/>
                <w:sz w:val="6"/>
                <w:szCs w:val="16"/>
                <w:lang w:eastAsia="en-US"/>
              </w:rPr>
              <w:t>, me q</w:t>
            </w:r>
            <w:r w:rsidR="000E07F0"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llim q</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ndihm</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si personal t</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funksionoj</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si nj</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sh</w:t>
            </w:r>
            <w:r w:rsidR="000E07F0" w:rsidRPr="00024D5A">
              <w:rPr>
                <w:rFonts w:ascii="Garamond" w:eastAsia="Times New Roman" w:hAnsi="Garamond"/>
                <w:sz w:val="6"/>
                <w:szCs w:val="16"/>
                <w:lang w:eastAsia="en-US"/>
              </w:rPr>
              <w:t>ër</w:t>
            </w:r>
            <w:r w:rsidRPr="00024D5A">
              <w:rPr>
                <w:rFonts w:ascii="Garamond" w:eastAsia="Times New Roman" w:hAnsi="Garamond"/>
                <w:sz w:val="6"/>
                <w:szCs w:val="16"/>
                <w:lang w:eastAsia="en-US"/>
              </w:rPr>
              <w:t>bim i mir</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strukturuar i jetes</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s s</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pavarur</w:t>
            </w:r>
            <w:r w:rsidR="00BF4FA2">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010E6D08"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217985D4"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1134" w:type="dxa"/>
            <w:tcBorders>
              <w:top w:val="nil"/>
              <w:left w:val="nil"/>
              <w:bottom w:val="single" w:sz="4" w:space="0" w:color="auto"/>
              <w:right w:val="single" w:sz="4" w:space="0" w:color="auto"/>
            </w:tcBorders>
            <w:hideMark/>
          </w:tcPr>
          <w:p w14:paraId="4E0FD927"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8" w:space="0" w:color="auto"/>
            </w:tcBorders>
            <w:hideMark/>
          </w:tcPr>
          <w:p w14:paraId="510A88EB"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SHSSH</w:t>
            </w:r>
          </w:p>
        </w:tc>
        <w:tc>
          <w:tcPr>
            <w:tcW w:w="708" w:type="dxa"/>
            <w:tcBorders>
              <w:top w:val="nil"/>
              <w:left w:val="single" w:sz="4" w:space="0" w:color="auto"/>
              <w:bottom w:val="single" w:sz="4" w:space="0" w:color="auto"/>
              <w:right w:val="single" w:sz="4" w:space="0" w:color="auto"/>
            </w:tcBorders>
            <w:hideMark/>
          </w:tcPr>
          <w:p w14:paraId="1C337624" w14:textId="2D2638A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1,295</w:t>
            </w:r>
          </w:p>
        </w:tc>
        <w:tc>
          <w:tcPr>
            <w:tcW w:w="567" w:type="dxa"/>
            <w:tcBorders>
              <w:top w:val="nil"/>
              <w:left w:val="nil"/>
              <w:bottom w:val="single" w:sz="4" w:space="0" w:color="auto"/>
              <w:right w:val="single" w:sz="4" w:space="0" w:color="auto"/>
            </w:tcBorders>
            <w:hideMark/>
          </w:tcPr>
          <w:p w14:paraId="7D480397" w14:textId="1AC47DD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1,295</w:t>
            </w:r>
          </w:p>
        </w:tc>
        <w:tc>
          <w:tcPr>
            <w:tcW w:w="567" w:type="dxa"/>
            <w:tcBorders>
              <w:top w:val="nil"/>
              <w:left w:val="nil"/>
              <w:bottom w:val="single" w:sz="4" w:space="0" w:color="auto"/>
              <w:right w:val="single" w:sz="4" w:space="0" w:color="auto"/>
            </w:tcBorders>
            <w:hideMark/>
          </w:tcPr>
          <w:p w14:paraId="4EBEA0C1" w14:textId="28F80E3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0229F158" w14:textId="37AAD63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1E1C7FA8" w14:textId="3625CEE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1755C578"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0A110F31" w14:textId="6E41AB89"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3.2.2 Hartimi i ndryshimeve ligjore e plotësimi </w:t>
            </w:r>
            <w:r w:rsidR="0059189E" w:rsidRPr="00024D5A">
              <w:rPr>
                <w:rFonts w:ascii="Garamond" w:eastAsia="Times New Roman" w:hAnsi="Garamond"/>
                <w:sz w:val="6"/>
                <w:szCs w:val="16"/>
                <w:lang w:eastAsia="en-US"/>
              </w:rPr>
              <w:t>i</w:t>
            </w:r>
            <w:r w:rsidRPr="00024D5A">
              <w:rPr>
                <w:rFonts w:ascii="Garamond" w:eastAsia="Times New Roman" w:hAnsi="Garamond"/>
                <w:sz w:val="6"/>
                <w:szCs w:val="16"/>
                <w:lang w:eastAsia="en-US"/>
              </w:rPr>
              <w:t xml:space="preserve"> tyre me akte nënligjore, bazuar në analizën e thelluar ligjore për ndihmësin personal</w:t>
            </w:r>
            <w:r w:rsidR="00BF4FA2">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4B808F4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1E05BE1C"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1134" w:type="dxa"/>
            <w:tcBorders>
              <w:top w:val="nil"/>
              <w:left w:val="nil"/>
              <w:bottom w:val="single" w:sz="4" w:space="0" w:color="auto"/>
              <w:right w:val="single" w:sz="4" w:space="0" w:color="auto"/>
            </w:tcBorders>
            <w:hideMark/>
          </w:tcPr>
          <w:p w14:paraId="5D5B02CD"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8" w:space="0" w:color="auto"/>
            </w:tcBorders>
            <w:hideMark/>
          </w:tcPr>
          <w:p w14:paraId="07874905"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SHSSH</w:t>
            </w:r>
          </w:p>
        </w:tc>
        <w:tc>
          <w:tcPr>
            <w:tcW w:w="708" w:type="dxa"/>
            <w:tcBorders>
              <w:top w:val="nil"/>
              <w:left w:val="single" w:sz="4" w:space="0" w:color="auto"/>
              <w:bottom w:val="single" w:sz="4" w:space="0" w:color="auto"/>
              <w:right w:val="single" w:sz="4" w:space="0" w:color="auto"/>
            </w:tcBorders>
            <w:hideMark/>
          </w:tcPr>
          <w:p w14:paraId="6C08F06C" w14:textId="4C999EB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1,295</w:t>
            </w:r>
          </w:p>
        </w:tc>
        <w:tc>
          <w:tcPr>
            <w:tcW w:w="567" w:type="dxa"/>
            <w:tcBorders>
              <w:top w:val="nil"/>
              <w:left w:val="nil"/>
              <w:bottom w:val="single" w:sz="4" w:space="0" w:color="auto"/>
              <w:right w:val="single" w:sz="4" w:space="0" w:color="auto"/>
            </w:tcBorders>
            <w:hideMark/>
          </w:tcPr>
          <w:p w14:paraId="2DFC5480" w14:textId="6458CC5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1,295</w:t>
            </w:r>
          </w:p>
        </w:tc>
        <w:tc>
          <w:tcPr>
            <w:tcW w:w="567" w:type="dxa"/>
            <w:tcBorders>
              <w:top w:val="nil"/>
              <w:left w:val="nil"/>
              <w:bottom w:val="single" w:sz="4" w:space="0" w:color="auto"/>
              <w:right w:val="single" w:sz="4" w:space="0" w:color="auto"/>
            </w:tcBorders>
            <w:hideMark/>
          </w:tcPr>
          <w:p w14:paraId="44427051" w14:textId="561B9AA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43DBA7A5" w14:textId="66C02ED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5CBB4513" w14:textId="3C21B58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4E95A904"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50853EB8" w14:textId="270E64E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3.2.3 Miratimi </w:t>
            </w:r>
            <w:r w:rsidR="00BF4FA2">
              <w:rPr>
                <w:rFonts w:ascii="Garamond" w:eastAsia="Times New Roman" w:hAnsi="Garamond"/>
                <w:sz w:val="6"/>
                <w:szCs w:val="16"/>
                <w:lang w:eastAsia="en-US"/>
              </w:rPr>
              <w:t>i</w:t>
            </w:r>
            <w:r w:rsidRPr="00024D5A">
              <w:rPr>
                <w:rFonts w:ascii="Garamond" w:eastAsia="Times New Roman" w:hAnsi="Garamond"/>
                <w:sz w:val="6"/>
                <w:szCs w:val="16"/>
                <w:lang w:eastAsia="en-US"/>
              </w:rPr>
              <w:t xml:space="preserve"> standardeve për shërbimin e ndihmësit personal, bazuar në udhëzimet e CRPD</w:t>
            </w:r>
            <w:r w:rsidR="00BF4FA2">
              <w:rPr>
                <w:rFonts w:ascii="Garamond" w:eastAsia="Times New Roman" w:hAnsi="Garamond"/>
                <w:sz w:val="6"/>
                <w:szCs w:val="16"/>
                <w:lang w:eastAsia="en-US"/>
              </w:rPr>
              <w:t>-në</w:t>
            </w:r>
            <w:r w:rsidRPr="00024D5A">
              <w:rPr>
                <w:rFonts w:ascii="Garamond" w:eastAsia="Times New Roman" w:hAnsi="Garamond"/>
                <w:sz w:val="6"/>
                <w:szCs w:val="16"/>
                <w:lang w:eastAsia="en-US"/>
              </w:rPr>
              <w:t xml:space="preserve"> dhe praktikat e vendeve të BE</w:t>
            </w:r>
            <w:r w:rsidR="00BF4FA2">
              <w:rPr>
                <w:rFonts w:ascii="Garamond" w:eastAsia="Times New Roman" w:hAnsi="Garamond"/>
                <w:sz w:val="6"/>
                <w:szCs w:val="16"/>
                <w:lang w:eastAsia="en-US"/>
              </w:rPr>
              <w:t>-së.</w:t>
            </w:r>
          </w:p>
        </w:tc>
        <w:tc>
          <w:tcPr>
            <w:tcW w:w="567" w:type="dxa"/>
            <w:tcBorders>
              <w:top w:val="nil"/>
              <w:left w:val="nil"/>
              <w:bottom w:val="single" w:sz="4" w:space="0" w:color="auto"/>
              <w:right w:val="single" w:sz="4" w:space="0" w:color="auto"/>
            </w:tcBorders>
            <w:hideMark/>
          </w:tcPr>
          <w:p w14:paraId="22C4068A"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553BB2F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1134" w:type="dxa"/>
            <w:tcBorders>
              <w:top w:val="nil"/>
              <w:left w:val="nil"/>
              <w:bottom w:val="single" w:sz="4" w:space="0" w:color="auto"/>
              <w:right w:val="single" w:sz="4" w:space="0" w:color="auto"/>
            </w:tcBorders>
            <w:hideMark/>
          </w:tcPr>
          <w:p w14:paraId="6E4DE84D"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8" w:space="0" w:color="auto"/>
            </w:tcBorders>
            <w:hideMark/>
          </w:tcPr>
          <w:p w14:paraId="3DD5B6C0"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SHSSH</w:t>
            </w:r>
          </w:p>
        </w:tc>
        <w:tc>
          <w:tcPr>
            <w:tcW w:w="708" w:type="dxa"/>
            <w:tcBorders>
              <w:top w:val="nil"/>
              <w:left w:val="single" w:sz="4" w:space="0" w:color="auto"/>
              <w:bottom w:val="single" w:sz="4" w:space="0" w:color="auto"/>
              <w:right w:val="single" w:sz="4" w:space="0" w:color="auto"/>
            </w:tcBorders>
            <w:hideMark/>
          </w:tcPr>
          <w:p w14:paraId="4AD0C96D" w14:textId="7761D99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473</w:t>
            </w:r>
          </w:p>
        </w:tc>
        <w:tc>
          <w:tcPr>
            <w:tcW w:w="567" w:type="dxa"/>
            <w:tcBorders>
              <w:top w:val="nil"/>
              <w:left w:val="nil"/>
              <w:bottom w:val="single" w:sz="4" w:space="0" w:color="auto"/>
              <w:right w:val="single" w:sz="4" w:space="0" w:color="auto"/>
            </w:tcBorders>
            <w:hideMark/>
          </w:tcPr>
          <w:p w14:paraId="46CC4718" w14:textId="2A5D829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473</w:t>
            </w:r>
          </w:p>
        </w:tc>
        <w:tc>
          <w:tcPr>
            <w:tcW w:w="567" w:type="dxa"/>
            <w:tcBorders>
              <w:top w:val="nil"/>
              <w:left w:val="nil"/>
              <w:bottom w:val="single" w:sz="4" w:space="0" w:color="auto"/>
              <w:right w:val="single" w:sz="4" w:space="0" w:color="auto"/>
            </w:tcBorders>
            <w:hideMark/>
          </w:tcPr>
          <w:p w14:paraId="25D03E29" w14:textId="5CF1B5F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40ED6796" w14:textId="6E27F5D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6EABC446" w14:textId="249BE82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734E1E47"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5E81D465" w14:textId="23FFCAA8"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3.2.4 Përmirësimi i mekanizmave të vlerësimit të nevojave për ndihmësin personal, përmes përmirësimit të formularëve dhe procedurave të aplikuara në KVAK biopsikosocial; </w:t>
            </w:r>
            <w:r w:rsidR="00BF4FA2" w:rsidRPr="00024D5A">
              <w:rPr>
                <w:rFonts w:ascii="Garamond" w:eastAsia="Times New Roman" w:hAnsi="Garamond"/>
                <w:sz w:val="6"/>
                <w:szCs w:val="16"/>
                <w:lang w:eastAsia="en-US"/>
              </w:rPr>
              <w:t xml:space="preserve">trajnime </w:t>
            </w:r>
            <w:r w:rsidRPr="00024D5A">
              <w:rPr>
                <w:rFonts w:ascii="Garamond" w:eastAsia="Times New Roman" w:hAnsi="Garamond"/>
                <w:sz w:val="6"/>
                <w:szCs w:val="16"/>
                <w:lang w:eastAsia="en-US"/>
              </w:rPr>
              <w:t>të stafeve të ekipeve multidisiplinare të vlerësimit biopsikosocial në të gjithë vendin</w:t>
            </w:r>
            <w:r w:rsidR="00BF4FA2">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35BE0DA5"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571E3C72"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1134" w:type="dxa"/>
            <w:tcBorders>
              <w:top w:val="nil"/>
              <w:left w:val="nil"/>
              <w:bottom w:val="single" w:sz="4" w:space="0" w:color="auto"/>
              <w:right w:val="single" w:sz="4" w:space="0" w:color="auto"/>
            </w:tcBorders>
            <w:hideMark/>
          </w:tcPr>
          <w:p w14:paraId="3E01C286"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8" w:space="0" w:color="auto"/>
            </w:tcBorders>
            <w:hideMark/>
          </w:tcPr>
          <w:p w14:paraId="649051BD"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SHSSH</w:t>
            </w:r>
          </w:p>
        </w:tc>
        <w:tc>
          <w:tcPr>
            <w:tcW w:w="708" w:type="dxa"/>
            <w:tcBorders>
              <w:top w:val="nil"/>
              <w:left w:val="single" w:sz="4" w:space="0" w:color="auto"/>
              <w:bottom w:val="single" w:sz="4" w:space="0" w:color="auto"/>
              <w:right w:val="single" w:sz="4" w:space="0" w:color="auto"/>
            </w:tcBorders>
            <w:hideMark/>
          </w:tcPr>
          <w:p w14:paraId="0F9CAF4E" w14:textId="4F10CDF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1,725</w:t>
            </w:r>
          </w:p>
        </w:tc>
        <w:tc>
          <w:tcPr>
            <w:tcW w:w="567" w:type="dxa"/>
            <w:tcBorders>
              <w:top w:val="nil"/>
              <w:left w:val="nil"/>
              <w:bottom w:val="single" w:sz="4" w:space="0" w:color="auto"/>
              <w:right w:val="single" w:sz="4" w:space="0" w:color="auto"/>
            </w:tcBorders>
            <w:hideMark/>
          </w:tcPr>
          <w:p w14:paraId="08FE0F8B" w14:textId="4529DFE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1,725</w:t>
            </w:r>
          </w:p>
        </w:tc>
        <w:tc>
          <w:tcPr>
            <w:tcW w:w="567" w:type="dxa"/>
            <w:tcBorders>
              <w:top w:val="nil"/>
              <w:left w:val="nil"/>
              <w:bottom w:val="single" w:sz="4" w:space="0" w:color="auto"/>
              <w:right w:val="single" w:sz="4" w:space="0" w:color="auto"/>
            </w:tcBorders>
            <w:hideMark/>
          </w:tcPr>
          <w:p w14:paraId="15A6F08F" w14:textId="76CA2BF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4067661B" w14:textId="227CE0B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59C4F093" w14:textId="2BBA4D9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5EC090AB"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16EC72B2" w14:textId="6642994B"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3.2.6 Hartimi i një akti normativ lidhur me financimin e shërbimit të ndihmësit personal, masën e financimit, procedurat e rekrutimit, monitorimit të shërbimit</w:t>
            </w:r>
            <w:r w:rsidR="00BF4FA2">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07F8D588"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567" w:type="dxa"/>
            <w:tcBorders>
              <w:top w:val="nil"/>
              <w:left w:val="nil"/>
              <w:bottom w:val="single" w:sz="4" w:space="0" w:color="auto"/>
              <w:right w:val="single" w:sz="4" w:space="0" w:color="auto"/>
            </w:tcBorders>
            <w:hideMark/>
          </w:tcPr>
          <w:p w14:paraId="70248517"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2028</w:t>
            </w:r>
          </w:p>
        </w:tc>
        <w:tc>
          <w:tcPr>
            <w:tcW w:w="1134" w:type="dxa"/>
            <w:tcBorders>
              <w:top w:val="nil"/>
              <w:left w:val="nil"/>
              <w:bottom w:val="single" w:sz="4" w:space="0" w:color="auto"/>
              <w:right w:val="single" w:sz="4" w:space="0" w:color="auto"/>
            </w:tcBorders>
            <w:hideMark/>
          </w:tcPr>
          <w:p w14:paraId="4412B685"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8" w:space="0" w:color="auto"/>
            </w:tcBorders>
            <w:hideMark/>
          </w:tcPr>
          <w:p w14:paraId="1CF0ED33"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SHSSH</w:t>
            </w:r>
          </w:p>
        </w:tc>
        <w:tc>
          <w:tcPr>
            <w:tcW w:w="708" w:type="dxa"/>
            <w:tcBorders>
              <w:top w:val="nil"/>
              <w:left w:val="single" w:sz="4" w:space="0" w:color="auto"/>
              <w:bottom w:val="single" w:sz="4" w:space="0" w:color="auto"/>
              <w:right w:val="single" w:sz="4" w:space="0" w:color="auto"/>
            </w:tcBorders>
            <w:hideMark/>
          </w:tcPr>
          <w:p w14:paraId="61C8920B" w14:textId="1DD931F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6697AC00" w14:textId="34FA175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945</w:t>
            </w:r>
          </w:p>
        </w:tc>
        <w:tc>
          <w:tcPr>
            <w:tcW w:w="567" w:type="dxa"/>
            <w:tcBorders>
              <w:top w:val="nil"/>
              <w:left w:val="nil"/>
              <w:bottom w:val="single" w:sz="4" w:space="0" w:color="auto"/>
              <w:right w:val="single" w:sz="4" w:space="0" w:color="auto"/>
            </w:tcBorders>
            <w:hideMark/>
          </w:tcPr>
          <w:p w14:paraId="63AE6D71" w14:textId="0919480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595</w:t>
            </w:r>
          </w:p>
        </w:tc>
        <w:tc>
          <w:tcPr>
            <w:tcW w:w="1134" w:type="dxa"/>
            <w:tcBorders>
              <w:top w:val="nil"/>
              <w:left w:val="nil"/>
              <w:bottom w:val="single" w:sz="4" w:space="0" w:color="auto"/>
              <w:right w:val="single" w:sz="4" w:space="0" w:color="auto"/>
            </w:tcBorders>
            <w:hideMark/>
          </w:tcPr>
          <w:p w14:paraId="35A9620A" w14:textId="05C95D3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3E22F93E" w14:textId="361AAA3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0DC24C59"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1C7AE576" w14:textId="7F0B0EC5"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3.2.7 Prioritizimi i mbështetjes së shërbimit të ndihmësit personal për personat me aftësi të kufizuara të thella dhe ato në rrezik të lartë institucionalizimi, në numra të vegjël, në të gjithë vendin, për të testuar parametrat, procedurat</w:t>
            </w:r>
            <w:r w:rsidR="00BF4FA2">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dhe efektet sociale</w:t>
            </w:r>
            <w:r w:rsidR="00BF4FA2">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31C1A494"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567" w:type="dxa"/>
            <w:tcBorders>
              <w:top w:val="nil"/>
              <w:left w:val="nil"/>
              <w:bottom w:val="single" w:sz="4" w:space="0" w:color="auto"/>
              <w:right w:val="single" w:sz="4" w:space="0" w:color="auto"/>
            </w:tcBorders>
            <w:hideMark/>
          </w:tcPr>
          <w:p w14:paraId="6CD38AE5"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0A8457D3"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8" w:space="0" w:color="auto"/>
            </w:tcBorders>
            <w:hideMark/>
          </w:tcPr>
          <w:p w14:paraId="1229EB0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SHSSH</w:t>
            </w:r>
          </w:p>
        </w:tc>
        <w:tc>
          <w:tcPr>
            <w:tcW w:w="708" w:type="dxa"/>
            <w:tcBorders>
              <w:top w:val="nil"/>
              <w:left w:val="single" w:sz="4" w:space="0" w:color="auto"/>
              <w:bottom w:val="single" w:sz="4" w:space="0" w:color="auto"/>
              <w:right w:val="single" w:sz="4" w:space="0" w:color="auto"/>
            </w:tcBorders>
            <w:hideMark/>
          </w:tcPr>
          <w:p w14:paraId="6D2A6047" w14:textId="6A9E380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0DBC83D9" w14:textId="580186F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141ADFA5" w14:textId="2F9FCCA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66027F2D" w14:textId="323CF0E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08D5D112" w14:textId="20AB9D2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15BBC510"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FFFFFF"/>
            <w:hideMark/>
          </w:tcPr>
          <w:p w14:paraId="71F7BDA2" w14:textId="197D82AE"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3.2.8 Ngritja dhe funksionimi i Qendrës së Jetës së Pavarur për ofrimin e trajnimit, mbështetjes dhe menaxhimit të marrëdhënieve me ndihmësit personalë për personat me aftësi të kufizuara.</w:t>
            </w:r>
          </w:p>
        </w:tc>
        <w:tc>
          <w:tcPr>
            <w:tcW w:w="567" w:type="dxa"/>
            <w:tcBorders>
              <w:top w:val="nil"/>
              <w:left w:val="nil"/>
              <w:bottom w:val="single" w:sz="4" w:space="0" w:color="auto"/>
              <w:right w:val="single" w:sz="4" w:space="0" w:color="auto"/>
            </w:tcBorders>
            <w:hideMark/>
          </w:tcPr>
          <w:p w14:paraId="4832DEBF"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567" w:type="dxa"/>
            <w:tcBorders>
              <w:top w:val="nil"/>
              <w:left w:val="nil"/>
              <w:bottom w:val="single" w:sz="4" w:space="0" w:color="auto"/>
              <w:right w:val="single" w:sz="4" w:space="0" w:color="auto"/>
            </w:tcBorders>
            <w:hideMark/>
          </w:tcPr>
          <w:p w14:paraId="629818A1"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7FF5D11F"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8" w:space="0" w:color="auto"/>
            </w:tcBorders>
            <w:hideMark/>
          </w:tcPr>
          <w:p w14:paraId="14647D0A"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SHSSH</w:t>
            </w:r>
          </w:p>
        </w:tc>
        <w:tc>
          <w:tcPr>
            <w:tcW w:w="708" w:type="dxa"/>
            <w:tcBorders>
              <w:top w:val="nil"/>
              <w:left w:val="single" w:sz="4" w:space="0" w:color="auto"/>
              <w:bottom w:val="single" w:sz="4" w:space="0" w:color="auto"/>
              <w:right w:val="single" w:sz="4" w:space="0" w:color="auto"/>
            </w:tcBorders>
            <w:hideMark/>
          </w:tcPr>
          <w:p w14:paraId="6E1D95F6" w14:textId="442D522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000EFA74" w14:textId="482E183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7,000</w:t>
            </w:r>
          </w:p>
        </w:tc>
        <w:tc>
          <w:tcPr>
            <w:tcW w:w="567" w:type="dxa"/>
            <w:tcBorders>
              <w:top w:val="nil"/>
              <w:left w:val="nil"/>
              <w:bottom w:val="single" w:sz="4" w:space="0" w:color="auto"/>
              <w:right w:val="single" w:sz="4" w:space="0" w:color="auto"/>
            </w:tcBorders>
            <w:hideMark/>
          </w:tcPr>
          <w:p w14:paraId="59AADFD3" w14:textId="5B7CFE6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6,000</w:t>
            </w:r>
          </w:p>
        </w:tc>
        <w:tc>
          <w:tcPr>
            <w:tcW w:w="1134" w:type="dxa"/>
            <w:tcBorders>
              <w:top w:val="nil"/>
              <w:left w:val="nil"/>
              <w:bottom w:val="single" w:sz="4" w:space="0" w:color="auto"/>
              <w:right w:val="single" w:sz="4" w:space="0" w:color="auto"/>
            </w:tcBorders>
            <w:hideMark/>
          </w:tcPr>
          <w:p w14:paraId="0B597786" w14:textId="28773B3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6,000</w:t>
            </w:r>
          </w:p>
        </w:tc>
        <w:tc>
          <w:tcPr>
            <w:tcW w:w="1615" w:type="dxa"/>
            <w:tcBorders>
              <w:top w:val="nil"/>
              <w:left w:val="nil"/>
              <w:bottom w:val="single" w:sz="4" w:space="0" w:color="auto"/>
              <w:right w:val="single" w:sz="4" w:space="0" w:color="auto"/>
            </w:tcBorders>
            <w:hideMark/>
          </w:tcPr>
          <w:p w14:paraId="024B16F1" w14:textId="712D650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6,000</w:t>
            </w:r>
          </w:p>
        </w:tc>
      </w:tr>
      <w:tr w:rsidR="00B807EE" w:rsidRPr="00024D5A" w14:paraId="55648B1E"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DCE6F1"/>
            <w:hideMark/>
          </w:tcPr>
          <w:p w14:paraId="5F83C26A" w14:textId="24EC7791"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Masa </w:t>
            </w:r>
            <w:r w:rsidR="00BF4FA2" w:rsidRPr="00024D5A">
              <w:rPr>
                <w:rFonts w:ascii="Garamond" w:eastAsia="Times New Roman" w:hAnsi="Garamond"/>
                <w:b/>
                <w:bCs/>
                <w:sz w:val="6"/>
                <w:szCs w:val="16"/>
                <w:lang w:eastAsia="en-US"/>
              </w:rPr>
              <w:t xml:space="preserve">prioritare </w:t>
            </w:r>
            <w:r w:rsidRPr="00024D5A">
              <w:rPr>
                <w:rFonts w:ascii="Garamond" w:eastAsia="Times New Roman" w:hAnsi="Garamond"/>
                <w:b/>
                <w:bCs/>
                <w:sz w:val="6"/>
                <w:szCs w:val="16"/>
                <w:lang w:eastAsia="en-US"/>
              </w:rPr>
              <w:t>3.3</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Të garantohet për të gjithë personat me aftësi të kufizuara njohja e plotë para ligjit dhe e drejta për të marrë vendime për jetën e tyre, përmes zëvendësimit të kujdestarisë me një sistem të vendimmarrjes së mbështetur që respekton vullnetin, preferencat dhe autonominë e individit (</w:t>
            </w:r>
            <w:r w:rsidR="00BF4FA2" w:rsidRPr="00024D5A">
              <w:rPr>
                <w:rFonts w:ascii="Garamond" w:eastAsia="Times New Roman" w:hAnsi="Garamond"/>
                <w:b/>
                <w:bCs/>
                <w:sz w:val="6"/>
                <w:szCs w:val="16"/>
                <w:lang w:eastAsia="en-US"/>
              </w:rPr>
              <w:t xml:space="preserve">referohu </w:t>
            </w:r>
            <w:r w:rsidRPr="00024D5A">
              <w:rPr>
                <w:rFonts w:ascii="Garamond" w:eastAsia="Times New Roman" w:hAnsi="Garamond"/>
                <w:b/>
                <w:bCs/>
                <w:sz w:val="6"/>
                <w:szCs w:val="16"/>
                <w:lang w:eastAsia="en-US"/>
              </w:rPr>
              <w:t>te Drejtësia)</w:t>
            </w:r>
            <w:r w:rsidR="00BF4FA2">
              <w:rPr>
                <w:rFonts w:ascii="Garamond" w:eastAsia="Times New Roman" w:hAnsi="Garamond"/>
                <w:b/>
                <w:bCs/>
                <w:sz w:val="6"/>
                <w:szCs w:val="16"/>
                <w:lang w:eastAsia="en-US"/>
              </w:rPr>
              <w:t>.</w:t>
            </w:r>
          </w:p>
        </w:tc>
        <w:tc>
          <w:tcPr>
            <w:tcW w:w="567" w:type="dxa"/>
            <w:tcBorders>
              <w:top w:val="nil"/>
              <w:left w:val="nil"/>
              <w:bottom w:val="single" w:sz="4" w:space="0" w:color="auto"/>
              <w:right w:val="single" w:sz="4" w:space="0" w:color="auto"/>
            </w:tcBorders>
            <w:shd w:val="clear" w:color="000000" w:fill="DCE6F1"/>
            <w:hideMark/>
          </w:tcPr>
          <w:p w14:paraId="5CC657EA"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shd w:val="clear" w:color="000000" w:fill="DCE6F1"/>
            <w:hideMark/>
          </w:tcPr>
          <w:p w14:paraId="40278C11"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shd w:val="clear" w:color="000000" w:fill="DCE6F1"/>
            <w:hideMark/>
          </w:tcPr>
          <w:p w14:paraId="48353CC5"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8" w:space="0" w:color="auto"/>
            </w:tcBorders>
            <w:shd w:val="clear" w:color="000000" w:fill="DCE6F1"/>
            <w:hideMark/>
          </w:tcPr>
          <w:p w14:paraId="3D692E2E"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MD</w:t>
            </w:r>
          </w:p>
        </w:tc>
        <w:tc>
          <w:tcPr>
            <w:tcW w:w="708" w:type="dxa"/>
            <w:tcBorders>
              <w:top w:val="nil"/>
              <w:left w:val="single" w:sz="4" w:space="0" w:color="auto"/>
              <w:bottom w:val="single" w:sz="4" w:space="0" w:color="auto"/>
              <w:right w:val="single" w:sz="4" w:space="0" w:color="auto"/>
            </w:tcBorders>
            <w:shd w:val="clear" w:color="000000" w:fill="C5D9F1"/>
            <w:noWrap/>
            <w:hideMark/>
          </w:tcPr>
          <w:p w14:paraId="071D61AC" w14:textId="5700DF82"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500</w:t>
            </w:r>
          </w:p>
        </w:tc>
        <w:tc>
          <w:tcPr>
            <w:tcW w:w="567" w:type="dxa"/>
            <w:tcBorders>
              <w:top w:val="nil"/>
              <w:left w:val="nil"/>
              <w:bottom w:val="single" w:sz="4" w:space="0" w:color="auto"/>
              <w:right w:val="single" w:sz="4" w:space="0" w:color="auto"/>
            </w:tcBorders>
            <w:shd w:val="clear" w:color="000000" w:fill="C5D9F1"/>
            <w:noWrap/>
            <w:hideMark/>
          </w:tcPr>
          <w:p w14:paraId="0D38B77D" w14:textId="18930C48"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1,500</w:t>
            </w:r>
          </w:p>
        </w:tc>
        <w:tc>
          <w:tcPr>
            <w:tcW w:w="567" w:type="dxa"/>
            <w:tcBorders>
              <w:top w:val="nil"/>
              <w:left w:val="nil"/>
              <w:bottom w:val="single" w:sz="4" w:space="0" w:color="auto"/>
              <w:right w:val="single" w:sz="4" w:space="0" w:color="auto"/>
            </w:tcBorders>
            <w:shd w:val="clear" w:color="000000" w:fill="C5D9F1"/>
            <w:noWrap/>
            <w:hideMark/>
          </w:tcPr>
          <w:p w14:paraId="53E3EC22" w14:textId="3EC56AF0"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500</w:t>
            </w:r>
          </w:p>
        </w:tc>
        <w:tc>
          <w:tcPr>
            <w:tcW w:w="1134" w:type="dxa"/>
            <w:tcBorders>
              <w:top w:val="nil"/>
              <w:left w:val="nil"/>
              <w:bottom w:val="single" w:sz="4" w:space="0" w:color="auto"/>
              <w:right w:val="single" w:sz="4" w:space="0" w:color="auto"/>
            </w:tcBorders>
            <w:shd w:val="clear" w:color="000000" w:fill="C5D9F1"/>
            <w:noWrap/>
            <w:hideMark/>
          </w:tcPr>
          <w:p w14:paraId="69E6B741" w14:textId="58264FD2"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w:t>
            </w:r>
          </w:p>
        </w:tc>
        <w:tc>
          <w:tcPr>
            <w:tcW w:w="1615" w:type="dxa"/>
            <w:tcBorders>
              <w:top w:val="nil"/>
              <w:left w:val="nil"/>
              <w:bottom w:val="single" w:sz="4" w:space="0" w:color="auto"/>
              <w:right w:val="single" w:sz="4" w:space="0" w:color="auto"/>
            </w:tcBorders>
            <w:shd w:val="clear" w:color="000000" w:fill="C5D9F1"/>
            <w:noWrap/>
            <w:hideMark/>
          </w:tcPr>
          <w:p w14:paraId="53112FD3" w14:textId="7C93A21B"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w:t>
            </w:r>
          </w:p>
        </w:tc>
      </w:tr>
      <w:tr w:rsidR="00B807EE" w:rsidRPr="00024D5A" w14:paraId="30FD4CE6"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0D39D318" w14:textId="33641EE2"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3.3.1. Përgatitja e një analize ligjore me fokus identifikimin dhe orientimin e boshllëqeve, të cilat pengojnë aplikimin e vendimmarrjes së mbështetur</w:t>
            </w:r>
            <w:r w:rsidR="00BF4FA2">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7E640759"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single" w:sz="4" w:space="0" w:color="auto"/>
            </w:tcBorders>
            <w:hideMark/>
          </w:tcPr>
          <w:p w14:paraId="5E7AD40C"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2028</w:t>
            </w:r>
          </w:p>
        </w:tc>
        <w:tc>
          <w:tcPr>
            <w:tcW w:w="1134" w:type="dxa"/>
            <w:tcBorders>
              <w:top w:val="nil"/>
              <w:left w:val="nil"/>
              <w:bottom w:val="single" w:sz="4" w:space="0" w:color="auto"/>
              <w:right w:val="single" w:sz="4" w:space="0" w:color="auto"/>
            </w:tcBorders>
            <w:hideMark/>
          </w:tcPr>
          <w:p w14:paraId="2925ADCC"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MD/MSHMS</w:t>
            </w:r>
          </w:p>
        </w:tc>
        <w:tc>
          <w:tcPr>
            <w:tcW w:w="1418" w:type="dxa"/>
            <w:tcBorders>
              <w:top w:val="nil"/>
              <w:left w:val="nil"/>
              <w:bottom w:val="single" w:sz="4" w:space="0" w:color="auto"/>
              <w:right w:val="single" w:sz="8" w:space="0" w:color="auto"/>
            </w:tcBorders>
            <w:hideMark/>
          </w:tcPr>
          <w:p w14:paraId="258931FE"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708" w:type="dxa"/>
            <w:tcBorders>
              <w:top w:val="nil"/>
              <w:left w:val="single" w:sz="4" w:space="0" w:color="auto"/>
              <w:bottom w:val="single" w:sz="4" w:space="0" w:color="auto"/>
              <w:right w:val="single" w:sz="4" w:space="0" w:color="auto"/>
            </w:tcBorders>
            <w:hideMark/>
          </w:tcPr>
          <w:p w14:paraId="1B4FB0AC" w14:textId="2576883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500</w:t>
            </w:r>
          </w:p>
        </w:tc>
        <w:tc>
          <w:tcPr>
            <w:tcW w:w="567" w:type="dxa"/>
            <w:tcBorders>
              <w:top w:val="nil"/>
              <w:left w:val="nil"/>
              <w:bottom w:val="single" w:sz="4" w:space="0" w:color="auto"/>
              <w:right w:val="single" w:sz="4" w:space="0" w:color="auto"/>
            </w:tcBorders>
            <w:hideMark/>
          </w:tcPr>
          <w:p w14:paraId="5B397054" w14:textId="10CB2C2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1,500</w:t>
            </w:r>
          </w:p>
        </w:tc>
        <w:tc>
          <w:tcPr>
            <w:tcW w:w="567" w:type="dxa"/>
            <w:tcBorders>
              <w:top w:val="nil"/>
              <w:left w:val="nil"/>
              <w:bottom w:val="single" w:sz="4" w:space="0" w:color="auto"/>
              <w:right w:val="single" w:sz="4" w:space="0" w:color="auto"/>
            </w:tcBorders>
            <w:hideMark/>
          </w:tcPr>
          <w:p w14:paraId="4597290C" w14:textId="5D6D5F7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500</w:t>
            </w:r>
          </w:p>
        </w:tc>
        <w:tc>
          <w:tcPr>
            <w:tcW w:w="1134" w:type="dxa"/>
            <w:tcBorders>
              <w:top w:val="nil"/>
              <w:left w:val="nil"/>
              <w:bottom w:val="single" w:sz="4" w:space="0" w:color="auto"/>
              <w:right w:val="single" w:sz="4" w:space="0" w:color="auto"/>
            </w:tcBorders>
            <w:hideMark/>
          </w:tcPr>
          <w:p w14:paraId="530E85BA" w14:textId="132E1C8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6F2D1EA3" w14:textId="360BD0E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670292E4"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007BECCC" w14:textId="17166803"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3.3.2</w:t>
            </w:r>
            <w:r w:rsidR="00BF4FA2">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Rishikimi i dispozitave ligjore të Kodit Civil, Kodit të Procedurës Civile, Kodit të Familjes,</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 xml:space="preserve">Kodit Penal dhe Kodit të Procedurës Penale, </w:t>
            </w:r>
            <w:r w:rsidR="00F958F2" w:rsidRPr="00024D5A">
              <w:rPr>
                <w:rFonts w:ascii="Garamond" w:eastAsia="Times New Roman" w:hAnsi="Garamond"/>
                <w:sz w:val="6"/>
                <w:szCs w:val="16"/>
                <w:lang w:eastAsia="en-US"/>
              </w:rPr>
              <w:t xml:space="preserve">ligjit të shëndetit mendor </w:t>
            </w:r>
            <w:r w:rsidRPr="00024D5A">
              <w:rPr>
                <w:rFonts w:ascii="Garamond" w:eastAsia="Times New Roman" w:hAnsi="Garamond"/>
                <w:sz w:val="6"/>
                <w:szCs w:val="16"/>
                <w:lang w:eastAsia="en-US"/>
              </w:rPr>
              <w:t xml:space="preserve">për të garantuar të drejtën për të ushtruar zotësinë e plotë për të vepruar për personat me aftësi të kufizuara, me një fokus të veçantë te personat me aftësi të kufizuara psikosociale dhe intelektuale, të cilët janë prekur në mënyrë disproporcionale nga heqja e zotësisë juridike, krahasuar me pjesën tjetër të popullsisë, në të gjitha aspektet e </w:t>
            </w:r>
            <w:r w:rsidR="00BF4FA2" w:rsidRPr="00024D5A">
              <w:rPr>
                <w:rFonts w:ascii="Garamond" w:eastAsia="Times New Roman" w:hAnsi="Garamond"/>
                <w:sz w:val="6"/>
                <w:szCs w:val="16"/>
                <w:lang w:eastAsia="en-US"/>
              </w:rPr>
              <w:t>jetës</w:t>
            </w:r>
            <w:r w:rsidR="00BF4FA2">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2D380E66"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single" w:sz="4" w:space="0" w:color="auto"/>
            </w:tcBorders>
            <w:hideMark/>
          </w:tcPr>
          <w:p w14:paraId="5A8D330D"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2028</w:t>
            </w:r>
          </w:p>
        </w:tc>
        <w:tc>
          <w:tcPr>
            <w:tcW w:w="1134" w:type="dxa"/>
            <w:tcBorders>
              <w:top w:val="nil"/>
              <w:left w:val="nil"/>
              <w:bottom w:val="single" w:sz="4" w:space="0" w:color="auto"/>
              <w:right w:val="single" w:sz="4" w:space="0" w:color="auto"/>
            </w:tcBorders>
            <w:hideMark/>
          </w:tcPr>
          <w:p w14:paraId="75EC5073"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MD/MSHMS</w:t>
            </w:r>
          </w:p>
        </w:tc>
        <w:tc>
          <w:tcPr>
            <w:tcW w:w="1418" w:type="dxa"/>
            <w:tcBorders>
              <w:top w:val="nil"/>
              <w:left w:val="nil"/>
              <w:bottom w:val="single" w:sz="4" w:space="0" w:color="auto"/>
              <w:right w:val="single" w:sz="8" w:space="0" w:color="auto"/>
            </w:tcBorders>
            <w:hideMark/>
          </w:tcPr>
          <w:p w14:paraId="05D74265"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708" w:type="dxa"/>
            <w:tcBorders>
              <w:top w:val="nil"/>
              <w:left w:val="single" w:sz="4" w:space="0" w:color="auto"/>
              <w:bottom w:val="single" w:sz="4" w:space="0" w:color="auto"/>
              <w:right w:val="single" w:sz="4" w:space="0" w:color="auto"/>
            </w:tcBorders>
            <w:hideMark/>
          </w:tcPr>
          <w:p w14:paraId="2E1ABE7C" w14:textId="7C08DFA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530A71D0" w14:textId="0C29A07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52BD1F70" w14:textId="06BED8A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3C6BF496" w14:textId="117B086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149303B9" w14:textId="4A2E3AA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57C3240C"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68CA27FE" w14:textId="5550D80E"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3.3.3 Inicimi, përgatitja, miratimi i kuadrit ligjor në mbështetje të ngritjes së mekanizmave të vendimmarrjes së mbështetur</w:t>
            </w:r>
            <w:r w:rsidR="00BF4FA2">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2E6D1C15"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2029</w:t>
            </w:r>
          </w:p>
        </w:tc>
        <w:tc>
          <w:tcPr>
            <w:tcW w:w="567" w:type="dxa"/>
            <w:tcBorders>
              <w:top w:val="nil"/>
              <w:left w:val="nil"/>
              <w:bottom w:val="single" w:sz="4" w:space="0" w:color="auto"/>
              <w:right w:val="single" w:sz="4" w:space="0" w:color="auto"/>
            </w:tcBorders>
            <w:hideMark/>
          </w:tcPr>
          <w:p w14:paraId="2ADB1F2E"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3348017A"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MD/MSHMS</w:t>
            </w:r>
          </w:p>
        </w:tc>
        <w:tc>
          <w:tcPr>
            <w:tcW w:w="1418" w:type="dxa"/>
            <w:tcBorders>
              <w:top w:val="nil"/>
              <w:left w:val="nil"/>
              <w:bottom w:val="single" w:sz="4" w:space="0" w:color="auto"/>
              <w:right w:val="single" w:sz="8" w:space="0" w:color="auto"/>
            </w:tcBorders>
            <w:hideMark/>
          </w:tcPr>
          <w:p w14:paraId="6C6D7005"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708" w:type="dxa"/>
            <w:tcBorders>
              <w:top w:val="nil"/>
              <w:left w:val="single" w:sz="4" w:space="0" w:color="auto"/>
              <w:bottom w:val="single" w:sz="4" w:space="0" w:color="auto"/>
              <w:right w:val="single" w:sz="4" w:space="0" w:color="auto"/>
            </w:tcBorders>
            <w:hideMark/>
          </w:tcPr>
          <w:p w14:paraId="3D6F73B1" w14:textId="6200441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77B61B26" w14:textId="51BED1D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203C7672" w14:textId="29469AD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4A98ADA2" w14:textId="6D33278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5E49FEDC" w14:textId="1097448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7F2EA02D"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744AD04D" w14:textId="3CA9B350"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3.3.4 Rritja e kapaciteteve të profesionistëve për të kuptuar dhe zbatuar vendimmarrjen e mbështetur në sektorë të lidhur me shëndetësinë, policinë, prokurorinë, gjyqësorin, noterë e avokatë</w:t>
            </w:r>
            <w:r w:rsidR="00BF4FA2">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7526020C"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single" w:sz="4" w:space="0" w:color="auto"/>
            </w:tcBorders>
            <w:hideMark/>
          </w:tcPr>
          <w:p w14:paraId="4E296BBD"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2617025C"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MD/MSHMS</w:t>
            </w:r>
          </w:p>
        </w:tc>
        <w:tc>
          <w:tcPr>
            <w:tcW w:w="1418" w:type="dxa"/>
            <w:tcBorders>
              <w:top w:val="nil"/>
              <w:left w:val="nil"/>
              <w:bottom w:val="single" w:sz="4" w:space="0" w:color="auto"/>
              <w:right w:val="single" w:sz="8" w:space="0" w:color="auto"/>
            </w:tcBorders>
            <w:hideMark/>
          </w:tcPr>
          <w:p w14:paraId="5BC24EF3"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708" w:type="dxa"/>
            <w:tcBorders>
              <w:top w:val="nil"/>
              <w:left w:val="single" w:sz="4" w:space="0" w:color="auto"/>
              <w:bottom w:val="single" w:sz="4" w:space="0" w:color="auto"/>
              <w:right w:val="single" w:sz="4" w:space="0" w:color="auto"/>
            </w:tcBorders>
            <w:hideMark/>
          </w:tcPr>
          <w:p w14:paraId="485B9DB6" w14:textId="7B2A3CA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7DBE3C5C" w14:textId="701C230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061E8F2F" w14:textId="1A3AAA6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5D67B7FE" w14:textId="4BB20C7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6F0A74C5" w14:textId="2E706B8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527728C5"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3AC3CCDE" w14:textId="3346C2BE"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3.3.5 Organizimi i vizitave studimore në vende ku aplikimi në praktikë i vendimmarrjes së mbështetur ka rezultuar i suksesshëm.</w:t>
            </w:r>
          </w:p>
        </w:tc>
        <w:tc>
          <w:tcPr>
            <w:tcW w:w="567" w:type="dxa"/>
            <w:tcBorders>
              <w:top w:val="nil"/>
              <w:left w:val="nil"/>
              <w:bottom w:val="single" w:sz="4" w:space="0" w:color="auto"/>
              <w:right w:val="single" w:sz="4" w:space="0" w:color="auto"/>
            </w:tcBorders>
            <w:hideMark/>
          </w:tcPr>
          <w:p w14:paraId="0497377F"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2029</w:t>
            </w:r>
          </w:p>
        </w:tc>
        <w:tc>
          <w:tcPr>
            <w:tcW w:w="567" w:type="dxa"/>
            <w:tcBorders>
              <w:top w:val="nil"/>
              <w:left w:val="nil"/>
              <w:bottom w:val="single" w:sz="4" w:space="0" w:color="auto"/>
              <w:right w:val="single" w:sz="4" w:space="0" w:color="auto"/>
            </w:tcBorders>
            <w:hideMark/>
          </w:tcPr>
          <w:p w14:paraId="3838A441"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70023664"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MD/MSHMS</w:t>
            </w:r>
          </w:p>
        </w:tc>
        <w:tc>
          <w:tcPr>
            <w:tcW w:w="1418" w:type="dxa"/>
            <w:tcBorders>
              <w:top w:val="nil"/>
              <w:left w:val="nil"/>
              <w:bottom w:val="single" w:sz="4" w:space="0" w:color="auto"/>
              <w:right w:val="single" w:sz="8" w:space="0" w:color="auto"/>
            </w:tcBorders>
            <w:hideMark/>
          </w:tcPr>
          <w:p w14:paraId="1FED7FEF"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708" w:type="dxa"/>
            <w:tcBorders>
              <w:top w:val="nil"/>
              <w:left w:val="single" w:sz="4" w:space="0" w:color="auto"/>
              <w:bottom w:val="single" w:sz="4" w:space="0" w:color="auto"/>
              <w:right w:val="single" w:sz="4" w:space="0" w:color="auto"/>
            </w:tcBorders>
            <w:hideMark/>
          </w:tcPr>
          <w:p w14:paraId="7551B2FC" w14:textId="43F3854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5A4C7278" w14:textId="77598DF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41D04846" w14:textId="505E065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6E7187BC" w14:textId="2AFBD33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14711D21" w14:textId="1D2C0C5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7597DBDE"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4063E6BB" w14:textId="677FF77F"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3.3.6 Përgatitja e materialeve udhëzuese për aplikimin e vendimmarrjes së mbështetur në formate alternative dhe realizimi i fushatave të informimit për persona me aftësi të kufizuara dhe familjarë të tyre. </w:t>
            </w:r>
          </w:p>
        </w:tc>
        <w:tc>
          <w:tcPr>
            <w:tcW w:w="567" w:type="dxa"/>
            <w:tcBorders>
              <w:top w:val="nil"/>
              <w:left w:val="nil"/>
              <w:bottom w:val="single" w:sz="4" w:space="0" w:color="auto"/>
              <w:right w:val="single" w:sz="4" w:space="0" w:color="auto"/>
            </w:tcBorders>
            <w:hideMark/>
          </w:tcPr>
          <w:p w14:paraId="5397739E"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single" w:sz="4" w:space="0" w:color="auto"/>
            </w:tcBorders>
            <w:hideMark/>
          </w:tcPr>
          <w:p w14:paraId="743B4C83"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21F32ECF"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w:t>
            </w:r>
          </w:p>
        </w:tc>
        <w:tc>
          <w:tcPr>
            <w:tcW w:w="1418" w:type="dxa"/>
            <w:tcBorders>
              <w:top w:val="nil"/>
              <w:left w:val="nil"/>
              <w:bottom w:val="single" w:sz="4" w:space="0" w:color="auto"/>
              <w:right w:val="single" w:sz="8" w:space="0" w:color="auto"/>
            </w:tcBorders>
            <w:hideMark/>
          </w:tcPr>
          <w:p w14:paraId="0957805D"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MD</w:t>
            </w:r>
          </w:p>
        </w:tc>
        <w:tc>
          <w:tcPr>
            <w:tcW w:w="708" w:type="dxa"/>
            <w:tcBorders>
              <w:top w:val="nil"/>
              <w:left w:val="single" w:sz="4" w:space="0" w:color="auto"/>
              <w:bottom w:val="single" w:sz="4" w:space="0" w:color="auto"/>
              <w:right w:val="single" w:sz="4" w:space="0" w:color="auto"/>
            </w:tcBorders>
            <w:hideMark/>
          </w:tcPr>
          <w:p w14:paraId="7CE415FF" w14:textId="085E409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552CC9E7" w14:textId="7232DB8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324A7CE8" w14:textId="0064FA9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6EA6AFE3" w14:textId="2C9F867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0BB68EFB" w14:textId="2F457C4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3C18273F"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FDE9D9"/>
            <w:hideMark/>
          </w:tcPr>
          <w:p w14:paraId="5DDAC5B0"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Objektivi specifik 4: Të garantohet mbrojtja efektive e të drejtave, dinjitetit dhe barazisë së grave dhe vajzave me aftësi të kufizuara nga të gjitha format e dhunës, duke adresuar diskriminimin e shumëfishtë dhe duke siguruar akses të plotë dhe të përshtatur në shërbime, mekanizma mbrojtës dhe drejtësi.</w:t>
            </w:r>
          </w:p>
        </w:tc>
        <w:tc>
          <w:tcPr>
            <w:tcW w:w="567" w:type="dxa"/>
            <w:tcBorders>
              <w:top w:val="nil"/>
              <w:left w:val="nil"/>
              <w:bottom w:val="single" w:sz="4" w:space="0" w:color="auto"/>
              <w:right w:val="single" w:sz="4" w:space="0" w:color="auto"/>
            </w:tcBorders>
            <w:shd w:val="clear" w:color="000000" w:fill="FDE9D9"/>
            <w:hideMark/>
          </w:tcPr>
          <w:p w14:paraId="2CDEDC50"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shd w:val="clear" w:color="000000" w:fill="FDE9D9"/>
            <w:hideMark/>
          </w:tcPr>
          <w:p w14:paraId="7CB6A7B3"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shd w:val="clear" w:color="000000" w:fill="FDE9D9"/>
            <w:hideMark/>
          </w:tcPr>
          <w:p w14:paraId="064C788A"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8" w:space="0" w:color="auto"/>
            </w:tcBorders>
            <w:shd w:val="clear" w:color="000000" w:fill="FDE9D9"/>
            <w:hideMark/>
          </w:tcPr>
          <w:p w14:paraId="3EB8F902"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708" w:type="dxa"/>
            <w:tcBorders>
              <w:top w:val="nil"/>
              <w:left w:val="single" w:sz="4" w:space="0" w:color="auto"/>
              <w:bottom w:val="single" w:sz="4" w:space="0" w:color="auto"/>
              <w:right w:val="single" w:sz="4" w:space="0" w:color="auto"/>
            </w:tcBorders>
            <w:shd w:val="clear" w:color="000000" w:fill="FDE9D9"/>
            <w:hideMark/>
          </w:tcPr>
          <w:p w14:paraId="5935A861" w14:textId="762C3F74"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3,173</w:t>
            </w:r>
          </w:p>
        </w:tc>
        <w:tc>
          <w:tcPr>
            <w:tcW w:w="567" w:type="dxa"/>
            <w:tcBorders>
              <w:top w:val="nil"/>
              <w:left w:val="nil"/>
              <w:bottom w:val="single" w:sz="4" w:space="0" w:color="auto"/>
              <w:right w:val="single" w:sz="4" w:space="0" w:color="auto"/>
            </w:tcBorders>
            <w:shd w:val="clear" w:color="000000" w:fill="FDE9D9"/>
            <w:hideMark/>
          </w:tcPr>
          <w:p w14:paraId="7A89653B" w14:textId="68527C5B"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128,443</w:t>
            </w:r>
          </w:p>
        </w:tc>
        <w:tc>
          <w:tcPr>
            <w:tcW w:w="567" w:type="dxa"/>
            <w:tcBorders>
              <w:top w:val="nil"/>
              <w:left w:val="nil"/>
              <w:bottom w:val="single" w:sz="4" w:space="0" w:color="auto"/>
              <w:right w:val="single" w:sz="4" w:space="0" w:color="auto"/>
            </w:tcBorders>
            <w:shd w:val="clear" w:color="000000" w:fill="FDE9D9"/>
            <w:hideMark/>
          </w:tcPr>
          <w:p w14:paraId="03FD7A07" w14:textId="38E3DEEB"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7,718</w:t>
            </w:r>
          </w:p>
        </w:tc>
        <w:tc>
          <w:tcPr>
            <w:tcW w:w="1134" w:type="dxa"/>
            <w:tcBorders>
              <w:top w:val="nil"/>
              <w:left w:val="nil"/>
              <w:bottom w:val="single" w:sz="4" w:space="0" w:color="auto"/>
              <w:right w:val="single" w:sz="4" w:space="0" w:color="auto"/>
            </w:tcBorders>
            <w:shd w:val="clear" w:color="000000" w:fill="FDE9D9"/>
            <w:hideMark/>
          </w:tcPr>
          <w:p w14:paraId="2E3F201B" w14:textId="270876F8"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6,545</w:t>
            </w:r>
          </w:p>
        </w:tc>
        <w:tc>
          <w:tcPr>
            <w:tcW w:w="1615" w:type="dxa"/>
            <w:tcBorders>
              <w:top w:val="nil"/>
              <w:left w:val="nil"/>
              <w:bottom w:val="single" w:sz="4" w:space="0" w:color="auto"/>
              <w:right w:val="single" w:sz="4" w:space="0" w:color="auto"/>
            </w:tcBorders>
            <w:shd w:val="clear" w:color="000000" w:fill="FDE9D9"/>
            <w:hideMark/>
          </w:tcPr>
          <w:p w14:paraId="46BF832D" w14:textId="5720448A"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131,061</w:t>
            </w:r>
          </w:p>
        </w:tc>
      </w:tr>
      <w:tr w:rsidR="00B807EE" w:rsidRPr="00024D5A" w14:paraId="616F738C"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DCE6F1"/>
            <w:hideMark/>
          </w:tcPr>
          <w:p w14:paraId="05A663D2"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Masa prioritare 4.1. Garantimi i aksesueshmërisë dhe përshtatjes së shërbimeve, mekanizmave të referimit dhe procedurave për gratë dhe vajzat me aftësi të kufizuara, viktima të dhunës.</w:t>
            </w:r>
          </w:p>
        </w:tc>
        <w:tc>
          <w:tcPr>
            <w:tcW w:w="567" w:type="dxa"/>
            <w:tcBorders>
              <w:top w:val="nil"/>
              <w:left w:val="nil"/>
              <w:bottom w:val="single" w:sz="4" w:space="0" w:color="auto"/>
              <w:right w:val="single" w:sz="4" w:space="0" w:color="auto"/>
            </w:tcBorders>
            <w:shd w:val="clear" w:color="000000" w:fill="DCE6F1"/>
            <w:hideMark/>
          </w:tcPr>
          <w:p w14:paraId="5B503126"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shd w:val="clear" w:color="000000" w:fill="DCE6F1"/>
            <w:hideMark/>
          </w:tcPr>
          <w:p w14:paraId="2E7A720C"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shd w:val="clear" w:color="000000" w:fill="DCE6F1"/>
            <w:hideMark/>
          </w:tcPr>
          <w:p w14:paraId="2A75F7C6"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8" w:space="0" w:color="auto"/>
            </w:tcBorders>
            <w:shd w:val="clear" w:color="000000" w:fill="DCE6F1"/>
            <w:hideMark/>
          </w:tcPr>
          <w:p w14:paraId="0AAF305D"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708" w:type="dxa"/>
            <w:tcBorders>
              <w:top w:val="nil"/>
              <w:left w:val="single" w:sz="4" w:space="0" w:color="auto"/>
              <w:bottom w:val="single" w:sz="4" w:space="0" w:color="auto"/>
              <w:right w:val="single" w:sz="4" w:space="0" w:color="auto"/>
            </w:tcBorders>
            <w:shd w:val="clear" w:color="000000" w:fill="C5D9F1"/>
            <w:noWrap/>
            <w:hideMark/>
          </w:tcPr>
          <w:p w14:paraId="7DDF138F" w14:textId="67F9255C"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1,173</w:t>
            </w:r>
          </w:p>
        </w:tc>
        <w:tc>
          <w:tcPr>
            <w:tcW w:w="567" w:type="dxa"/>
            <w:tcBorders>
              <w:top w:val="nil"/>
              <w:left w:val="nil"/>
              <w:bottom w:val="single" w:sz="4" w:space="0" w:color="auto"/>
              <w:right w:val="single" w:sz="4" w:space="0" w:color="auto"/>
            </w:tcBorders>
            <w:shd w:val="clear" w:color="000000" w:fill="C5D9F1"/>
            <w:noWrap/>
            <w:hideMark/>
          </w:tcPr>
          <w:p w14:paraId="71FE427E" w14:textId="171E71EB"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3,343</w:t>
            </w:r>
          </w:p>
        </w:tc>
        <w:tc>
          <w:tcPr>
            <w:tcW w:w="567" w:type="dxa"/>
            <w:tcBorders>
              <w:top w:val="nil"/>
              <w:left w:val="nil"/>
              <w:bottom w:val="single" w:sz="4" w:space="0" w:color="auto"/>
              <w:right w:val="single" w:sz="4" w:space="0" w:color="auto"/>
            </w:tcBorders>
            <w:shd w:val="clear" w:color="000000" w:fill="C5D9F1"/>
            <w:noWrap/>
            <w:hideMark/>
          </w:tcPr>
          <w:p w14:paraId="4249CB0B" w14:textId="09401F04"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1,173</w:t>
            </w:r>
          </w:p>
        </w:tc>
        <w:tc>
          <w:tcPr>
            <w:tcW w:w="1134" w:type="dxa"/>
            <w:tcBorders>
              <w:top w:val="nil"/>
              <w:left w:val="nil"/>
              <w:bottom w:val="single" w:sz="4" w:space="0" w:color="auto"/>
              <w:right w:val="single" w:sz="4" w:space="0" w:color="auto"/>
            </w:tcBorders>
            <w:shd w:val="clear" w:color="000000" w:fill="C5D9F1"/>
            <w:noWrap/>
            <w:hideMark/>
          </w:tcPr>
          <w:p w14:paraId="23FF34CC" w14:textId="216367D6"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w:t>
            </w:r>
          </w:p>
        </w:tc>
        <w:tc>
          <w:tcPr>
            <w:tcW w:w="1615" w:type="dxa"/>
            <w:tcBorders>
              <w:top w:val="nil"/>
              <w:left w:val="nil"/>
              <w:bottom w:val="single" w:sz="4" w:space="0" w:color="auto"/>
              <w:right w:val="single" w:sz="4" w:space="0" w:color="auto"/>
            </w:tcBorders>
            <w:shd w:val="clear" w:color="000000" w:fill="C5D9F1"/>
            <w:noWrap/>
            <w:hideMark/>
          </w:tcPr>
          <w:p w14:paraId="10993ABF" w14:textId="15990465"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4,516</w:t>
            </w:r>
          </w:p>
        </w:tc>
      </w:tr>
      <w:tr w:rsidR="00B807EE" w:rsidRPr="00024D5A" w14:paraId="35FD6820"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0BB0AA9D" w14:textId="46DB5606"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4.1.1 Realizimi I një studimi të aksesueshmërisë në të gjitha </w:t>
            </w:r>
            <w:r w:rsidR="00BF4FA2" w:rsidRPr="00024D5A">
              <w:rPr>
                <w:rFonts w:ascii="Garamond" w:eastAsia="Times New Roman" w:hAnsi="Garamond"/>
                <w:sz w:val="6"/>
                <w:szCs w:val="16"/>
                <w:lang w:eastAsia="en-US"/>
              </w:rPr>
              <w:t>qendrat</w:t>
            </w:r>
            <w:r w:rsidRPr="00024D5A">
              <w:rPr>
                <w:rFonts w:ascii="Garamond" w:eastAsia="Times New Roman" w:hAnsi="Garamond"/>
                <w:sz w:val="6"/>
                <w:szCs w:val="16"/>
                <w:lang w:eastAsia="en-US"/>
              </w:rPr>
              <w:t xml:space="preserve"> që ofrojnë shërbime për gratë e vajzat, viktima të dhunës</w:t>
            </w:r>
            <w:r w:rsidR="00BF4FA2">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138DF9F7"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567" w:type="dxa"/>
            <w:tcBorders>
              <w:top w:val="nil"/>
              <w:left w:val="nil"/>
              <w:bottom w:val="single" w:sz="4" w:space="0" w:color="auto"/>
              <w:right w:val="single" w:sz="4" w:space="0" w:color="auto"/>
            </w:tcBorders>
            <w:hideMark/>
          </w:tcPr>
          <w:p w14:paraId="48BB43A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531F7672"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8" w:space="0" w:color="auto"/>
            </w:tcBorders>
            <w:hideMark/>
          </w:tcPr>
          <w:p w14:paraId="790FDB43"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708" w:type="dxa"/>
            <w:tcBorders>
              <w:top w:val="nil"/>
              <w:left w:val="single" w:sz="4" w:space="0" w:color="auto"/>
              <w:bottom w:val="single" w:sz="4" w:space="0" w:color="auto"/>
              <w:right w:val="single" w:sz="4" w:space="0" w:color="auto"/>
            </w:tcBorders>
            <w:hideMark/>
          </w:tcPr>
          <w:p w14:paraId="705B9019" w14:textId="7F62616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03B40B8B" w14:textId="3BF4AC9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1,173</w:t>
            </w:r>
          </w:p>
        </w:tc>
        <w:tc>
          <w:tcPr>
            <w:tcW w:w="567" w:type="dxa"/>
            <w:tcBorders>
              <w:top w:val="nil"/>
              <w:left w:val="nil"/>
              <w:bottom w:val="single" w:sz="4" w:space="0" w:color="auto"/>
              <w:right w:val="single" w:sz="4" w:space="0" w:color="auto"/>
            </w:tcBorders>
            <w:hideMark/>
          </w:tcPr>
          <w:p w14:paraId="2D2B7BBC" w14:textId="511953C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1,173</w:t>
            </w:r>
          </w:p>
        </w:tc>
        <w:tc>
          <w:tcPr>
            <w:tcW w:w="1134" w:type="dxa"/>
            <w:tcBorders>
              <w:top w:val="nil"/>
              <w:left w:val="nil"/>
              <w:bottom w:val="single" w:sz="4" w:space="0" w:color="auto"/>
              <w:right w:val="single" w:sz="4" w:space="0" w:color="auto"/>
            </w:tcBorders>
            <w:hideMark/>
          </w:tcPr>
          <w:p w14:paraId="7836A386" w14:textId="0D2EF33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632C4FC7" w14:textId="4AC40CF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1,173</w:t>
            </w:r>
          </w:p>
        </w:tc>
      </w:tr>
      <w:tr w:rsidR="00B807EE" w:rsidRPr="00024D5A" w14:paraId="7EB71755"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55905D81" w14:textId="15BB2085"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4.1.2 Përcaktimi i treguesve</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për monitorimin e aksesueshmërisë së shërbimeve dhe efektivitetit të masave për gratë dhe vajzat me aftësi të kufizuara, viktima të dhunës</w:t>
            </w:r>
            <w:r w:rsidR="00BF4FA2">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1E5FFB73"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567" w:type="dxa"/>
            <w:tcBorders>
              <w:top w:val="nil"/>
              <w:left w:val="nil"/>
              <w:bottom w:val="single" w:sz="4" w:space="0" w:color="auto"/>
              <w:right w:val="single" w:sz="4" w:space="0" w:color="auto"/>
            </w:tcBorders>
            <w:hideMark/>
          </w:tcPr>
          <w:p w14:paraId="633E3F98"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661A9BBC"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8" w:space="0" w:color="auto"/>
            </w:tcBorders>
            <w:hideMark/>
          </w:tcPr>
          <w:p w14:paraId="25D55C42"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708" w:type="dxa"/>
            <w:tcBorders>
              <w:top w:val="nil"/>
              <w:left w:val="single" w:sz="4" w:space="0" w:color="auto"/>
              <w:bottom w:val="single" w:sz="4" w:space="0" w:color="auto"/>
              <w:right w:val="single" w:sz="4" w:space="0" w:color="auto"/>
            </w:tcBorders>
            <w:hideMark/>
          </w:tcPr>
          <w:p w14:paraId="0541051B" w14:textId="745FA6C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2A6D87F8" w14:textId="4DBAEFB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1,173</w:t>
            </w:r>
          </w:p>
        </w:tc>
        <w:tc>
          <w:tcPr>
            <w:tcW w:w="567" w:type="dxa"/>
            <w:tcBorders>
              <w:top w:val="nil"/>
              <w:left w:val="nil"/>
              <w:bottom w:val="single" w:sz="4" w:space="0" w:color="auto"/>
              <w:right w:val="single" w:sz="4" w:space="0" w:color="auto"/>
            </w:tcBorders>
            <w:hideMark/>
          </w:tcPr>
          <w:p w14:paraId="4706008C" w14:textId="35E56A0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4C4FD154" w14:textId="224CC0C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2D1E4E85" w14:textId="29D7A69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1,173</w:t>
            </w:r>
          </w:p>
        </w:tc>
      </w:tr>
      <w:tr w:rsidR="00B807EE" w:rsidRPr="00024D5A" w14:paraId="41B0CECC"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510721F9" w14:textId="7CC7BD6E"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4.1.3 Integrimi i kritereve specifike për aftësinë e kufizuar dhe diskriminimin e shumëfishtë në procedurat e vlerësimit të riskut dhe menaxhimit të rasteve nga MKR</w:t>
            </w:r>
            <w:r w:rsidR="00BF4FA2">
              <w:rPr>
                <w:rFonts w:ascii="Garamond" w:eastAsia="Times New Roman" w:hAnsi="Garamond"/>
                <w:sz w:val="6"/>
                <w:szCs w:val="16"/>
                <w:lang w:eastAsia="en-US"/>
              </w:rPr>
              <w:t>-ja</w:t>
            </w:r>
            <w:r w:rsidRPr="00024D5A">
              <w:rPr>
                <w:rFonts w:ascii="Garamond" w:eastAsia="Times New Roman" w:hAnsi="Garamond"/>
                <w:sz w:val="6"/>
                <w:szCs w:val="16"/>
                <w:lang w:eastAsia="en-US"/>
              </w:rPr>
              <w:t xml:space="preserve"> dhe profesionistët përkatës</w:t>
            </w:r>
            <w:r w:rsidR="00BF4FA2">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19AF1E4F"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567" w:type="dxa"/>
            <w:tcBorders>
              <w:top w:val="nil"/>
              <w:left w:val="nil"/>
              <w:bottom w:val="single" w:sz="4" w:space="0" w:color="auto"/>
              <w:right w:val="single" w:sz="4" w:space="0" w:color="auto"/>
            </w:tcBorders>
            <w:hideMark/>
          </w:tcPr>
          <w:p w14:paraId="6E2A6FCC"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6D0FE0AA"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8" w:space="0" w:color="auto"/>
            </w:tcBorders>
            <w:hideMark/>
          </w:tcPr>
          <w:p w14:paraId="152AC7D5"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708" w:type="dxa"/>
            <w:tcBorders>
              <w:top w:val="nil"/>
              <w:left w:val="single" w:sz="4" w:space="0" w:color="auto"/>
              <w:bottom w:val="single" w:sz="4" w:space="0" w:color="auto"/>
              <w:right w:val="single" w:sz="4" w:space="0" w:color="auto"/>
            </w:tcBorders>
            <w:hideMark/>
          </w:tcPr>
          <w:p w14:paraId="2540E36A" w14:textId="2FDEE96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4561135A" w14:textId="2D3EDAF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3830463A" w14:textId="5F1AF16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2F02F371" w14:textId="198C15B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1F41FDC2" w14:textId="27DB96D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198F3875"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36FA415A" w14:textId="23A14459"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4.1.4 Rishikimi i </w:t>
            </w:r>
            <w:r w:rsidR="00BF4FA2" w:rsidRPr="00024D5A">
              <w:rPr>
                <w:rFonts w:ascii="Garamond" w:eastAsia="Times New Roman" w:hAnsi="Garamond"/>
                <w:sz w:val="6"/>
                <w:szCs w:val="16"/>
                <w:lang w:eastAsia="en-US"/>
              </w:rPr>
              <w:t>standardeve</w:t>
            </w:r>
            <w:r w:rsidRPr="00024D5A">
              <w:rPr>
                <w:rFonts w:ascii="Garamond" w:eastAsia="Times New Roman" w:hAnsi="Garamond"/>
                <w:sz w:val="6"/>
                <w:szCs w:val="16"/>
                <w:lang w:eastAsia="en-US"/>
              </w:rPr>
              <w:t xml:space="preserve"> të shërbimeve për </w:t>
            </w:r>
            <w:r w:rsidR="00BF4FA2" w:rsidRPr="00024D5A">
              <w:rPr>
                <w:rFonts w:ascii="Garamond" w:eastAsia="Times New Roman" w:hAnsi="Garamond"/>
                <w:sz w:val="6"/>
                <w:szCs w:val="16"/>
                <w:lang w:eastAsia="en-US"/>
              </w:rPr>
              <w:t>qendrat</w:t>
            </w:r>
            <w:r w:rsidRPr="00024D5A">
              <w:rPr>
                <w:rFonts w:ascii="Garamond" w:eastAsia="Times New Roman" w:hAnsi="Garamond"/>
                <w:sz w:val="6"/>
                <w:szCs w:val="16"/>
                <w:lang w:eastAsia="en-US"/>
              </w:rPr>
              <w:t xml:space="preserve"> e trajtimit të viktimave të dhunës</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dhe viktimave të trafikimit, për t’i përputhur ato me CRPD</w:t>
            </w:r>
            <w:r w:rsidR="00BF4FA2">
              <w:rPr>
                <w:rFonts w:ascii="Garamond" w:eastAsia="Times New Roman" w:hAnsi="Garamond"/>
                <w:sz w:val="6"/>
                <w:szCs w:val="16"/>
                <w:lang w:eastAsia="en-US"/>
              </w:rPr>
              <w:t>-në</w:t>
            </w:r>
            <w:r w:rsidRPr="00024D5A">
              <w:rPr>
                <w:rFonts w:ascii="Garamond" w:eastAsia="Times New Roman" w:hAnsi="Garamond"/>
                <w:sz w:val="6"/>
                <w:szCs w:val="16"/>
                <w:lang w:eastAsia="en-US"/>
              </w:rPr>
              <w:t xml:space="preserve"> dhe Konventën e Stambollit, </w:t>
            </w:r>
            <w:r w:rsidR="00BF4FA2" w:rsidRPr="00024D5A">
              <w:rPr>
                <w:rFonts w:ascii="Garamond" w:eastAsia="Times New Roman" w:hAnsi="Garamond"/>
                <w:sz w:val="6"/>
                <w:szCs w:val="16"/>
                <w:lang w:eastAsia="en-US"/>
              </w:rPr>
              <w:t xml:space="preserve">direktivën </w:t>
            </w:r>
            <w:r w:rsidRPr="00024D5A">
              <w:rPr>
                <w:rFonts w:ascii="Garamond" w:eastAsia="Times New Roman" w:hAnsi="Garamond"/>
                <w:sz w:val="6"/>
                <w:szCs w:val="16"/>
                <w:lang w:eastAsia="en-US"/>
              </w:rPr>
              <w:t xml:space="preserve">e BE-së 1385/2024, duke u shoqëruar edhe me rishikimin e procedurave, protokolleve, burimeve njerëzore, për të </w:t>
            </w:r>
            <w:r w:rsidR="00BF4FA2" w:rsidRPr="00024D5A">
              <w:rPr>
                <w:rFonts w:ascii="Garamond" w:eastAsia="Times New Roman" w:hAnsi="Garamond"/>
                <w:sz w:val="6"/>
                <w:szCs w:val="16"/>
                <w:lang w:eastAsia="en-US"/>
              </w:rPr>
              <w:t>realizuar</w:t>
            </w:r>
            <w:r w:rsidRPr="00024D5A">
              <w:rPr>
                <w:rFonts w:ascii="Garamond" w:eastAsia="Times New Roman" w:hAnsi="Garamond"/>
                <w:sz w:val="6"/>
                <w:szCs w:val="16"/>
                <w:lang w:eastAsia="en-US"/>
              </w:rPr>
              <w:t xml:space="preserve"> një mirëmenaxhim të rasteve, bazuar në një qasje individuale dhe mul</w:t>
            </w:r>
            <w:r w:rsidR="00BF4FA2">
              <w:rPr>
                <w:rFonts w:ascii="Garamond" w:eastAsia="Times New Roman" w:hAnsi="Garamond"/>
                <w:sz w:val="6"/>
                <w:szCs w:val="16"/>
                <w:lang w:eastAsia="en-US"/>
              </w:rPr>
              <w:t>ti</w:t>
            </w:r>
            <w:r w:rsidRPr="00024D5A">
              <w:rPr>
                <w:rFonts w:ascii="Garamond" w:eastAsia="Times New Roman" w:hAnsi="Garamond"/>
                <w:sz w:val="6"/>
                <w:szCs w:val="16"/>
                <w:lang w:eastAsia="en-US"/>
              </w:rPr>
              <w:t>disiplinare për gratë e vajzat me aftësi të kufizuara</w:t>
            </w:r>
            <w:r w:rsidR="00BF4FA2">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w:t>
            </w:r>
          </w:p>
        </w:tc>
        <w:tc>
          <w:tcPr>
            <w:tcW w:w="567" w:type="dxa"/>
            <w:tcBorders>
              <w:top w:val="nil"/>
              <w:left w:val="nil"/>
              <w:bottom w:val="single" w:sz="4" w:space="0" w:color="auto"/>
              <w:right w:val="single" w:sz="4" w:space="0" w:color="auto"/>
            </w:tcBorders>
            <w:hideMark/>
          </w:tcPr>
          <w:p w14:paraId="39A9D9FC"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567" w:type="dxa"/>
            <w:tcBorders>
              <w:top w:val="nil"/>
              <w:left w:val="nil"/>
              <w:bottom w:val="single" w:sz="4" w:space="0" w:color="auto"/>
              <w:right w:val="single" w:sz="4" w:space="0" w:color="auto"/>
            </w:tcBorders>
            <w:hideMark/>
          </w:tcPr>
          <w:p w14:paraId="441C6C8B"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117CDBBA"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8" w:space="0" w:color="auto"/>
            </w:tcBorders>
            <w:hideMark/>
          </w:tcPr>
          <w:p w14:paraId="7E063021"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708" w:type="dxa"/>
            <w:tcBorders>
              <w:top w:val="nil"/>
              <w:left w:val="single" w:sz="4" w:space="0" w:color="auto"/>
              <w:bottom w:val="single" w:sz="4" w:space="0" w:color="auto"/>
              <w:right w:val="single" w:sz="4" w:space="0" w:color="auto"/>
            </w:tcBorders>
            <w:hideMark/>
          </w:tcPr>
          <w:p w14:paraId="4E715FB8" w14:textId="791E438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6E71E7BD" w14:textId="7A3A3EF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998</w:t>
            </w:r>
          </w:p>
        </w:tc>
        <w:tc>
          <w:tcPr>
            <w:tcW w:w="567" w:type="dxa"/>
            <w:tcBorders>
              <w:top w:val="nil"/>
              <w:left w:val="nil"/>
              <w:bottom w:val="single" w:sz="4" w:space="0" w:color="auto"/>
              <w:right w:val="single" w:sz="4" w:space="0" w:color="auto"/>
            </w:tcBorders>
            <w:hideMark/>
          </w:tcPr>
          <w:p w14:paraId="22D42BF5" w14:textId="78302C9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40A717DE" w14:textId="088A7CB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654B6C86" w14:textId="46B3B51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998</w:t>
            </w:r>
          </w:p>
        </w:tc>
      </w:tr>
      <w:tr w:rsidR="00B807EE" w:rsidRPr="00024D5A" w14:paraId="700E443B"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2675A9EF" w14:textId="0D662B8C"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4.1.5 Realizimi një vlerësim mbi nevojat për trajnime dhe të hartohet, aprovohet, financohet ofrimi i trajnimeve të nevojshme për stafin për të garantuar shërbimin për vajzat dhe gratë e viktima të dhunës me aftësi të kufizuara.</w:t>
            </w:r>
          </w:p>
        </w:tc>
        <w:tc>
          <w:tcPr>
            <w:tcW w:w="567" w:type="dxa"/>
            <w:tcBorders>
              <w:top w:val="nil"/>
              <w:left w:val="nil"/>
              <w:bottom w:val="single" w:sz="4" w:space="0" w:color="auto"/>
              <w:right w:val="single" w:sz="4" w:space="0" w:color="auto"/>
            </w:tcBorders>
            <w:hideMark/>
          </w:tcPr>
          <w:p w14:paraId="0B050FF7"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5C423DE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744E02E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8" w:space="0" w:color="auto"/>
            </w:tcBorders>
            <w:hideMark/>
          </w:tcPr>
          <w:p w14:paraId="6FD29ABB"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708" w:type="dxa"/>
            <w:tcBorders>
              <w:top w:val="nil"/>
              <w:left w:val="single" w:sz="4" w:space="0" w:color="auto"/>
              <w:bottom w:val="single" w:sz="4" w:space="0" w:color="auto"/>
              <w:right w:val="single" w:sz="4" w:space="0" w:color="auto"/>
            </w:tcBorders>
            <w:hideMark/>
          </w:tcPr>
          <w:p w14:paraId="7D86DBF6" w14:textId="044FD4A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1,173</w:t>
            </w:r>
          </w:p>
        </w:tc>
        <w:tc>
          <w:tcPr>
            <w:tcW w:w="567" w:type="dxa"/>
            <w:tcBorders>
              <w:top w:val="nil"/>
              <w:left w:val="nil"/>
              <w:bottom w:val="single" w:sz="4" w:space="0" w:color="auto"/>
              <w:right w:val="single" w:sz="4" w:space="0" w:color="auto"/>
            </w:tcBorders>
            <w:hideMark/>
          </w:tcPr>
          <w:p w14:paraId="39B15917" w14:textId="16F7CE0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63B39069" w14:textId="1D73FFB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7AB7E9CD" w14:textId="210621B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7C915F9F" w14:textId="6B58A8D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1,173</w:t>
            </w:r>
          </w:p>
        </w:tc>
      </w:tr>
      <w:tr w:rsidR="00B807EE" w:rsidRPr="00024D5A" w14:paraId="3FDBB170"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B8CCE4"/>
            <w:hideMark/>
          </w:tcPr>
          <w:p w14:paraId="6E5C73CE" w14:textId="0EF240FC"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Masa prioritare 4.2</w:t>
            </w:r>
            <w:r w:rsidR="003526AF">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Parandalimi i dhunës ndaj grave dhe vajzave me aftësi të kufizuara në familje dhe komunitet, përmes rritjes së ndërgjegjësimit të familjarëve, kujdestarëve dhe komunitetit, si dhe forcimit të mekanizmave të raportimit të bazuara në evidencë, mbrojtjes dhe ndërhyrjes së hershme.</w:t>
            </w:r>
          </w:p>
        </w:tc>
        <w:tc>
          <w:tcPr>
            <w:tcW w:w="567" w:type="dxa"/>
            <w:tcBorders>
              <w:top w:val="nil"/>
              <w:left w:val="nil"/>
              <w:bottom w:val="single" w:sz="4" w:space="0" w:color="auto"/>
              <w:right w:val="single" w:sz="4" w:space="0" w:color="auto"/>
            </w:tcBorders>
            <w:shd w:val="clear" w:color="000000" w:fill="B8CCE4"/>
            <w:noWrap/>
            <w:hideMark/>
          </w:tcPr>
          <w:p w14:paraId="6BD3A716"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shd w:val="clear" w:color="000000" w:fill="B8CCE4"/>
            <w:noWrap/>
            <w:hideMark/>
          </w:tcPr>
          <w:p w14:paraId="31BDDD92"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shd w:val="clear" w:color="000000" w:fill="B8CCE4"/>
            <w:noWrap/>
            <w:hideMark/>
          </w:tcPr>
          <w:p w14:paraId="5BE9F724"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8" w:space="0" w:color="auto"/>
            </w:tcBorders>
            <w:shd w:val="clear" w:color="000000" w:fill="B8CCE4"/>
            <w:noWrap/>
            <w:hideMark/>
          </w:tcPr>
          <w:p w14:paraId="39BAF665"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708" w:type="dxa"/>
            <w:tcBorders>
              <w:top w:val="nil"/>
              <w:left w:val="single" w:sz="4" w:space="0" w:color="auto"/>
              <w:bottom w:val="single" w:sz="4" w:space="0" w:color="auto"/>
              <w:right w:val="single" w:sz="4" w:space="0" w:color="auto"/>
            </w:tcBorders>
            <w:shd w:val="clear" w:color="000000" w:fill="C5D9F1"/>
            <w:noWrap/>
            <w:hideMark/>
          </w:tcPr>
          <w:p w14:paraId="548B641F" w14:textId="4454CC91"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2,000</w:t>
            </w:r>
          </w:p>
        </w:tc>
        <w:tc>
          <w:tcPr>
            <w:tcW w:w="567" w:type="dxa"/>
            <w:tcBorders>
              <w:top w:val="nil"/>
              <w:left w:val="nil"/>
              <w:bottom w:val="single" w:sz="4" w:space="0" w:color="auto"/>
              <w:right w:val="single" w:sz="4" w:space="0" w:color="auto"/>
            </w:tcBorders>
            <w:shd w:val="clear" w:color="000000" w:fill="C5D9F1"/>
            <w:noWrap/>
            <w:hideMark/>
          </w:tcPr>
          <w:p w14:paraId="028CD487" w14:textId="0C2C3CE6"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4,100</w:t>
            </w:r>
          </w:p>
        </w:tc>
        <w:tc>
          <w:tcPr>
            <w:tcW w:w="567" w:type="dxa"/>
            <w:tcBorders>
              <w:top w:val="nil"/>
              <w:left w:val="nil"/>
              <w:bottom w:val="single" w:sz="4" w:space="0" w:color="auto"/>
              <w:right w:val="single" w:sz="4" w:space="0" w:color="auto"/>
            </w:tcBorders>
            <w:shd w:val="clear" w:color="000000" w:fill="C5D9F1"/>
            <w:noWrap/>
            <w:hideMark/>
          </w:tcPr>
          <w:p w14:paraId="6FC1FBA8" w14:textId="76911FF7"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3,900</w:t>
            </w:r>
          </w:p>
        </w:tc>
        <w:tc>
          <w:tcPr>
            <w:tcW w:w="1134" w:type="dxa"/>
            <w:tcBorders>
              <w:top w:val="nil"/>
              <w:left w:val="nil"/>
              <w:bottom w:val="single" w:sz="4" w:space="0" w:color="auto"/>
              <w:right w:val="single" w:sz="4" w:space="0" w:color="auto"/>
            </w:tcBorders>
            <w:shd w:val="clear" w:color="000000" w:fill="C5D9F1"/>
            <w:noWrap/>
            <w:hideMark/>
          </w:tcPr>
          <w:p w14:paraId="7FE05A36" w14:textId="41AB5E26"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3,900</w:t>
            </w:r>
          </w:p>
        </w:tc>
        <w:tc>
          <w:tcPr>
            <w:tcW w:w="1615" w:type="dxa"/>
            <w:tcBorders>
              <w:top w:val="nil"/>
              <w:left w:val="nil"/>
              <w:bottom w:val="single" w:sz="4" w:space="0" w:color="auto"/>
              <w:right w:val="single" w:sz="4" w:space="0" w:color="auto"/>
            </w:tcBorders>
            <w:shd w:val="clear" w:color="000000" w:fill="C5D9F1"/>
            <w:noWrap/>
            <w:hideMark/>
          </w:tcPr>
          <w:p w14:paraId="5CF1B5E3" w14:textId="66EFBEB1"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3,900</w:t>
            </w:r>
          </w:p>
        </w:tc>
      </w:tr>
      <w:tr w:rsidR="00B807EE" w:rsidRPr="00024D5A" w14:paraId="5D0C8C4B"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6A32E5B5" w14:textId="391BFFD4"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4.2.1</w:t>
            </w:r>
            <w:r w:rsidR="00BF4FA2">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Garantimi i</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 xml:space="preserve">aksesit të vazhdueshëm në informacion për vajzat dhe gratë me aftësi të kufizuara sa më pranë </w:t>
            </w:r>
            <w:r w:rsidR="00BF4FA2" w:rsidRPr="00024D5A">
              <w:rPr>
                <w:rFonts w:ascii="Garamond" w:eastAsia="Times New Roman" w:hAnsi="Garamond"/>
                <w:sz w:val="6"/>
                <w:szCs w:val="16"/>
                <w:lang w:eastAsia="en-US"/>
              </w:rPr>
              <w:t>ambienteve</w:t>
            </w:r>
            <w:r w:rsidRPr="00024D5A">
              <w:rPr>
                <w:rFonts w:ascii="Garamond" w:eastAsia="Times New Roman" w:hAnsi="Garamond"/>
                <w:sz w:val="6"/>
                <w:szCs w:val="16"/>
                <w:lang w:eastAsia="en-US"/>
              </w:rPr>
              <w:t xml:space="preserve"> ku ato jetojnë,</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mbi</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parandalimin, njohjen dhe raportimin e formave të ndryshme të dhunës me bazë gjinore,</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përmes fuqizimit të rolit të mjekut të familjes, administratorit shoqëror, punonjësit social e psikologut në shkolla, si aktorë kyç për informim, edukim, identifikim të hershëm, referim dhe parandalim të dhunës</w:t>
            </w:r>
            <w:r w:rsidR="00BF4FA2">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3DA350A8"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3D5A1932"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448556AD"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8" w:space="0" w:color="auto"/>
            </w:tcBorders>
            <w:hideMark/>
          </w:tcPr>
          <w:p w14:paraId="4A5AF793"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708" w:type="dxa"/>
            <w:tcBorders>
              <w:top w:val="nil"/>
              <w:left w:val="single" w:sz="4" w:space="0" w:color="auto"/>
              <w:bottom w:val="single" w:sz="4" w:space="0" w:color="auto"/>
              <w:right w:val="single" w:sz="4" w:space="0" w:color="auto"/>
            </w:tcBorders>
            <w:hideMark/>
          </w:tcPr>
          <w:p w14:paraId="1ED89C3E" w14:textId="6458E24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2,000</w:t>
            </w:r>
          </w:p>
        </w:tc>
        <w:tc>
          <w:tcPr>
            <w:tcW w:w="567" w:type="dxa"/>
            <w:tcBorders>
              <w:top w:val="nil"/>
              <w:left w:val="nil"/>
              <w:bottom w:val="single" w:sz="4" w:space="0" w:color="auto"/>
              <w:right w:val="single" w:sz="4" w:space="0" w:color="auto"/>
            </w:tcBorders>
            <w:hideMark/>
          </w:tcPr>
          <w:p w14:paraId="76EEC831" w14:textId="0C904E2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2,000</w:t>
            </w:r>
          </w:p>
        </w:tc>
        <w:tc>
          <w:tcPr>
            <w:tcW w:w="567" w:type="dxa"/>
            <w:tcBorders>
              <w:top w:val="nil"/>
              <w:left w:val="nil"/>
              <w:bottom w:val="single" w:sz="4" w:space="0" w:color="auto"/>
              <w:right w:val="single" w:sz="4" w:space="0" w:color="auto"/>
            </w:tcBorders>
            <w:hideMark/>
          </w:tcPr>
          <w:p w14:paraId="4182FF8E" w14:textId="5542EB8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2,000</w:t>
            </w:r>
          </w:p>
        </w:tc>
        <w:tc>
          <w:tcPr>
            <w:tcW w:w="1134" w:type="dxa"/>
            <w:tcBorders>
              <w:top w:val="nil"/>
              <w:left w:val="nil"/>
              <w:bottom w:val="single" w:sz="4" w:space="0" w:color="auto"/>
              <w:right w:val="single" w:sz="4" w:space="0" w:color="auto"/>
            </w:tcBorders>
            <w:hideMark/>
          </w:tcPr>
          <w:p w14:paraId="5992B8E3" w14:textId="36167FE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2,000</w:t>
            </w:r>
          </w:p>
        </w:tc>
        <w:tc>
          <w:tcPr>
            <w:tcW w:w="1615" w:type="dxa"/>
            <w:tcBorders>
              <w:top w:val="nil"/>
              <w:left w:val="nil"/>
              <w:bottom w:val="single" w:sz="4" w:space="0" w:color="auto"/>
              <w:right w:val="single" w:sz="4" w:space="0" w:color="auto"/>
            </w:tcBorders>
            <w:hideMark/>
          </w:tcPr>
          <w:p w14:paraId="6CCBAF2F" w14:textId="54F8D84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2,000</w:t>
            </w:r>
          </w:p>
        </w:tc>
      </w:tr>
      <w:tr w:rsidR="00B807EE" w:rsidRPr="00024D5A" w14:paraId="0701A57A"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456EFA9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4.2.2. Zhvillimi i programeve të ndërgjegjësimit dhe edukimit, të synuara për familjarët dhe kujdestarët e grave dhe vajzave me aftësi të kufizuara, me fokus në parandalimin e dhunës, identifikimin e shenjave të hershme të abuzimit dhe detyrimin për raportim.</w:t>
            </w:r>
          </w:p>
        </w:tc>
        <w:tc>
          <w:tcPr>
            <w:tcW w:w="567" w:type="dxa"/>
            <w:tcBorders>
              <w:top w:val="nil"/>
              <w:left w:val="nil"/>
              <w:bottom w:val="single" w:sz="4" w:space="0" w:color="auto"/>
              <w:right w:val="single" w:sz="4" w:space="0" w:color="auto"/>
            </w:tcBorders>
            <w:hideMark/>
          </w:tcPr>
          <w:p w14:paraId="4D8FD7BB"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567" w:type="dxa"/>
            <w:tcBorders>
              <w:top w:val="nil"/>
              <w:left w:val="nil"/>
              <w:bottom w:val="single" w:sz="4" w:space="0" w:color="auto"/>
              <w:right w:val="single" w:sz="4" w:space="0" w:color="auto"/>
            </w:tcBorders>
            <w:hideMark/>
          </w:tcPr>
          <w:p w14:paraId="22540437"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0C327F4F"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8" w:space="0" w:color="auto"/>
            </w:tcBorders>
            <w:hideMark/>
          </w:tcPr>
          <w:p w14:paraId="084ABE90"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708" w:type="dxa"/>
            <w:tcBorders>
              <w:top w:val="nil"/>
              <w:left w:val="single" w:sz="4" w:space="0" w:color="auto"/>
              <w:bottom w:val="single" w:sz="4" w:space="0" w:color="auto"/>
              <w:right w:val="single" w:sz="4" w:space="0" w:color="auto"/>
            </w:tcBorders>
            <w:hideMark/>
          </w:tcPr>
          <w:p w14:paraId="367D4B04" w14:textId="1845C80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7FB3B4D6" w14:textId="394B203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c>
          <w:tcPr>
            <w:tcW w:w="567" w:type="dxa"/>
            <w:tcBorders>
              <w:top w:val="nil"/>
              <w:left w:val="nil"/>
              <w:bottom w:val="single" w:sz="4" w:space="0" w:color="auto"/>
              <w:right w:val="single" w:sz="4" w:space="0" w:color="auto"/>
            </w:tcBorders>
            <w:hideMark/>
          </w:tcPr>
          <w:p w14:paraId="2C2D7486" w14:textId="1366B86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c>
          <w:tcPr>
            <w:tcW w:w="1134" w:type="dxa"/>
            <w:tcBorders>
              <w:top w:val="nil"/>
              <w:left w:val="nil"/>
              <w:bottom w:val="single" w:sz="4" w:space="0" w:color="auto"/>
              <w:right w:val="single" w:sz="4" w:space="0" w:color="auto"/>
            </w:tcBorders>
            <w:hideMark/>
          </w:tcPr>
          <w:p w14:paraId="66DBF90B" w14:textId="1394992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c>
          <w:tcPr>
            <w:tcW w:w="1615" w:type="dxa"/>
            <w:tcBorders>
              <w:top w:val="nil"/>
              <w:left w:val="nil"/>
              <w:bottom w:val="single" w:sz="4" w:space="0" w:color="auto"/>
              <w:right w:val="single" w:sz="4" w:space="0" w:color="auto"/>
            </w:tcBorders>
            <w:hideMark/>
          </w:tcPr>
          <w:p w14:paraId="1FEDF5F6" w14:textId="46A766F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r>
      <w:tr w:rsidR="00B807EE" w:rsidRPr="00024D5A" w14:paraId="0A5D28C6"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6535FB41" w14:textId="40E3D33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4.2.3</w:t>
            </w:r>
            <w:r w:rsidR="00BF4FA2">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Përmirësimi/krijimi i</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një sistemi gjithëpërfshirës për mbledhjen e të dhënave të ndara sipas gjinisë dhe llojit të aftësisë së kufizuar për gratë dhe vajzat me aftësi të kufizuara të cilat përjetojnë dhunë, në përputhje me standardet për mbrojtjen e të dhënave personale dhe konfidencialitetin. Këtu duhet të përfshihen të dhëna për shkaqet, faktorët e riskut, aksesin në shërbime, shërbimet mbështetëse, zbatimin e urdhrave të mbrojtjes dhe ndihmën juridike falas</w:t>
            </w:r>
            <w:r w:rsidR="00BF4FA2">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62F4E6D2"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567" w:type="dxa"/>
            <w:tcBorders>
              <w:top w:val="nil"/>
              <w:left w:val="nil"/>
              <w:bottom w:val="single" w:sz="4" w:space="0" w:color="auto"/>
              <w:right w:val="single" w:sz="4" w:space="0" w:color="auto"/>
            </w:tcBorders>
            <w:hideMark/>
          </w:tcPr>
          <w:p w14:paraId="6847E9F1"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29E6B2B8"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8" w:space="0" w:color="auto"/>
            </w:tcBorders>
            <w:hideMark/>
          </w:tcPr>
          <w:p w14:paraId="12631377"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708" w:type="dxa"/>
            <w:tcBorders>
              <w:top w:val="nil"/>
              <w:left w:val="single" w:sz="4" w:space="0" w:color="auto"/>
              <w:bottom w:val="single" w:sz="4" w:space="0" w:color="auto"/>
              <w:right w:val="single" w:sz="4" w:space="0" w:color="auto"/>
            </w:tcBorders>
            <w:hideMark/>
          </w:tcPr>
          <w:p w14:paraId="7DEE6ECE" w14:textId="6B9FCFB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3F1DC5FA" w14:textId="04B56E8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300</w:t>
            </w:r>
          </w:p>
        </w:tc>
        <w:tc>
          <w:tcPr>
            <w:tcW w:w="567" w:type="dxa"/>
            <w:tcBorders>
              <w:top w:val="nil"/>
              <w:left w:val="nil"/>
              <w:bottom w:val="single" w:sz="4" w:space="0" w:color="auto"/>
              <w:right w:val="single" w:sz="4" w:space="0" w:color="auto"/>
            </w:tcBorders>
            <w:hideMark/>
          </w:tcPr>
          <w:p w14:paraId="7440EC4C" w14:textId="3DFB834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300</w:t>
            </w:r>
          </w:p>
        </w:tc>
        <w:tc>
          <w:tcPr>
            <w:tcW w:w="1134" w:type="dxa"/>
            <w:tcBorders>
              <w:top w:val="nil"/>
              <w:left w:val="nil"/>
              <w:bottom w:val="single" w:sz="4" w:space="0" w:color="auto"/>
              <w:right w:val="single" w:sz="4" w:space="0" w:color="auto"/>
            </w:tcBorders>
            <w:hideMark/>
          </w:tcPr>
          <w:p w14:paraId="79B60FB3" w14:textId="2DCA571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300</w:t>
            </w:r>
          </w:p>
        </w:tc>
        <w:tc>
          <w:tcPr>
            <w:tcW w:w="1615" w:type="dxa"/>
            <w:tcBorders>
              <w:top w:val="nil"/>
              <w:left w:val="nil"/>
              <w:bottom w:val="single" w:sz="4" w:space="0" w:color="auto"/>
              <w:right w:val="single" w:sz="4" w:space="0" w:color="auto"/>
            </w:tcBorders>
            <w:hideMark/>
          </w:tcPr>
          <w:p w14:paraId="58853C0A" w14:textId="337C99A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300</w:t>
            </w:r>
          </w:p>
        </w:tc>
      </w:tr>
      <w:tr w:rsidR="00B807EE" w:rsidRPr="00024D5A" w14:paraId="1AB47D3B"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32F1DEF1" w14:textId="27FDF7E8"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4.2.4 Zbatimi i</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 xml:space="preserve">rekomandimeve të organeve të të drejtave të njeriut, lidhur me </w:t>
            </w:r>
            <w:r w:rsidR="00BF4FA2" w:rsidRPr="00024D5A">
              <w:rPr>
                <w:rFonts w:ascii="Garamond" w:eastAsia="Times New Roman" w:hAnsi="Garamond"/>
                <w:sz w:val="6"/>
                <w:szCs w:val="16"/>
                <w:lang w:eastAsia="en-US"/>
              </w:rPr>
              <w:t>çështjet</w:t>
            </w:r>
            <w:r w:rsidRPr="00024D5A">
              <w:rPr>
                <w:rFonts w:ascii="Garamond" w:eastAsia="Times New Roman" w:hAnsi="Garamond"/>
                <w:sz w:val="6"/>
                <w:szCs w:val="16"/>
                <w:lang w:eastAsia="en-US"/>
              </w:rPr>
              <w:t xml:space="preserve"> që lidhen me dhunën ndaj grave dhe dhunën në familje, përfshirë edhe orientimin drejt praktikave më të mira në vend dhe atyre ndërkombëtare;</w:t>
            </w:r>
          </w:p>
        </w:tc>
        <w:tc>
          <w:tcPr>
            <w:tcW w:w="567" w:type="dxa"/>
            <w:tcBorders>
              <w:top w:val="nil"/>
              <w:left w:val="nil"/>
              <w:bottom w:val="single" w:sz="4" w:space="0" w:color="auto"/>
              <w:right w:val="single" w:sz="4" w:space="0" w:color="auto"/>
            </w:tcBorders>
            <w:hideMark/>
          </w:tcPr>
          <w:p w14:paraId="04028112"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567" w:type="dxa"/>
            <w:tcBorders>
              <w:top w:val="nil"/>
              <w:left w:val="nil"/>
              <w:bottom w:val="single" w:sz="4" w:space="0" w:color="auto"/>
              <w:right w:val="single" w:sz="4" w:space="0" w:color="auto"/>
            </w:tcBorders>
            <w:hideMark/>
          </w:tcPr>
          <w:p w14:paraId="6F1E47E2"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77B899B7"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8" w:space="0" w:color="auto"/>
            </w:tcBorders>
            <w:hideMark/>
          </w:tcPr>
          <w:p w14:paraId="7FEE01FB"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708" w:type="dxa"/>
            <w:tcBorders>
              <w:top w:val="nil"/>
              <w:left w:val="single" w:sz="4" w:space="0" w:color="auto"/>
              <w:bottom w:val="single" w:sz="4" w:space="0" w:color="auto"/>
              <w:right w:val="single" w:sz="4" w:space="0" w:color="auto"/>
            </w:tcBorders>
            <w:hideMark/>
          </w:tcPr>
          <w:p w14:paraId="68CEE7CD" w14:textId="37FA54F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649F99C8" w14:textId="4F06191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300</w:t>
            </w:r>
          </w:p>
        </w:tc>
        <w:tc>
          <w:tcPr>
            <w:tcW w:w="567" w:type="dxa"/>
            <w:tcBorders>
              <w:top w:val="nil"/>
              <w:left w:val="nil"/>
              <w:bottom w:val="single" w:sz="4" w:space="0" w:color="auto"/>
              <w:right w:val="single" w:sz="4" w:space="0" w:color="auto"/>
            </w:tcBorders>
            <w:hideMark/>
          </w:tcPr>
          <w:p w14:paraId="59DB8697" w14:textId="165CF29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300</w:t>
            </w:r>
          </w:p>
        </w:tc>
        <w:tc>
          <w:tcPr>
            <w:tcW w:w="1134" w:type="dxa"/>
            <w:tcBorders>
              <w:top w:val="nil"/>
              <w:left w:val="nil"/>
              <w:bottom w:val="single" w:sz="4" w:space="0" w:color="auto"/>
              <w:right w:val="single" w:sz="4" w:space="0" w:color="auto"/>
            </w:tcBorders>
            <w:hideMark/>
          </w:tcPr>
          <w:p w14:paraId="55C72F23" w14:textId="5457DF1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300</w:t>
            </w:r>
          </w:p>
        </w:tc>
        <w:tc>
          <w:tcPr>
            <w:tcW w:w="1615" w:type="dxa"/>
            <w:tcBorders>
              <w:top w:val="nil"/>
              <w:left w:val="nil"/>
              <w:bottom w:val="single" w:sz="4" w:space="0" w:color="auto"/>
              <w:right w:val="single" w:sz="4" w:space="0" w:color="auto"/>
            </w:tcBorders>
            <w:hideMark/>
          </w:tcPr>
          <w:p w14:paraId="55683B37" w14:textId="6F1E14F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300</w:t>
            </w:r>
          </w:p>
        </w:tc>
      </w:tr>
      <w:tr w:rsidR="00B807EE" w:rsidRPr="00024D5A" w14:paraId="7B02F475"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19350884" w14:textId="3A37E77C"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4.2.5</w:t>
            </w:r>
            <w:r w:rsidR="00BF4FA2">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 xml:space="preserve">Integrimi i </w:t>
            </w:r>
            <w:r w:rsidR="00BF4FA2" w:rsidRPr="00024D5A">
              <w:rPr>
                <w:rFonts w:ascii="Garamond" w:eastAsia="Times New Roman" w:hAnsi="Garamond"/>
                <w:sz w:val="6"/>
                <w:szCs w:val="16"/>
                <w:lang w:eastAsia="en-US"/>
              </w:rPr>
              <w:t>çështjet</w:t>
            </w:r>
            <w:r w:rsidRPr="00024D5A">
              <w:rPr>
                <w:rFonts w:ascii="Garamond" w:eastAsia="Times New Roman" w:hAnsi="Garamond"/>
                <w:sz w:val="6"/>
                <w:szCs w:val="16"/>
                <w:lang w:eastAsia="en-US"/>
              </w:rPr>
              <w:t xml:space="preserve"> e grave me aftësi të kufizuara në mekanizmat ekzistues për parandalimin dhe raportimin e dhunës me bazë gjinore.</w:t>
            </w:r>
            <w:r w:rsidR="00BF4FA2">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Të zhvillohen trajnime të posaçme për stafin përgjegjës për mbledhjen dhe analizimin e të dhënave mbi qasjen gjinore, aftësinë e kufizuar dhe dhunën me bazë gjinore</w:t>
            </w:r>
            <w:r w:rsidR="00BF4FA2">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22947FC1"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567" w:type="dxa"/>
            <w:tcBorders>
              <w:top w:val="nil"/>
              <w:left w:val="nil"/>
              <w:bottom w:val="single" w:sz="4" w:space="0" w:color="auto"/>
              <w:right w:val="single" w:sz="4" w:space="0" w:color="auto"/>
            </w:tcBorders>
            <w:hideMark/>
          </w:tcPr>
          <w:p w14:paraId="35F5D3C0"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32C92EEA"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8" w:space="0" w:color="auto"/>
            </w:tcBorders>
            <w:hideMark/>
          </w:tcPr>
          <w:p w14:paraId="6B19896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708" w:type="dxa"/>
            <w:tcBorders>
              <w:top w:val="nil"/>
              <w:left w:val="single" w:sz="4" w:space="0" w:color="auto"/>
              <w:bottom w:val="single" w:sz="4" w:space="0" w:color="auto"/>
              <w:right w:val="single" w:sz="4" w:space="0" w:color="auto"/>
            </w:tcBorders>
            <w:hideMark/>
          </w:tcPr>
          <w:p w14:paraId="4DB8BEFB" w14:textId="667510E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4383948D" w14:textId="5EC747B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500</w:t>
            </w:r>
          </w:p>
        </w:tc>
        <w:tc>
          <w:tcPr>
            <w:tcW w:w="567" w:type="dxa"/>
            <w:tcBorders>
              <w:top w:val="nil"/>
              <w:left w:val="nil"/>
              <w:bottom w:val="single" w:sz="4" w:space="0" w:color="auto"/>
              <w:right w:val="single" w:sz="4" w:space="0" w:color="auto"/>
            </w:tcBorders>
            <w:hideMark/>
          </w:tcPr>
          <w:p w14:paraId="29E6B83F" w14:textId="4E0CD49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300</w:t>
            </w:r>
          </w:p>
        </w:tc>
        <w:tc>
          <w:tcPr>
            <w:tcW w:w="1134" w:type="dxa"/>
            <w:tcBorders>
              <w:top w:val="nil"/>
              <w:left w:val="nil"/>
              <w:bottom w:val="single" w:sz="4" w:space="0" w:color="auto"/>
              <w:right w:val="single" w:sz="4" w:space="0" w:color="auto"/>
            </w:tcBorders>
            <w:hideMark/>
          </w:tcPr>
          <w:p w14:paraId="13370642" w14:textId="3A1BF0C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300</w:t>
            </w:r>
          </w:p>
        </w:tc>
        <w:tc>
          <w:tcPr>
            <w:tcW w:w="1615" w:type="dxa"/>
            <w:tcBorders>
              <w:top w:val="nil"/>
              <w:left w:val="nil"/>
              <w:bottom w:val="single" w:sz="4" w:space="0" w:color="auto"/>
              <w:right w:val="single" w:sz="4" w:space="0" w:color="auto"/>
            </w:tcBorders>
            <w:hideMark/>
          </w:tcPr>
          <w:p w14:paraId="40F7BC63" w14:textId="03E550C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300</w:t>
            </w:r>
          </w:p>
        </w:tc>
      </w:tr>
      <w:tr w:rsidR="00B807EE" w:rsidRPr="00024D5A" w14:paraId="34B14DEC"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DCE6F1"/>
            <w:hideMark/>
          </w:tcPr>
          <w:p w14:paraId="3B692C2F" w14:textId="7BD7D43A"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Masa prioritare 4.3</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Mundësimi i një qasjeje të plotë, të informuar dhe padiskriminim në shërbime të shëndetit seksual dhe riprodhues, duke respektuar autonominë dhe të drejtat riprodhuese të grave me aftësi të kufizuara. </w:t>
            </w:r>
          </w:p>
        </w:tc>
        <w:tc>
          <w:tcPr>
            <w:tcW w:w="567" w:type="dxa"/>
            <w:tcBorders>
              <w:top w:val="nil"/>
              <w:left w:val="nil"/>
              <w:bottom w:val="single" w:sz="4" w:space="0" w:color="auto"/>
              <w:right w:val="single" w:sz="4" w:space="0" w:color="auto"/>
            </w:tcBorders>
            <w:shd w:val="clear" w:color="000000" w:fill="DCE6F1"/>
            <w:hideMark/>
          </w:tcPr>
          <w:p w14:paraId="4CD0CE55"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shd w:val="clear" w:color="000000" w:fill="DCE6F1"/>
            <w:hideMark/>
          </w:tcPr>
          <w:p w14:paraId="018862C2"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shd w:val="clear" w:color="000000" w:fill="DCE6F1"/>
            <w:hideMark/>
          </w:tcPr>
          <w:p w14:paraId="684151B7"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8" w:space="0" w:color="auto"/>
            </w:tcBorders>
            <w:shd w:val="clear" w:color="000000" w:fill="DCE6F1"/>
            <w:hideMark/>
          </w:tcPr>
          <w:p w14:paraId="2CE8BDE3"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MSHMS/ISHP/OSHKSH</w:t>
            </w:r>
          </w:p>
        </w:tc>
        <w:tc>
          <w:tcPr>
            <w:tcW w:w="708" w:type="dxa"/>
            <w:tcBorders>
              <w:top w:val="nil"/>
              <w:left w:val="single" w:sz="4" w:space="0" w:color="auto"/>
              <w:bottom w:val="single" w:sz="4" w:space="0" w:color="auto"/>
              <w:right w:val="single" w:sz="4" w:space="0" w:color="auto"/>
            </w:tcBorders>
            <w:shd w:val="clear" w:color="000000" w:fill="C5D9F1"/>
            <w:noWrap/>
            <w:hideMark/>
          </w:tcPr>
          <w:p w14:paraId="77C97BB0" w14:textId="7F4F8ABA"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shd w:val="clear" w:color="000000" w:fill="C5D9F1"/>
            <w:noWrap/>
            <w:hideMark/>
          </w:tcPr>
          <w:p w14:paraId="079B010F" w14:textId="2ED49648"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121,000</w:t>
            </w:r>
          </w:p>
        </w:tc>
        <w:tc>
          <w:tcPr>
            <w:tcW w:w="567" w:type="dxa"/>
            <w:tcBorders>
              <w:top w:val="nil"/>
              <w:left w:val="nil"/>
              <w:bottom w:val="single" w:sz="4" w:space="0" w:color="auto"/>
              <w:right w:val="single" w:sz="4" w:space="0" w:color="auto"/>
            </w:tcBorders>
            <w:shd w:val="clear" w:color="000000" w:fill="C5D9F1"/>
            <w:noWrap/>
            <w:hideMark/>
          </w:tcPr>
          <w:p w14:paraId="60844223" w14:textId="13DD0541"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2,645</w:t>
            </w:r>
          </w:p>
        </w:tc>
        <w:tc>
          <w:tcPr>
            <w:tcW w:w="1134" w:type="dxa"/>
            <w:tcBorders>
              <w:top w:val="nil"/>
              <w:left w:val="nil"/>
              <w:bottom w:val="single" w:sz="4" w:space="0" w:color="auto"/>
              <w:right w:val="single" w:sz="4" w:space="0" w:color="auto"/>
            </w:tcBorders>
            <w:shd w:val="clear" w:color="000000" w:fill="C5D9F1"/>
            <w:noWrap/>
            <w:hideMark/>
          </w:tcPr>
          <w:p w14:paraId="4CEA2091" w14:textId="4A36BB7F"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2,645</w:t>
            </w:r>
          </w:p>
        </w:tc>
        <w:tc>
          <w:tcPr>
            <w:tcW w:w="1615" w:type="dxa"/>
            <w:tcBorders>
              <w:top w:val="nil"/>
              <w:left w:val="nil"/>
              <w:bottom w:val="single" w:sz="4" w:space="0" w:color="auto"/>
              <w:right w:val="single" w:sz="4" w:space="0" w:color="auto"/>
            </w:tcBorders>
            <w:shd w:val="clear" w:color="000000" w:fill="C5D9F1"/>
            <w:noWrap/>
            <w:hideMark/>
          </w:tcPr>
          <w:p w14:paraId="4CF02B13" w14:textId="64F82430"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122,645</w:t>
            </w:r>
          </w:p>
        </w:tc>
      </w:tr>
      <w:tr w:rsidR="00B807EE" w:rsidRPr="00024D5A" w14:paraId="3B08EAA2"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11071E4B" w14:textId="7E4B901C"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4.3.1. Sigurimi i informacionit për shëndetin seksual dhe riprodhues në formate të aksesueshme (</w:t>
            </w:r>
            <w:r w:rsidR="00BF4FA2" w:rsidRPr="00024D5A">
              <w:rPr>
                <w:rFonts w:ascii="Garamond" w:eastAsia="Times New Roman" w:hAnsi="Garamond"/>
                <w:sz w:val="6"/>
                <w:szCs w:val="16"/>
                <w:lang w:eastAsia="en-US"/>
              </w:rPr>
              <w:t>Braille</w:t>
            </w:r>
            <w:r w:rsidRPr="00024D5A">
              <w:rPr>
                <w:rFonts w:ascii="Garamond" w:eastAsia="Times New Roman" w:hAnsi="Garamond"/>
                <w:sz w:val="6"/>
                <w:szCs w:val="16"/>
                <w:lang w:eastAsia="en-US"/>
              </w:rPr>
              <w:t>, audio, gjuhë e thjeshtuar, gjuhë shenjash)</w:t>
            </w:r>
            <w:r w:rsidR="00BF4FA2">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5921E8A1"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2027</w:t>
            </w:r>
          </w:p>
        </w:tc>
        <w:tc>
          <w:tcPr>
            <w:tcW w:w="567" w:type="dxa"/>
            <w:tcBorders>
              <w:top w:val="nil"/>
              <w:left w:val="nil"/>
              <w:bottom w:val="single" w:sz="4" w:space="0" w:color="auto"/>
              <w:right w:val="single" w:sz="4" w:space="0" w:color="auto"/>
            </w:tcBorders>
            <w:hideMark/>
          </w:tcPr>
          <w:p w14:paraId="04E649F9"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11B09500"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w:t>
            </w:r>
          </w:p>
        </w:tc>
        <w:tc>
          <w:tcPr>
            <w:tcW w:w="1418" w:type="dxa"/>
            <w:tcBorders>
              <w:top w:val="nil"/>
              <w:left w:val="nil"/>
              <w:bottom w:val="single" w:sz="4" w:space="0" w:color="auto"/>
              <w:right w:val="single" w:sz="8" w:space="0" w:color="auto"/>
            </w:tcBorders>
            <w:hideMark/>
          </w:tcPr>
          <w:p w14:paraId="3E50D5AD"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ISHP/OKSHK</w:t>
            </w:r>
          </w:p>
        </w:tc>
        <w:tc>
          <w:tcPr>
            <w:tcW w:w="708" w:type="dxa"/>
            <w:tcBorders>
              <w:top w:val="nil"/>
              <w:left w:val="single" w:sz="4" w:space="0" w:color="auto"/>
              <w:bottom w:val="single" w:sz="4" w:space="0" w:color="auto"/>
              <w:right w:val="single" w:sz="4" w:space="0" w:color="auto"/>
            </w:tcBorders>
            <w:hideMark/>
          </w:tcPr>
          <w:p w14:paraId="3E221BEC" w14:textId="411ED05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3D9610EA" w14:textId="3ABF0CC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120,000</w:t>
            </w:r>
          </w:p>
        </w:tc>
        <w:tc>
          <w:tcPr>
            <w:tcW w:w="567" w:type="dxa"/>
            <w:tcBorders>
              <w:top w:val="nil"/>
              <w:left w:val="nil"/>
              <w:bottom w:val="single" w:sz="4" w:space="0" w:color="auto"/>
              <w:right w:val="single" w:sz="4" w:space="0" w:color="auto"/>
            </w:tcBorders>
            <w:hideMark/>
          </w:tcPr>
          <w:p w14:paraId="4113B53A" w14:textId="571A84D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2C1C5234" w14:textId="1FDA356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558A7074" w14:textId="34F1144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120,000</w:t>
            </w:r>
          </w:p>
        </w:tc>
      </w:tr>
      <w:tr w:rsidR="00B807EE" w:rsidRPr="00024D5A" w14:paraId="74F5AAFA"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601E102F" w14:textId="6D165921"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4.3.2 Trajnime të detyrueshme për personelin shëndetësor mbi të drejtat seksuale dhe riprodhuese të grave me aftësi të kufizuara, komunikimin etik, të respektueshëm dhe pa paragjykime, pëlqimin e informuar dhe vendimmarrjen e mbështetur</w:t>
            </w:r>
            <w:r w:rsidR="00A87FDD">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7C5FB1EA"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2027</w:t>
            </w:r>
          </w:p>
        </w:tc>
        <w:tc>
          <w:tcPr>
            <w:tcW w:w="567" w:type="dxa"/>
            <w:tcBorders>
              <w:top w:val="nil"/>
              <w:left w:val="nil"/>
              <w:bottom w:val="single" w:sz="4" w:space="0" w:color="auto"/>
              <w:right w:val="single" w:sz="4" w:space="0" w:color="auto"/>
            </w:tcBorders>
            <w:hideMark/>
          </w:tcPr>
          <w:p w14:paraId="7E394BD9"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771FCEF9"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w:t>
            </w:r>
          </w:p>
        </w:tc>
        <w:tc>
          <w:tcPr>
            <w:tcW w:w="1418" w:type="dxa"/>
            <w:tcBorders>
              <w:top w:val="nil"/>
              <w:left w:val="nil"/>
              <w:bottom w:val="single" w:sz="4" w:space="0" w:color="auto"/>
              <w:right w:val="single" w:sz="8" w:space="0" w:color="auto"/>
            </w:tcBorders>
            <w:hideMark/>
          </w:tcPr>
          <w:p w14:paraId="1A540C23"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MSHMS/OSHKSH/ISHP</w:t>
            </w:r>
          </w:p>
        </w:tc>
        <w:tc>
          <w:tcPr>
            <w:tcW w:w="708" w:type="dxa"/>
            <w:tcBorders>
              <w:top w:val="nil"/>
              <w:left w:val="single" w:sz="4" w:space="0" w:color="auto"/>
              <w:bottom w:val="single" w:sz="4" w:space="0" w:color="auto"/>
              <w:right w:val="single" w:sz="4" w:space="0" w:color="auto"/>
            </w:tcBorders>
            <w:hideMark/>
          </w:tcPr>
          <w:p w14:paraId="256260ED" w14:textId="01B6F09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4A2D1F24" w14:textId="425E2F0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c>
          <w:tcPr>
            <w:tcW w:w="567" w:type="dxa"/>
            <w:tcBorders>
              <w:top w:val="nil"/>
              <w:left w:val="nil"/>
              <w:bottom w:val="single" w:sz="4" w:space="0" w:color="auto"/>
              <w:right w:val="single" w:sz="4" w:space="0" w:color="auto"/>
            </w:tcBorders>
            <w:hideMark/>
          </w:tcPr>
          <w:p w14:paraId="40108703" w14:textId="3C7D9F5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c>
          <w:tcPr>
            <w:tcW w:w="1134" w:type="dxa"/>
            <w:tcBorders>
              <w:top w:val="nil"/>
              <w:left w:val="nil"/>
              <w:bottom w:val="single" w:sz="4" w:space="0" w:color="auto"/>
              <w:right w:val="single" w:sz="4" w:space="0" w:color="auto"/>
            </w:tcBorders>
            <w:hideMark/>
          </w:tcPr>
          <w:p w14:paraId="55185D3F" w14:textId="505532C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c>
          <w:tcPr>
            <w:tcW w:w="1615" w:type="dxa"/>
            <w:tcBorders>
              <w:top w:val="nil"/>
              <w:left w:val="nil"/>
              <w:bottom w:val="single" w:sz="4" w:space="0" w:color="auto"/>
              <w:right w:val="single" w:sz="4" w:space="0" w:color="auto"/>
            </w:tcBorders>
            <w:hideMark/>
          </w:tcPr>
          <w:p w14:paraId="22BE2DF4" w14:textId="0FD86DD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r>
      <w:tr w:rsidR="00B807EE" w:rsidRPr="00024D5A" w14:paraId="3AA7B2DB"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0FAD21A6" w14:textId="314CDF11"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4.3.3 Hartimi i protokolleve standarde që garantojnë pëlqimin e informuar për çdo shërbim shëndetësor seksual dhe riprodhues</w:t>
            </w:r>
            <w:r w:rsidR="00A87FDD">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7FF09546"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2028</w:t>
            </w:r>
          </w:p>
        </w:tc>
        <w:tc>
          <w:tcPr>
            <w:tcW w:w="567" w:type="dxa"/>
            <w:tcBorders>
              <w:top w:val="nil"/>
              <w:left w:val="nil"/>
              <w:bottom w:val="single" w:sz="4" w:space="0" w:color="auto"/>
              <w:right w:val="single" w:sz="4" w:space="0" w:color="auto"/>
            </w:tcBorders>
            <w:hideMark/>
          </w:tcPr>
          <w:p w14:paraId="4B9B9291"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2A52B359"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w:t>
            </w:r>
          </w:p>
        </w:tc>
        <w:tc>
          <w:tcPr>
            <w:tcW w:w="1418" w:type="dxa"/>
            <w:tcBorders>
              <w:top w:val="nil"/>
              <w:left w:val="nil"/>
              <w:bottom w:val="single" w:sz="4" w:space="0" w:color="auto"/>
              <w:right w:val="single" w:sz="8" w:space="0" w:color="auto"/>
            </w:tcBorders>
            <w:hideMark/>
          </w:tcPr>
          <w:p w14:paraId="41B71BAC"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OSHKSH/ISHP</w:t>
            </w:r>
          </w:p>
        </w:tc>
        <w:tc>
          <w:tcPr>
            <w:tcW w:w="708" w:type="dxa"/>
            <w:tcBorders>
              <w:top w:val="nil"/>
              <w:left w:val="single" w:sz="4" w:space="0" w:color="auto"/>
              <w:bottom w:val="single" w:sz="4" w:space="0" w:color="auto"/>
              <w:right w:val="single" w:sz="4" w:space="0" w:color="auto"/>
            </w:tcBorders>
            <w:hideMark/>
          </w:tcPr>
          <w:p w14:paraId="28AD741F" w14:textId="5435CCC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214C8C8D" w14:textId="4E9F090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10B8B50C" w14:textId="374279B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823</w:t>
            </w:r>
          </w:p>
        </w:tc>
        <w:tc>
          <w:tcPr>
            <w:tcW w:w="1134" w:type="dxa"/>
            <w:tcBorders>
              <w:top w:val="nil"/>
              <w:left w:val="nil"/>
              <w:bottom w:val="single" w:sz="4" w:space="0" w:color="auto"/>
              <w:right w:val="single" w:sz="4" w:space="0" w:color="auto"/>
            </w:tcBorders>
            <w:hideMark/>
          </w:tcPr>
          <w:p w14:paraId="19064D33" w14:textId="36E2C28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823</w:t>
            </w:r>
          </w:p>
        </w:tc>
        <w:tc>
          <w:tcPr>
            <w:tcW w:w="1615" w:type="dxa"/>
            <w:tcBorders>
              <w:top w:val="nil"/>
              <w:left w:val="nil"/>
              <w:bottom w:val="single" w:sz="4" w:space="0" w:color="auto"/>
              <w:right w:val="single" w:sz="4" w:space="0" w:color="auto"/>
            </w:tcBorders>
            <w:hideMark/>
          </w:tcPr>
          <w:p w14:paraId="21CC6E14" w14:textId="482EA4F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823</w:t>
            </w:r>
          </w:p>
        </w:tc>
      </w:tr>
      <w:tr w:rsidR="00B807EE" w:rsidRPr="00024D5A" w14:paraId="3CB3BF91"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4E85613C" w14:textId="4FE2225B"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4.3.4 Hartimi i protokolleve që ndalojnë praktikat diskriminuese si sterilizimi i detyruar apo ndërhyrjet pa pëlqim</w:t>
            </w:r>
            <w:r w:rsidR="00A87FDD">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si edhe sigurimi i mekanizmave për vendimmarrje të mbështetur.</w:t>
            </w:r>
          </w:p>
        </w:tc>
        <w:tc>
          <w:tcPr>
            <w:tcW w:w="567" w:type="dxa"/>
            <w:tcBorders>
              <w:top w:val="nil"/>
              <w:left w:val="nil"/>
              <w:bottom w:val="single" w:sz="4" w:space="0" w:color="auto"/>
              <w:right w:val="single" w:sz="4" w:space="0" w:color="auto"/>
            </w:tcBorders>
            <w:hideMark/>
          </w:tcPr>
          <w:p w14:paraId="6DF0274A"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2028</w:t>
            </w:r>
          </w:p>
        </w:tc>
        <w:tc>
          <w:tcPr>
            <w:tcW w:w="567" w:type="dxa"/>
            <w:tcBorders>
              <w:top w:val="nil"/>
              <w:left w:val="nil"/>
              <w:bottom w:val="single" w:sz="4" w:space="0" w:color="auto"/>
              <w:right w:val="single" w:sz="4" w:space="0" w:color="auto"/>
            </w:tcBorders>
            <w:hideMark/>
          </w:tcPr>
          <w:p w14:paraId="312042B0"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3DAB16B4"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w:t>
            </w:r>
          </w:p>
        </w:tc>
        <w:tc>
          <w:tcPr>
            <w:tcW w:w="1418" w:type="dxa"/>
            <w:tcBorders>
              <w:top w:val="nil"/>
              <w:left w:val="nil"/>
              <w:bottom w:val="single" w:sz="4" w:space="0" w:color="auto"/>
              <w:right w:val="single" w:sz="8" w:space="0" w:color="auto"/>
            </w:tcBorders>
            <w:hideMark/>
          </w:tcPr>
          <w:p w14:paraId="6792DD24"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OSHKSH/ISHP</w:t>
            </w:r>
          </w:p>
        </w:tc>
        <w:tc>
          <w:tcPr>
            <w:tcW w:w="708" w:type="dxa"/>
            <w:tcBorders>
              <w:top w:val="nil"/>
              <w:left w:val="single" w:sz="4" w:space="0" w:color="auto"/>
              <w:bottom w:val="single" w:sz="4" w:space="0" w:color="auto"/>
              <w:right w:val="single" w:sz="4" w:space="0" w:color="auto"/>
            </w:tcBorders>
            <w:hideMark/>
          </w:tcPr>
          <w:p w14:paraId="083AA18C" w14:textId="35EC67E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4C5427D0" w14:textId="3AE2EA6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538839FE" w14:textId="5C0E140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823</w:t>
            </w:r>
          </w:p>
        </w:tc>
        <w:tc>
          <w:tcPr>
            <w:tcW w:w="1134" w:type="dxa"/>
            <w:tcBorders>
              <w:top w:val="nil"/>
              <w:left w:val="nil"/>
              <w:bottom w:val="single" w:sz="4" w:space="0" w:color="auto"/>
              <w:right w:val="single" w:sz="4" w:space="0" w:color="auto"/>
            </w:tcBorders>
            <w:hideMark/>
          </w:tcPr>
          <w:p w14:paraId="2C25A08A" w14:textId="2E44F89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823</w:t>
            </w:r>
          </w:p>
        </w:tc>
        <w:tc>
          <w:tcPr>
            <w:tcW w:w="1615" w:type="dxa"/>
            <w:tcBorders>
              <w:top w:val="nil"/>
              <w:left w:val="nil"/>
              <w:bottom w:val="single" w:sz="4" w:space="0" w:color="auto"/>
              <w:right w:val="single" w:sz="4" w:space="0" w:color="auto"/>
            </w:tcBorders>
            <w:hideMark/>
          </w:tcPr>
          <w:p w14:paraId="3A8C8AC0" w14:textId="166DA19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823</w:t>
            </w:r>
          </w:p>
        </w:tc>
      </w:tr>
      <w:tr w:rsidR="00B807EE" w:rsidRPr="00024D5A" w14:paraId="0D7F35CE" w14:textId="77777777" w:rsidTr="002B321E">
        <w:trPr>
          <w:trHeight w:val="20"/>
        </w:trPr>
        <w:tc>
          <w:tcPr>
            <w:tcW w:w="4673" w:type="dxa"/>
            <w:tcBorders>
              <w:top w:val="nil"/>
              <w:left w:val="single" w:sz="4" w:space="0" w:color="auto"/>
              <w:bottom w:val="single" w:sz="4" w:space="0" w:color="auto"/>
              <w:right w:val="nil"/>
            </w:tcBorders>
            <w:shd w:val="clear" w:color="000000" w:fill="FDE9D9"/>
            <w:hideMark/>
          </w:tcPr>
          <w:p w14:paraId="56C8F305" w14:textId="388DCCF1"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Objektivi 5</w:t>
            </w:r>
            <w:r w:rsidR="003526AF">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 xml:space="preserve">Fëmijët me aftësi të kufizuara gëzojnë plotësisht të drejtat dhe liritë e tyre themelore në baza të barabarta me fëmijët e tjerë, duke pasur gjithmonë parasysh interesin më të lartë të tyre, me fokus mbështetjen e </w:t>
            </w:r>
            <w:r w:rsidR="00A87FDD" w:rsidRPr="00024D5A">
              <w:rPr>
                <w:rFonts w:ascii="Garamond" w:eastAsia="Times New Roman" w:hAnsi="Garamond"/>
                <w:b/>
                <w:bCs/>
                <w:sz w:val="6"/>
                <w:szCs w:val="16"/>
                <w:lang w:eastAsia="en-US"/>
              </w:rPr>
              <w:t>përshtatshme</w:t>
            </w:r>
            <w:r w:rsidRPr="00024D5A">
              <w:rPr>
                <w:rFonts w:ascii="Garamond" w:eastAsia="Times New Roman" w:hAnsi="Garamond"/>
                <w:b/>
                <w:bCs/>
                <w:sz w:val="6"/>
                <w:szCs w:val="16"/>
                <w:lang w:eastAsia="en-US"/>
              </w:rPr>
              <w:t xml:space="preserve"> sipas moshës dhe nevojave individuale.</w:t>
            </w:r>
          </w:p>
        </w:tc>
        <w:tc>
          <w:tcPr>
            <w:tcW w:w="567" w:type="dxa"/>
            <w:tcBorders>
              <w:top w:val="nil"/>
              <w:left w:val="single" w:sz="4" w:space="0" w:color="auto"/>
              <w:bottom w:val="single" w:sz="4" w:space="0" w:color="auto"/>
              <w:right w:val="single" w:sz="4" w:space="0" w:color="auto"/>
            </w:tcBorders>
            <w:shd w:val="clear" w:color="000000" w:fill="FDE9D9"/>
            <w:hideMark/>
          </w:tcPr>
          <w:p w14:paraId="761FDC62"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shd w:val="clear" w:color="000000" w:fill="FDE9D9"/>
            <w:hideMark/>
          </w:tcPr>
          <w:p w14:paraId="3F568613"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shd w:val="clear" w:color="000000" w:fill="FDE9D9"/>
            <w:hideMark/>
          </w:tcPr>
          <w:p w14:paraId="75626516"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ASHDMF</w:t>
            </w:r>
          </w:p>
        </w:tc>
        <w:tc>
          <w:tcPr>
            <w:tcW w:w="1418" w:type="dxa"/>
            <w:tcBorders>
              <w:top w:val="nil"/>
              <w:left w:val="nil"/>
              <w:bottom w:val="single" w:sz="4" w:space="0" w:color="auto"/>
              <w:right w:val="single" w:sz="8" w:space="0" w:color="auto"/>
            </w:tcBorders>
            <w:shd w:val="clear" w:color="000000" w:fill="FDE9D9"/>
            <w:hideMark/>
          </w:tcPr>
          <w:p w14:paraId="5ACCE331"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w:t>
            </w:r>
          </w:p>
        </w:tc>
        <w:tc>
          <w:tcPr>
            <w:tcW w:w="708" w:type="dxa"/>
            <w:tcBorders>
              <w:top w:val="nil"/>
              <w:left w:val="single" w:sz="4" w:space="0" w:color="auto"/>
              <w:bottom w:val="single" w:sz="4" w:space="0" w:color="auto"/>
              <w:right w:val="single" w:sz="4" w:space="0" w:color="auto"/>
            </w:tcBorders>
            <w:shd w:val="clear" w:color="000000" w:fill="FDE9D9"/>
            <w:noWrap/>
            <w:hideMark/>
          </w:tcPr>
          <w:p w14:paraId="0134C5B7" w14:textId="105512D1"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150</w:t>
            </w:r>
          </w:p>
        </w:tc>
        <w:tc>
          <w:tcPr>
            <w:tcW w:w="567" w:type="dxa"/>
            <w:tcBorders>
              <w:top w:val="nil"/>
              <w:left w:val="nil"/>
              <w:bottom w:val="single" w:sz="4" w:space="0" w:color="auto"/>
              <w:right w:val="single" w:sz="4" w:space="0" w:color="auto"/>
            </w:tcBorders>
            <w:shd w:val="clear" w:color="000000" w:fill="FDE9D9"/>
            <w:noWrap/>
            <w:hideMark/>
          </w:tcPr>
          <w:p w14:paraId="6091BB12" w14:textId="1129BCE3"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3,150</w:t>
            </w:r>
          </w:p>
        </w:tc>
        <w:tc>
          <w:tcPr>
            <w:tcW w:w="567" w:type="dxa"/>
            <w:tcBorders>
              <w:top w:val="nil"/>
              <w:left w:val="nil"/>
              <w:bottom w:val="single" w:sz="4" w:space="0" w:color="auto"/>
              <w:right w:val="single" w:sz="4" w:space="0" w:color="auto"/>
            </w:tcBorders>
            <w:shd w:val="clear" w:color="000000" w:fill="FDE9D9"/>
            <w:noWrap/>
            <w:hideMark/>
          </w:tcPr>
          <w:p w14:paraId="51C28738" w14:textId="799332D2"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4,150</w:t>
            </w:r>
          </w:p>
        </w:tc>
        <w:tc>
          <w:tcPr>
            <w:tcW w:w="1134" w:type="dxa"/>
            <w:tcBorders>
              <w:top w:val="nil"/>
              <w:left w:val="nil"/>
              <w:bottom w:val="single" w:sz="4" w:space="0" w:color="auto"/>
              <w:right w:val="single" w:sz="4" w:space="0" w:color="auto"/>
            </w:tcBorders>
            <w:shd w:val="clear" w:color="000000" w:fill="FDE9D9"/>
            <w:noWrap/>
            <w:hideMark/>
          </w:tcPr>
          <w:p w14:paraId="2ECA40F1" w14:textId="01DB95CD"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3,150</w:t>
            </w:r>
          </w:p>
        </w:tc>
        <w:tc>
          <w:tcPr>
            <w:tcW w:w="1615" w:type="dxa"/>
            <w:tcBorders>
              <w:top w:val="nil"/>
              <w:left w:val="nil"/>
              <w:bottom w:val="single" w:sz="4" w:space="0" w:color="auto"/>
              <w:right w:val="single" w:sz="4" w:space="0" w:color="auto"/>
            </w:tcBorders>
            <w:shd w:val="clear" w:color="000000" w:fill="FDE9D9"/>
            <w:noWrap/>
            <w:hideMark/>
          </w:tcPr>
          <w:p w14:paraId="202A2FF9" w14:textId="298434FB"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4,150</w:t>
            </w:r>
          </w:p>
        </w:tc>
      </w:tr>
      <w:tr w:rsidR="00B807EE" w:rsidRPr="00024D5A" w14:paraId="2AC43F07"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DCE6F1"/>
            <w:hideMark/>
          </w:tcPr>
          <w:p w14:paraId="643FEB36" w14:textId="6892846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Masa prioritare 5.1</w:t>
            </w:r>
            <w:r w:rsidR="003526AF">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Përforcimi i mbrojtjes nga dhuna dhe diskriminimi, përmes fuqizimit të kapaciteteve, shërbimeve të integruara, forcimit të sistemeve të të dhënave, monitorimit dhe raportimit.</w:t>
            </w:r>
          </w:p>
        </w:tc>
        <w:tc>
          <w:tcPr>
            <w:tcW w:w="567" w:type="dxa"/>
            <w:tcBorders>
              <w:top w:val="nil"/>
              <w:left w:val="nil"/>
              <w:bottom w:val="single" w:sz="4" w:space="0" w:color="auto"/>
              <w:right w:val="single" w:sz="4" w:space="0" w:color="auto"/>
            </w:tcBorders>
            <w:shd w:val="clear" w:color="000000" w:fill="DCE6F1"/>
            <w:hideMark/>
          </w:tcPr>
          <w:p w14:paraId="032F6C7C"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shd w:val="clear" w:color="000000" w:fill="DCE6F1"/>
            <w:hideMark/>
          </w:tcPr>
          <w:p w14:paraId="4D6179CF"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shd w:val="clear" w:color="000000" w:fill="DCE6F1"/>
            <w:hideMark/>
          </w:tcPr>
          <w:p w14:paraId="2F8ACCD9"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ASHDMF</w:t>
            </w:r>
          </w:p>
        </w:tc>
        <w:tc>
          <w:tcPr>
            <w:tcW w:w="1418" w:type="dxa"/>
            <w:tcBorders>
              <w:top w:val="nil"/>
              <w:left w:val="nil"/>
              <w:bottom w:val="single" w:sz="4" w:space="0" w:color="auto"/>
              <w:right w:val="single" w:sz="8" w:space="0" w:color="auto"/>
            </w:tcBorders>
            <w:shd w:val="clear" w:color="000000" w:fill="DCE6F1"/>
            <w:hideMark/>
          </w:tcPr>
          <w:p w14:paraId="7AE178B8"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708" w:type="dxa"/>
            <w:tcBorders>
              <w:top w:val="nil"/>
              <w:left w:val="single" w:sz="4" w:space="0" w:color="auto"/>
              <w:bottom w:val="single" w:sz="4" w:space="0" w:color="auto"/>
              <w:right w:val="single" w:sz="4" w:space="0" w:color="auto"/>
            </w:tcBorders>
            <w:shd w:val="clear" w:color="000000" w:fill="DCE6F1"/>
            <w:hideMark/>
          </w:tcPr>
          <w:p w14:paraId="36E12D85" w14:textId="742A814E"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150</w:t>
            </w:r>
          </w:p>
        </w:tc>
        <w:tc>
          <w:tcPr>
            <w:tcW w:w="567" w:type="dxa"/>
            <w:tcBorders>
              <w:top w:val="nil"/>
              <w:left w:val="nil"/>
              <w:bottom w:val="single" w:sz="4" w:space="0" w:color="auto"/>
              <w:right w:val="single" w:sz="4" w:space="0" w:color="auto"/>
            </w:tcBorders>
            <w:shd w:val="clear" w:color="000000" w:fill="DCE6F1"/>
            <w:hideMark/>
          </w:tcPr>
          <w:p w14:paraId="779C18C3" w14:textId="70351724"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3,150</w:t>
            </w:r>
          </w:p>
        </w:tc>
        <w:tc>
          <w:tcPr>
            <w:tcW w:w="567" w:type="dxa"/>
            <w:tcBorders>
              <w:top w:val="nil"/>
              <w:left w:val="nil"/>
              <w:bottom w:val="single" w:sz="4" w:space="0" w:color="auto"/>
              <w:right w:val="single" w:sz="4" w:space="0" w:color="auto"/>
            </w:tcBorders>
            <w:shd w:val="clear" w:color="000000" w:fill="DCE6F1"/>
            <w:hideMark/>
          </w:tcPr>
          <w:p w14:paraId="3A6EDBB0" w14:textId="1C71E9BE"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4,150</w:t>
            </w:r>
          </w:p>
        </w:tc>
        <w:tc>
          <w:tcPr>
            <w:tcW w:w="1134" w:type="dxa"/>
            <w:tcBorders>
              <w:top w:val="nil"/>
              <w:left w:val="nil"/>
              <w:bottom w:val="single" w:sz="4" w:space="0" w:color="auto"/>
              <w:right w:val="single" w:sz="4" w:space="0" w:color="auto"/>
            </w:tcBorders>
            <w:shd w:val="clear" w:color="000000" w:fill="DCE6F1"/>
            <w:hideMark/>
          </w:tcPr>
          <w:p w14:paraId="49EEC987" w14:textId="5BC70506"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3,150</w:t>
            </w:r>
          </w:p>
        </w:tc>
        <w:tc>
          <w:tcPr>
            <w:tcW w:w="1615" w:type="dxa"/>
            <w:tcBorders>
              <w:top w:val="nil"/>
              <w:left w:val="nil"/>
              <w:bottom w:val="single" w:sz="4" w:space="0" w:color="auto"/>
              <w:right w:val="single" w:sz="4" w:space="0" w:color="auto"/>
            </w:tcBorders>
            <w:shd w:val="clear" w:color="000000" w:fill="DCE6F1"/>
            <w:hideMark/>
          </w:tcPr>
          <w:p w14:paraId="68B60AAB" w14:textId="33C50FE0"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4,150</w:t>
            </w:r>
          </w:p>
        </w:tc>
      </w:tr>
      <w:tr w:rsidR="00B807EE" w:rsidRPr="00024D5A" w14:paraId="2F55288B"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45B2C184" w14:textId="3B087E4D"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5.1.1 Rritja e kapaciteteve të profesionistëve të vijës së parë mësues, edukatorë, punonjës socialë, staf shëndetësor, personel në qendra të zhvillimit e shërbime me fokus në identifikimin e hershëm të dhunës, raportimin dhe menaxhimin e rasteve, aplikimin e metodave praktike dhe studimeve të rasteve, me fokus fëmijët me aftësi të kufizuara</w:t>
            </w:r>
            <w:r w:rsidR="00A87FDD">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75B6B3DA"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2027</w:t>
            </w:r>
          </w:p>
        </w:tc>
        <w:tc>
          <w:tcPr>
            <w:tcW w:w="567" w:type="dxa"/>
            <w:tcBorders>
              <w:top w:val="nil"/>
              <w:left w:val="nil"/>
              <w:bottom w:val="single" w:sz="4" w:space="0" w:color="auto"/>
              <w:right w:val="single" w:sz="4" w:space="0" w:color="auto"/>
            </w:tcBorders>
            <w:hideMark/>
          </w:tcPr>
          <w:p w14:paraId="7D1E964C"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1978D53A"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ASHDMF</w:t>
            </w:r>
          </w:p>
        </w:tc>
        <w:tc>
          <w:tcPr>
            <w:tcW w:w="1418" w:type="dxa"/>
            <w:tcBorders>
              <w:top w:val="nil"/>
              <w:left w:val="nil"/>
              <w:bottom w:val="single" w:sz="4" w:space="0" w:color="auto"/>
              <w:right w:val="single" w:sz="8" w:space="0" w:color="auto"/>
            </w:tcBorders>
            <w:hideMark/>
          </w:tcPr>
          <w:p w14:paraId="4B98D009"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w:t>
            </w:r>
          </w:p>
        </w:tc>
        <w:tc>
          <w:tcPr>
            <w:tcW w:w="708" w:type="dxa"/>
            <w:tcBorders>
              <w:top w:val="nil"/>
              <w:left w:val="single" w:sz="4" w:space="0" w:color="auto"/>
              <w:bottom w:val="single" w:sz="4" w:space="0" w:color="auto"/>
              <w:right w:val="single" w:sz="4" w:space="0" w:color="auto"/>
            </w:tcBorders>
            <w:hideMark/>
          </w:tcPr>
          <w:p w14:paraId="4071CB6D" w14:textId="30C53F7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6895EC7D" w14:textId="066FBB4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2,000</w:t>
            </w:r>
          </w:p>
        </w:tc>
        <w:tc>
          <w:tcPr>
            <w:tcW w:w="567" w:type="dxa"/>
            <w:tcBorders>
              <w:top w:val="nil"/>
              <w:left w:val="nil"/>
              <w:bottom w:val="single" w:sz="4" w:space="0" w:color="auto"/>
              <w:right w:val="single" w:sz="4" w:space="0" w:color="auto"/>
            </w:tcBorders>
            <w:hideMark/>
          </w:tcPr>
          <w:p w14:paraId="5A9E53B8" w14:textId="6B86350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2,000</w:t>
            </w:r>
          </w:p>
        </w:tc>
        <w:tc>
          <w:tcPr>
            <w:tcW w:w="1134" w:type="dxa"/>
            <w:tcBorders>
              <w:top w:val="nil"/>
              <w:left w:val="nil"/>
              <w:bottom w:val="single" w:sz="4" w:space="0" w:color="auto"/>
              <w:right w:val="single" w:sz="4" w:space="0" w:color="auto"/>
            </w:tcBorders>
            <w:hideMark/>
          </w:tcPr>
          <w:p w14:paraId="06FEB1A8" w14:textId="14440AD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2,000</w:t>
            </w:r>
          </w:p>
        </w:tc>
        <w:tc>
          <w:tcPr>
            <w:tcW w:w="1615" w:type="dxa"/>
            <w:tcBorders>
              <w:top w:val="nil"/>
              <w:left w:val="nil"/>
              <w:bottom w:val="single" w:sz="4" w:space="0" w:color="auto"/>
              <w:right w:val="single" w:sz="4" w:space="0" w:color="auto"/>
            </w:tcBorders>
            <w:hideMark/>
          </w:tcPr>
          <w:p w14:paraId="73F23E83" w14:textId="4124334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2,000</w:t>
            </w:r>
          </w:p>
        </w:tc>
      </w:tr>
      <w:tr w:rsidR="00B807EE" w:rsidRPr="00024D5A" w14:paraId="69B2F74D"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71012732" w14:textId="102D75AF"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5.1.2 Informimi dhe trajnimi i prindërve/kujdestarëve mbi të drejtat e fëmijëve me aftësi të kufizuara, format e dhunës dhe shenjat paralajmëruese, mekanizmat e raportimit</w:t>
            </w:r>
            <w:r w:rsidR="00A87FDD">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5449AD09"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2028</w:t>
            </w:r>
          </w:p>
        </w:tc>
        <w:tc>
          <w:tcPr>
            <w:tcW w:w="567" w:type="dxa"/>
            <w:tcBorders>
              <w:top w:val="nil"/>
              <w:left w:val="nil"/>
              <w:bottom w:val="single" w:sz="4" w:space="0" w:color="auto"/>
              <w:right w:val="single" w:sz="4" w:space="0" w:color="auto"/>
            </w:tcBorders>
            <w:hideMark/>
          </w:tcPr>
          <w:p w14:paraId="2980267C"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nil"/>
              <w:bottom w:val="single" w:sz="4" w:space="0" w:color="auto"/>
              <w:right w:val="single" w:sz="4" w:space="0" w:color="auto"/>
            </w:tcBorders>
            <w:hideMark/>
          </w:tcPr>
          <w:p w14:paraId="34513252"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ASHDMF</w:t>
            </w:r>
          </w:p>
        </w:tc>
        <w:tc>
          <w:tcPr>
            <w:tcW w:w="1418" w:type="dxa"/>
            <w:tcBorders>
              <w:top w:val="nil"/>
              <w:left w:val="nil"/>
              <w:bottom w:val="single" w:sz="4" w:space="0" w:color="auto"/>
              <w:right w:val="single" w:sz="8" w:space="0" w:color="auto"/>
            </w:tcBorders>
            <w:hideMark/>
          </w:tcPr>
          <w:p w14:paraId="2A045460"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w:t>
            </w:r>
          </w:p>
        </w:tc>
        <w:tc>
          <w:tcPr>
            <w:tcW w:w="708" w:type="dxa"/>
            <w:tcBorders>
              <w:top w:val="nil"/>
              <w:left w:val="single" w:sz="4" w:space="0" w:color="auto"/>
              <w:bottom w:val="single" w:sz="4" w:space="0" w:color="auto"/>
              <w:right w:val="single" w:sz="4" w:space="0" w:color="auto"/>
            </w:tcBorders>
            <w:hideMark/>
          </w:tcPr>
          <w:p w14:paraId="03259F86" w14:textId="6F03498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55659771" w14:textId="178BB69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356FB9FF" w14:textId="5282C3A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c>
          <w:tcPr>
            <w:tcW w:w="1134" w:type="dxa"/>
            <w:tcBorders>
              <w:top w:val="nil"/>
              <w:left w:val="nil"/>
              <w:bottom w:val="single" w:sz="4" w:space="0" w:color="auto"/>
              <w:right w:val="single" w:sz="4" w:space="0" w:color="auto"/>
            </w:tcBorders>
            <w:hideMark/>
          </w:tcPr>
          <w:p w14:paraId="1A3F445B" w14:textId="6B3154F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082E0CF0" w14:textId="051FD11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r>
      <w:tr w:rsidR="00B807EE" w:rsidRPr="00024D5A" w14:paraId="2B4516CE"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11C633F2" w14:textId="07D1A181"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5.1.3 Ofrimi i mbështetjes psikosociale për fëmijët me aftësi të kufizuara, viktima të dhunës e diskriminimit dhe familjet e tyre në institucione arsimore, shërbime komunitare</w:t>
            </w:r>
            <w:r w:rsidR="00A87FDD">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në përputhje me moshën (lidhe me </w:t>
            </w:r>
            <w:r w:rsidR="00A87FDD" w:rsidRPr="00024D5A">
              <w:rPr>
                <w:rFonts w:ascii="Garamond" w:eastAsia="Times New Roman" w:hAnsi="Garamond"/>
                <w:sz w:val="6"/>
                <w:szCs w:val="16"/>
                <w:lang w:eastAsia="en-US"/>
              </w:rPr>
              <w:t>masën</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2.1.5. tek objektivi 2)</w:t>
            </w:r>
            <w:r w:rsidR="00A87FDD">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7BC37EC3"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15E2F35B"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3E9EAEEB"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ASHDMF</w:t>
            </w:r>
          </w:p>
        </w:tc>
        <w:tc>
          <w:tcPr>
            <w:tcW w:w="1418" w:type="dxa"/>
            <w:tcBorders>
              <w:top w:val="nil"/>
              <w:left w:val="nil"/>
              <w:bottom w:val="single" w:sz="4" w:space="0" w:color="auto"/>
              <w:right w:val="single" w:sz="8" w:space="0" w:color="auto"/>
            </w:tcBorders>
            <w:hideMark/>
          </w:tcPr>
          <w:p w14:paraId="68A94470"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708" w:type="dxa"/>
            <w:tcBorders>
              <w:top w:val="nil"/>
              <w:left w:val="single" w:sz="4" w:space="0" w:color="auto"/>
              <w:bottom w:val="single" w:sz="4" w:space="0" w:color="auto"/>
              <w:right w:val="single" w:sz="4" w:space="0" w:color="auto"/>
            </w:tcBorders>
            <w:hideMark/>
          </w:tcPr>
          <w:p w14:paraId="40B35913" w14:textId="6286B36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3B6D0651" w14:textId="67D9542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60983827" w14:textId="5018929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4AAF0B21" w14:textId="5A766BF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384ADE76" w14:textId="09632DA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6FC89E4D"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1488B0AF"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567" w:type="dxa"/>
            <w:tcBorders>
              <w:top w:val="nil"/>
              <w:left w:val="nil"/>
              <w:bottom w:val="single" w:sz="4" w:space="0" w:color="auto"/>
              <w:right w:val="single" w:sz="4" w:space="0" w:color="auto"/>
            </w:tcBorders>
            <w:hideMark/>
          </w:tcPr>
          <w:p w14:paraId="5AEEE6DD"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567" w:type="dxa"/>
            <w:tcBorders>
              <w:top w:val="nil"/>
              <w:left w:val="nil"/>
              <w:bottom w:val="single" w:sz="4" w:space="0" w:color="auto"/>
              <w:right w:val="single" w:sz="4" w:space="0" w:color="auto"/>
            </w:tcBorders>
            <w:hideMark/>
          </w:tcPr>
          <w:p w14:paraId="1A1B9C75"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1134" w:type="dxa"/>
            <w:tcBorders>
              <w:top w:val="nil"/>
              <w:left w:val="nil"/>
              <w:bottom w:val="single" w:sz="4" w:space="0" w:color="auto"/>
              <w:right w:val="single" w:sz="4" w:space="0" w:color="auto"/>
            </w:tcBorders>
            <w:hideMark/>
          </w:tcPr>
          <w:p w14:paraId="304DE4C2"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1418" w:type="dxa"/>
            <w:tcBorders>
              <w:top w:val="nil"/>
              <w:left w:val="nil"/>
              <w:bottom w:val="single" w:sz="4" w:space="0" w:color="auto"/>
              <w:right w:val="single" w:sz="8" w:space="0" w:color="auto"/>
            </w:tcBorders>
            <w:hideMark/>
          </w:tcPr>
          <w:p w14:paraId="374DBF6B"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708" w:type="dxa"/>
            <w:tcBorders>
              <w:top w:val="nil"/>
              <w:left w:val="single" w:sz="4" w:space="0" w:color="auto"/>
              <w:bottom w:val="single" w:sz="4" w:space="0" w:color="auto"/>
              <w:right w:val="single" w:sz="4" w:space="0" w:color="auto"/>
            </w:tcBorders>
            <w:hideMark/>
          </w:tcPr>
          <w:p w14:paraId="3CB536A6" w14:textId="6BAE78E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0EFE62C9" w14:textId="7FA579C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502082C0" w14:textId="1941D79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0A44CF67" w14:textId="3030015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0CD5591E" w14:textId="38B79AA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7E4D6D4F"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7E6DD7F8" w14:textId="02D6DC64"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5.1.4 Përfshirja e fëmijëve me aftësi të kufizuara në raporteve kombëtare, ndërkombëtare dhe sektoriale, të cilat hartohen me fokus fëmijët</w:t>
            </w:r>
            <w:r w:rsidR="00A87FDD">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570349CA"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hideMark/>
          </w:tcPr>
          <w:p w14:paraId="3432BE9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19C6C2DC"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ASHDMF</w:t>
            </w:r>
          </w:p>
        </w:tc>
        <w:tc>
          <w:tcPr>
            <w:tcW w:w="1418" w:type="dxa"/>
            <w:tcBorders>
              <w:top w:val="nil"/>
              <w:left w:val="nil"/>
              <w:bottom w:val="single" w:sz="4" w:space="0" w:color="auto"/>
              <w:right w:val="single" w:sz="8" w:space="0" w:color="auto"/>
            </w:tcBorders>
            <w:hideMark/>
          </w:tcPr>
          <w:p w14:paraId="792E2C23"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708" w:type="dxa"/>
            <w:tcBorders>
              <w:top w:val="nil"/>
              <w:left w:val="single" w:sz="4" w:space="0" w:color="auto"/>
              <w:bottom w:val="single" w:sz="4" w:space="0" w:color="auto"/>
              <w:right w:val="single" w:sz="4" w:space="0" w:color="auto"/>
            </w:tcBorders>
            <w:hideMark/>
          </w:tcPr>
          <w:p w14:paraId="7B604015" w14:textId="39ADEDB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150</w:t>
            </w:r>
          </w:p>
        </w:tc>
        <w:tc>
          <w:tcPr>
            <w:tcW w:w="567" w:type="dxa"/>
            <w:tcBorders>
              <w:top w:val="nil"/>
              <w:left w:val="nil"/>
              <w:bottom w:val="single" w:sz="4" w:space="0" w:color="auto"/>
              <w:right w:val="single" w:sz="4" w:space="0" w:color="auto"/>
            </w:tcBorders>
            <w:hideMark/>
          </w:tcPr>
          <w:p w14:paraId="3687721F" w14:textId="101B44C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150</w:t>
            </w:r>
          </w:p>
        </w:tc>
        <w:tc>
          <w:tcPr>
            <w:tcW w:w="567" w:type="dxa"/>
            <w:tcBorders>
              <w:top w:val="nil"/>
              <w:left w:val="nil"/>
              <w:bottom w:val="single" w:sz="4" w:space="0" w:color="auto"/>
              <w:right w:val="single" w:sz="4" w:space="0" w:color="auto"/>
            </w:tcBorders>
            <w:hideMark/>
          </w:tcPr>
          <w:p w14:paraId="0531D8EC" w14:textId="631881D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150</w:t>
            </w:r>
          </w:p>
        </w:tc>
        <w:tc>
          <w:tcPr>
            <w:tcW w:w="1134" w:type="dxa"/>
            <w:tcBorders>
              <w:top w:val="nil"/>
              <w:left w:val="nil"/>
              <w:bottom w:val="single" w:sz="4" w:space="0" w:color="auto"/>
              <w:right w:val="single" w:sz="4" w:space="0" w:color="auto"/>
            </w:tcBorders>
            <w:hideMark/>
          </w:tcPr>
          <w:p w14:paraId="645B780D" w14:textId="3C96B19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150</w:t>
            </w:r>
          </w:p>
        </w:tc>
        <w:tc>
          <w:tcPr>
            <w:tcW w:w="1615" w:type="dxa"/>
            <w:tcBorders>
              <w:top w:val="nil"/>
              <w:left w:val="nil"/>
              <w:bottom w:val="single" w:sz="4" w:space="0" w:color="auto"/>
              <w:right w:val="single" w:sz="4" w:space="0" w:color="auto"/>
            </w:tcBorders>
            <w:hideMark/>
          </w:tcPr>
          <w:p w14:paraId="24196BE8" w14:textId="3BBDC8E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150</w:t>
            </w:r>
          </w:p>
        </w:tc>
      </w:tr>
      <w:tr w:rsidR="00B807EE" w:rsidRPr="00024D5A" w14:paraId="7CB37510"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7B675B38" w14:textId="42E268AF"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5.1.5 Fuqizimi i </w:t>
            </w:r>
            <w:r w:rsidR="00BA4F73" w:rsidRPr="00024D5A">
              <w:rPr>
                <w:rFonts w:ascii="Garamond" w:eastAsia="Times New Roman" w:hAnsi="Garamond"/>
                <w:sz w:val="6"/>
                <w:szCs w:val="16"/>
                <w:lang w:eastAsia="en-US"/>
              </w:rPr>
              <w:t>k</w:t>
            </w:r>
            <w:r w:rsidRPr="00024D5A">
              <w:rPr>
                <w:rFonts w:ascii="Garamond" w:eastAsia="Times New Roman" w:hAnsi="Garamond"/>
                <w:sz w:val="6"/>
                <w:szCs w:val="16"/>
                <w:lang w:eastAsia="en-US"/>
              </w:rPr>
              <w:t xml:space="preserve">apaciteteve të </w:t>
            </w:r>
            <w:r w:rsidR="00A87FDD" w:rsidRPr="00024D5A">
              <w:rPr>
                <w:rFonts w:ascii="Garamond" w:eastAsia="Times New Roman" w:hAnsi="Garamond"/>
                <w:sz w:val="6"/>
                <w:szCs w:val="16"/>
                <w:lang w:eastAsia="en-US"/>
              </w:rPr>
              <w:t xml:space="preserve">njësive të mbrojtjes së fëmijëve </w:t>
            </w:r>
            <w:r w:rsidRPr="00024D5A">
              <w:rPr>
                <w:rFonts w:ascii="Garamond" w:eastAsia="Times New Roman" w:hAnsi="Garamond"/>
                <w:sz w:val="6"/>
                <w:szCs w:val="16"/>
                <w:lang w:eastAsia="en-US"/>
              </w:rPr>
              <w:t>për të gjithëpërfshirë fëmijët me aftësi të kufizuara në plane, programe, raportime të tyre</w:t>
            </w:r>
            <w:r w:rsidR="00A87FDD">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4723665C"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567" w:type="dxa"/>
            <w:tcBorders>
              <w:top w:val="nil"/>
              <w:left w:val="nil"/>
              <w:bottom w:val="single" w:sz="4" w:space="0" w:color="auto"/>
              <w:right w:val="single" w:sz="4" w:space="0" w:color="auto"/>
            </w:tcBorders>
            <w:hideMark/>
          </w:tcPr>
          <w:p w14:paraId="341AAA5E"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7E06B4E8"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ASHDMF</w:t>
            </w:r>
          </w:p>
        </w:tc>
        <w:tc>
          <w:tcPr>
            <w:tcW w:w="1418" w:type="dxa"/>
            <w:tcBorders>
              <w:top w:val="nil"/>
              <w:left w:val="nil"/>
              <w:bottom w:val="single" w:sz="4" w:space="0" w:color="auto"/>
              <w:right w:val="single" w:sz="8" w:space="0" w:color="auto"/>
            </w:tcBorders>
            <w:hideMark/>
          </w:tcPr>
          <w:p w14:paraId="6257238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708" w:type="dxa"/>
            <w:tcBorders>
              <w:top w:val="nil"/>
              <w:left w:val="single" w:sz="4" w:space="0" w:color="auto"/>
              <w:bottom w:val="single" w:sz="4" w:space="0" w:color="auto"/>
              <w:right w:val="single" w:sz="4" w:space="0" w:color="auto"/>
            </w:tcBorders>
            <w:hideMark/>
          </w:tcPr>
          <w:p w14:paraId="43FB3754" w14:textId="6201CA7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17867553" w14:textId="1DA50D0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c>
          <w:tcPr>
            <w:tcW w:w="567" w:type="dxa"/>
            <w:tcBorders>
              <w:top w:val="nil"/>
              <w:left w:val="nil"/>
              <w:bottom w:val="single" w:sz="4" w:space="0" w:color="auto"/>
              <w:right w:val="single" w:sz="4" w:space="0" w:color="auto"/>
            </w:tcBorders>
            <w:hideMark/>
          </w:tcPr>
          <w:p w14:paraId="1C4FA288" w14:textId="71156F5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c>
          <w:tcPr>
            <w:tcW w:w="1134" w:type="dxa"/>
            <w:tcBorders>
              <w:top w:val="nil"/>
              <w:left w:val="nil"/>
              <w:bottom w:val="single" w:sz="4" w:space="0" w:color="auto"/>
              <w:right w:val="single" w:sz="4" w:space="0" w:color="auto"/>
            </w:tcBorders>
            <w:hideMark/>
          </w:tcPr>
          <w:p w14:paraId="361B09C8" w14:textId="65F9BF1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c>
          <w:tcPr>
            <w:tcW w:w="1615" w:type="dxa"/>
            <w:tcBorders>
              <w:top w:val="nil"/>
              <w:left w:val="nil"/>
              <w:bottom w:val="single" w:sz="4" w:space="0" w:color="auto"/>
              <w:right w:val="single" w:sz="4" w:space="0" w:color="auto"/>
            </w:tcBorders>
            <w:hideMark/>
          </w:tcPr>
          <w:p w14:paraId="46531758" w14:textId="42F3D20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r>
      <w:tr w:rsidR="00B807EE" w:rsidRPr="00024D5A" w14:paraId="429DA102" w14:textId="77777777" w:rsidTr="002B321E">
        <w:trPr>
          <w:trHeight w:val="20"/>
        </w:trPr>
        <w:tc>
          <w:tcPr>
            <w:tcW w:w="4673" w:type="dxa"/>
            <w:tcBorders>
              <w:top w:val="nil"/>
              <w:left w:val="single" w:sz="4" w:space="0" w:color="auto"/>
              <w:bottom w:val="single" w:sz="4" w:space="0" w:color="auto"/>
              <w:right w:val="nil"/>
            </w:tcBorders>
            <w:shd w:val="clear" w:color="000000" w:fill="FDE9D9"/>
            <w:hideMark/>
          </w:tcPr>
          <w:p w14:paraId="0B9EEED0" w14:textId="0CFF03CE"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Objektivi </w:t>
            </w:r>
            <w:r w:rsidR="00A87FDD" w:rsidRPr="00024D5A">
              <w:rPr>
                <w:rFonts w:ascii="Garamond" w:eastAsia="Times New Roman" w:hAnsi="Garamond"/>
                <w:b/>
                <w:bCs/>
                <w:sz w:val="6"/>
                <w:szCs w:val="16"/>
                <w:lang w:eastAsia="en-US"/>
              </w:rPr>
              <w:t>specifik</w:t>
            </w:r>
            <w:r w:rsidRPr="00024D5A">
              <w:rPr>
                <w:rFonts w:ascii="Garamond" w:eastAsia="Times New Roman" w:hAnsi="Garamond"/>
                <w:b/>
                <w:bCs/>
                <w:sz w:val="6"/>
                <w:szCs w:val="16"/>
                <w:lang w:eastAsia="en-US"/>
              </w:rPr>
              <w:t xml:space="preserve"> 6</w:t>
            </w:r>
            <w:r w:rsidR="003526AF">
              <w:rPr>
                <w:rFonts w:ascii="Garamond" w:eastAsia="Times New Roman" w:hAnsi="Garamond"/>
                <w:b/>
                <w:bCs/>
                <w:sz w:val="6"/>
                <w:szCs w:val="16"/>
                <w:lang w:eastAsia="en-US"/>
              </w:rPr>
              <w:t>:</w:t>
            </w:r>
            <w:r w:rsidR="00A87FDD">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 xml:space="preserve">Forcimi i një sistemi gjithëpërfshirës për menaxhimin dhe reagimin ndaj ndryshimeve klimatike, fatkeqësive dhe krizave në Shqipëri, në nivel qendror dhe lokal, me fokus të veçantë te personat me aftësi të kufizuara, për të garantuar sigurinë e jetës dhe mbrojtjen e tyre. </w:t>
            </w:r>
          </w:p>
        </w:tc>
        <w:tc>
          <w:tcPr>
            <w:tcW w:w="567" w:type="dxa"/>
            <w:tcBorders>
              <w:top w:val="nil"/>
              <w:left w:val="single" w:sz="4" w:space="0" w:color="auto"/>
              <w:bottom w:val="single" w:sz="4" w:space="0" w:color="auto"/>
              <w:right w:val="single" w:sz="4" w:space="0" w:color="auto"/>
            </w:tcBorders>
            <w:shd w:val="clear" w:color="000000" w:fill="FDE9D9"/>
            <w:hideMark/>
          </w:tcPr>
          <w:p w14:paraId="6B3C48BF"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shd w:val="clear" w:color="000000" w:fill="FDE9D9"/>
            <w:hideMark/>
          </w:tcPr>
          <w:p w14:paraId="02BFC785"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shd w:val="clear" w:color="000000" w:fill="FDE9D9"/>
            <w:hideMark/>
          </w:tcPr>
          <w:p w14:paraId="1255DDA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AKMC</w:t>
            </w:r>
          </w:p>
        </w:tc>
        <w:tc>
          <w:tcPr>
            <w:tcW w:w="1418" w:type="dxa"/>
            <w:tcBorders>
              <w:top w:val="nil"/>
              <w:left w:val="nil"/>
              <w:bottom w:val="single" w:sz="4" w:space="0" w:color="auto"/>
              <w:right w:val="single" w:sz="8" w:space="0" w:color="auto"/>
            </w:tcBorders>
            <w:shd w:val="clear" w:color="000000" w:fill="FDE9D9"/>
            <w:hideMark/>
          </w:tcPr>
          <w:p w14:paraId="0325538C"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708" w:type="dxa"/>
            <w:tcBorders>
              <w:top w:val="nil"/>
              <w:left w:val="single" w:sz="4" w:space="0" w:color="auto"/>
              <w:bottom w:val="single" w:sz="4" w:space="0" w:color="auto"/>
              <w:right w:val="single" w:sz="4" w:space="0" w:color="auto"/>
            </w:tcBorders>
            <w:shd w:val="clear" w:color="000000" w:fill="FDE9D9"/>
            <w:noWrap/>
            <w:hideMark/>
          </w:tcPr>
          <w:p w14:paraId="4A02E059" w14:textId="17FAE71E"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shd w:val="clear" w:color="000000" w:fill="FDE9D9"/>
            <w:noWrap/>
            <w:hideMark/>
          </w:tcPr>
          <w:p w14:paraId="6B65A2E7" w14:textId="68C38CDD"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shd w:val="clear" w:color="000000" w:fill="FDE9D9"/>
            <w:noWrap/>
            <w:hideMark/>
          </w:tcPr>
          <w:p w14:paraId="35277054" w14:textId="623A38A1"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5,691</w:t>
            </w:r>
          </w:p>
        </w:tc>
        <w:tc>
          <w:tcPr>
            <w:tcW w:w="1134" w:type="dxa"/>
            <w:tcBorders>
              <w:top w:val="nil"/>
              <w:left w:val="nil"/>
              <w:bottom w:val="single" w:sz="4" w:space="0" w:color="auto"/>
              <w:right w:val="single" w:sz="4" w:space="0" w:color="auto"/>
            </w:tcBorders>
            <w:shd w:val="clear" w:color="000000" w:fill="FDE9D9"/>
            <w:noWrap/>
            <w:hideMark/>
          </w:tcPr>
          <w:p w14:paraId="450D1C75" w14:textId="5C3E5DCF"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4,045</w:t>
            </w:r>
          </w:p>
        </w:tc>
        <w:tc>
          <w:tcPr>
            <w:tcW w:w="1615" w:type="dxa"/>
            <w:tcBorders>
              <w:top w:val="nil"/>
              <w:left w:val="nil"/>
              <w:bottom w:val="single" w:sz="4" w:space="0" w:color="auto"/>
              <w:right w:val="single" w:sz="4" w:space="0" w:color="auto"/>
            </w:tcBorders>
            <w:shd w:val="clear" w:color="000000" w:fill="FDE9D9"/>
            <w:noWrap/>
            <w:hideMark/>
          </w:tcPr>
          <w:p w14:paraId="23099B75" w14:textId="5A81393B"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1,000</w:t>
            </w:r>
          </w:p>
        </w:tc>
      </w:tr>
      <w:tr w:rsidR="00B807EE" w:rsidRPr="00024D5A" w14:paraId="43DBBDE8"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DCE6F1"/>
            <w:hideMark/>
          </w:tcPr>
          <w:p w14:paraId="3436AAD6" w14:textId="1BFD436B"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Masa prioritare 6.1</w:t>
            </w:r>
            <w:r w:rsidR="003526AF">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Integrimi i aftësisë së kufizuar në politikat dhe kuadrin ligjor për menaxhimin e riskut nga fatkeqësitë</w:t>
            </w:r>
            <w:r w:rsidR="00EF4BBB">
              <w:rPr>
                <w:rFonts w:ascii="Garamond" w:eastAsia="Times New Roman" w:hAnsi="Garamond"/>
                <w:b/>
                <w:bCs/>
                <w:sz w:val="6"/>
                <w:szCs w:val="16"/>
                <w:lang w:eastAsia="en-US"/>
              </w:rPr>
              <w:t>.</w:t>
            </w:r>
          </w:p>
        </w:tc>
        <w:tc>
          <w:tcPr>
            <w:tcW w:w="567" w:type="dxa"/>
            <w:tcBorders>
              <w:top w:val="nil"/>
              <w:left w:val="nil"/>
              <w:bottom w:val="single" w:sz="4" w:space="0" w:color="auto"/>
              <w:right w:val="single" w:sz="4" w:space="0" w:color="auto"/>
            </w:tcBorders>
            <w:shd w:val="clear" w:color="000000" w:fill="DCE6F1"/>
            <w:hideMark/>
          </w:tcPr>
          <w:p w14:paraId="304496CE"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shd w:val="clear" w:color="000000" w:fill="DCE6F1"/>
            <w:hideMark/>
          </w:tcPr>
          <w:p w14:paraId="525A261D"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shd w:val="clear" w:color="000000" w:fill="DCE6F1"/>
            <w:hideMark/>
          </w:tcPr>
          <w:p w14:paraId="6775191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AKMC</w:t>
            </w:r>
          </w:p>
        </w:tc>
        <w:tc>
          <w:tcPr>
            <w:tcW w:w="1418" w:type="dxa"/>
            <w:tcBorders>
              <w:top w:val="nil"/>
              <w:left w:val="nil"/>
              <w:bottom w:val="single" w:sz="4" w:space="0" w:color="auto"/>
              <w:right w:val="single" w:sz="8" w:space="0" w:color="auto"/>
            </w:tcBorders>
            <w:shd w:val="clear" w:color="000000" w:fill="DCE6F1"/>
            <w:hideMark/>
          </w:tcPr>
          <w:p w14:paraId="1250C9DF"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708" w:type="dxa"/>
            <w:tcBorders>
              <w:top w:val="nil"/>
              <w:left w:val="single" w:sz="4" w:space="0" w:color="auto"/>
              <w:bottom w:val="single" w:sz="4" w:space="0" w:color="auto"/>
              <w:right w:val="single" w:sz="4" w:space="0" w:color="auto"/>
            </w:tcBorders>
            <w:shd w:val="clear" w:color="000000" w:fill="DCE6F1"/>
            <w:hideMark/>
          </w:tcPr>
          <w:p w14:paraId="405D382B" w14:textId="29C90615"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w:t>
            </w:r>
          </w:p>
        </w:tc>
        <w:tc>
          <w:tcPr>
            <w:tcW w:w="567" w:type="dxa"/>
            <w:tcBorders>
              <w:top w:val="nil"/>
              <w:left w:val="nil"/>
              <w:bottom w:val="single" w:sz="4" w:space="0" w:color="auto"/>
              <w:right w:val="single" w:sz="4" w:space="0" w:color="auto"/>
            </w:tcBorders>
            <w:shd w:val="clear" w:color="000000" w:fill="DCE6F1"/>
            <w:hideMark/>
          </w:tcPr>
          <w:p w14:paraId="5340A063" w14:textId="0148AF10"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w:t>
            </w:r>
          </w:p>
        </w:tc>
        <w:tc>
          <w:tcPr>
            <w:tcW w:w="567" w:type="dxa"/>
            <w:tcBorders>
              <w:top w:val="nil"/>
              <w:left w:val="nil"/>
              <w:bottom w:val="single" w:sz="4" w:space="0" w:color="auto"/>
              <w:right w:val="single" w:sz="4" w:space="0" w:color="auto"/>
            </w:tcBorders>
            <w:shd w:val="clear" w:color="000000" w:fill="DCE6F1"/>
            <w:hideMark/>
          </w:tcPr>
          <w:p w14:paraId="7155DCD7" w14:textId="6B3D9128"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5,691</w:t>
            </w:r>
          </w:p>
        </w:tc>
        <w:tc>
          <w:tcPr>
            <w:tcW w:w="1134" w:type="dxa"/>
            <w:tcBorders>
              <w:top w:val="nil"/>
              <w:left w:val="nil"/>
              <w:bottom w:val="single" w:sz="4" w:space="0" w:color="auto"/>
              <w:right w:val="single" w:sz="4" w:space="0" w:color="auto"/>
            </w:tcBorders>
            <w:shd w:val="clear" w:color="000000" w:fill="DCE6F1"/>
            <w:hideMark/>
          </w:tcPr>
          <w:p w14:paraId="06060D02" w14:textId="146733AD"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4,045</w:t>
            </w:r>
          </w:p>
        </w:tc>
        <w:tc>
          <w:tcPr>
            <w:tcW w:w="1615" w:type="dxa"/>
            <w:tcBorders>
              <w:top w:val="nil"/>
              <w:left w:val="nil"/>
              <w:bottom w:val="single" w:sz="4" w:space="0" w:color="auto"/>
              <w:right w:val="single" w:sz="4" w:space="0" w:color="auto"/>
            </w:tcBorders>
            <w:shd w:val="clear" w:color="000000" w:fill="DCE6F1"/>
            <w:hideMark/>
          </w:tcPr>
          <w:p w14:paraId="312DC498" w14:textId="7904F080"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1,000</w:t>
            </w:r>
          </w:p>
        </w:tc>
      </w:tr>
      <w:tr w:rsidR="00B807EE" w:rsidRPr="00024D5A" w14:paraId="6C09B4AF"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60113A15" w14:textId="5186FE9B"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6.1.1 Rishikimi i ligjeve dhe strategjive për menaxhimin e riskut nga fatkeqësitë për të garantuar përfshirjen e personave me aftësi të kufizuara, në përputhje me Konventën për të Drejtat e Personave me Aftësi të Kufizuara (CRPD)</w:t>
            </w:r>
            <w:r w:rsidR="00EF4BBB">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0FEE1871"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2028</w:t>
            </w:r>
          </w:p>
        </w:tc>
        <w:tc>
          <w:tcPr>
            <w:tcW w:w="567" w:type="dxa"/>
            <w:tcBorders>
              <w:top w:val="nil"/>
              <w:left w:val="nil"/>
              <w:bottom w:val="single" w:sz="4" w:space="0" w:color="auto"/>
              <w:right w:val="single" w:sz="4" w:space="0" w:color="auto"/>
            </w:tcBorders>
            <w:hideMark/>
          </w:tcPr>
          <w:p w14:paraId="3C2C4E3D"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2028</w:t>
            </w:r>
          </w:p>
        </w:tc>
        <w:tc>
          <w:tcPr>
            <w:tcW w:w="1134" w:type="dxa"/>
            <w:tcBorders>
              <w:top w:val="nil"/>
              <w:left w:val="nil"/>
              <w:bottom w:val="single" w:sz="4" w:space="0" w:color="auto"/>
              <w:right w:val="single" w:sz="4" w:space="0" w:color="auto"/>
            </w:tcBorders>
            <w:hideMark/>
          </w:tcPr>
          <w:p w14:paraId="0AC253EE"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AKMC</w:t>
            </w:r>
          </w:p>
        </w:tc>
        <w:tc>
          <w:tcPr>
            <w:tcW w:w="1418" w:type="dxa"/>
            <w:tcBorders>
              <w:top w:val="nil"/>
              <w:left w:val="nil"/>
              <w:bottom w:val="single" w:sz="4" w:space="0" w:color="auto"/>
              <w:right w:val="single" w:sz="8" w:space="0" w:color="auto"/>
            </w:tcBorders>
            <w:hideMark/>
          </w:tcPr>
          <w:p w14:paraId="5C1A75CD"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w:t>
            </w:r>
          </w:p>
        </w:tc>
        <w:tc>
          <w:tcPr>
            <w:tcW w:w="708" w:type="dxa"/>
            <w:tcBorders>
              <w:top w:val="nil"/>
              <w:left w:val="single" w:sz="4" w:space="0" w:color="auto"/>
              <w:bottom w:val="single" w:sz="4" w:space="0" w:color="auto"/>
              <w:right w:val="single" w:sz="4" w:space="0" w:color="auto"/>
            </w:tcBorders>
            <w:hideMark/>
          </w:tcPr>
          <w:p w14:paraId="7E2616FB" w14:textId="73A674A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164C8F66" w14:textId="2F448D5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12260B68" w14:textId="4D6CF26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2,345</w:t>
            </w:r>
          </w:p>
        </w:tc>
        <w:tc>
          <w:tcPr>
            <w:tcW w:w="1134" w:type="dxa"/>
            <w:tcBorders>
              <w:top w:val="nil"/>
              <w:left w:val="nil"/>
              <w:bottom w:val="single" w:sz="4" w:space="0" w:color="auto"/>
              <w:right w:val="single" w:sz="4" w:space="0" w:color="auto"/>
            </w:tcBorders>
            <w:hideMark/>
          </w:tcPr>
          <w:p w14:paraId="589055F8" w14:textId="44C49C3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343EE5FC" w14:textId="76521C0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4204419B"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4B6589FF" w14:textId="0F8A8E6F"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6.1.2 Përfshirja e detyrimeve ligjore për realizimin e aksesueshmërisë, njoftimit të hershëm dhe evakuimit, reagimit gjithëpërfshirës</w:t>
            </w:r>
            <w:r w:rsidR="00EF4BBB">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116BCF2F"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2028</w:t>
            </w:r>
          </w:p>
        </w:tc>
        <w:tc>
          <w:tcPr>
            <w:tcW w:w="567" w:type="dxa"/>
            <w:tcBorders>
              <w:top w:val="nil"/>
              <w:left w:val="nil"/>
              <w:bottom w:val="single" w:sz="4" w:space="0" w:color="auto"/>
              <w:right w:val="single" w:sz="4" w:space="0" w:color="auto"/>
            </w:tcBorders>
            <w:hideMark/>
          </w:tcPr>
          <w:p w14:paraId="6FF805DA"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2028</w:t>
            </w:r>
          </w:p>
        </w:tc>
        <w:tc>
          <w:tcPr>
            <w:tcW w:w="1134" w:type="dxa"/>
            <w:tcBorders>
              <w:top w:val="nil"/>
              <w:left w:val="nil"/>
              <w:bottom w:val="single" w:sz="4" w:space="0" w:color="auto"/>
              <w:right w:val="single" w:sz="4" w:space="0" w:color="auto"/>
            </w:tcBorders>
            <w:hideMark/>
          </w:tcPr>
          <w:p w14:paraId="19057CDA"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AKMC</w:t>
            </w:r>
          </w:p>
        </w:tc>
        <w:tc>
          <w:tcPr>
            <w:tcW w:w="1418" w:type="dxa"/>
            <w:tcBorders>
              <w:top w:val="nil"/>
              <w:left w:val="nil"/>
              <w:bottom w:val="single" w:sz="4" w:space="0" w:color="auto"/>
              <w:right w:val="single" w:sz="8" w:space="0" w:color="auto"/>
            </w:tcBorders>
            <w:hideMark/>
          </w:tcPr>
          <w:p w14:paraId="02936608"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w:t>
            </w:r>
          </w:p>
        </w:tc>
        <w:tc>
          <w:tcPr>
            <w:tcW w:w="708" w:type="dxa"/>
            <w:tcBorders>
              <w:top w:val="nil"/>
              <w:left w:val="single" w:sz="4" w:space="0" w:color="auto"/>
              <w:bottom w:val="single" w:sz="4" w:space="0" w:color="auto"/>
              <w:right w:val="single" w:sz="4" w:space="0" w:color="auto"/>
            </w:tcBorders>
            <w:hideMark/>
          </w:tcPr>
          <w:p w14:paraId="6BBDE22C" w14:textId="6E46C81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6E9AA4B3" w14:textId="77CB7AD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3DAD5B64" w14:textId="7E23B07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2,345</w:t>
            </w:r>
          </w:p>
        </w:tc>
        <w:tc>
          <w:tcPr>
            <w:tcW w:w="1134" w:type="dxa"/>
            <w:tcBorders>
              <w:top w:val="nil"/>
              <w:left w:val="nil"/>
              <w:bottom w:val="single" w:sz="4" w:space="0" w:color="auto"/>
              <w:right w:val="single" w:sz="4" w:space="0" w:color="auto"/>
            </w:tcBorders>
            <w:hideMark/>
          </w:tcPr>
          <w:p w14:paraId="3E97E89D" w14:textId="1F5BED9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64C3AE58" w14:textId="2D7DBB8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238B18F6"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3855B6C5" w14:textId="21E5FF94"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6.1.3 Zhvillimi i udhëzimeve për planifikimin dhe menaxhimin e emergjencave që adresojnë nevojat specifike të personave me aftësi të kufizuara, me fokus të shtuar në institucione rezidenciale dhe ofrues shërbimesh për të rritur e fëmijë me aftësi të kufizuara</w:t>
            </w:r>
            <w:r w:rsidR="00EF4BBB">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4B5166C7"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2029</w:t>
            </w:r>
          </w:p>
        </w:tc>
        <w:tc>
          <w:tcPr>
            <w:tcW w:w="567" w:type="dxa"/>
            <w:tcBorders>
              <w:top w:val="nil"/>
              <w:left w:val="nil"/>
              <w:bottom w:val="single" w:sz="4" w:space="0" w:color="auto"/>
              <w:right w:val="single" w:sz="4" w:space="0" w:color="auto"/>
            </w:tcBorders>
            <w:hideMark/>
          </w:tcPr>
          <w:p w14:paraId="0CE0B783"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2029</w:t>
            </w:r>
          </w:p>
        </w:tc>
        <w:tc>
          <w:tcPr>
            <w:tcW w:w="1134" w:type="dxa"/>
            <w:tcBorders>
              <w:top w:val="nil"/>
              <w:left w:val="nil"/>
              <w:bottom w:val="single" w:sz="4" w:space="0" w:color="auto"/>
              <w:right w:val="single" w:sz="4" w:space="0" w:color="auto"/>
            </w:tcBorders>
            <w:hideMark/>
          </w:tcPr>
          <w:p w14:paraId="23ECE08D"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AKMC</w:t>
            </w:r>
          </w:p>
        </w:tc>
        <w:tc>
          <w:tcPr>
            <w:tcW w:w="1418" w:type="dxa"/>
            <w:tcBorders>
              <w:top w:val="nil"/>
              <w:left w:val="nil"/>
              <w:bottom w:val="single" w:sz="4" w:space="0" w:color="auto"/>
              <w:right w:val="single" w:sz="8" w:space="0" w:color="auto"/>
            </w:tcBorders>
            <w:hideMark/>
          </w:tcPr>
          <w:p w14:paraId="516F5165"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708" w:type="dxa"/>
            <w:tcBorders>
              <w:top w:val="nil"/>
              <w:left w:val="single" w:sz="4" w:space="0" w:color="auto"/>
              <w:bottom w:val="single" w:sz="4" w:space="0" w:color="auto"/>
              <w:right w:val="single" w:sz="4" w:space="0" w:color="auto"/>
            </w:tcBorders>
            <w:hideMark/>
          </w:tcPr>
          <w:p w14:paraId="3692772B" w14:textId="7F8D277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2BF2808B" w14:textId="2C2F3AE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113A18C2" w14:textId="60F20FD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7CD49028" w14:textId="4883463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1,523</w:t>
            </w:r>
          </w:p>
        </w:tc>
        <w:tc>
          <w:tcPr>
            <w:tcW w:w="1615" w:type="dxa"/>
            <w:tcBorders>
              <w:top w:val="nil"/>
              <w:left w:val="nil"/>
              <w:bottom w:val="single" w:sz="4" w:space="0" w:color="auto"/>
              <w:right w:val="single" w:sz="4" w:space="0" w:color="auto"/>
            </w:tcBorders>
            <w:hideMark/>
          </w:tcPr>
          <w:p w14:paraId="01AB4BE4" w14:textId="26CEBD2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76F38614"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2A495283" w14:textId="48C3FDA2"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6.1.4 Hartimi i protokolleve operacionale të evakuimit, strehimit dhe ndihmës humanitare të aksesueshme për të gjitha kategoritë e aftësisë së kufizuar, me fokus të </w:t>
            </w:r>
            <w:r w:rsidR="00EF4BBB" w:rsidRPr="00024D5A">
              <w:rPr>
                <w:rFonts w:ascii="Garamond" w:eastAsia="Times New Roman" w:hAnsi="Garamond"/>
                <w:sz w:val="6"/>
                <w:szCs w:val="16"/>
                <w:lang w:eastAsia="en-US"/>
              </w:rPr>
              <w:t>veçant</w:t>
            </w:r>
            <w:r w:rsidR="00EF4BBB">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institucionet dhe qendrat e shërbimeve</w:t>
            </w:r>
            <w:r w:rsidR="00EF4BBB">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59EF3E76"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2029</w:t>
            </w:r>
          </w:p>
        </w:tc>
        <w:tc>
          <w:tcPr>
            <w:tcW w:w="567" w:type="dxa"/>
            <w:tcBorders>
              <w:top w:val="nil"/>
              <w:left w:val="nil"/>
              <w:bottom w:val="single" w:sz="4" w:space="0" w:color="auto"/>
              <w:right w:val="single" w:sz="4" w:space="0" w:color="auto"/>
            </w:tcBorders>
            <w:hideMark/>
          </w:tcPr>
          <w:p w14:paraId="4A3C0AA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7C71CE68"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AKMC</w:t>
            </w:r>
          </w:p>
        </w:tc>
        <w:tc>
          <w:tcPr>
            <w:tcW w:w="1418" w:type="dxa"/>
            <w:tcBorders>
              <w:top w:val="nil"/>
              <w:left w:val="nil"/>
              <w:bottom w:val="single" w:sz="4" w:space="0" w:color="auto"/>
              <w:right w:val="single" w:sz="8" w:space="0" w:color="auto"/>
            </w:tcBorders>
            <w:hideMark/>
          </w:tcPr>
          <w:p w14:paraId="350863E4"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708" w:type="dxa"/>
            <w:tcBorders>
              <w:top w:val="nil"/>
              <w:left w:val="single" w:sz="4" w:space="0" w:color="auto"/>
              <w:bottom w:val="single" w:sz="4" w:space="0" w:color="auto"/>
              <w:right w:val="single" w:sz="4" w:space="0" w:color="auto"/>
            </w:tcBorders>
            <w:hideMark/>
          </w:tcPr>
          <w:p w14:paraId="1DED0243" w14:textId="5E90752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287C956A" w14:textId="4050EF3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4E7CCB83" w14:textId="1FFFBCD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24984FC9" w14:textId="65D6750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1,523</w:t>
            </w:r>
          </w:p>
        </w:tc>
        <w:tc>
          <w:tcPr>
            <w:tcW w:w="1615" w:type="dxa"/>
            <w:tcBorders>
              <w:top w:val="nil"/>
              <w:left w:val="nil"/>
              <w:bottom w:val="single" w:sz="4" w:space="0" w:color="auto"/>
              <w:right w:val="single" w:sz="4" w:space="0" w:color="auto"/>
            </w:tcBorders>
            <w:hideMark/>
          </w:tcPr>
          <w:p w14:paraId="02399AC7" w14:textId="3E35C6C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7D5EA617"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776B9989" w14:textId="0E540802"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6.1.5 Trajnimi i administratës publike, strukturave të emergjencave civile dhe pushtetit vendor mbi qasjen gjithëpërfshirëse ndaj aftësisë së kufizuar në raste të emergjencave dhe fatkeqësive natyrore</w:t>
            </w:r>
            <w:r w:rsidR="00DD1956">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w:t>
            </w:r>
          </w:p>
        </w:tc>
        <w:tc>
          <w:tcPr>
            <w:tcW w:w="567" w:type="dxa"/>
            <w:tcBorders>
              <w:top w:val="nil"/>
              <w:left w:val="nil"/>
              <w:bottom w:val="single" w:sz="4" w:space="0" w:color="auto"/>
              <w:right w:val="single" w:sz="4" w:space="0" w:color="auto"/>
            </w:tcBorders>
            <w:hideMark/>
          </w:tcPr>
          <w:p w14:paraId="75EE1FAB"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2028</w:t>
            </w:r>
          </w:p>
        </w:tc>
        <w:tc>
          <w:tcPr>
            <w:tcW w:w="567" w:type="dxa"/>
            <w:tcBorders>
              <w:top w:val="nil"/>
              <w:left w:val="nil"/>
              <w:bottom w:val="single" w:sz="4" w:space="0" w:color="auto"/>
              <w:right w:val="single" w:sz="4" w:space="0" w:color="auto"/>
            </w:tcBorders>
            <w:hideMark/>
          </w:tcPr>
          <w:p w14:paraId="4B41C98C"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8" w:space="0" w:color="auto"/>
              <w:right w:val="single" w:sz="4" w:space="0" w:color="auto"/>
            </w:tcBorders>
            <w:hideMark/>
          </w:tcPr>
          <w:p w14:paraId="35DDE563"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AKMC</w:t>
            </w:r>
          </w:p>
        </w:tc>
        <w:tc>
          <w:tcPr>
            <w:tcW w:w="1418" w:type="dxa"/>
            <w:tcBorders>
              <w:top w:val="nil"/>
              <w:left w:val="nil"/>
              <w:bottom w:val="single" w:sz="8" w:space="0" w:color="auto"/>
              <w:right w:val="single" w:sz="8" w:space="0" w:color="auto"/>
            </w:tcBorders>
            <w:hideMark/>
          </w:tcPr>
          <w:p w14:paraId="1CB5E587"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708" w:type="dxa"/>
            <w:tcBorders>
              <w:top w:val="nil"/>
              <w:left w:val="single" w:sz="4" w:space="0" w:color="auto"/>
              <w:bottom w:val="single" w:sz="4" w:space="0" w:color="auto"/>
              <w:right w:val="single" w:sz="4" w:space="0" w:color="auto"/>
            </w:tcBorders>
            <w:hideMark/>
          </w:tcPr>
          <w:p w14:paraId="0933285D" w14:textId="1E6DE9B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0AA033BB" w14:textId="3C98C18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3EED4C66" w14:textId="1EA1A7C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c>
          <w:tcPr>
            <w:tcW w:w="1134" w:type="dxa"/>
            <w:tcBorders>
              <w:top w:val="nil"/>
              <w:left w:val="nil"/>
              <w:bottom w:val="single" w:sz="4" w:space="0" w:color="auto"/>
              <w:right w:val="single" w:sz="4" w:space="0" w:color="auto"/>
            </w:tcBorders>
            <w:hideMark/>
          </w:tcPr>
          <w:p w14:paraId="3098B920" w14:textId="4991703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c>
          <w:tcPr>
            <w:tcW w:w="1615" w:type="dxa"/>
            <w:tcBorders>
              <w:top w:val="nil"/>
              <w:left w:val="nil"/>
              <w:bottom w:val="single" w:sz="4" w:space="0" w:color="auto"/>
              <w:right w:val="single" w:sz="4" w:space="0" w:color="auto"/>
            </w:tcBorders>
            <w:hideMark/>
          </w:tcPr>
          <w:p w14:paraId="6E02D2D2" w14:textId="4B1CDB8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1,000</w:t>
            </w:r>
          </w:p>
        </w:tc>
      </w:tr>
      <w:tr w:rsidR="00B807EE" w:rsidRPr="00024D5A" w14:paraId="402C7CAF" w14:textId="77777777" w:rsidTr="002B321E">
        <w:trPr>
          <w:trHeight w:val="20"/>
        </w:trPr>
        <w:tc>
          <w:tcPr>
            <w:tcW w:w="4673" w:type="dxa"/>
            <w:tcBorders>
              <w:top w:val="single" w:sz="8" w:space="0" w:color="auto"/>
              <w:left w:val="single" w:sz="4" w:space="0" w:color="auto"/>
              <w:bottom w:val="single" w:sz="8" w:space="0" w:color="auto"/>
              <w:right w:val="single" w:sz="4" w:space="0" w:color="auto"/>
            </w:tcBorders>
            <w:shd w:val="clear" w:color="000000" w:fill="F276AB"/>
            <w:hideMark/>
          </w:tcPr>
          <w:p w14:paraId="3316BE76"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VI. SHËNDETËSIA</w:t>
            </w:r>
          </w:p>
        </w:tc>
        <w:tc>
          <w:tcPr>
            <w:tcW w:w="567" w:type="dxa"/>
            <w:tcBorders>
              <w:top w:val="single" w:sz="8" w:space="0" w:color="auto"/>
              <w:left w:val="nil"/>
              <w:bottom w:val="single" w:sz="8" w:space="0" w:color="auto"/>
              <w:right w:val="single" w:sz="4" w:space="0" w:color="auto"/>
            </w:tcBorders>
            <w:shd w:val="clear" w:color="000000" w:fill="F276AB"/>
            <w:hideMark/>
          </w:tcPr>
          <w:p w14:paraId="0A958352"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567" w:type="dxa"/>
            <w:tcBorders>
              <w:top w:val="single" w:sz="8" w:space="0" w:color="auto"/>
              <w:left w:val="nil"/>
              <w:bottom w:val="single" w:sz="8" w:space="0" w:color="auto"/>
              <w:right w:val="single" w:sz="4" w:space="0" w:color="auto"/>
            </w:tcBorders>
            <w:shd w:val="clear" w:color="000000" w:fill="F276AB"/>
            <w:hideMark/>
          </w:tcPr>
          <w:p w14:paraId="24DB9B16"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1134" w:type="dxa"/>
            <w:tcBorders>
              <w:top w:val="nil"/>
              <w:left w:val="nil"/>
              <w:bottom w:val="single" w:sz="8" w:space="0" w:color="auto"/>
              <w:right w:val="single" w:sz="4" w:space="0" w:color="auto"/>
            </w:tcBorders>
            <w:shd w:val="clear" w:color="000000" w:fill="F276AB"/>
            <w:hideMark/>
          </w:tcPr>
          <w:p w14:paraId="17D95A9C"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1418" w:type="dxa"/>
            <w:tcBorders>
              <w:top w:val="nil"/>
              <w:left w:val="nil"/>
              <w:bottom w:val="single" w:sz="8" w:space="0" w:color="auto"/>
              <w:right w:val="single" w:sz="4" w:space="0" w:color="auto"/>
            </w:tcBorders>
            <w:shd w:val="clear" w:color="000000" w:fill="F276AB"/>
            <w:hideMark/>
          </w:tcPr>
          <w:p w14:paraId="0875CE52"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708" w:type="dxa"/>
            <w:tcBorders>
              <w:top w:val="single" w:sz="8" w:space="0" w:color="auto"/>
              <w:left w:val="nil"/>
              <w:bottom w:val="single" w:sz="8" w:space="0" w:color="auto"/>
              <w:right w:val="single" w:sz="4" w:space="0" w:color="auto"/>
            </w:tcBorders>
            <w:shd w:val="clear" w:color="000000" w:fill="F276AB"/>
            <w:hideMark/>
          </w:tcPr>
          <w:p w14:paraId="2A78C362" w14:textId="1E704CBB"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186,396</w:t>
            </w:r>
          </w:p>
        </w:tc>
        <w:tc>
          <w:tcPr>
            <w:tcW w:w="567" w:type="dxa"/>
            <w:tcBorders>
              <w:top w:val="single" w:sz="8" w:space="0" w:color="auto"/>
              <w:left w:val="nil"/>
              <w:bottom w:val="single" w:sz="8" w:space="0" w:color="auto"/>
              <w:right w:val="single" w:sz="4" w:space="0" w:color="auto"/>
            </w:tcBorders>
            <w:shd w:val="clear" w:color="000000" w:fill="F276AB"/>
            <w:hideMark/>
          </w:tcPr>
          <w:p w14:paraId="75EC44CA" w14:textId="0BAD34E2"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202,251</w:t>
            </w:r>
          </w:p>
        </w:tc>
        <w:tc>
          <w:tcPr>
            <w:tcW w:w="567" w:type="dxa"/>
            <w:tcBorders>
              <w:top w:val="single" w:sz="8" w:space="0" w:color="auto"/>
              <w:left w:val="nil"/>
              <w:bottom w:val="single" w:sz="8" w:space="0" w:color="auto"/>
              <w:right w:val="single" w:sz="4" w:space="0" w:color="auto"/>
            </w:tcBorders>
            <w:shd w:val="clear" w:color="000000" w:fill="F276AB"/>
            <w:hideMark/>
          </w:tcPr>
          <w:p w14:paraId="0417F073" w14:textId="3A2C497E"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185,999</w:t>
            </w:r>
          </w:p>
        </w:tc>
        <w:tc>
          <w:tcPr>
            <w:tcW w:w="1134" w:type="dxa"/>
            <w:tcBorders>
              <w:top w:val="single" w:sz="8" w:space="0" w:color="auto"/>
              <w:left w:val="nil"/>
              <w:bottom w:val="single" w:sz="8" w:space="0" w:color="auto"/>
              <w:right w:val="single" w:sz="4" w:space="0" w:color="auto"/>
            </w:tcBorders>
            <w:shd w:val="clear" w:color="000000" w:fill="F276AB"/>
            <w:hideMark/>
          </w:tcPr>
          <w:p w14:paraId="25701105" w14:textId="7E43394B"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200,275</w:t>
            </w:r>
          </w:p>
        </w:tc>
        <w:tc>
          <w:tcPr>
            <w:tcW w:w="1615" w:type="dxa"/>
            <w:tcBorders>
              <w:top w:val="single" w:sz="8" w:space="0" w:color="auto"/>
              <w:left w:val="nil"/>
              <w:bottom w:val="single" w:sz="8" w:space="0" w:color="auto"/>
              <w:right w:val="single" w:sz="4" w:space="0" w:color="auto"/>
            </w:tcBorders>
            <w:shd w:val="clear" w:color="000000" w:fill="F276AB"/>
            <w:hideMark/>
          </w:tcPr>
          <w:p w14:paraId="5749AADB" w14:textId="572D33A5"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189,241</w:t>
            </w:r>
          </w:p>
        </w:tc>
      </w:tr>
      <w:tr w:rsidR="00B807EE" w:rsidRPr="00024D5A" w14:paraId="1A8D113D" w14:textId="77777777" w:rsidTr="002B321E">
        <w:trPr>
          <w:trHeight w:val="20"/>
        </w:trPr>
        <w:tc>
          <w:tcPr>
            <w:tcW w:w="4673" w:type="dxa"/>
            <w:tcBorders>
              <w:top w:val="single" w:sz="4" w:space="0" w:color="auto"/>
              <w:left w:val="single" w:sz="4" w:space="0" w:color="auto"/>
              <w:bottom w:val="single" w:sz="4" w:space="0" w:color="auto"/>
              <w:right w:val="single" w:sz="4" w:space="0" w:color="auto"/>
            </w:tcBorders>
            <w:shd w:val="clear" w:color="000000" w:fill="FDE9D9"/>
            <w:hideMark/>
          </w:tcPr>
          <w:p w14:paraId="05B81959" w14:textId="2AEE018E"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Objektivi </w:t>
            </w:r>
            <w:r w:rsidR="00DD1956" w:rsidRPr="00024D5A">
              <w:rPr>
                <w:rFonts w:ascii="Garamond" w:eastAsia="Times New Roman" w:hAnsi="Garamond"/>
                <w:b/>
                <w:bCs/>
                <w:sz w:val="6"/>
                <w:szCs w:val="16"/>
                <w:lang w:eastAsia="en-US"/>
              </w:rPr>
              <w:t xml:space="preserve">specifik </w:t>
            </w:r>
            <w:r w:rsidRPr="00024D5A">
              <w:rPr>
                <w:rFonts w:ascii="Garamond" w:eastAsia="Times New Roman" w:hAnsi="Garamond"/>
                <w:b/>
                <w:bCs/>
                <w:sz w:val="6"/>
                <w:szCs w:val="16"/>
                <w:lang w:eastAsia="en-US"/>
              </w:rPr>
              <w:t>1</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Ulja e numrit të rasteve të reja dhe e ashpërsisë së aftësisë së kufizuar të evitueshme, si</w:t>
            </w:r>
            <w:r w:rsidR="008F29FA" w:rsidRPr="00024D5A">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dhe garantimi i kujdesit shëndetësor gjithëpërfshirës për personat me aftësi të kufizuara gjatë gjithë ciklit të jetës</w:t>
            </w:r>
            <w:r w:rsidR="00DD1956">
              <w:rPr>
                <w:rFonts w:ascii="Garamond" w:eastAsia="Times New Roman" w:hAnsi="Garamond"/>
                <w:b/>
                <w:bCs/>
                <w:sz w:val="6"/>
                <w:szCs w:val="16"/>
                <w:lang w:eastAsia="en-US"/>
              </w:rPr>
              <w:t>.</w:t>
            </w:r>
          </w:p>
        </w:tc>
        <w:tc>
          <w:tcPr>
            <w:tcW w:w="567" w:type="dxa"/>
            <w:tcBorders>
              <w:top w:val="single" w:sz="4" w:space="0" w:color="auto"/>
              <w:left w:val="nil"/>
              <w:bottom w:val="single" w:sz="4" w:space="0" w:color="auto"/>
              <w:right w:val="single" w:sz="4" w:space="0" w:color="auto"/>
            </w:tcBorders>
            <w:shd w:val="clear" w:color="000000" w:fill="FDE9D9"/>
            <w:hideMark/>
          </w:tcPr>
          <w:p w14:paraId="02B121A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single" w:sz="4" w:space="0" w:color="auto"/>
              <w:left w:val="nil"/>
              <w:bottom w:val="single" w:sz="4" w:space="0" w:color="auto"/>
              <w:right w:val="nil"/>
            </w:tcBorders>
            <w:shd w:val="clear" w:color="000000" w:fill="FDE9D9"/>
            <w:hideMark/>
          </w:tcPr>
          <w:p w14:paraId="6064F7F4"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single" w:sz="4" w:space="0" w:color="auto"/>
              <w:left w:val="single" w:sz="4" w:space="0" w:color="auto"/>
              <w:bottom w:val="single" w:sz="4" w:space="0" w:color="auto"/>
              <w:right w:val="single" w:sz="4" w:space="0" w:color="auto"/>
            </w:tcBorders>
            <w:shd w:val="clear" w:color="000000" w:fill="FDE9D9"/>
            <w:hideMark/>
          </w:tcPr>
          <w:p w14:paraId="1C894840"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MSHMS/ISHP/OSHKSH</w:t>
            </w:r>
          </w:p>
        </w:tc>
        <w:tc>
          <w:tcPr>
            <w:tcW w:w="1418" w:type="dxa"/>
            <w:tcBorders>
              <w:top w:val="single" w:sz="4" w:space="0" w:color="auto"/>
              <w:left w:val="nil"/>
              <w:bottom w:val="single" w:sz="4" w:space="0" w:color="auto"/>
              <w:right w:val="single" w:sz="4" w:space="0" w:color="auto"/>
            </w:tcBorders>
            <w:shd w:val="clear" w:color="000000" w:fill="FDE9D9"/>
            <w:hideMark/>
          </w:tcPr>
          <w:p w14:paraId="59A58C5A" w14:textId="11989375"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OSHKSH</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NJVKSH</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MA/BASHKI</w:t>
            </w:r>
          </w:p>
        </w:tc>
        <w:tc>
          <w:tcPr>
            <w:tcW w:w="708" w:type="dxa"/>
            <w:tcBorders>
              <w:top w:val="single" w:sz="4" w:space="0" w:color="auto"/>
              <w:left w:val="nil"/>
              <w:bottom w:val="single" w:sz="4" w:space="0" w:color="auto"/>
              <w:right w:val="nil"/>
            </w:tcBorders>
            <w:shd w:val="clear" w:color="000000" w:fill="FDE9D9"/>
            <w:hideMark/>
          </w:tcPr>
          <w:p w14:paraId="3F062F03" w14:textId="697C7FB0"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42,164</w:t>
            </w:r>
          </w:p>
        </w:tc>
        <w:tc>
          <w:tcPr>
            <w:tcW w:w="567" w:type="dxa"/>
            <w:tcBorders>
              <w:top w:val="single" w:sz="4" w:space="0" w:color="auto"/>
              <w:left w:val="single" w:sz="4" w:space="0" w:color="auto"/>
              <w:bottom w:val="single" w:sz="4" w:space="0" w:color="auto"/>
              <w:right w:val="nil"/>
            </w:tcBorders>
            <w:shd w:val="clear" w:color="000000" w:fill="FDE9D9"/>
            <w:hideMark/>
          </w:tcPr>
          <w:p w14:paraId="6B466984" w14:textId="4CE0DC3C"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44,137</w:t>
            </w:r>
          </w:p>
        </w:tc>
        <w:tc>
          <w:tcPr>
            <w:tcW w:w="567" w:type="dxa"/>
            <w:tcBorders>
              <w:top w:val="single" w:sz="4" w:space="0" w:color="auto"/>
              <w:left w:val="single" w:sz="4" w:space="0" w:color="auto"/>
              <w:bottom w:val="single" w:sz="4" w:space="0" w:color="auto"/>
              <w:right w:val="nil"/>
            </w:tcBorders>
            <w:shd w:val="clear" w:color="000000" w:fill="FDE9D9"/>
            <w:hideMark/>
          </w:tcPr>
          <w:p w14:paraId="074AEE95" w14:textId="3313D498"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31,603</w:t>
            </w:r>
          </w:p>
        </w:tc>
        <w:tc>
          <w:tcPr>
            <w:tcW w:w="1134" w:type="dxa"/>
            <w:tcBorders>
              <w:top w:val="single" w:sz="4" w:space="0" w:color="auto"/>
              <w:left w:val="single" w:sz="4" w:space="0" w:color="auto"/>
              <w:bottom w:val="single" w:sz="4" w:space="0" w:color="auto"/>
              <w:right w:val="nil"/>
            </w:tcBorders>
            <w:shd w:val="clear" w:color="000000" w:fill="FDE9D9"/>
            <w:hideMark/>
          </w:tcPr>
          <w:p w14:paraId="60AF86BF" w14:textId="2A7D87D0"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30,892</w:t>
            </w:r>
          </w:p>
        </w:tc>
        <w:tc>
          <w:tcPr>
            <w:tcW w:w="1615" w:type="dxa"/>
            <w:tcBorders>
              <w:top w:val="single" w:sz="4" w:space="0" w:color="auto"/>
              <w:left w:val="single" w:sz="4" w:space="0" w:color="auto"/>
              <w:bottom w:val="single" w:sz="4" w:space="0" w:color="auto"/>
              <w:right w:val="nil"/>
            </w:tcBorders>
            <w:shd w:val="clear" w:color="000000" w:fill="FDE9D9"/>
            <w:hideMark/>
          </w:tcPr>
          <w:p w14:paraId="48D12534" w14:textId="436E63F9"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24,081</w:t>
            </w:r>
          </w:p>
        </w:tc>
      </w:tr>
      <w:tr w:rsidR="00B807EE" w:rsidRPr="00024D5A" w14:paraId="524CD97F"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DCE6F1"/>
            <w:hideMark/>
          </w:tcPr>
          <w:p w14:paraId="30DB005E" w14:textId="043467BD"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Masa </w:t>
            </w:r>
            <w:r w:rsidR="00DD1956" w:rsidRPr="00024D5A">
              <w:rPr>
                <w:rFonts w:ascii="Garamond" w:eastAsia="Times New Roman" w:hAnsi="Garamond"/>
                <w:b/>
                <w:bCs/>
                <w:sz w:val="6"/>
                <w:szCs w:val="16"/>
                <w:lang w:eastAsia="en-US"/>
              </w:rPr>
              <w:t xml:space="preserve">prioritare </w:t>
            </w:r>
            <w:r w:rsidRPr="00024D5A">
              <w:rPr>
                <w:rFonts w:ascii="Garamond" w:eastAsia="Times New Roman" w:hAnsi="Garamond"/>
                <w:b/>
                <w:bCs/>
                <w:sz w:val="6"/>
                <w:szCs w:val="16"/>
                <w:lang w:eastAsia="en-US"/>
              </w:rPr>
              <w:t>1.1</w:t>
            </w:r>
            <w:r w:rsidR="003526AF">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Forcimi i parandalimit dhe diagnostikimit të hershëm</w:t>
            </w:r>
            <w:r w:rsidR="00DD1956">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w:t>
            </w:r>
          </w:p>
        </w:tc>
        <w:tc>
          <w:tcPr>
            <w:tcW w:w="567" w:type="dxa"/>
            <w:tcBorders>
              <w:top w:val="nil"/>
              <w:left w:val="nil"/>
              <w:bottom w:val="single" w:sz="4" w:space="0" w:color="auto"/>
              <w:right w:val="single" w:sz="4" w:space="0" w:color="auto"/>
            </w:tcBorders>
            <w:shd w:val="clear" w:color="000000" w:fill="DCE6F1"/>
            <w:hideMark/>
          </w:tcPr>
          <w:p w14:paraId="5CA9DA42"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nil"/>
            </w:tcBorders>
            <w:shd w:val="clear" w:color="000000" w:fill="DCE6F1"/>
            <w:hideMark/>
          </w:tcPr>
          <w:p w14:paraId="7B26F415"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single" w:sz="4" w:space="0" w:color="auto"/>
              <w:bottom w:val="single" w:sz="4" w:space="0" w:color="auto"/>
              <w:right w:val="single" w:sz="4" w:space="0" w:color="auto"/>
            </w:tcBorders>
            <w:shd w:val="clear" w:color="000000" w:fill="DCE6F1"/>
            <w:hideMark/>
          </w:tcPr>
          <w:p w14:paraId="206ECF3A"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MSHMS/ISHP</w:t>
            </w:r>
          </w:p>
        </w:tc>
        <w:tc>
          <w:tcPr>
            <w:tcW w:w="1418" w:type="dxa"/>
            <w:tcBorders>
              <w:top w:val="nil"/>
              <w:left w:val="nil"/>
              <w:bottom w:val="single" w:sz="4" w:space="0" w:color="auto"/>
              <w:right w:val="single" w:sz="4" w:space="0" w:color="auto"/>
            </w:tcBorders>
            <w:shd w:val="clear" w:color="000000" w:fill="DCE6F1"/>
            <w:hideMark/>
          </w:tcPr>
          <w:p w14:paraId="5610B8D0" w14:textId="3980192D"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OSHKSH</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NJVKSH</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MA/BASHKI</w:t>
            </w:r>
          </w:p>
        </w:tc>
        <w:tc>
          <w:tcPr>
            <w:tcW w:w="708" w:type="dxa"/>
            <w:tcBorders>
              <w:top w:val="nil"/>
              <w:left w:val="nil"/>
              <w:bottom w:val="single" w:sz="4" w:space="0" w:color="auto"/>
              <w:right w:val="single" w:sz="4" w:space="0" w:color="auto"/>
            </w:tcBorders>
            <w:shd w:val="clear" w:color="000000" w:fill="DCE6F1"/>
            <w:hideMark/>
          </w:tcPr>
          <w:p w14:paraId="5A8EEE1C" w14:textId="3A6D4802"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22,120</w:t>
            </w:r>
          </w:p>
        </w:tc>
        <w:tc>
          <w:tcPr>
            <w:tcW w:w="567" w:type="dxa"/>
            <w:tcBorders>
              <w:top w:val="nil"/>
              <w:left w:val="nil"/>
              <w:bottom w:val="single" w:sz="4" w:space="0" w:color="auto"/>
              <w:right w:val="single" w:sz="4" w:space="0" w:color="auto"/>
            </w:tcBorders>
            <w:shd w:val="clear" w:color="000000" w:fill="DCE6F1"/>
            <w:hideMark/>
          </w:tcPr>
          <w:p w14:paraId="38518D40" w14:textId="28B6A006"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24,093</w:t>
            </w:r>
          </w:p>
        </w:tc>
        <w:tc>
          <w:tcPr>
            <w:tcW w:w="567" w:type="dxa"/>
            <w:tcBorders>
              <w:top w:val="nil"/>
              <w:left w:val="nil"/>
              <w:bottom w:val="single" w:sz="4" w:space="0" w:color="auto"/>
              <w:right w:val="single" w:sz="4" w:space="0" w:color="auto"/>
            </w:tcBorders>
            <w:shd w:val="clear" w:color="000000" w:fill="DCE6F1"/>
            <w:hideMark/>
          </w:tcPr>
          <w:p w14:paraId="2BA4AB5D" w14:textId="1FA0B016"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4,909</w:t>
            </w:r>
          </w:p>
        </w:tc>
        <w:tc>
          <w:tcPr>
            <w:tcW w:w="1134" w:type="dxa"/>
            <w:tcBorders>
              <w:top w:val="nil"/>
              <w:left w:val="nil"/>
              <w:bottom w:val="single" w:sz="4" w:space="0" w:color="auto"/>
              <w:right w:val="single" w:sz="4" w:space="0" w:color="auto"/>
            </w:tcBorders>
            <w:shd w:val="clear" w:color="000000" w:fill="DCE6F1"/>
            <w:hideMark/>
          </w:tcPr>
          <w:p w14:paraId="674EE3D4" w14:textId="16C5ED10"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7,409</w:t>
            </w:r>
          </w:p>
        </w:tc>
        <w:tc>
          <w:tcPr>
            <w:tcW w:w="1615" w:type="dxa"/>
            <w:tcBorders>
              <w:top w:val="nil"/>
              <w:left w:val="nil"/>
              <w:bottom w:val="single" w:sz="4" w:space="0" w:color="auto"/>
              <w:right w:val="single" w:sz="4" w:space="0" w:color="auto"/>
            </w:tcBorders>
            <w:shd w:val="clear" w:color="000000" w:fill="DCE6F1"/>
            <w:hideMark/>
          </w:tcPr>
          <w:p w14:paraId="58871C13" w14:textId="04397513"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5,000</w:t>
            </w:r>
          </w:p>
        </w:tc>
      </w:tr>
      <w:tr w:rsidR="00B807EE" w:rsidRPr="00024D5A" w14:paraId="7AB98299" w14:textId="77777777" w:rsidTr="002B321E">
        <w:trPr>
          <w:trHeight w:val="20"/>
        </w:trPr>
        <w:tc>
          <w:tcPr>
            <w:tcW w:w="4673" w:type="dxa"/>
            <w:tcBorders>
              <w:top w:val="nil"/>
              <w:left w:val="single" w:sz="4" w:space="0" w:color="auto"/>
              <w:bottom w:val="nil"/>
              <w:right w:val="nil"/>
            </w:tcBorders>
            <w:hideMark/>
          </w:tcPr>
          <w:p w14:paraId="6940B9BF" w14:textId="389A30EF"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1.1.1 Hartimi, miratimi dhe zbatimi i protokolleve standarde për kontrollet parandaluese</w:t>
            </w:r>
            <w:r w:rsidR="007675EC"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depistimin e hershëm të çrregullimeve zhvillimore dhe shëndetësore për fëmijët e moshës 0–6 vjeç</w:t>
            </w:r>
            <w:r w:rsidR="00DD1956">
              <w:rPr>
                <w:rFonts w:ascii="Garamond" w:eastAsia="Times New Roman" w:hAnsi="Garamond"/>
                <w:sz w:val="6"/>
                <w:szCs w:val="16"/>
                <w:lang w:eastAsia="en-US"/>
              </w:rPr>
              <w:t>.</w:t>
            </w:r>
          </w:p>
        </w:tc>
        <w:tc>
          <w:tcPr>
            <w:tcW w:w="567" w:type="dxa"/>
            <w:tcBorders>
              <w:top w:val="nil"/>
              <w:left w:val="single" w:sz="4" w:space="0" w:color="auto"/>
              <w:bottom w:val="single" w:sz="4" w:space="0" w:color="auto"/>
              <w:right w:val="single" w:sz="4" w:space="0" w:color="auto"/>
            </w:tcBorders>
            <w:hideMark/>
          </w:tcPr>
          <w:p w14:paraId="7322C1B4"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nil"/>
            </w:tcBorders>
            <w:hideMark/>
          </w:tcPr>
          <w:p w14:paraId="176E171F"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2027</w:t>
            </w:r>
          </w:p>
        </w:tc>
        <w:tc>
          <w:tcPr>
            <w:tcW w:w="1134" w:type="dxa"/>
            <w:tcBorders>
              <w:top w:val="nil"/>
              <w:left w:val="single" w:sz="4" w:space="0" w:color="auto"/>
              <w:bottom w:val="single" w:sz="4" w:space="0" w:color="auto"/>
              <w:right w:val="single" w:sz="4" w:space="0" w:color="auto"/>
            </w:tcBorders>
            <w:hideMark/>
          </w:tcPr>
          <w:p w14:paraId="7579B5FB"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MSHMS/ISHP</w:t>
            </w:r>
          </w:p>
        </w:tc>
        <w:tc>
          <w:tcPr>
            <w:tcW w:w="1418" w:type="dxa"/>
            <w:tcBorders>
              <w:top w:val="nil"/>
              <w:left w:val="nil"/>
              <w:bottom w:val="single" w:sz="4" w:space="0" w:color="auto"/>
              <w:right w:val="single" w:sz="4" w:space="0" w:color="auto"/>
            </w:tcBorders>
            <w:hideMark/>
          </w:tcPr>
          <w:p w14:paraId="59476773"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OSHKSH</w:t>
            </w:r>
          </w:p>
        </w:tc>
        <w:tc>
          <w:tcPr>
            <w:tcW w:w="708" w:type="dxa"/>
            <w:tcBorders>
              <w:top w:val="nil"/>
              <w:left w:val="nil"/>
              <w:bottom w:val="single" w:sz="4" w:space="0" w:color="auto"/>
              <w:right w:val="single" w:sz="4" w:space="0" w:color="auto"/>
            </w:tcBorders>
            <w:hideMark/>
          </w:tcPr>
          <w:p w14:paraId="23589DFE" w14:textId="4321754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18,284</w:t>
            </w:r>
          </w:p>
        </w:tc>
        <w:tc>
          <w:tcPr>
            <w:tcW w:w="567" w:type="dxa"/>
            <w:tcBorders>
              <w:top w:val="nil"/>
              <w:left w:val="nil"/>
              <w:bottom w:val="single" w:sz="4" w:space="0" w:color="auto"/>
              <w:right w:val="single" w:sz="4" w:space="0" w:color="auto"/>
            </w:tcBorders>
            <w:hideMark/>
          </w:tcPr>
          <w:p w14:paraId="19B1CC61" w14:textId="212C722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18,284</w:t>
            </w:r>
          </w:p>
        </w:tc>
        <w:tc>
          <w:tcPr>
            <w:tcW w:w="567" w:type="dxa"/>
            <w:tcBorders>
              <w:top w:val="nil"/>
              <w:left w:val="nil"/>
              <w:bottom w:val="single" w:sz="4" w:space="0" w:color="auto"/>
              <w:right w:val="single" w:sz="4" w:space="0" w:color="auto"/>
            </w:tcBorders>
            <w:hideMark/>
          </w:tcPr>
          <w:p w14:paraId="54FA5411" w14:textId="4B6325F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2277FE2C" w14:textId="4216EF3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705EAA55" w14:textId="2416626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1765EDD6" w14:textId="77777777" w:rsidTr="002B321E">
        <w:trPr>
          <w:trHeight w:val="20"/>
        </w:trPr>
        <w:tc>
          <w:tcPr>
            <w:tcW w:w="4673" w:type="dxa"/>
            <w:tcBorders>
              <w:top w:val="single" w:sz="4" w:space="0" w:color="auto"/>
              <w:left w:val="single" w:sz="4" w:space="0" w:color="auto"/>
              <w:bottom w:val="single" w:sz="4" w:space="0" w:color="auto"/>
              <w:right w:val="single" w:sz="4" w:space="0" w:color="auto"/>
            </w:tcBorders>
            <w:noWrap/>
            <w:hideMark/>
          </w:tcPr>
          <w:p w14:paraId="39D43439" w14:textId="659C4F4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1.1.2 Zhvillimi i një programi për identifikimin e hershëm të tipologjive të aftësisë së kufizuar dhe ndërhyrjen e personalizuar, përmes rritjes së bashkëpunimit me konsultoret e nënës e fëmijës, shërbimet socio shëndetësore, institucionet parashkollore</w:t>
            </w:r>
            <w:r w:rsidR="00DD1956">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1CE4464D"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nil"/>
            </w:tcBorders>
            <w:hideMark/>
          </w:tcPr>
          <w:p w14:paraId="7C69B868"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single" w:sz="4" w:space="0" w:color="auto"/>
              <w:bottom w:val="single" w:sz="4" w:space="0" w:color="auto"/>
              <w:right w:val="single" w:sz="4" w:space="0" w:color="auto"/>
            </w:tcBorders>
            <w:hideMark/>
          </w:tcPr>
          <w:p w14:paraId="7ED47613"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MSHMS/ISHP</w:t>
            </w:r>
          </w:p>
        </w:tc>
        <w:tc>
          <w:tcPr>
            <w:tcW w:w="1418" w:type="dxa"/>
            <w:tcBorders>
              <w:top w:val="nil"/>
              <w:left w:val="nil"/>
              <w:bottom w:val="single" w:sz="4" w:space="0" w:color="auto"/>
              <w:right w:val="single" w:sz="4" w:space="0" w:color="auto"/>
            </w:tcBorders>
            <w:hideMark/>
          </w:tcPr>
          <w:p w14:paraId="37C2A054"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OSHKSH/MA/Bashkitë</w:t>
            </w:r>
          </w:p>
        </w:tc>
        <w:tc>
          <w:tcPr>
            <w:tcW w:w="708" w:type="dxa"/>
            <w:tcBorders>
              <w:top w:val="nil"/>
              <w:left w:val="nil"/>
              <w:bottom w:val="single" w:sz="4" w:space="0" w:color="auto"/>
              <w:right w:val="single" w:sz="4" w:space="0" w:color="auto"/>
            </w:tcBorders>
            <w:hideMark/>
          </w:tcPr>
          <w:p w14:paraId="408D7FDF" w14:textId="04EB718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1,400</w:t>
            </w:r>
          </w:p>
        </w:tc>
        <w:tc>
          <w:tcPr>
            <w:tcW w:w="567" w:type="dxa"/>
            <w:tcBorders>
              <w:top w:val="nil"/>
              <w:left w:val="nil"/>
              <w:bottom w:val="single" w:sz="4" w:space="0" w:color="auto"/>
              <w:right w:val="single" w:sz="4" w:space="0" w:color="auto"/>
            </w:tcBorders>
            <w:hideMark/>
          </w:tcPr>
          <w:p w14:paraId="0F6F612F" w14:textId="4B3D3E8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3,400</w:t>
            </w:r>
          </w:p>
        </w:tc>
        <w:tc>
          <w:tcPr>
            <w:tcW w:w="567" w:type="dxa"/>
            <w:tcBorders>
              <w:top w:val="nil"/>
              <w:left w:val="nil"/>
              <w:bottom w:val="single" w:sz="4" w:space="0" w:color="auto"/>
              <w:right w:val="single" w:sz="4" w:space="0" w:color="auto"/>
            </w:tcBorders>
            <w:hideMark/>
          </w:tcPr>
          <w:p w14:paraId="3EF01361" w14:textId="7D934C2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2,500</w:t>
            </w:r>
          </w:p>
        </w:tc>
        <w:tc>
          <w:tcPr>
            <w:tcW w:w="1134" w:type="dxa"/>
            <w:tcBorders>
              <w:top w:val="nil"/>
              <w:left w:val="nil"/>
              <w:bottom w:val="single" w:sz="4" w:space="0" w:color="auto"/>
              <w:right w:val="single" w:sz="4" w:space="0" w:color="auto"/>
            </w:tcBorders>
            <w:hideMark/>
          </w:tcPr>
          <w:p w14:paraId="1B2438C5" w14:textId="1DD0611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5,000</w:t>
            </w:r>
          </w:p>
        </w:tc>
        <w:tc>
          <w:tcPr>
            <w:tcW w:w="1615" w:type="dxa"/>
            <w:tcBorders>
              <w:top w:val="nil"/>
              <w:left w:val="nil"/>
              <w:bottom w:val="single" w:sz="4" w:space="0" w:color="auto"/>
              <w:right w:val="single" w:sz="4" w:space="0" w:color="auto"/>
            </w:tcBorders>
            <w:hideMark/>
          </w:tcPr>
          <w:p w14:paraId="57A2B0D0" w14:textId="4D777B9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5,000</w:t>
            </w:r>
          </w:p>
        </w:tc>
      </w:tr>
      <w:tr w:rsidR="00B807EE" w:rsidRPr="00024D5A" w14:paraId="1B4B2B32"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3C61EF27" w14:textId="09960881"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1.1.3 Angazhimi i komunitetit për rritjen e vaksinimit te fëmijët me aftësi të kufizuara, me qëllim ndërgjegjësimin dhe pjesëmarrjen e familjeve për të siguruar që fëmijët me aftësi të kufizuara të marrin të gjitha vaksinimet e rekomanduara.</w:t>
            </w:r>
          </w:p>
        </w:tc>
        <w:tc>
          <w:tcPr>
            <w:tcW w:w="567" w:type="dxa"/>
            <w:tcBorders>
              <w:top w:val="nil"/>
              <w:left w:val="nil"/>
              <w:bottom w:val="single" w:sz="4" w:space="0" w:color="auto"/>
              <w:right w:val="single" w:sz="4" w:space="0" w:color="auto"/>
            </w:tcBorders>
            <w:hideMark/>
          </w:tcPr>
          <w:p w14:paraId="14207ECA"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nil"/>
            </w:tcBorders>
            <w:hideMark/>
          </w:tcPr>
          <w:p w14:paraId="3DACDA22"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single" w:sz="4" w:space="0" w:color="auto"/>
              <w:bottom w:val="single" w:sz="4" w:space="0" w:color="auto"/>
              <w:right w:val="single" w:sz="4" w:space="0" w:color="auto"/>
            </w:tcBorders>
            <w:hideMark/>
          </w:tcPr>
          <w:p w14:paraId="2B392085" w14:textId="0A31A5F2"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ISHP/NJVKSH/OSHKSH</w:t>
            </w:r>
          </w:p>
        </w:tc>
        <w:tc>
          <w:tcPr>
            <w:tcW w:w="1418" w:type="dxa"/>
            <w:tcBorders>
              <w:top w:val="nil"/>
              <w:left w:val="nil"/>
              <w:bottom w:val="single" w:sz="4" w:space="0" w:color="auto"/>
              <w:right w:val="single" w:sz="4" w:space="0" w:color="auto"/>
            </w:tcBorders>
            <w:hideMark/>
          </w:tcPr>
          <w:p w14:paraId="49A163CF"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 ISHP/NJVKSH/OSHKSH/BASHKI</w:t>
            </w:r>
          </w:p>
        </w:tc>
        <w:tc>
          <w:tcPr>
            <w:tcW w:w="708" w:type="dxa"/>
            <w:tcBorders>
              <w:top w:val="nil"/>
              <w:left w:val="nil"/>
              <w:bottom w:val="single" w:sz="4" w:space="0" w:color="auto"/>
              <w:right w:val="single" w:sz="4" w:space="0" w:color="auto"/>
            </w:tcBorders>
            <w:hideMark/>
          </w:tcPr>
          <w:p w14:paraId="4F7EDFB4" w14:textId="5FB55C4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2,436</w:t>
            </w:r>
          </w:p>
        </w:tc>
        <w:tc>
          <w:tcPr>
            <w:tcW w:w="567" w:type="dxa"/>
            <w:tcBorders>
              <w:top w:val="nil"/>
              <w:left w:val="nil"/>
              <w:bottom w:val="single" w:sz="4" w:space="0" w:color="auto"/>
              <w:right w:val="single" w:sz="4" w:space="0" w:color="auto"/>
            </w:tcBorders>
            <w:hideMark/>
          </w:tcPr>
          <w:p w14:paraId="5158DE9F" w14:textId="2255466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2,409</w:t>
            </w:r>
          </w:p>
        </w:tc>
        <w:tc>
          <w:tcPr>
            <w:tcW w:w="567" w:type="dxa"/>
            <w:tcBorders>
              <w:top w:val="nil"/>
              <w:left w:val="nil"/>
              <w:bottom w:val="single" w:sz="4" w:space="0" w:color="auto"/>
              <w:right w:val="single" w:sz="4" w:space="0" w:color="auto"/>
            </w:tcBorders>
            <w:hideMark/>
          </w:tcPr>
          <w:p w14:paraId="5961589F" w14:textId="7460D22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2,409</w:t>
            </w:r>
          </w:p>
        </w:tc>
        <w:tc>
          <w:tcPr>
            <w:tcW w:w="1134" w:type="dxa"/>
            <w:tcBorders>
              <w:top w:val="nil"/>
              <w:left w:val="nil"/>
              <w:bottom w:val="single" w:sz="4" w:space="0" w:color="auto"/>
              <w:right w:val="single" w:sz="4" w:space="0" w:color="auto"/>
            </w:tcBorders>
            <w:hideMark/>
          </w:tcPr>
          <w:p w14:paraId="0691A3F5" w14:textId="321B8E3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2,409</w:t>
            </w:r>
          </w:p>
        </w:tc>
        <w:tc>
          <w:tcPr>
            <w:tcW w:w="1615" w:type="dxa"/>
            <w:tcBorders>
              <w:top w:val="nil"/>
              <w:left w:val="nil"/>
              <w:bottom w:val="single" w:sz="4" w:space="0" w:color="auto"/>
              <w:right w:val="single" w:sz="4" w:space="0" w:color="auto"/>
            </w:tcBorders>
            <w:hideMark/>
          </w:tcPr>
          <w:p w14:paraId="1C4B9977" w14:textId="1EAD80D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64536A9E"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B8CCE4"/>
            <w:noWrap/>
            <w:hideMark/>
          </w:tcPr>
          <w:p w14:paraId="2DC4E326" w14:textId="64C84C00"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Masa Prioritare 1.2</w:t>
            </w:r>
            <w:r w:rsidR="003526AF">
              <w:rPr>
                <w:rFonts w:ascii="Garamond" w:eastAsia="Times New Roman" w:hAnsi="Garamond"/>
                <w:b/>
                <w:bCs/>
                <w:sz w:val="6"/>
                <w:szCs w:val="16"/>
                <w:lang w:eastAsia="en-US"/>
              </w:rPr>
              <w:t>:</w:t>
            </w:r>
            <w:r w:rsidR="00DD1956">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Zhvillimi i kujdesit shëndetësor gjithëpërfshirës dhe të orientuar drejt personave me aftësi të kufizuara</w:t>
            </w:r>
            <w:r w:rsidR="00DD1956">
              <w:rPr>
                <w:rFonts w:ascii="Garamond" w:eastAsia="Times New Roman" w:hAnsi="Garamond"/>
                <w:b/>
                <w:bCs/>
                <w:sz w:val="6"/>
                <w:szCs w:val="16"/>
                <w:lang w:eastAsia="en-US"/>
              </w:rPr>
              <w:t>.</w:t>
            </w:r>
          </w:p>
        </w:tc>
        <w:tc>
          <w:tcPr>
            <w:tcW w:w="567" w:type="dxa"/>
            <w:tcBorders>
              <w:top w:val="nil"/>
              <w:left w:val="nil"/>
              <w:bottom w:val="single" w:sz="4" w:space="0" w:color="auto"/>
              <w:right w:val="single" w:sz="4" w:space="0" w:color="auto"/>
            </w:tcBorders>
            <w:shd w:val="clear" w:color="000000" w:fill="B8CCE4"/>
            <w:hideMark/>
          </w:tcPr>
          <w:p w14:paraId="754AF54E"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nil"/>
            </w:tcBorders>
            <w:shd w:val="clear" w:color="000000" w:fill="B8CCE4"/>
            <w:hideMark/>
          </w:tcPr>
          <w:p w14:paraId="57B19CA2"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single" w:sz="4" w:space="0" w:color="auto"/>
              <w:bottom w:val="single" w:sz="4" w:space="0" w:color="auto"/>
              <w:right w:val="single" w:sz="4" w:space="0" w:color="auto"/>
            </w:tcBorders>
            <w:shd w:val="clear" w:color="000000" w:fill="B8CCE4"/>
            <w:hideMark/>
          </w:tcPr>
          <w:p w14:paraId="53D2D0E3"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OSHKSH</w:t>
            </w:r>
          </w:p>
        </w:tc>
        <w:tc>
          <w:tcPr>
            <w:tcW w:w="1418" w:type="dxa"/>
            <w:tcBorders>
              <w:top w:val="nil"/>
              <w:left w:val="nil"/>
              <w:bottom w:val="single" w:sz="4" w:space="0" w:color="auto"/>
              <w:right w:val="single" w:sz="4" w:space="0" w:color="auto"/>
            </w:tcBorders>
            <w:shd w:val="clear" w:color="000000" w:fill="B8CCE4"/>
            <w:hideMark/>
          </w:tcPr>
          <w:p w14:paraId="59A46CBB"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w:t>
            </w:r>
          </w:p>
        </w:tc>
        <w:tc>
          <w:tcPr>
            <w:tcW w:w="708" w:type="dxa"/>
            <w:tcBorders>
              <w:top w:val="nil"/>
              <w:left w:val="nil"/>
              <w:bottom w:val="single" w:sz="4" w:space="0" w:color="auto"/>
              <w:right w:val="single" w:sz="4" w:space="0" w:color="auto"/>
            </w:tcBorders>
            <w:shd w:val="clear" w:color="000000" w:fill="B8CCE4"/>
            <w:hideMark/>
          </w:tcPr>
          <w:p w14:paraId="13EC1ABA" w14:textId="46BEB2A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20,044</w:t>
            </w:r>
          </w:p>
        </w:tc>
        <w:tc>
          <w:tcPr>
            <w:tcW w:w="567" w:type="dxa"/>
            <w:tcBorders>
              <w:top w:val="nil"/>
              <w:left w:val="nil"/>
              <w:bottom w:val="single" w:sz="4" w:space="0" w:color="auto"/>
              <w:right w:val="single" w:sz="4" w:space="0" w:color="auto"/>
            </w:tcBorders>
            <w:shd w:val="clear" w:color="000000" w:fill="B8CCE4"/>
            <w:hideMark/>
          </w:tcPr>
          <w:p w14:paraId="63CA0E69" w14:textId="560B1A8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20,044</w:t>
            </w:r>
          </w:p>
        </w:tc>
        <w:tc>
          <w:tcPr>
            <w:tcW w:w="567" w:type="dxa"/>
            <w:tcBorders>
              <w:top w:val="nil"/>
              <w:left w:val="nil"/>
              <w:bottom w:val="single" w:sz="4" w:space="0" w:color="auto"/>
              <w:right w:val="single" w:sz="4" w:space="0" w:color="auto"/>
            </w:tcBorders>
            <w:shd w:val="clear" w:color="000000" w:fill="B8CCE4"/>
            <w:hideMark/>
          </w:tcPr>
          <w:p w14:paraId="5997BEDD" w14:textId="180B8ED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26,694</w:t>
            </w:r>
          </w:p>
        </w:tc>
        <w:tc>
          <w:tcPr>
            <w:tcW w:w="1134" w:type="dxa"/>
            <w:tcBorders>
              <w:top w:val="nil"/>
              <w:left w:val="nil"/>
              <w:bottom w:val="single" w:sz="4" w:space="0" w:color="auto"/>
              <w:right w:val="single" w:sz="4" w:space="0" w:color="auto"/>
            </w:tcBorders>
            <w:shd w:val="clear" w:color="000000" w:fill="B8CCE4"/>
            <w:hideMark/>
          </w:tcPr>
          <w:p w14:paraId="2D8213A1" w14:textId="17E4C97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23,483</w:t>
            </w:r>
          </w:p>
        </w:tc>
        <w:tc>
          <w:tcPr>
            <w:tcW w:w="1615" w:type="dxa"/>
            <w:tcBorders>
              <w:top w:val="nil"/>
              <w:left w:val="nil"/>
              <w:bottom w:val="single" w:sz="4" w:space="0" w:color="auto"/>
              <w:right w:val="single" w:sz="4" w:space="0" w:color="auto"/>
            </w:tcBorders>
            <w:shd w:val="clear" w:color="000000" w:fill="B8CCE4"/>
            <w:hideMark/>
          </w:tcPr>
          <w:p w14:paraId="7237DE2D" w14:textId="05B6F2F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19,081</w:t>
            </w:r>
          </w:p>
        </w:tc>
      </w:tr>
      <w:tr w:rsidR="00B807EE" w:rsidRPr="00024D5A" w14:paraId="73DAFD6D" w14:textId="77777777" w:rsidTr="002B321E">
        <w:trPr>
          <w:trHeight w:val="20"/>
        </w:trPr>
        <w:tc>
          <w:tcPr>
            <w:tcW w:w="4673" w:type="dxa"/>
            <w:tcBorders>
              <w:top w:val="nil"/>
              <w:left w:val="single" w:sz="4" w:space="0" w:color="auto"/>
              <w:bottom w:val="nil"/>
              <w:right w:val="nil"/>
            </w:tcBorders>
            <w:hideMark/>
          </w:tcPr>
          <w:p w14:paraId="6F2E1C6B" w14:textId="40A06DAD"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1.2.1 Rritja e numrit të ekipeve socioshëndetësore pranë shërbimeve të KSHP</w:t>
            </w:r>
            <w:r w:rsidR="00DD1956">
              <w:rPr>
                <w:rFonts w:ascii="Garamond" w:eastAsia="Times New Roman" w:hAnsi="Garamond"/>
                <w:sz w:val="6"/>
                <w:szCs w:val="16"/>
                <w:lang w:eastAsia="en-US"/>
              </w:rPr>
              <w:t>-së</w:t>
            </w:r>
            <w:r w:rsidRPr="00024D5A">
              <w:rPr>
                <w:rFonts w:ascii="Garamond" w:eastAsia="Times New Roman" w:hAnsi="Garamond"/>
                <w:sz w:val="6"/>
                <w:szCs w:val="16"/>
                <w:lang w:eastAsia="en-US"/>
              </w:rPr>
              <w:t xml:space="preserve"> dhe fuqizimi </w:t>
            </w:r>
            <w:r w:rsidR="00DD1956">
              <w:rPr>
                <w:rFonts w:ascii="Garamond" w:eastAsia="Times New Roman" w:hAnsi="Garamond"/>
                <w:sz w:val="6"/>
                <w:szCs w:val="16"/>
                <w:lang w:eastAsia="en-US"/>
              </w:rPr>
              <w:t xml:space="preserve">i </w:t>
            </w:r>
            <w:r w:rsidRPr="00024D5A">
              <w:rPr>
                <w:rFonts w:ascii="Garamond" w:eastAsia="Times New Roman" w:hAnsi="Garamond"/>
                <w:sz w:val="6"/>
                <w:szCs w:val="16"/>
                <w:lang w:eastAsia="en-US"/>
              </w:rPr>
              <w:t>tyre me fokus identifikimin e hershëm të aftësisë së kufizuar, informimin dhe referimin e tyre në shërbime sipas nevojave.</w:t>
            </w:r>
          </w:p>
        </w:tc>
        <w:tc>
          <w:tcPr>
            <w:tcW w:w="567" w:type="dxa"/>
            <w:tcBorders>
              <w:top w:val="nil"/>
              <w:left w:val="single" w:sz="4" w:space="0" w:color="auto"/>
              <w:bottom w:val="single" w:sz="4" w:space="0" w:color="auto"/>
              <w:right w:val="single" w:sz="4" w:space="0" w:color="auto"/>
            </w:tcBorders>
            <w:hideMark/>
          </w:tcPr>
          <w:p w14:paraId="570519B9"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nil"/>
            </w:tcBorders>
            <w:hideMark/>
          </w:tcPr>
          <w:p w14:paraId="79B8BAC6"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single" w:sz="4" w:space="0" w:color="auto"/>
              <w:bottom w:val="single" w:sz="4" w:space="0" w:color="auto"/>
              <w:right w:val="single" w:sz="4" w:space="0" w:color="auto"/>
            </w:tcBorders>
            <w:hideMark/>
          </w:tcPr>
          <w:p w14:paraId="3EE245B3"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OSHKSH</w:t>
            </w:r>
          </w:p>
        </w:tc>
        <w:tc>
          <w:tcPr>
            <w:tcW w:w="1418" w:type="dxa"/>
            <w:tcBorders>
              <w:top w:val="nil"/>
              <w:left w:val="nil"/>
              <w:bottom w:val="single" w:sz="4" w:space="0" w:color="auto"/>
              <w:right w:val="single" w:sz="4" w:space="0" w:color="auto"/>
            </w:tcBorders>
            <w:hideMark/>
          </w:tcPr>
          <w:p w14:paraId="0998C2F7"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w:t>
            </w:r>
          </w:p>
        </w:tc>
        <w:tc>
          <w:tcPr>
            <w:tcW w:w="708" w:type="dxa"/>
            <w:tcBorders>
              <w:top w:val="nil"/>
              <w:left w:val="nil"/>
              <w:bottom w:val="single" w:sz="4" w:space="0" w:color="auto"/>
              <w:right w:val="single" w:sz="4" w:space="0" w:color="auto"/>
            </w:tcBorders>
            <w:hideMark/>
          </w:tcPr>
          <w:p w14:paraId="447C3687" w14:textId="05DF073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14,531</w:t>
            </w:r>
          </w:p>
        </w:tc>
        <w:tc>
          <w:tcPr>
            <w:tcW w:w="567" w:type="dxa"/>
            <w:tcBorders>
              <w:top w:val="nil"/>
              <w:left w:val="nil"/>
              <w:bottom w:val="single" w:sz="4" w:space="0" w:color="auto"/>
              <w:right w:val="single" w:sz="4" w:space="0" w:color="auto"/>
            </w:tcBorders>
            <w:hideMark/>
          </w:tcPr>
          <w:p w14:paraId="6C44A6BE" w14:textId="6EBDC91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14,531</w:t>
            </w:r>
          </w:p>
        </w:tc>
        <w:tc>
          <w:tcPr>
            <w:tcW w:w="567" w:type="dxa"/>
            <w:tcBorders>
              <w:top w:val="nil"/>
              <w:left w:val="nil"/>
              <w:bottom w:val="single" w:sz="4" w:space="0" w:color="auto"/>
              <w:right w:val="single" w:sz="4" w:space="0" w:color="auto"/>
            </w:tcBorders>
            <w:hideMark/>
          </w:tcPr>
          <w:p w14:paraId="20BDAEBA" w14:textId="7533C79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14,531</w:t>
            </w:r>
          </w:p>
        </w:tc>
        <w:tc>
          <w:tcPr>
            <w:tcW w:w="1134" w:type="dxa"/>
            <w:tcBorders>
              <w:top w:val="nil"/>
              <w:left w:val="nil"/>
              <w:bottom w:val="single" w:sz="4" w:space="0" w:color="auto"/>
              <w:right w:val="single" w:sz="4" w:space="0" w:color="auto"/>
            </w:tcBorders>
            <w:hideMark/>
          </w:tcPr>
          <w:p w14:paraId="27E4D809" w14:textId="619C96D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14,531</w:t>
            </w:r>
          </w:p>
        </w:tc>
        <w:tc>
          <w:tcPr>
            <w:tcW w:w="1615" w:type="dxa"/>
            <w:tcBorders>
              <w:top w:val="nil"/>
              <w:left w:val="nil"/>
              <w:bottom w:val="single" w:sz="4" w:space="0" w:color="auto"/>
              <w:right w:val="single" w:sz="4" w:space="0" w:color="auto"/>
            </w:tcBorders>
            <w:hideMark/>
          </w:tcPr>
          <w:p w14:paraId="1140892B" w14:textId="7B1B638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14,531</w:t>
            </w:r>
          </w:p>
        </w:tc>
      </w:tr>
      <w:tr w:rsidR="00B807EE" w:rsidRPr="00024D5A" w14:paraId="218B67D2" w14:textId="77777777" w:rsidTr="002B321E">
        <w:trPr>
          <w:trHeight w:val="20"/>
        </w:trPr>
        <w:tc>
          <w:tcPr>
            <w:tcW w:w="4673" w:type="dxa"/>
            <w:tcBorders>
              <w:top w:val="single" w:sz="4" w:space="0" w:color="auto"/>
              <w:left w:val="single" w:sz="4" w:space="0" w:color="auto"/>
              <w:bottom w:val="single" w:sz="4" w:space="0" w:color="auto"/>
              <w:right w:val="single" w:sz="4" w:space="0" w:color="auto"/>
            </w:tcBorders>
            <w:hideMark/>
          </w:tcPr>
          <w:p w14:paraId="33393164" w14:textId="0488DF5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1.2.2 Përgatitja e një udhëzuesi për një sistem shëndetësor gjithëpërfshirës p</w:t>
            </w:r>
            <w:r w:rsidR="000D5711"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r personat me aftësi të kufizuara, me synim mbulimin universal.</w:t>
            </w:r>
          </w:p>
        </w:tc>
        <w:tc>
          <w:tcPr>
            <w:tcW w:w="567" w:type="dxa"/>
            <w:tcBorders>
              <w:top w:val="nil"/>
              <w:left w:val="nil"/>
              <w:bottom w:val="single" w:sz="4" w:space="0" w:color="auto"/>
              <w:right w:val="single" w:sz="4" w:space="0" w:color="auto"/>
            </w:tcBorders>
            <w:hideMark/>
          </w:tcPr>
          <w:p w14:paraId="3428874B"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2029</w:t>
            </w:r>
          </w:p>
        </w:tc>
        <w:tc>
          <w:tcPr>
            <w:tcW w:w="567" w:type="dxa"/>
            <w:tcBorders>
              <w:top w:val="nil"/>
              <w:left w:val="nil"/>
              <w:bottom w:val="single" w:sz="4" w:space="0" w:color="auto"/>
              <w:right w:val="nil"/>
            </w:tcBorders>
            <w:hideMark/>
          </w:tcPr>
          <w:p w14:paraId="11DB2A68"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single" w:sz="4" w:space="0" w:color="auto"/>
              <w:bottom w:val="single" w:sz="4" w:space="0" w:color="auto"/>
              <w:right w:val="single" w:sz="4" w:space="0" w:color="auto"/>
            </w:tcBorders>
            <w:hideMark/>
          </w:tcPr>
          <w:p w14:paraId="1FF68950"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OSHKSH</w:t>
            </w:r>
          </w:p>
        </w:tc>
        <w:tc>
          <w:tcPr>
            <w:tcW w:w="1418" w:type="dxa"/>
            <w:tcBorders>
              <w:top w:val="nil"/>
              <w:left w:val="nil"/>
              <w:bottom w:val="single" w:sz="4" w:space="0" w:color="auto"/>
              <w:right w:val="single" w:sz="4" w:space="0" w:color="auto"/>
            </w:tcBorders>
            <w:hideMark/>
          </w:tcPr>
          <w:p w14:paraId="4FFE7803"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w:t>
            </w:r>
          </w:p>
        </w:tc>
        <w:tc>
          <w:tcPr>
            <w:tcW w:w="708" w:type="dxa"/>
            <w:tcBorders>
              <w:top w:val="nil"/>
              <w:left w:val="nil"/>
              <w:bottom w:val="single" w:sz="4" w:space="0" w:color="auto"/>
              <w:right w:val="single" w:sz="4" w:space="0" w:color="auto"/>
            </w:tcBorders>
            <w:hideMark/>
          </w:tcPr>
          <w:p w14:paraId="704EDC89" w14:textId="48F7919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1C6F5E9F" w14:textId="2337754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778DADFC" w14:textId="7BB5DFE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11588D8B" w14:textId="3AEC433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4,402</w:t>
            </w:r>
          </w:p>
        </w:tc>
        <w:tc>
          <w:tcPr>
            <w:tcW w:w="1615" w:type="dxa"/>
            <w:tcBorders>
              <w:top w:val="nil"/>
              <w:left w:val="nil"/>
              <w:bottom w:val="single" w:sz="4" w:space="0" w:color="auto"/>
              <w:right w:val="single" w:sz="4" w:space="0" w:color="auto"/>
            </w:tcBorders>
            <w:hideMark/>
          </w:tcPr>
          <w:p w14:paraId="0D3ABDAE" w14:textId="2F59EDB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2C706D7A"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7C1AB22F" w14:textId="323BCF76"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1.2.3 Mundësimi i aksesit të barabartë në informacion dhe shërbime të shëndetit seksual dhe riprodhues për të gjitha kategoritë e personave me aftësi të kufizuara, në formate të aksesueshme.</w:t>
            </w:r>
          </w:p>
        </w:tc>
        <w:tc>
          <w:tcPr>
            <w:tcW w:w="567" w:type="dxa"/>
            <w:tcBorders>
              <w:top w:val="nil"/>
              <w:left w:val="nil"/>
              <w:bottom w:val="single" w:sz="4" w:space="0" w:color="auto"/>
              <w:right w:val="single" w:sz="4" w:space="0" w:color="auto"/>
            </w:tcBorders>
            <w:hideMark/>
          </w:tcPr>
          <w:p w14:paraId="2732BF8B"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2028</w:t>
            </w:r>
          </w:p>
        </w:tc>
        <w:tc>
          <w:tcPr>
            <w:tcW w:w="567" w:type="dxa"/>
            <w:tcBorders>
              <w:top w:val="nil"/>
              <w:left w:val="nil"/>
              <w:bottom w:val="single" w:sz="4" w:space="0" w:color="auto"/>
              <w:right w:val="nil"/>
            </w:tcBorders>
            <w:hideMark/>
          </w:tcPr>
          <w:p w14:paraId="60EB04BF"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single" w:sz="4" w:space="0" w:color="auto"/>
              <w:bottom w:val="single" w:sz="4" w:space="0" w:color="auto"/>
              <w:right w:val="single" w:sz="4" w:space="0" w:color="auto"/>
            </w:tcBorders>
            <w:hideMark/>
          </w:tcPr>
          <w:p w14:paraId="3321F7A4"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OSHKSH</w:t>
            </w:r>
          </w:p>
        </w:tc>
        <w:tc>
          <w:tcPr>
            <w:tcW w:w="1418" w:type="dxa"/>
            <w:tcBorders>
              <w:top w:val="nil"/>
              <w:left w:val="nil"/>
              <w:bottom w:val="single" w:sz="4" w:space="0" w:color="auto"/>
              <w:right w:val="single" w:sz="4" w:space="0" w:color="auto"/>
            </w:tcBorders>
            <w:hideMark/>
          </w:tcPr>
          <w:p w14:paraId="392629C4"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w:t>
            </w:r>
          </w:p>
        </w:tc>
        <w:tc>
          <w:tcPr>
            <w:tcW w:w="708" w:type="dxa"/>
            <w:tcBorders>
              <w:top w:val="nil"/>
              <w:left w:val="nil"/>
              <w:bottom w:val="single" w:sz="4" w:space="0" w:color="auto"/>
              <w:right w:val="single" w:sz="4" w:space="0" w:color="auto"/>
            </w:tcBorders>
            <w:hideMark/>
          </w:tcPr>
          <w:p w14:paraId="081D2038" w14:textId="5CDA031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6069B9EA" w14:textId="0315F54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530E4157" w14:textId="53B761F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6,650</w:t>
            </w:r>
          </w:p>
        </w:tc>
        <w:tc>
          <w:tcPr>
            <w:tcW w:w="1134" w:type="dxa"/>
            <w:tcBorders>
              <w:top w:val="nil"/>
              <w:left w:val="nil"/>
              <w:bottom w:val="single" w:sz="4" w:space="0" w:color="auto"/>
              <w:right w:val="single" w:sz="4" w:space="0" w:color="auto"/>
            </w:tcBorders>
            <w:hideMark/>
          </w:tcPr>
          <w:p w14:paraId="64ED7FB1" w14:textId="7204D12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4,550</w:t>
            </w:r>
          </w:p>
        </w:tc>
        <w:tc>
          <w:tcPr>
            <w:tcW w:w="1615" w:type="dxa"/>
            <w:tcBorders>
              <w:top w:val="nil"/>
              <w:left w:val="nil"/>
              <w:bottom w:val="single" w:sz="4" w:space="0" w:color="auto"/>
              <w:right w:val="single" w:sz="4" w:space="0" w:color="auto"/>
            </w:tcBorders>
            <w:hideMark/>
          </w:tcPr>
          <w:p w14:paraId="0648A862" w14:textId="1F045C4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4,550</w:t>
            </w:r>
          </w:p>
        </w:tc>
      </w:tr>
      <w:tr w:rsidR="00B807EE" w:rsidRPr="00024D5A" w14:paraId="5CF29931"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7024ABCC"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567" w:type="dxa"/>
            <w:tcBorders>
              <w:top w:val="nil"/>
              <w:left w:val="nil"/>
              <w:bottom w:val="single" w:sz="4" w:space="0" w:color="auto"/>
              <w:right w:val="single" w:sz="4" w:space="0" w:color="auto"/>
            </w:tcBorders>
            <w:hideMark/>
          </w:tcPr>
          <w:p w14:paraId="49DFA014"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 </w:t>
            </w:r>
          </w:p>
        </w:tc>
        <w:tc>
          <w:tcPr>
            <w:tcW w:w="567" w:type="dxa"/>
            <w:tcBorders>
              <w:top w:val="nil"/>
              <w:left w:val="nil"/>
              <w:bottom w:val="single" w:sz="4" w:space="0" w:color="auto"/>
              <w:right w:val="nil"/>
            </w:tcBorders>
            <w:hideMark/>
          </w:tcPr>
          <w:p w14:paraId="230CF98E"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 </w:t>
            </w:r>
          </w:p>
        </w:tc>
        <w:tc>
          <w:tcPr>
            <w:tcW w:w="1134" w:type="dxa"/>
            <w:tcBorders>
              <w:top w:val="nil"/>
              <w:left w:val="single" w:sz="4" w:space="0" w:color="auto"/>
              <w:bottom w:val="single" w:sz="4" w:space="0" w:color="auto"/>
              <w:right w:val="single" w:sz="4" w:space="0" w:color="auto"/>
            </w:tcBorders>
            <w:hideMark/>
          </w:tcPr>
          <w:p w14:paraId="43CE91B4"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 </w:t>
            </w:r>
          </w:p>
        </w:tc>
        <w:tc>
          <w:tcPr>
            <w:tcW w:w="1418" w:type="dxa"/>
            <w:tcBorders>
              <w:top w:val="nil"/>
              <w:left w:val="nil"/>
              <w:bottom w:val="single" w:sz="4" w:space="0" w:color="auto"/>
              <w:right w:val="single" w:sz="4" w:space="0" w:color="auto"/>
            </w:tcBorders>
            <w:hideMark/>
          </w:tcPr>
          <w:p w14:paraId="66B88D6A"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 </w:t>
            </w:r>
          </w:p>
        </w:tc>
        <w:tc>
          <w:tcPr>
            <w:tcW w:w="708" w:type="dxa"/>
            <w:tcBorders>
              <w:top w:val="nil"/>
              <w:left w:val="nil"/>
              <w:bottom w:val="single" w:sz="4" w:space="0" w:color="auto"/>
              <w:right w:val="single" w:sz="4" w:space="0" w:color="auto"/>
            </w:tcBorders>
            <w:hideMark/>
          </w:tcPr>
          <w:p w14:paraId="51161258" w14:textId="00FBC30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56CA96F4" w14:textId="736156F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350DF871" w14:textId="6A89442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7400CCCE" w14:textId="17572A1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5DBDFF28" w14:textId="58A9ABA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487EB15B"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61EBC9B6" w14:textId="3B92A9CD"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1.2.4 Hartimi i mekanizmave për ndërhyrje prioritare dhe pa radhë për personat me aftësi të kufizuara komplekse në të gjitha nivelet e ofrimit të shërbimeve shëndetësore.</w:t>
            </w:r>
          </w:p>
        </w:tc>
        <w:tc>
          <w:tcPr>
            <w:tcW w:w="567" w:type="dxa"/>
            <w:tcBorders>
              <w:top w:val="nil"/>
              <w:left w:val="nil"/>
              <w:bottom w:val="single" w:sz="4" w:space="0" w:color="auto"/>
              <w:right w:val="single" w:sz="4" w:space="0" w:color="auto"/>
            </w:tcBorders>
            <w:hideMark/>
          </w:tcPr>
          <w:p w14:paraId="2DA62DF3"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nil"/>
            </w:tcBorders>
            <w:hideMark/>
          </w:tcPr>
          <w:p w14:paraId="5B3D8D28"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2028</w:t>
            </w:r>
          </w:p>
        </w:tc>
        <w:tc>
          <w:tcPr>
            <w:tcW w:w="1134" w:type="dxa"/>
            <w:tcBorders>
              <w:top w:val="nil"/>
              <w:left w:val="single" w:sz="4" w:space="0" w:color="auto"/>
              <w:bottom w:val="single" w:sz="4" w:space="0" w:color="auto"/>
              <w:right w:val="single" w:sz="4" w:space="0" w:color="auto"/>
            </w:tcBorders>
            <w:hideMark/>
          </w:tcPr>
          <w:p w14:paraId="635D151D"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w:t>
            </w:r>
          </w:p>
        </w:tc>
        <w:tc>
          <w:tcPr>
            <w:tcW w:w="1418" w:type="dxa"/>
            <w:tcBorders>
              <w:top w:val="nil"/>
              <w:left w:val="nil"/>
              <w:bottom w:val="single" w:sz="4" w:space="0" w:color="auto"/>
              <w:right w:val="single" w:sz="4" w:space="0" w:color="auto"/>
            </w:tcBorders>
            <w:hideMark/>
          </w:tcPr>
          <w:p w14:paraId="04FFF4B9"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OSHKSH</w:t>
            </w:r>
          </w:p>
        </w:tc>
        <w:tc>
          <w:tcPr>
            <w:tcW w:w="708" w:type="dxa"/>
            <w:tcBorders>
              <w:top w:val="nil"/>
              <w:left w:val="nil"/>
              <w:bottom w:val="single" w:sz="4" w:space="0" w:color="auto"/>
              <w:right w:val="single" w:sz="4" w:space="0" w:color="auto"/>
            </w:tcBorders>
            <w:hideMark/>
          </w:tcPr>
          <w:p w14:paraId="6A5C01FF" w14:textId="2951E51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5,513</w:t>
            </w:r>
          </w:p>
        </w:tc>
        <w:tc>
          <w:tcPr>
            <w:tcW w:w="567" w:type="dxa"/>
            <w:tcBorders>
              <w:top w:val="nil"/>
              <w:left w:val="nil"/>
              <w:bottom w:val="single" w:sz="4" w:space="0" w:color="auto"/>
              <w:right w:val="single" w:sz="4" w:space="0" w:color="auto"/>
            </w:tcBorders>
            <w:hideMark/>
          </w:tcPr>
          <w:p w14:paraId="66C57498" w14:textId="13513E3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5,513</w:t>
            </w:r>
          </w:p>
        </w:tc>
        <w:tc>
          <w:tcPr>
            <w:tcW w:w="567" w:type="dxa"/>
            <w:tcBorders>
              <w:top w:val="nil"/>
              <w:left w:val="nil"/>
              <w:bottom w:val="single" w:sz="4" w:space="0" w:color="auto"/>
              <w:right w:val="single" w:sz="4" w:space="0" w:color="auto"/>
            </w:tcBorders>
            <w:hideMark/>
          </w:tcPr>
          <w:p w14:paraId="4016C6B5" w14:textId="67C9EE0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5,513</w:t>
            </w:r>
          </w:p>
        </w:tc>
        <w:tc>
          <w:tcPr>
            <w:tcW w:w="1134" w:type="dxa"/>
            <w:tcBorders>
              <w:top w:val="nil"/>
              <w:left w:val="nil"/>
              <w:bottom w:val="single" w:sz="4" w:space="0" w:color="auto"/>
              <w:right w:val="single" w:sz="4" w:space="0" w:color="auto"/>
            </w:tcBorders>
            <w:hideMark/>
          </w:tcPr>
          <w:p w14:paraId="44D1DF47" w14:textId="3493A93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426F723F" w14:textId="76BD8CE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684AA06B" w14:textId="77777777" w:rsidTr="002B321E">
        <w:trPr>
          <w:trHeight w:val="20"/>
        </w:trPr>
        <w:tc>
          <w:tcPr>
            <w:tcW w:w="4673" w:type="dxa"/>
            <w:tcBorders>
              <w:top w:val="nil"/>
              <w:left w:val="single" w:sz="4" w:space="0" w:color="auto"/>
              <w:bottom w:val="single" w:sz="4" w:space="0" w:color="auto"/>
              <w:right w:val="nil"/>
            </w:tcBorders>
            <w:shd w:val="clear" w:color="000000" w:fill="FDE9D9"/>
            <w:hideMark/>
          </w:tcPr>
          <w:p w14:paraId="3F66BB10" w14:textId="396FDB56"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Objektivi </w:t>
            </w:r>
            <w:r w:rsidR="005B751C" w:rsidRPr="00024D5A">
              <w:rPr>
                <w:rFonts w:ascii="Garamond" w:eastAsia="Times New Roman" w:hAnsi="Garamond"/>
                <w:b/>
                <w:bCs/>
                <w:sz w:val="6"/>
                <w:szCs w:val="16"/>
                <w:lang w:eastAsia="en-US"/>
              </w:rPr>
              <w:t xml:space="preserve">specifik </w:t>
            </w:r>
            <w:r w:rsidRPr="00024D5A">
              <w:rPr>
                <w:rFonts w:ascii="Garamond" w:eastAsia="Times New Roman" w:hAnsi="Garamond"/>
                <w:b/>
                <w:bCs/>
                <w:sz w:val="6"/>
                <w:szCs w:val="16"/>
                <w:lang w:eastAsia="en-US"/>
              </w:rPr>
              <w:t>2.</w:t>
            </w:r>
            <w:r w:rsidR="00DD1956">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Mundësimi i rehabilitimit cilësor, shërbimeve të shëndetit mendor dhe aksesit në teknologji ndihmëse, të bazuara në komunitet dhe në nevojat individuale</w:t>
            </w:r>
            <w:r w:rsidR="005B751C">
              <w:rPr>
                <w:rFonts w:ascii="Garamond" w:eastAsia="Times New Roman" w:hAnsi="Garamond"/>
                <w:b/>
                <w:bCs/>
                <w:sz w:val="6"/>
                <w:szCs w:val="16"/>
                <w:lang w:eastAsia="en-US"/>
              </w:rPr>
              <w:t>.</w:t>
            </w:r>
          </w:p>
        </w:tc>
        <w:tc>
          <w:tcPr>
            <w:tcW w:w="567" w:type="dxa"/>
            <w:tcBorders>
              <w:top w:val="nil"/>
              <w:left w:val="single" w:sz="4" w:space="0" w:color="auto"/>
              <w:bottom w:val="single" w:sz="4" w:space="0" w:color="auto"/>
              <w:right w:val="single" w:sz="4" w:space="0" w:color="auto"/>
            </w:tcBorders>
            <w:shd w:val="clear" w:color="000000" w:fill="FDE9D9"/>
            <w:hideMark/>
          </w:tcPr>
          <w:p w14:paraId="632327D5"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567" w:type="dxa"/>
            <w:tcBorders>
              <w:top w:val="nil"/>
              <w:left w:val="nil"/>
              <w:bottom w:val="single" w:sz="4" w:space="0" w:color="auto"/>
              <w:right w:val="nil"/>
            </w:tcBorders>
            <w:shd w:val="clear" w:color="000000" w:fill="FDE9D9"/>
            <w:hideMark/>
          </w:tcPr>
          <w:p w14:paraId="56BBFA1B"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1134" w:type="dxa"/>
            <w:tcBorders>
              <w:top w:val="nil"/>
              <w:left w:val="single" w:sz="4" w:space="0" w:color="auto"/>
              <w:bottom w:val="single" w:sz="4" w:space="0" w:color="auto"/>
              <w:right w:val="single" w:sz="4" w:space="0" w:color="auto"/>
            </w:tcBorders>
            <w:shd w:val="clear" w:color="000000" w:fill="FDE9D9"/>
            <w:hideMark/>
          </w:tcPr>
          <w:p w14:paraId="0476D4F3"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4" w:space="0" w:color="auto"/>
            </w:tcBorders>
            <w:shd w:val="clear" w:color="000000" w:fill="FDE9D9"/>
            <w:hideMark/>
          </w:tcPr>
          <w:p w14:paraId="5DD41A6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OSHKSH/ISHP/BASHKITë/QSUT/FSDKSH/Urdherat/UNIVERISITET</w:t>
            </w:r>
          </w:p>
        </w:tc>
        <w:tc>
          <w:tcPr>
            <w:tcW w:w="708" w:type="dxa"/>
            <w:tcBorders>
              <w:top w:val="nil"/>
              <w:left w:val="nil"/>
              <w:bottom w:val="single" w:sz="4" w:space="0" w:color="auto"/>
              <w:right w:val="nil"/>
            </w:tcBorders>
            <w:shd w:val="clear" w:color="000000" w:fill="FDE9D9"/>
            <w:hideMark/>
          </w:tcPr>
          <w:p w14:paraId="2D060776" w14:textId="2EB2A9F9"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144,232</w:t>
            </w:r>
          </w:p>
        </w:tc>
        <w:tc>
          <w:tcPr>
            <w:tcW w:w="567" w:type="dxa"/>
            <w:tcBorders>
              <w:top w:val="nil"/>
              <w:left w:val="single" w:sz="4" w:space="0" w:color="auto"/>
              <w:bottom w:val="single" w:sz="4" w:space="0" w:color="auto"/>
              <w:right w:val="nil"/>
            </w:tcBorders>
            <w:shd w:val="clear" w:color="000000" w:fill="FDE9D9"/>
            <w:hideMark/>
          </w:tcPr>
          <w:p w14:paraId="5B59011F" w14:textId="131570C3"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153,614</w:t>
            </w:r>
          </w:p>
        </w:tc>
        <w:tc>
          <w:tcPr>
            <w:tcW w:w="567" w:type="dxa"/>
            <w:tcBorders>
              <w:top w:val="nil"/>
              <w:left w:val="single" w:sz="4" w:space="0" w:color="auto"/>
              <w:bottom w:val="single" w:sz="4" w:space="0" w:color="auto"/>
              <w:right w:val="nil"/>
            </w:tcBorders>
            <w:shd w:val="clear" w:color="000000" w:fill="FDE9D9"/>
            <w:hideMark/>
          </w:tcPr>
          <w:p w14:paraId="008CF881" w14:textId="1564589F"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148,355</w:t>
            </w:r>
          </w:p>
        </w:tc>
        <w:tc>
          <w:tcPr>
            <w:tcW w:w="1134" w:type="dxa"/>
            <w:tcBorders>
              <w:top w:val="nil"/>
              <w:left w:val="single" w:sz="4" w:space="0" w:color="auto"/>
              <w:bottom w:val="single" w:sz="4" w:space="0" w:color="auto"/>
              <w:right w:val="nil"/>
            </w:tcBorders>
            <w:shd w:val="clear" w:color="000000" w:fill="FDE9D9"/>
            <w:hideMark/>
          </w:tcPr>
          <w:p w14:paraId="3B26121A" w14:textId="6E3FA0A5"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158,893</w:t>
            </w:r>
          </w:p>
        </w:tc>
        <w:tc>
          <w:tcPr>
            <w:tcW w:w="1615" w:type="dxa"/>
            <w:tcBorders>
              <w:top w:val="nil"/>
              <w:left w:val="single" w:sz="4" w:space="0" w:color="auto"/>
              <w:bottom w:val="single" w:sz="4" w:space="0" w:color="auto"/>
              <w:right w:val="nil"/>
            </w:tcBorders>
            <w:shd w:val="clear" w:color="000000" w:fill="FDE9D9"/>
            <w:hideMark/>
          </w:tcPr>
          <w:p w14:paraId="3E9153DA" w14:textId="79E4F5B5"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154,669</w:t>
            </w:r>
          </w:p>
        </w:tc>
      </w:tr>
      <w:tr w:rsidR="00B807EE" w:rsidRPr="00024D5A" w14:paraId="6C64CF79"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DCE6F1"/>
            <w:hideMark/>
          </w:tcPr>
          <w:p w14:paraId="11F91AFD" w14:textId="0D286260"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Masa </w:t>
            </w:r>
            <w:r w:rsidR="005B751C" w:rsidRPr="00024D5A">
              <w:rPr>
                <w:rFonts w:ascii="Garamond" w:eastAsia="Times New Roman" w:hAnsi="Garamond"/>
                <w:b/>
                <w:bCs/>
                <w:sz w:val="6"/>
                <w:szCs w:val="16"/>
                <w:lang w:eastAsia="en-US"/>
              </w:rPr>
              <w:t xml:space="preserve">prioritare </w:t>
            </w:r>
            <w:r w:rsidRPr="00024D5A">
              <w:rPr>
                <w:rFonts w:ascii="Garamond" w:eastAsia="Times New Roman" w:hAnsi="Garamond"/>
                <w:b/>
                <w:bCs/>
                <w:sz w:val="6"/>
                <w:szCs w:val="16"/>
                <w:lang w:eastAsia="en-US"/>
              </w:rPr>
              <w:t>2.1</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Forcimi i shërbimeve të rehabilitimit</w:t>
            </w:r>
            <w:r w:rsidR="008F29FA" w:rsidRPr="00024D5A">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të bazuara në komunitet</w:t>
            </w:r>
            <w:r w:rsidR="005B751C">
              <w:rPr>
                <w:rFonts w:ascii="Garamond" w:eastAsia="Times New Roman" w:hAnsi="Garamond"/>
                <w:b/>
                <w:bCs/>
                <w:sz w:val="6"/>
                <w:szCs w:val="16"/>
                <w:lang w:eastAsia="en-US"/>
              </w:rPr>
              <w:t>.</w:t>
            </w:r>
          </w:p>
        </w:tc>
        <w:tc>
          <w:tcPr>
            <w:tcW w:w="567" w:type="dxa"/>
            <w:tcBorders>
              <w:top w:val="nil"/>
              <w:left w:val="nil"/>
              <w:bottom w:val="single" w:sz="4" w:space="0" w:color="auto"/>
              <w:right w:val="single" w:sz="4" w:space="0" w:color="auto"/>
            </w:tcBorders>
            <w:shd w:val="clear" w:color="000000" w:fill="DCE6F1"/>
            <w:hideMark/>
          </w:tcPr>
          <w:p w14:paraId="1C8D27E4"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nil"/>
            </w:tcBorders>
            <w:shd w:val="clear" w:color="000000" w:fill="DCE6F1"/>
            <w:hideMark/>
          </w:tcPr>
          <w:p w14:paraId="6E401058"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single" w:sz="4" w:space="0" w:color="auto"/>
              <w:bottom w:val="single" w:sz="4" w:space="0" w:color="auto"/>
              <w:right w:val="single" w:sz="4" w:space="0" w:color="auto"/>
            </w:tcBorders>
            <w:shd w:val="clear" w:color="000000" w:fill="DCE6F1"/>
            <w:hideMark/>
          </w:tcPr>
          <w:p w14:paraId="2ABFFADA"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4" w:space="0" w:color="auto"/>
            </w:tcBorders>
            <w:shd w:val="clear" w:color="000000" w:fill="DCE6F1"/>
            <w:hideMark/>
          </w:tcPr>
          <w:p w14:paraId="220752D7"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OSHKSH/ISHP/BASHKITë//QSUT/FSDKSH/Urdherat/Universitetet</w:t>
            </w:r>
          </w:p>
        </w:tc>
        <w:tc>
          <w:tcPr>
            <w:tcW w:w="708" w:type="dxa"/>
            <w:tcBorders>
              <w:top w:val="nil"/>
              <w:left w:val="nil"/>
              <w:bottom w:val="single" w:sz="4" w:space="0" w:color="auto"/>
              <w:right w:val="nil"/>
            </w:tcBorders>
            <w:shd w:val="clear" w:color="000000" w:fill="DCE6F1"/>
            <w:hideMark/>
          </w:tcPr>
          <w:p w14:paraId="0E01CD30" w14:textId="72F36BFB"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131,934</w:t>
            </w:r>
          </w:p>
        </w:tc>
        <w:tc>
          <w:tcPr>
            <w:tcW w:w="567" w:type="dxa"/>
            <w:tcBorders>
              <w:top w:val="nil"/>
              <w:left w:val="single" w:sz="4" w:space="0" w:color="auto"/>
              <w:bottom w:val="single" w:sz="4" w:space="0" w:color="auto"/>
              <w:right w:val="nil"/>
            </w:tcBorders>
            <w:shd w:val="clear" w:color="000000" w:fill="DCE6F1"/>
            <w:hideMark/>
          </w:tcPr>
          <w:p w14:paraId="76295E0F" w14:textId="47F9C108"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139,796</w:t>
            </w:r>
          </w:p>
        </w:tc>
        <w:tc>
          <w:tcPr>
            <w:tcW w:w="567" w:type="dxa"/>
            <w:tcBorders>
              <w:top w:val="nil"/>
              <w:left w:val="single" w:sz="4" w:space="0" w:color="auto"/>
              <w:bottom w:val="single" w:sz="4" w:space="0" w:color="auto"/>
              <w:right w:val="nil"/>
            </w:tcBorders>
            <w:shd w:val="clear" w:color="000000" w:fill="DCE6F1"/>
            <w:hideMark/>
          </w:tcPr>
          <w:p w14:paraId="2C0A6B6C" w14:textId="68E0EA3B"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139,796</w:t>
            </w:r>
          </w:p>
        </w:tc>
        <w:tc>
          <w:tcPr>
            <w:tcW w:w="1134" w:type="dxa"/>
            <w:tcBorders>
              <w:top w:val="nil"/>
              <w:left w:val="single" w:sz="4" w:space="0" w:color="auto"/>
              <w:bottom w:val="single" w:sz="4" w:space="0" w:color="auto"/>
              <w:right w:val="nil"/>
            </w:tcBorders>
            <w:shd w:val="clear" w:color="000000" w:fill="DCE6F1"/>
            <w:hideMark/>
          </w:tcPr>
          <w:p w14:paraId="26C7DF62" w14:textId="29E264B3"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139,973</w:t>
            </w:r>
          </w:p>
        </w:tc>
        <w:tc>
          <w:tcPr>
            <w:tcW w:w="1615" w:type="dxa"/>
            <w:tcBorders>
              <w:top w:val="nil"/>
              <w:left w:val="single" w:sz="4" w:space="0" w:color="auto"/>
              <w:bottom w:val="single" w:sz="4" w:space="0" w:color="auto"/>
              <w:right w:val="nil"/>
            </w:tcBorders>
            <w:shd w:val="clear" w:color="000000" w:fill="DCE6F1"/>
            <w:hideMark/>
          </w:tcPr>
          <w:p w14:paraId="5CD18193" w14:textId="7E6F196C"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142,477</w:t>
            </w:r>
          </w:p>
        </w:tc>
      </w:tr>
      <w:tr w:rsidR="00B807EE" w:rsidRPr="00024D5A" w14:paraId="5E1AD148"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72784473" w14:textId="143BE8F4"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2.1.1 Kryerja e një </w:t>
            </w:r>
            <w:r w:rsidR="005B751C" w:rsidRPr="00024D5A">
              <w:rPr>
                <w:rFonts w:ascii="Garamond" w:eastAsia="Times New Roman" w:hAnsi="Garamond"/>
                <w:sz w:val="6"/>
                <w:szCs w:val="16"/>
                <w:lang w:eastAsia="en-US"/>
              </w:rPr>
              <w:t xml:space="preserve">vlerësimi kombëtar </w:t>
            </w:r>
            <w:r w:rsidRPr="00024D5A">
              <w:rPr>
                <w:rFonts w:ascii="Garamond" w:eastAsia="Times New Roman" w:hAnsi="Garamond"/>
                <w:sz w:val="6"/>
                <w:szCs w:val="16"/>
                <w:lang w:eastAsia="en-US"/>
              </w:rPr>
              <w:t>të shërbimeve ekzistuese të rehabilitimit</w:t>
            </w:r>
            <w:r w:rsidR="00B47620"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për të identifikuar boshllëqet në kuadrin ligjor, mbulim, cilësi dhe aksesueshmëri.</w:t>
            </w:r>
          </w:p>
        </w:tc>
        <w:tc>
          <w:tcPr>
            <w:tcW w:w="567" w:type="dxa"/>
            <w:tcBorders>
              <w:top w:val="nil"/>
              <w:left w:val="nil"/>
              <w:bottom w:val="single" w:sz="4" w:space="0" w:color="auto"/>
              <w:right w:val="single" w:sz="4" w:space="0" w:color="auto"/>
            </w:tcBorders>
            <w:hideMark/>
          </w:tcPr>
          <w:p w14:paraId="0AE6D469"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nil"/>
            </w:tcBorders>
            <w:hideMark/>
          </w:tcPr>
          <w:p w14:paraId="546F7185"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2028</w:t>
            </w:r>
          </w:p>
        </w:tc>
        <w:tc>
          <w:tcPr>
            <w:tcW w:w="1134" w:type="dxa"/>
            <w:tcBorders>
              <w:top w:val="nil"/>
              <w:left w:val="single" w:sz="4" w:space="0" w:color="auto"/>
              <w:bottom w:val="single" w:sz="4" w:space="0" w:color="auto"/>
              <w:right w:val="single" w:sz="4" w:space="0" w:color="auto"/>
            </w:tcBorders>
            <w:hideMark/>
          </w:tcPr>
          <w:p w14:paraId="5262F00E"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w:t>
            </w:r>
          </w:p>
        </w:tc>
        <w:tc>
          <w:tcPr>
            <w:tcW w:w="1418" w:type="dxa"/>
            <w:tcBorders>
              <w:top w:val="nil"/>
              <w:left w:val="nil"/>
              <w:bottom w:val="single" w:sz="4" w:space="0" w:color="auto"/>
              <w:right w:val="single" w:sz="4" w:space="0" w:color="auto"/>
            </w:tcBorders>
            <w:hideMark/>
          </w:tcPr>
          <w:p w14:paraId="38A022C7"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OSHKSH/ISHP/BASHKITë</w:t>
            </w:r>
          </w:p>
        </w:tc>
        <w:tc>
          <w:tcPr>
            <w:tcW w:w="708" w:type="dxa"/>
            <w:tcBorders>
              <w:top w:val="nil"/>
              <w:left w:val="nil"/>
              <w:bottom w:val="single" w:sz="4" w:space="0" w:color="auto"/>
              <w:right w:val="single" w:sz="4" w:space="0" w:color="auto"/>
            </w:tcBorders>
            <w:hideMark/>
          </w:tcPr>
          <w:p w14:paraId="7262F007" w14:textId="38E32B2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3,068</w:t>
            </w:r>
          </w:p>
        </w:tc>
        <w:tc>
          <w:tcPr>
            <w:tcW w:w="567" w:type="dxa"/>
            <w:tcBorders>
              <w:top w:val="nil"/>
              <w:left w:val="nil"/>
              <w:bottom w:val="single" w:sz="4" w:space="0" w:color="auto"/>
              <w:right w:val="single" w:sz="4" w:space="0" w:color="auto"/>
            </w:tcBorders>
            <w:hideMark/>
          </w:tcPr>
          <w:p w14:paraId="589F1E2C" w14:textId="21F9EEA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3,068</w:t>
            </w:r>
          </w:p>
        </w:tc>
        <w:tc>
          <w:tcPr>
            <w:tcW w:w="567" w:type="dxa"/>
            <w:tcBorders>
              <w:top w:val="nil"/>
              <w:left w:val="nil"/>
              <w:bottom w:val="single" w:sz="4" w:space="0" w:color="auto"/>
              <w:right w:val="single" w:sz="4" w:space="0" w:color="auto"/>
            </w:tcBorders>
            <w:hideMark/>
          </w:tcPr>
          <w:p w14:paraId="6B5571E5" w14:textId="6C7642B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3,068</w:t>
            </w:r>
          </w:p>
        </w:tc>
        <w:tc>
          <w:tcPr>
            <w:tcW w:w="1134" w:type="dxa"/>
            <w:tcBorders>
              <w:top w:val="nil"/>
              <w:left w:val="nil"/>
              <w:bottom w:val="single" w:sz="4" w:space="0" w:color="auto"/>
              <w:right w:val="single" w:sz="4" w:space="0" w:color="auto"/>
            </w:tcBorders>
            <w:hideMark/>
          </w:tcPr>
          <w:p w14:paraId="47FF5E52" w14:textId="15B8761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2AD23A7F" w14:textId="2C13806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35563297"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45DBAB5F" w14:textId="50A8EE8F"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2.1.2 Hartimi dhe miratimi i </w:t>
            </w:r>
            <w:r w:rsidR="005B751C" w:rsidRPr="00024D5A">
              <w:rPr>
                <w:rFonts w:ascii="Garamond" w:eastAsia="Times New Roman" w:hAnsi="Garamond"/>
                <w:sz w:val="6"/>
                <w:szCs w:val="16"/>
                <w:lang w:eastAsia="en-US"/>
              </w:rPr>
              <w:t xml:space="preserve">standardeve kombëtare </w:t>
            </w:r>
            <w:r w:rsidRPr="00024D5A">
              <w:rPr>
                <w:rFonts w:ascii="Garamond" w:eastAsia="Times New Roman" w:hAnsi="Garamond"/>
                <w:sz w:val="6"/>
                <w:szCs w:val="16"/>
                <w:lang w:eastAsia="en-US"/>
              </w:rPr>
              <w:t>për shërbimet e rehabilitimit</w:t>
            </w:r>
            <w:r w:rsidR="00B47620"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në përputhje me praktikat më të mira ndërkombëtare dhe qasjen biopsikosociale</w:t>
            </w:r>
            <w:r w:rsidR="005B751C">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174A2ACA"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nil"/>
            </w:tcBorders>
            <w:hideMark/>
          </w:tcPr>
          <w:p w14:paraId="1358419B"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single" w:sz="4" w:space="0" w:color="auto"/>
              <w:bottom w:val="single" w:sz="4" w:space="0" w:color="auto"/>
              <w:right w:val="single" w:sz="4" w:space="0" w:color="auto"/>
            </w:tcBorders>
            <w:hideMark/>
          </w:tcPr>
          <w:p w14:paraId="3BD98FF4"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w:t>
            </w:r>
          </w:p>
        </w:tc>
        <w:tc>
          <w:tcPr>
            <w:tcW w:w="1418" w:type="dxa"/>
            <w:tcBorders>
              <w:top w:val="nil"/>
              <w:left w:val="nil"/>
              <w:bottom w:val="single" w:sz="4" w:space="0" w:color="auto"/>
              <w:right w:val="single" w:sz="4" w:space="0" w:color="auto"/>
            </w:tcBorders>
            <w:hideMark/>
          </w:tcPr>
          <w:p w14:paraId="247469C5"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OPERATORE/ISHP/QSUT/FSDKSH/Urdherat/Universitetet</w:t>
            </w:r>
          </w:p>
        </w:tc>
        <w:tc>
          <w:tcPr>
            <w:tcW w:w="708" w:type="dxa"/>
            <w:tcBorders>
              <w:top w:val="nil"/>
              <w:left w:val="nil"/>
              <w:bottom w:val="single" w:sz="4" w:space="0" w:color="auto"/>
              <w:right w:val="single" w:sz="4" w:space="0" w:color="auto"/>
            </w:tcBorders>
            <w:hideMark/>
          </w:tcPr>
          <w:p w14:paraId="210A7426" w14:textId="3DBCE06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2,718</w:t>
            </w:r>
          </w:p>
        </w:tc>
        <w:tc>
          <w:tcPr>
            <w:tcW w:w="567" w:type="dxa"/>
            <w:tcBorders>
              <w:top w:val="nil"/>
              <w:left w:val="nil"/>
              <w:bottom w:val="single" w:sz="4" w:space="0" w:color="auto"/>
              <w:right w:val="single" w:sz="4" w:space="0" w:color="auto"/>
            </w:tcBorders>
            <w:hideMark/>
          </w:tcPr>
          <w:p w14:paraId="29169785" w14:textId="329A093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1,548</w:t>
            </w:r>
          </w:p>
        </w:tc>
        <w:tc>
          <w:tcPr>
            <w:tcW w:w="567" w:type="dxa"/>
            <w:tcBorders>
              <w:top w:val="nil"/>
              <w:left w:val="nil"/>
              <w:bottom w:val="single" w:sz="4" w:space="0" w:color="auto"/>
              <w:right w:val="single" w:sz="4" w:space="0" w:color="auto"/>
            </w:tcBorders>
            <w:hideMark/>
          </w:tcPr>
          <w:p w14:paraId="62BF8841" w14:textId="6A80738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1,548</w:t>
            </w:r>
          </w:p>
        </w:tc>
        <w:tc>
          <w:tcPr>
            <w:tcW w:w="1134" w:type="dxa"/>
            <w:tcBorders>
              <w:top w:val="nil"/>
              <w:left w:val="nil"/>
              <w:bottom w:val="single" w:sz="4" w:space="0" w:color="auto"/>
              <w:right w:val="single" w:sz="4" w:space="0" w:color="auto"/>
            </w:tcBorders>
            <w:hideMark/>
          </w:tcPr>
          <w:p w14:paraId="68DB15A1" w14:textId="7B7F624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1,548</w:t>
            </w:r>
          </w:p>
        </w:tc>
        <w:tc>
          <w:tcPr>
            <w:tcW w:w="1615" w:type="dxa"/>
            <w:tcBorders>
              <w:top w:val="nil"/>
              <w:left w:val="nil"/>
              <w:bottom w:val="single" w:sz="4" w:space="0" w:color="auto"/>
              <w:right w:val="single" w:sz="4" w:space="0" w:color="auto"/>
            </w:tcBorders>
            <w:hideMark/>
          </w:tcPr>
          <w:p w14:paraId="37D9B088" w14:textId="3A83C55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730</w:t>
            </w:r>
          </w:p>
        </w:tc>
      </w:tr>
      <w:tr w:rsidR="00B807EE" w:rsidRPr="00024D5A" w14:paraId="7010719F"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46DF94E2"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2.1.3 Sigurimi i vijueshmërisë së shërbimeve rehabilituese ndërmjet niveleve të kujdesit shëndetësor (parësor, dytësor dhe terciar) dhe shërbimeve sociale, me fokus në koordinimin efektiv të referimit dhe ndjekjes së pacientit.</w:t>
            </w:r>
          </w:p>
        </w:tc>
        <w:tc>
          <w:tcPr>
            <w:tcW w:w="567" w:type="dxa"/>
            <w:tcBorders>
              <w:top w:val="nil"/>
              <w:left w:val="nil"/>
              <w:bottom w:val="single" w:sz="4" w:space="0" w:color="auto"/>
              <w:right w:val="single" w:sz="4" w:space="0" w:color="auto"/>
            </w:tcBorders>
            <w:hideMark/>
          </w:tcPr>
          <w:p w14:paraId="0A5F8DA1"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nil"/>
              <w:left w:val="nil"/>
              <w:bottom w:val="single" w:sz="4" w:space="0" w:color="auto"/>
              <w:right w:val="nil"/>
            </w:tcBorders>
            <w:hideMark/>
          </w:tcPr>
          <w:p w14:paraId="0EC8FFB4"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single" w:sz="4" w:space="0" w:color="auto"/>
              <w:bottom w:val="single" w:sz="4" w:space="0" w:color="auto"/>
              <w:right w:val="single" w:sz="4" w:space="0" w:color="auto"/>
            </w:tcBorders>
            <w:hideMark/>
          </w:tcPr>
          <w:p w14:paraId="5006684B"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w:t>
            </w:r>
          </w:p>
        </w:tc>
        <w:tc>
          <w:tcPr>
            <w:tcW w:w="1418" w:type="dxa"/>
            <w:tcBorders>
              <w:top w:val="nil"/>
              <w:left w:val="nil"/>
              <w:bottom w:val="single" w:sz="4" w:space="0" w:color="auto"/>
              <w:right w:val="single" w:sz="4" w:space="0" w:color="auto"/>
            </w:tcBorders>
            <w:hideMark/>
          </w:tcPr>
          <w:p w14:paraId="20DBDF2A"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OSHKSH</w:t>
            </w:r>
          </w:p>
        </w:tc>
        <w:tc>
          <w:tcPr>
            <w:tcW w:w="708" w:type="dxa"/>
            <w:tcBorders>
              <w:top w:val="nil"/>
              <w:left w:val="nil"/>
              <w:bottom w:val="single" w:sz="4" w:space="0" w:color="auto"/>
              <w:right w:val="single" w:sz="4" w:space="0" w:color="auto"/>
            </w:tcBorders>
            <w:hideMark/>
          </w:tcPr>
          <w:p w14:paraId="2E0D0089" w14:textId="5B5812A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126,148</w:t>
            </w:r>
          </w:p>
        </w:tc>
        <w:tc>
          <w:tcPr>
            <w:tcW w:w="567" w:type="dxa"/>
            <w:tcBorders>
              <w:top w:val="nil"/>
              <w:left w:val="nil"/>
              <w:bottom w:val="single" w:sz="4" w:space="0" w:color="auto"/>
              <w:right w:val="single" w:sz="4" w:space="0" w:color="auto"/>
            </w:tcBorders>
            <w:hideMark/>
          </w:tcPr>
          <w:p w14:paraId="43DA5D0A" w14:textId="1EE969A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135,180</w:t>
            </w:r>
          </w:p>
        </w:tc>
        <w:tc>
          <w:tcPr>
            <w:tcW w:w="567" w:type="dxa"/>
            <w:tcBorders>
              <w:top w:val="nil"/>
              <w:left w:val="nil"/>
              <w:bottom w:val="single" w:sz="4" w:space="0" w:color="auto"/>
              <w:right w:val="single" w:sz="4" w:space="0" w:color="auto"/>
            </w:tcBorders>
            <w:hideMark/>
          </w:tcPr>
          <w:p w14:paraId="2B30173C" w14:textId="6FD7DC2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135,180</w:t>
            </w:r>
          </w:p>
        </w:tc>
        <w:tc>
          <w:tcPr>
            <w:tcW w:w="1134" w:type="dxa"/>
            <w:tcBorders>
              <w:top w:val="nil"/>
              <w:left w:val="nil"/>
              <w:bottom w:val="single" w:sz="4" w:space="0" w:color="auto"/>
              <w:right w:val="single" w:sz="4" w:space="0" w:color="auto"/>
            </w:tcBorders>
            <w:hideMark/>
          </w:tcPr>
          <w:p w14:paraId="6EF82106" w14:textId="0A33F89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138,424</w:t>
            </w:r>
          </w:p>
        </w:tc>
        <w:tc>
          <w:tcPr>
            <w:tcW w:w="1615" w:type="dxa"/>
            <w:tcBorders>
              <w:top w:val="nil"/>
              <w:left w:val="nil"/>
              <w:bottom w:val="single" w:sz="4" w:space="0" w:color="auto"/>
              <w:right w:val="single" w:sz="4" w:space="0" w:color="auto"/>
            </w:tcBorders>
            <w:hideMark/>
          </w:tcPr>
          <w:p w14:paraId="4017E747" w14:textId="0EB41E3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141,747</w:t>
            </w:r>
          </w:p>
        </w:tc>
      </w:tr>
      <w:tr w:rsidR="00B807EE" w:rsidRPr="00024D5A" w14:paraId="3793F6EA" w14:textId="77777777" w:rsidTr="002B321E">
        <w:trPr>
          <w:trHeight w:val="20"/>
        </w:trPr>
        <w:tc>
          <w:tcPr>
            <w:tcW w:w="4673" w:type="dxa"/>
            <w:tcBorders>
              <w:top w:val="nil"/>
              <w:left w:val="single" w:sz="4" w:space="0" w:color="auto"/>
              <w:bottom w:val="single" w:sz="4" w:space="0" w:color="auto"/>
              <w:right w:val="nil"/>
            </w:tcBorders>
            <w:shd w:val="clear" w:color="000000" w:fill="DCE6F1"/>
            <w:hideMark/>
          </w:tcPr>
          <w:p w14:paraId="41E3D101" w14:textId="3C4FBDDA"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Masa </w:t>
            </w:r>
            <w:r w:rsidR="005B751C" w:rsidRPr="00024D5A">
              <w:rPr>
                <w:rFonts w:ascii="Garamond" w:eastAsia="Times New Roman" w:hAnsi="Garamond"/>
                <w:b/>
                <w:bCs/>
                <w:sz w:val="6"/>
                <w:szCs w:val="16"/>
                <w:lang w:eastAsia="en-US"/>
              </w:rPr>
              <w:t xml:space="preserve">prioritare </w:t>
            </w:r>
            <w:r w:rsidRPr="00024D5A">
              <w:rPr>
                <w:rFonts w:ascii="Garamond" w:eastAsia="Times New Roman" w:hAnsi="Garamond"/>
                <w:b/>
                <w:bCs/>
                <w:sz w:val="6"/>
                <w:szCs w:val="16"/>
                <w:lang w:eastAsia="en-US"/>
              </w:rPr>
              <w:t>2.2</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Forcimi i të drejtave të personave me aftësi të kufizuara psikosociale përmes harmonizimit të kuadrit ligjor me standardet bashkëkohore të aftësisë së kufizuar dhe zhvillimit të shërbimeve të shëndetit mendor me bazë komunitare, gjithëpërfshirëse dhe të orientuara nga të drejtat e njeriu</w:t>
            </w:r>
            <w:r w:rsidR="005B751C">
              <w:rPr>
                <w:rFonts w:ascii="Garamond" w:eastAsia="Times New Roman" w:hAnsi="Garamond"/>
                <w:b/>
                <w:bCs/>
                <w:sz w:val="6"/>
                <w:szCs w:val="16"/>
                <w:lang w:eastAsia="en-US"/>
              </w:rPr>
              <w:t>.</w:t>
            </w:r>
          </w:p>
        </w:tc>
        <w:tc>
          <w:tcPr>
            <w:tcW w:w="567" w:type="dxa"/>
            <w:tcBorders>
              <w:top w:val="nil"/>
              <w:left w:val="single" w:sz="4" w:space="0" w:color="auto"/>
              <w:bottom w:val="single" w:sz="4" w:space="0" w:color="auto"/>
              <w:right w:val="single" w:sz="4" w:space="0" w:color="auto"/>
            </w:tcBorders>
            <w:shd w:val="clear" w:color="000000" w:fill="DCE6F1"/>
            <w:hideMark/>
          </w:tcPr>
          <w:p w14:paraId="5BD5F0F3"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nil"/>
            </w:tcBorders>
            <w:shd w:val="clear" w:color="000000" w:fill="DCE6F1"/>
            <w:hideMark/>
          </w:tcPr>
          <w:p w14:paraId="39896F1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single" w:sz="4" w:space="0" w:color="auto"/>
              <w:bottom w:val="single" w:sz="4" w:space="0" w:color="auto"/>
              <w:right w:val="single" w:sz="4" w:space="0" w:color="auto"/>
            </w:tcBorders>
            <w:shd w:val="clear" w:color="000000" w:fill="DCE6F1"/>
            <w:hideMark/>
          </w:tcPr>
          <w:p w14:paraId="6877DD3C"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4" w:space="0" w:color="auto"/>
            </w:tcBorders>
            <w:shd w:val="clear" w:color="000000" w:fill="DCE6F1"/>
            <w:hideMark/>
          </w:tcPr>
          <w:p w14:paraId="596F27C1"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708" w:type="dxa"/>
            <w:tcBorders>
              <w:top w:val="nil"/>
              <w:left w:val="nil"/>
              <w:bottom w:val="single" w:sz="4" w:space="0" w:color="auto"/>
              <w:right w:val="nil"/>
            </w:tcBorders>
            <w:shd w:val="clear" w:color="000000" w:fill="DCE6F1"/>
            <w:hideMark/>
          </w:tcPr>
          <w:p w14:paraId="1854F29A" w14:textId="4DF5979E"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7,009</w:t>
            </w:r>
          </w:p>
        </w:tc>
        <w:tc>
          <w:tcPr>
            <w:tcW w:w="567" w:type="dxa"/>
            <w:tcBorders>
              <w:top w:val="nil"/>
              <w:left w:val="single" w:sz="4" w:space="0" w:color="auto"/>
              <w:bottom w:val="single" w:sz="4" w:space="0" w:color="auto"/>
              <w:right w:val="nil"/>
            </w:tcBorders>
            <w:shd w:val="clear" w:color="000000" w:fill="DCE6F1"/>
            <w:hideMark/>
          </w:tcPr>
          <w:p w14:paraId="0DEBCF78" w14:textId="137FA6A7"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8,016</w:t>
            </w:r>
          </w:p>
        </w:tc>
        <w:tc>
          <w:tcPr>
            <w:tcW w:w="567" w:type="dxa"/>
            <w:tcBorders>
              <w:top w:val="nil"/>
              <w:left w:val="single" w:sz="4" w:space="0" w:color="auto"/>
              <w:bottom w:val="single" w:sz="4" w:space="0" w:color="auto"/>
              <w:right w:val="nil"/>
            </w:tcBorders>
            <w:shd w:val="clear" w:color="000000" w:fill="DCE6F1"/>
            <w:hideMark/>
          </w:tcPr>
          <w:p w14:paraId="2A82FA0C" w14:textId="7A3E0D2F"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2,757</w:t>
            </w:r>
          </w:p>
        </w:tc>
        <w:tc>
          <w:tcPr>
            <w:tcW w:w="1134" w:type="dxa"/>
            <w:tcBorders>
              <w:top w:val="nil"/>
              <w:left w:val="single" w:sz="4" w:space="0" w:color="auto"/>
              <w:bottom w:val="single" w:sz="4" w:space="0" w:color="auto"/>
              <w:right w:val="nil"/>
            </w:tcBorders>
            <w:shd w:val="clear" w:color="000000" w:fill="DCE6F1"/>
            <w:hideMark/>
          </w:tcPr>
          <w:p w14:paraId="7DBF74D3" w14:textId="68FC41D5"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11,345</w:t>
            </w:r>
          </w:p>
        </w:tc>
        <w:tc>
          <w:tcPr>
            <w:tcW w:w="1615" w:type="dxa"/>
            <w:tcBorders>
              <w:top w:val="nil"/>
              <w:left w:val="single" w:sz="4" w:space="0" w:color="auto"/>
              <w:bottom w:val="single" w:sz="4" w:space="0" w:color="auto"/>
              <w:right w:val="nil"/>
            </w:tcBorders>
            <w:shd w:val="clear" w:color="000000" w:fill="DCE6F1"/>
            <w:hideMark/>
          </w:tcPr>
          <w:p w14:paraId="34F1B405" w14:textId="4C6004F3"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4,618</w:t>
            </w:r>
          </w:p>
        </w:tc>
      </w:tr>
      <w:tr w:rsidR="00B807EE" w:rsidRPr="00024D5A" w14:paraId="5B08C7F8"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42743358" w14:textId="4596C641"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2.2.1</w:t>
            </w:r>
            <w:r w:rsidR="005B751C">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Rishikimi i kuadrit ligjor për shëndetin mendor, në përputhje me standardet bashkëkohore të të drejtave të njeriut dhe aftësisë së kufizuar, duke garantuar mekanizma vendimmarrjeje të mbështetur dhe procedura të aksesueshme për pëlqimin e informuar, në funksion të një qasjeje që respekton autonominë, dinjitetin dhe jetesën në komunitet</w:t>
            </w:r>
            <w:r w:rsidR="005B751C">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7EE2839E"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nil"/>
            </w:tcBorders>
            <w:hideMark/>
          </w:tcPr>
          <w:p w14:paraId="52E03DA2"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2028</w:t>
            </w:r>
          </w:p>
        </w:tc>
        <w:tc>
          <w:tcPr>
            <w:tcW w:w="1134" w:type="dxa"/>
            <w:tcBorders>
              <w:top w:val="nil"/>
              <w:left w:val="single" w:sz="4" w:space="0" w:color="auto"/>
              <w:bottom w:val="single" w:sz="4" w:space="0" w:color="auto"/>
              <w:right w:val="single" w:sz="4" w:space="0" w:color="auto"/>
            </w:tcBorders>
            <w:hideMark/>
          </w:tcPr>
          <w:p w14:paraId="7FA945A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MSHMS</w:t>
            </w:r>
          </w:p>
        </w:tc>
        <w:tc>
          <w:tcPr>
            <w:tcW w:w="1418" w:type="dxa"/>
            <w:tcBorders>
              <w:top w:val="nil"/>
              <w:left w:val="nil"/>
              <w:bottom w:val="single" w:sz="4" w:space="0" w:color="auto"/>
              <w:right w:val="single" w:sz="4" w:space="0" w:color="auto"/>
            </w:tcBorders>
            <w:hideMark/>
          </w:tcPr>
          <w:p w14:paraId="1BE1A3F5"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MSHMS</w:t>
            </w:r>
          </w:p>
        </w:tc>
        <w:tc>
          <w:tcPr>
            <w:tcW w:w="708" w:type="dxa"/>
            <w:tcBorders>
              <w:top w:val="nil"/>
              <w:left w:val="nil"/>
              <w:bottom w:val="single" w:sz="4" w:space="0" w:color="auto"/>
              <w:right w:val="single" w:sz="4" w:space="0" w:color="auto"/>
            </w:tcBorders>
            <w:hideMark/>
          </w:tcPr>
          <w:p w14:paraId="3A5BBFC0" w14:textId="23A53A3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1,750</w:t>
            </w:r>
          </w:p>
        </w:tc>
        <w:tc>
          <w:tcPr>
            <w:tcW w:w="567" w:type="dxa"/>
            <w:tcBorders>
              <w:top w:val="nil"/>
              <w:left w:val="nil"/>
              <w:bottom w:val="single" w:sz="4" w:space="0" w:color="auto"/>
              <w:right w:val="single" w:sz="4" w:space="0" w:color="auto"/>
            </w:tcBorders>
            <w:hideMark/>
          </w:tcPr>
          <w:p w14:paraId="6CD8091B" w14:textId="522B0AB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2,757</w:t>
            </w:r>
          </w:p>
        </w:tc>
        <w:tc>
          <w:tcPr>
            <w:tcW w:w="567" w:type="dxa"/>
            <w:tcBorders>
              <w:top w:val="nil"/>
              <w:left w:val="nil"/>
              <w:bottom w:val="single" w:sz="4" w:space="0" w:color="auto"/>
              <w:right w:val="single" w:sz="4" w:space="0" w:color="auto"/>
            </w:tcBorders>
            <w:hideMark/>
          </w:tcPr>
          <w:p w14:paraId="36E24147" w14:textId="1359736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2,757</w:t>
            </w:r>
          </w:p>
        </w:tc>
        <w:tc>
          <w:tcPr>
            <w:tcW w:w="1134" w:type="dxa"/>
            <w:tcBorders>
              <w:top w:val="nil"/>
              <w:left w:val="nil"/>
              <w:bottom w:val="single" w:sz="4" w:space="0" w:color="auto"/>
              <w:right w:val="single" w:sz="4" w:space="0" w:color="auto"/>
            </w:tcBorders>
            <w:hideMark/>
          </w:tcPr>
          <w:p w14:paraId="20EF0CFF" w14:textId="218E845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0DD26210" w14:textId="4AE3B41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101AE682"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7AEC4BDC" w14:textId="1B455016"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2.2.2</w:t>
            </w:r>
            <w:r w:rsidR="005B751C">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 xml:space="preserve">Hartimi dhe zbatimi i standardeve të unifikuara të cilësisë për shërbimet e specializuara të shëndetit mendor, si </w:t>
            </w:r>
            <w:r w:rsidR="005B751C" w:rsidRPr="00024D5A">
              <w:rPr>
                <w:rFonts w:ascii="Garamond" w:eastAsia="Times New Roman" w:hAnsi="Garamond"/>
                <w:sz w:val="6"/>
                <w:szCs w:val="16"/>
                <w:lang w:eastAsia="en-US"/>
              </w:rPr>
              <w:t>qendrat komunitare, shtëpitë e mbështetura</w:t>
            </w:r>
            <w:r w:rsidRPr="00024D5A">
              <w:rPr>
                <w:rFonts w:ascii="Garamond" w:eastAsia="Times New Roman" w:hAnsi="Garamond"/>
                <w:sz w:val="6"/>
                <w:szCs w:val="16"/>
                <w:lang w:eastAsia="en-US"/>
              </w:rPr>
              <w:t>, shërbimet me shtretër, duke siguruar qasje multidisiplinare, respektim të të drejtave të personit dhe përputhje me standardet më të mira ndërkombëtare.</w:t>
            </w:r>
          </w:p>
        </w:tc>
        <w:tc>
          <w:tcPr>
            <w:tcW w:w="567" w:type="dxa"/>
            <w:tcBorders>
              <w:top w:val="nil"/>
              <w:left w:val="nil"/>
              <w:bottom w:val="single" w:sz="4" w:space="0" w:color="auto"/>
              <w:right w:val="single" w:sz="4" w:space="0" w:color="auto"/>
            </w:tcBorders>
            <w:hideMark/>
          </w:tcPr>
          <w:p w14:paraId="56271DCC"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nil"/>
            </w:tcBorders>
            <w:hideMark/>
          </w:tcPr>
          <w:p w14:paraId="35AF0416"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2028</w:t>
            </w:r>
          </w:p>
        </w:tc>
        <w:tc>
          <w:tcPr>
            <w:tcW w:w="1134" w:type="dxa"/>
            <w:tcBorders>
              <w:top w:val="nil"/>
              <w:left w:val="single" w:sz="4" w:space="0" w:color="auto"/>
              <w:bottom w:val="single" w:sz="4" w:space="0" w:color="auto"/>
              <w:right w:val="single" w:sz="4" w:space="0" w:color="auto"/>
            </w:tcBorders>
            <w:hideMark/>
          </w:tcPr>
          <w:p w14:paraId="163C85D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MSHMS</w:t>
            </w:r>
          </w:p>
        </w:tc>
        <w:tc>
          <w:tcPr>
            <w:tcW w:w="1418" w:type="dxa"/>
            <w:tcBorders>
              <w:top w:val="nil"/>
              <w:left w:val="nil"/>
              <w:bottom w:val="single" w:sz="4" w:space="0" w:color="auto"/>
              <w:right w:val="single" w:sz="4" w:space="0" w:color="auto"/>
            </w:tcBorders>
            <w:hideMark/>
          </w:tcPr>
          <w:p w14:paraId="2AE6D495"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MSHMS</w:t>
            </w:r>
          </w:p>
        </w:tc>
        <w:tc>
          <w:tcPr>
            <w:tcW w:w="708" w:type="dxa"/>
            <w:tcBorders>
              <w:top w:val="nil"/>
              <w:left w:val="nil"/>
              <w:bottom w:val="single" w:sz="4" w:space="0" w:color="auto"/>
              <w:right w:val="single" w:sz="4" w:space="0" w:color="auto"/>
            </w:tcBorders>
            <w:hideMark/>
          </w:tcPr>
          <w:p w14:paraId="7476254D" w14:textId="1740ABC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5,259</w:t>
            </w:r>
          </w:p>
        </w:tc>
        <w:tc>
          <w:tcPr>
            <w:tcW w:w="567" w:type="dxa"/>
            <w:tcBorders>
              <w:top w:val="nil"/>
              <w:left w:val="nil"/>
              <w:bottom w:val="single" w:sz="4" w:space="0" w:color="auto"/>
              <w:right w:val="single" w:sz="4" w:space="0" w:color="auto"/>
            </w:tcBorders>
            <w:hideMark/>
          </w:tcPr>
          <w:p w14:paraId="7381FE9E" w14:textId="5F51606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5,259</w:t>
            </w:r>
          </w:p>
        </w:tc>
        <w:tc>
          <w:tcPr>
            <w:tcW w:w="567" w:type="dxa"/>
            <w:tcBorders>
              <w:top w:val="nil"/>
              <w:left w:val="nil"/>
              <w:bottom w:val="single" w:sz="4" w:space="0" w:color="auto"/>
              <w:right w:val="single" w:sz="4" w:space="0" w:color="auto"/>
            </w:tcBorders>
            <w:hideMark/>
          </w:tcPr>
          <w:p w14:paraId="5D11F925" w14:textId="0985AC7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158FE320" w14:textId="17AB1F8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4C08FE91" w14:textId="674D3A1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4E8BACFD"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7309B6EE" w14:textId="5164296C"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2.2.3</w:t>
            </w:r>
            <w:r w:rsidR="005B751C">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 xml:space="preserve">Hartimi dhe zbatimi i </w:t>
            </w:r>
            <w:r w:rsidR="005B751C" w:rsidRPr="00024D5A">
              <w:rPr>
                <w:rFonts w:ascii="Garamond" w:eastAsia="Times New Roman" w:hAnsi="Garamond"/>
                <w:sz w:val="6"/>
                <w:szCs w:val="16"/>
                <w:lang w:eastAsia="en-US"/>
              </w:rPr>
              <w:t>planeve individuale të mbështetjes</w:t>
            </w:r>
            <w:r w:rsidRPr="00024D5A">
              <w:rPr>
                <w:rFonts w:ascii="Garamond" w:eastAsia="Times New Roman" w:hAnsi="Garamond"/>
                <w:sz w:val="6"/>
                <w:szCs w:val="16"/>
                <w:lang w:eastAsia="en-US"/>
              </w:rPr>
              <w:t>, të integruara me ndërhyrje për rehabilitimin, shërbimet komunitare dhe përfshirjes sociale.</w:t>
            </w:r>
          </w:p>
        </w:tc>
        <w:tc>
          <w:tcPr>
            <w:tcW w:w="567" w:type="dxa"/>
            <w:tcBorders>
              <w:top w:val="nil"/>
              <w:left w:val="nil"/>
              <w:bottom w:val="single" w:sz="4" w:space="0" w:color="auto"/>
              <w:right w:val="single" w:sz="4" w:space="0" w:color="auto"/>
            </w:tcBorders>
            <w:hideMark/>
          </w:tcPr>
          <w:p w14:paraId="56BBC105"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2029</w:t>
            </w:r>
          </w:p>
        </w:tc>
        <w:tc>
          <w:tcPr>
            <w:tcW w:w="567" w:type="dxa"/>
            <w:tcBorders>
              <w:top w:val="nil"/>
              <w:left w:val="nil"/>
              <w:bottom w:val="single" w:sz="4" w:space="0" w:color="auto"/>
              <w:right w:val="nil"/>
            </w:tcBorders>
            <w:hideMark/>
          </w:tcPr>
          <w:p w14:paraId="7BE8C0B1"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single" w:sz="4" w:space="0" w:color="auto"/>
              <w:bottom w:val="single" w:sz="4" w:space="0" w:color="auto"/>
              <w:right w:val="single" w:sz="4" w:space="0" w:color="auto"/>
            </w:tcBorders>
            <w:hideMark/>
          </w:tcPr>
          <w:p w14:paraId="2B354B60"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MSHMS</w:t>
            </w:r>
          </w:p>
        </w:tc>
        <w:tc>
          <w:tcPr>
            <w:tcW w:w="1418" w:type="dxa"/>
            <w:tcBorders>
              <w:top w:val="nil"/>
              <w:left w:val="nil"/>
              <w:bottom w:val="single" w:sz="4" w:space="0" w:color="auto"/>
              <w:right w:val="single" w:sz="4" w:space="0" w:color="auto"/>
            </w:tcBorders>
            <w:hideMark/>
          </w:tcPr>
          <w:p w14:paraId="36996C21"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MSHMS</w:t>
            </w:r>
          </w:p>
        </w:tc>
        <w:tc>
          <w:tcPr>
            <w:tcW w:w="708" w:type="dxa"/>
            <w:tcBorders>
              <w:top w:val="nil"/>
              <w:left w:val="nil"/>
              <w:bottom w:val="single" w:sz="4" w:space="0" w:color="auto"/>
              <w:right w:val="single" w:sz="4" w:space="0" w:color="auto"/>
            </w:tcBorders>
            <w:hideMark/>
          </w:tcPr>
          <w:p w14:paraId="36D6080E" w14:textId="597BD8C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4BFFC14D" w14:textId="4BA0A17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2DA77400" w14:textId="2775E71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0C19F35A" w14:textId="3A40180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4,518</w:t>
            </w:r>
          </w:p>
        </w:tc>
        <w:tc>
          <w:tcPr>
            <w:tcW w:w="1615" w:type="dxa"/>
            <w:tcBorders>
              <w:top w:val="nil"/>
              <w:left w:val="nil"/>
              <w:bottom w:val="single" w:sz="4" w:space="0" w:color="auto"/>
              <w:right w:val="single" w:sz="4" w:space="0" w:color="auto"/>
            </w:tcBorders>
            <w:hideMark/>
          </w:tcPr>
          <w:p w14:paraId="5A9984E2" w14:textId="75066AE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2,918</w:t>
            </w:r>
          </w:p>
        </w:tc>
      </w:tr>
      <w:tr w:rsidR="00B807EE" w:rsidRPr="00024D5A" w14:paraId="245E72B4"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5F784C69" w14:textId="384AF7A8"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2.2.4</w:t>
            </w:r>
            <w:r w:rsidR="005B751C">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Mundësimi i përfshirjes aktive të vetë personit me aftësi të kufizuara</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në proceset e vendimmarrjes lidhur me trajtimin dhe mbështetjen.</w:t>
            </w:r>
          </w:p>
        </w:tc>
        <w:tc>
          <w:tcPr>
            <w:tcW w:w="567" w:type="dxa"/>
            <w:tcBorders>
              <w:top w:val="nil"/>
              <w:left w:val="nil"/>
              <w:bottom w:val="single" w:sz="4" w:space="0" w:color="auto"/>
              <w:right w:val="single" w:sz="4" w:space="0" w:color="auto"/>
            </w:tcBorders>
            <w:hideMark/>
          </w:tcPr>
          <w:p w14:paraId="25184491"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2029</w:t>
            </w:r>
          </w:p>
        </w:tc>
        <w:tc>
          <w:tcPr>
            <w:tcW w:w="567" w:type="dxa"/>
            <w:tcBorders>
              <w:top w:val="nil"/>
              <w:left w:val="nil"/>
              <w:bottom w:val="single" w:sz="4" w:space="0" w:color="auto"/>
              <w:right w:val="nil"/>
            </w:tcBorders>
            <w:hideMark/>
          </w:tcPr>
          <w:p w14:paraId="2F0B4226"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single" w:sz="4" w:space="0" w:color="auto"/>
              <w:bottom w:val="single" w:sz="4" w:space="0" w:color="auto"/>
              <w:right w:val="single" w:sz="4" w:space="0" w:color="auto"/>
            </w:tcBorders>
            <w:hideMark/>
          </w:tcPr>
          <w:p w14:paraId="5DF56C9E"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MSHMS</w:t>
            </w:r>
          </w:p>
        </w:tc>
        <w:tc>
          <w:tcPr>
            <w:tcW w:w="1418" w:type="dxa"/>
            <w:tcBorders>
              <w:top w:val="nil"/>
              <w:left w:val="nil"/>
              <w:bottom w:val="single" w:sz="4" w:space="0" w:color="auto"/>
              <w:right w:val="single" w:sz="4" w:space="0" w:color="auto"/>
            </w:tcBorders>
            <w:hideMark/>
          </w:tcPr>
          <w:p w14:paraId="2B54C7CF"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MSHMS</w:t>
            </w:r>
          </w:p>
        </w:tc>
        <w:tc>
          <w:tcPr>
            <w:tcW w:w="708" w:type="dxa"/>
            <w:tcBorders>
              <w:top w:val="nil"/>
              <w:left w:val="nil"/>
              <w:bottom w:val="single" w:sz="4" w:space="0" w:color="auto"/>
              <w:right w:val="single" w:sz="4" w:space="0" w:color="auto"/>
            </w:tcBorders>
            <w:hideMark/>
          </w:tcPr>
          <w:p w14:paraId="6E8224F1" w14:textId="2FD81DE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11D01C1A" w14:textId="55DFA63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77D2D028" w14:textId="1EA556F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6D889001" w14:textId="30871D3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6,827</w:t>
            </w:r>
          </w:p>
        </w:tc>
        <w:tc>
          <w:tcPr>
            <w:tcW w:w="1615" w:type="dxa"/>
            <w:tcBorders>
              <w:top w:val="nil"/>
              <w:left w:val="nil"/>
              <w:bottom w:val="single" w:sz="4" w:space="0" w:color="auto"/>
              <w:right w:val="single" w:sz="4" w:space="0" w:color="auto"/>
            </w:tcBorders>
            <w:hideMark/>
          </w:tcPr>
          <w:p w14:paraId="2B0971C6" w14:textId="373C2EA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1,700</w:t>
            </w:r>
          </w:p>
        </w:tc>
      </w:tr>
      <w:tr w:rsidR="00B807EE" w:rsidRPr="00024D5A" w14:paraId="13AFCEED"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B8CCE4"/>
            <w:hideMark/>
          </w:tcPr>
          <w:p w14:paraId="56631897" w14:textId="1C8DDBA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Masa </w:t>
            </w:r>
            <w:r w:rsidR="005B751C" w:rsidRPr="00024D5A">
              <w:rPr>
                <w:rFonts w:ascii="Garamond" w:eastAsia="Times New Roman" w:hAnsi="Garamond"/>
                <w:b/>
                <w:bCs/>
                <w:sz w:val="6"/>
                <w:szCs w:val="16"/>
                <w:lang w:eastAsia="en-US"/>
              </w:rPr>
              <w:t xml:space="preserve">prioritare </w:t>
            </w:r>
            <w:r w:rsidRPr="00024D5A">
              <w:rPr>
                <w:rFonts w:ascii="Garamond" w:eastAsia="Times New Roman" w:hAnsi="Garamond"/>
                <w:b/>
                <w:bCs/>
                <w:sz w:val="6"/>
                <w:szCs w:val="16"/>
                <w:lang w:eastAsia="en-US"/>
              </w:rPr>
              <w:t>2.3</w:t>
            </w:r>
            <w:r w:rsidR="003526AF">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Aksesi në teknologji dhe mjete ndihmëse</w:t>
            </w:r>
            <w:r w:rsidR="005B751C">
              <w:rPr>
                <w:rFonts w:ascii="Garamond" w:eastAsia="Times New Roman" w:hAnsi="Garamond"/>
                <w:b/>
                <w:bCs/>
                <w:sz w:val="6"/>
                <w:szCs w:val="16"/>
                <w:lang w:eastAsia="en-US"/>
              </w:rPr>
              <w:t>.</w:t>
            </w:r>
          </w:p>
        </w:tc>
        <w:tc>
          <w:tcPr>
            <w:tcW w:w="567" w:type="dxa"/>
            <w:tcBorders>
              <w:top w:val="nil"/>
              <w:left w:val="nil"/>
              <w:bottom w:val="single" w:sz="4" w:space="0" w:color="auto"/>
              <w:right w:val="single" w:sz="4" w:space="0" w:color="auto"/>
            </w:tcBorders>
            <w:shd w:val="clear" w:color="000000" w:fill="B8CCE4"/>
            <w:noWrap/>
            <w:hideMark/>
          </w:tcPr>
          <w:p w14:paraId="32B3315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nil"/>
            </w:tcBorders>
            <w:shd w:val="clear" w:color="000000" w:fill="B8CCE4"/>
            <w:noWrap/>
            <w:hideMark/>
          </w:tcPr>
          <w:p w14:paraId="1F78EAAB"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single" w:sz="4" w:space="0" w:color="auto"/>
              <w:bottom w:val="single" w:sz="4" w:space="0" w:color="auto"/>
              <w:right w:val="single" w:sz="4" w:space="0" w:color="auto"/>
            </w:tcBorders>
            <w:shd w:val="clear" w:color="000000" w:fill="B8CCE4"/>
            <w:noWrap/>
            <w:hideMark/>
          </w:tcPr>
          <w:p w14:paraId="7CCF529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4" w:space="0" w:color="auto"/>
            </w:tcBorders>
            <w:shd w:val="clear" w:color="000000" w:fill="B8CCE4"/>
            <w:hideMark/>
          </w:tcPr>
          <w:p w14:paraId="38A0A56D"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MSHMS/FDSKSH/UNIVERISITET</w:t>
            </w:r>
          </w:p>
        </w:tc>
        <w:tc>
          <w:tcPr>
            <w:tcW w:w="708" w:type="dxa"/>
            <w:tcBorders>
              <w:top w:val="nil"/>
              <w:left w:val="nil"/>
              <w:bottom w:val="single" w:sz="4" w:space="0" w:color="auto"/>
              <w:right w:val="single" w:sz="4" w:space="0" w:color="auto"/>
            </w:tcBorders>
            <w:shd w:val="clear" w:color="000000" w:fill="B8CCE4"/>
            <w:noWrap/>
            <w:hideMark/>
          </w:tcPr>
          <w:p w14:paraId="05F72B61" w14:textId="172466CA"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5,289</w:t>
            </w:r>
          </w:p>
        </w:tc>
        <w:tc>
          <w:tcPr>
            <w:tcW w:w="567" w:type="dxa"/>
            <w:tcBorders>
              <w:top w:val="nil"/>
              <w:left w:val="nil"/>
              <w:bottom w:val="single" w:sz="4" w:space="0" w:color="auto"/>
              <w:right w:val="single" w:sz="4" w:space="0" w:color="auto"/>
            </w:tcBorders>
            <w:shd w:val="clear" w:color="000000" w:fill="B8CCE4"/>
            <w:noWrap/>
            <w:hideMark/>
          </w:tcPr>
          <w:p w14:paraId="7647E77A" w14:textId="7F36FAB2"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5,802</w:t>
            </w:r>
          </w:p>
        </w:tc>
        <w:tc>
          <w:tcPr>
            <w:tcW w:w="567" w:type="dxa"/>
            <w:tcBorders>
              <w:top w:val="nil"/>
              <w:left w:val="nil"/>
              <w:bottom w:val="single" w:sz="4" w:space="0" w:color="auto"/>
              <w:right w:val="single" w:sz="4" w:space="0" w:color="auto"/>
            </w:tcBorders>
            <w:shd w:val="clear" w:color="000000" w:fill="B8CCE4"/>
            <w:noWrap/>
            <w:hideMark/>
          </w:tcPr>
          <w:p w14:paraId="3F8818D9" w14:textId="585DB91B"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5,802</w:t>
            </w:r>
          </w:p>
        </w:tc>
        <w:tc>
          <w:tcPr>
            <w:tcW w:w="1134" w:type="dxa"/>
            <w:tcBorders>
              <w:top w:val="nil"/>
              <w:left w:val="nil"/>
              <w:bottom w:val="single" w:sz="4" w:space="0" w:color="auto"/>
              <w:right w:val="single" w:sz="4" w:space="0" w:color="auto"/>
            </w:tcBorders>
            <w:shd w:val="clear" w:color="000000" w:fill="B8CCE4"/>
            <w:noWrap/>
            <w:hideMark/>
          </w:tcPr>
          <w:p w14:paraId="632E1B77" w14:textId="0C8EE2B0"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7,575</w:t>
            </w:r>
          </w:p>
        </w:tc>
        <w:tc>
          <w:tcPr>
            <w:tcW w:w="1615" w:type="dxa"/>
            <w:tcBorders>
              <w:top w:val="nil"/>
              <w:left w:val="nil"/>
              <w:bottom w:val="single" w:sz="4" w:space="0" w:color="auto"/>
              <w:right w:val="single" w:sz="4" w:space="0" w:color="auto"/>
            </w:tcBorders>
            <w:shd w:val="clear" w:color="000000" w:fill="B8CCE4"/>
            <w:noWrap/>
            <w:hideMark/>
          </w:tcPr>
          <w:p w14:paraId="7AE08DE0" w14:textId="3BAB92DF"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7,575</w:t>
            </w:r>
          </w:p>
        </w:tc>
      </w:tr>
      <w:tr w:rsidR="00B807EE" w:rsidRPr="00024D5A" w14:paraId="33F75F22"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5AA21A03" w14:textId="4C6DFAD0"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2.3.1 Kryerja e një vlerësimi kombëtar të nevojave për teknologji dhe mjete ndihmëse për personat me aftësi të kufizuara.</w:t>
            </w:r>
          </w:p>
        </w:tc>
        <w:tc>
          <w:tcPr>
            <w:tcW w:w="567" w:type="dxa"/>
            <w:tcBorders>
              <w:top w:val="nil"/>
              <w:left w:val="nil"/>
              <w:bottom w:val="single" w:sz="4" w:space="0" w:color="auto"/>
              <w:right w:val="single" w:sz="4" w:space="0" w:color="auto"/>
            </w:tcBorders>
            <w:hideMark/>
          </w:tcPr>
          <w:p w14:paraId="17CCBC9C"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nil"/>
            </w:tcBorders>
            <w:hideMark/>
          </w:tcPr>
          <w:p w14:paraId="246C6625"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2028</w:t>
            </w:r>
          </w:p>
        </w:tc>
        <w:tc>
          <w:tcPr>
            <w:tcW w:w="1134" w:type="dxa"/>
            <w:tcBorders>
              <w:top w:val="nil"/>
              <w:left w:val="single" w:sz="4" w:space="0" w:color="auto"/>
              <w:bottom w:val="single" w:sz="4" w:space="0" w:color="auto"/>
              <w:right w:val="single" w:sz="4" w:space="0" w:color="auto"/>
            </w:tcBorders>
            <w:hideMark/>
          </w:tcPr>
          <w:p w14:paraId="6D975921"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4" w:space="0" w:color="auto"/>
            </w:tcBorders>
            <w:hideMark/>
          </w:tcPr>
          <w:p w14:paraId="62432FF6"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Operatori/FDSkSH/Universitetet</w:t>
            </w:r>
          </w:p>
        </w:tc>
        <w:tc>
          <w:tcPr>
            <w:tcW w:w="708" w:type="dxa"/>
            <w:tcBorders>
              <w:top w:val="nil"/>
              <w:left w:val="nil"/>
              <w:bottom w:val="single" w:sz="4" w:space="0" w:color="auto"/>
              <w:right w:val="single" w:sz="4" w:space="0" w:color="auto"/>
            </w:tcBorders>
            <w:hideMark/>
          </w:tcPr>
          <w:p w14:paraId="4693DCA3" w14:textId="49F025C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1,798</w:t>
            </w:r>
          </w:p>
        </w:tc>
        <w:tc>
          <w:tcPr>
            <w:tcW w:w="567" w:type="dxa"/>
            <w:tcBorders>
              <w:top w:val="nil"/>
              <w:left w:val="nil"/>
              <w:bottom w:val="single" w:sz="4" w:space="0" w:color="auto"/>
              <w:right w:val="single" w:sz="4" w:space="0" w:color="auto"/>
            </w:tcBorders>
            <w:hideMark/>
          </w:tcPr>
          <w:p w14:paraId="3184451D" w14:textId="18D7584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2,011</w:t>
            </w:r>
          </w:p>
        </w:tc>
        <w:tc>
          <w:tcPr>
            <w:tcW w:w="567" w:type="dxa"/>
            <w:tcBorders>
              <w:top w:val="nil"/>
              <w:left w:val="nil"/>
              <w:bottom w:val="single" w:sz="4" w:space="0" w:color="auto"/>
              <w:right w:val="single" w:sz="4" w:space="0" w:color="auto"/>
            </w:tcBorders>
            <w:hideMark/>
          </w:tcPr>
          <w:p w14:paraId="3A5C3297" w14:textId="71FCE47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2,011</w:t>
            </w:r>
          </w:p>
        </w:tc>
        <w:tc>
          <w:tcPr>
            <w:tcW w:w="1134" w:type="dxa"/>
            <w:tcBorders>
              <w:top w:val="nil"/>
              <w:left w:val="nil"/>
              <w:bottom w:val="single" w:sz="4" w:space="0" w:color="auto"/>
              <w:right w:val="single" w:sz="4" w:space="0" w:color="auto"/>
            </w:tcBorders>
            <w:hideMark/>
          </w:tcPr>
          <w:p w14:paraId="7E0DA883" w14:textId="70214C9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6D06ABBD" w14:textId="0F56119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19114EFC"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34095D5D" w14:textId="3AC2561A"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2.3.2 Rishikimi i</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gjithë kuadrit ligjor që lidhet me mjetet/</w:t>
            </w:r>
            <w:r w:rsidR="005B751C" w:rsidRPr="00024D5A">
              <w:rPr>
                <w:rFonts w:ascii="Garamond" w:eastAsia="Times New Roman" w:hAnsi="Garamond"/>
                <w:sz w:val="6"/>
                <w:szCs w:val="16"/>
                <w:lang w:eastAsia="en-US"/>
              </w:rPr>
              <w:t>teknologjinë</w:t>
            </w:r>
            <w:r w:rsidRPr="00024D5A">
              <w:rPr>
                <w:rFonts w:ascii="Garamond" w:eastAsia="Times New Roman" w:hAnsi="Garamond"/>
                <w:sz w:val="6"/>
                <w:szCs w:val="16"/>
                <w:lang w:eastAsia="en-US"/>
              </w:rPr>
              <w:t xml:space="preserve"> ndihmëse. Rekomandime për përmirësime ligjore dhe shfuqizimi i atyre akteve që nuk janë në përputhje me CRPD </w:t>
            </w:r>
          </w:p>
        </w:tc>
        <w:tc>
          <w:tcPr>
            <w:tcW w:w="567" w:type="dxa"/>
            <w:tcBorders>
              <w:top w:val="nil"/>
              <w:left w:val="nil"/>
              <w:bottom w:val="single" w:sz="4" w:space="0" w:color="auto"/>
              <w:right w:val="single" w:sz="4" w:space="0" w:color="auto"/>
            </w:tcBorders>
            <w:hideMark/>
          </w:tcPr>
          <w:p w14:paraId="664F939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nil"/>
            </w:tcBorders>
            <w:hideMark/>
          </w:tcPr>
          <w:p w14:paraId="15DE341E"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2028</w:t>
            </w:r>
          </w:p>
        </w:tc>
        <w:tc>
          <w:tcPr>
            <w:tcW w:w="1134" w:type="dxa"/>
            <w:tcBorders>
              <w:top w:val="nil"/>
              <w:left w:val="single" w:sz="4" w:space="0" w:color="auto"/>
              <w:bottom w:val="single" w:sz="4" w:space="0" w:color="auto"/>
              <w:right w:val="single" w:sz="4" w:space="0" w:color="auto"/>
            </w:tcBorders>
            <w:hideMark/>
          </w:tcPr>
          <w:p w14:paraId="08822D15"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4" w:space="0" w:color="auto"/>
            </w:tcBorders>
            <w:hideMark/>
          </w:tcPr>
          <w:p w14:paraId="05082B5D"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708" w:type="dxa"/>
            <w:tcBorders>
              <w:top w:val="nil"/>
              <w:left w:val="nil"/>
              <w:bottom w:val="single" w:sz="4" w:space="0" w:color="auto"/>
              <w:right w:val="single" w:sz="4" w:space="0" w:color="auto"/>
            </w:tcBorders>
            <w:hideMark/>
          </w:tcPr>
          <w:p w14:paraId="2574531F" w14:textId="10F0BDE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1,798</w:t>
            </w:r>
          </w:p>
        </w:tc>
        <w:tc>
          <w:tcPr>
            <w:tcW w:w="567" w:type="dxa"/>
            <w:tcBorders>
              <w:top w:val="nil"/>
              <w:left w:val="nil"/>
              <w:bottom w:val="single" w:sz="4" w:space="0" w:color="auto"/>
              <w:right w:val="single" w:sz="4" w:space="0" w:color="auto"/>
            </w:tcBorders>
            <w:hideMark/>
          </w:tcPr>
          <w:p w14:paraId="7AA598E9" w14:textId="187640E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1,948</w:t>
            </w:r>
          </w:p>
        </w:tc>
        <w:tc>
          <w:tcPr>
            <w:tcW w:w="567" w:type="dxa"/>
            <w:tcBorders>
              <w:top w:val="nil"/>
              <w:left w:val="nil"/>
              <w:bottom w:val="single" w:sz="4" w:space="0" w:color="auto"/>
              <w:right w:val="single" w:sz="4" w:space="0" w:color="auto"/>
            </w:tcBorders>
            <w:hideMark/>
          </w:tcPr>
          <w:p w14:paraId="3DE81BE1" w14:textId="442858D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1,948</w:t>
            </w:r>
          </w:p>
        </w:tc>
        <w:tc>
          <w:tcPr>
            <w:tcW w:w="1134" w:type="dxa"/>
            <w:tcBorders>
              <w:top w:val="nil"/>
              <w:left w:val="nil"/>
              <w:bottom w:val="single" w:sz="4" w:space="0" w:color="auto"/>
              <w:right w:val="single" w:sz="4" w:space="0" w:color="auto"/>
            </w:tcBorders>
            <w:hideMark/>
          </w:tcPr>
          <w:p w14:paraId="0C825C89" w14:textId="0DE6A7F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0024A66D" w14:textId="217FFB5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6CCD3EB6"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480FD38B" w14:textId="654C4A11"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2.3.3 Përgatitja, në bashkëpunim me grupet e interesit e </w:t>
            </w:r>
            <w:r w:rsidR="005B751C" w:rsidRPr="00024D5A">
              <w:rPr>
                <w:rFonts w:ascii="Garamond" w:eastAsia="Times New Roman" w:hAnsi="Garamond"/>
                <w:sz w:val="6"/>
                <w:szCs w:val="16"/>
                <w:lang w:eastAsia="en-US"/>
              </w:rPr>
              <w:t xml:space="preserve">listës prioritare </w:t>
            </w:r>
            <w:r w:rsidRPr="00024D5A">
              <w:rPr>
                <w:rFonts w:ascii="Garamond" w:eastAsia="Times New Roman" w:hAnsi="Garamond"/>
                <w:sz w:val="6"/>
                <w:szCs w:val="16"/>
                <w:lang w:eastAsia="en-US"/>
              </w:rPr>
              <w:t xml:space="preserve">të pajisjeve ndihmëse/teknologjike, e cila duhet të përfshijë </w:t>
            </w:r>
            <w:r w:rsidR="005B751C" w:rsidRPr="00024D5A">
              <w:rPr>
                <w:rFonts w:ascii="Garamond" w:eastAsia="Times New Roman" w:hAnsi="Garamond"/>
                <w:sz w:val="6"/>
                <w:szCs w:val="16"/>
                <w:lang w:eastAsia="en-US"/>
              </w:rPr>
              <w:t>kategoritë</w:t>
            </w:r>
            <w:r w:rsidRPr="00024D5A">
              <w:rPr>
                <w:rFonts w:ascii="Garamond" w:eastAsia="Times New Roman" w:hAnsi="Garamond"/>
                <w:sz w:val="6"/>
                <w:szCs w:val="16"/>
                <w:lang w:eastAsia="en-US"/>
              </w:rPr>
              <w:t>; i</w:t>
            </w:r>
            <w:r w:rsidR="005B751C">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produkte me një përdorim</w:t>
            </w:r>
            <w:r w:rsidR="005B751C">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si pampers, kat</w:t>
            </w:r>
            <w:r w:rsidR="005B751C">
              <w:rPr>
                <w:rFonts w:ascii="Garamond" w:eastAsia="Times New Roman" w:hAnsi="Garamond"/>
                <w:sz w:val="6"/>
                <w:szCs w:val="16"/>
                <w:lang w:eastAsia="en-US"/>
              </w:rPr>
              <w:t>e</w:t>
            </w:r>
            <w:r w:rsidRPr="00024D5A">
              <w:rPr>
                <w:rFonts w:ascii="Garamond" w:eastAsia="Times New Roman" w:hAnsi="Garamond"/>
                <w:sz w:val="6"/>
                <w:szCs w:val="16"/>
                <w:lang w:eastAsia="en-US"/>
              </w:rPr>
              <w:t>ter, Stoma Begs etj.; ii</w:t>
            </w:r>
            <w:r w:rsidR="005B751C">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materiale për përdorim afatgjatë</w:t>
            </w:r>
            <w:r w:rsidR="005B751C">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si</w:t>
            </w:r>
            <w:r w:rsidR="005B751C">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për</w:t>
            </w:r>
            <w:r w:rsidR="005B751C">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shembull</w:t>
            </w:r>
            <w:r w:rsidR="005B751C">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dyshekët antidekubitues, </w:t>
            </w:r>
            <w:r w:rsidR="005B751C" w:rsidRPr="00024D5A">
              <w:rPr>
                <w:rFonts w:ascii="Garamond" w:eastAsia="Times New Roman" w:hAnsi="Garamond"/>
                <w:sz w:val="6"/>
                <w:szCs w:val="16"/>
                <w:lang w:eastAsia="en-US"/>
              </w:rPr>
              <w:t>jastëkët</w:t>
            </w:r>
            <w:r w:rsidRPr="00024D5A">
              <w:rPr>
                <w:rFonts w:ascii="Garamond" w:eastAsia="Times New Roman" w:hAnsi="Garamond"/>
                <w:sz w:val="6"/>
                <w:szCs w:val="16"/>
                <w:lang w:eastAsia="en-US"/>
              </w:rPr>
              <w:t xml:space="preserve"> për karriget me rrota, mjetet ndihmëse të dëgjimit; iii</w:t>
            </w:r>
            <w:r w:rsidR="005B751C">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materiale </w:t>
            </w:r>
            <w:r w:rsidRPr="005B751C">
              <w:rPr>
                <w:rFonts w:ascii="Garamond" w:eastAsia="Times New Roman" w:hAnsi="Garamond"/>
                <w:i/>
                <w:iCs/>
                <w:sz w:val="6"/>
                <w:szCs w:val="16"/>
                <w:lang w:eastAsia="en-US"/>
              </w:rPr>
              <w:t>tailor-made</w:t>
            </w:r>
            <w:r w:rsidR="005B751C">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si</w:t>
            </w:r>
            <w:r w:rsidR="005B751C">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për</w:t>
            </w:r>
            <w:r w:rsidR="005B751C">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shembull</w:t>
            </w:r>
            <w:r w:rsidR="005B751C">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karriget me rrota.</w:t>
            </w:r>
          </w:p>
        </w:tc>
        <w:tc>
          <w:tcPr>
            <w:tcW w:w="567" w:type="dxa"/>
            <w:tcBorders>
              <w:top w:val="nil"/>
              <w:left w:val="nil"/>
              <w:bottom w:val="single" w:sz="4" w:space="0" w:color="auto"/>
              <w:right w:val="single" w:sz="4" w:space="0" w:color="auto"/>
            </w:tcBorders>
            <w:hideMark/>
          </w:tcPr>
          <w:p w14:paraId="223353F8"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nil"/>
            </w:tcBorders>
            <w:hideMark/>
          </w:tcPr>
          <w:p w14:paraId="2629204B"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single" w:sz="4" w:space="0" w:color="auto"/>
              <w:bottom w:val="single" w:sz="4" w:space="0" w:color="auto"/>
              <w:right w:val="single" w:sz="4" w:space="0" w:color="auto"/>
            </w:tcBorders>
            <w:hideMark/>
          </w:tcPr>
          <w:p w14:paraId="12C8B6DD"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4" w:space="0" w:color="auto"/>
            </w:tcBorders>
            <w:hideMark/>
          </w:tcPr>
          <w:p w14:paraId="391BF90E"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FDSKSH</w:t>
            </w:r>
          </w:p>
        </w:tc>
        <w:tc>
          <w:tcPr>
            <w:tcW w:w="708" w:type="dxa"/>
            <w:tcBorders>
              <w:top w:val="nil"/>
              <w:left w:val="nil"/>
              <w:bottom w:val="single" w:sz="4" w:space="0" w:color="auto"/>
              <w:right w:val="single" w:sz="4" w:space="0" w:color="auto"/>
            </w:tcBorders>
            <w:hideMark/>
          </w:tcPr>
          <w:p w14:paraId="012E4D7B" w14:textId="50D8DA9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1,693</w:t>
            </w:r>
          </w:p>
        </w:tc>
        <w:tc>
          <w:tcPr>
            <w:tcW w:w="567" w:type="dxa"/>
            <w:tcBorders>
              <w:top w:val="nil"/>
              <w:left w:val="nil"/>
              <w:bottom w:val="single" w:sz="4" w:space="0" w:color="auto"/>
              <w:right w:val="single" w:sz="4" w:space="0" w:color="auto"/>
            </w:tcBorders>
            <w:hideMark/>
          </w:tcPr>
          <w:p w14:paraId="685F0E6B" w14:textId="1A8F025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1,843</w:t>
            </w:r>
          </w:p>
        </w:tc>
        <w:tc>
          <w:tcPr>
            <w:tcW w:w="567" w:type="dxa"/>
            <w:tcBorders>
              <w:top w:val="nil"/>
              <w:left w:val="nil"/>
              <w:bottom w:val="single" w:sz="4" w:space="0" w:color="auto"/>
              <w:right w:val="single" w:sz="4" w:space="0" w:color="auto"/>
            </w:tcBorders>
            <w:hideMark/>
          </w:tcPr>
          <w:p w14:paraId="21B91B8E" w14:textId="63517CE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1,843</w:t>
            </w:r>
          </w:p>
        </w:tc>
        <w:tc>
          <w:tcPr>
            <w:tcW w:w="1134" w:type="dxa"/>
            <w:tcBorders>
              <w:top w:val="nil"/>
              <w:left w:val="nil"/>
              <w:bottom w:val="single" w:sz="4" w:space="0" w:color="auto"/>
              <w:right w:val="single" w:sz="4" w:space="0" w:color="auto"/>
            </w:tcBorders>
            <w:hideMark/>
          </w:tcPr>
          <w:p w14:paraId="5562DF1E" w14:textId="198DAD8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2,718</w:t>
            </w:r>
          </w:p>
        </w:tc>
        <w:tc>
          <w:tcPr>
            <w:tcW w:w="1615" w:type="dxa"/>
            <w:tcBorders>
              <w:top w:val="nil"/>
              <w:left w:val="nil"/>
              <w:bottom w:val="single" w:sz="4" w:space="0" w:color="auto"/>
              <w:right w:val="single" w:sz="4" w:space="0" w:color="auto"/>
            </w:tcBorders>
            <w:hideMark/>
          </w:tcPr>
          <w:p w14:paraId="4D165525" w14:textId="7A57426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2,718</w:t>
            </w:r>
          </w:p>
        </w:tc>
      </w:tr>
      <w:tr w:rsidR="00B807EE" w:rsidRPr="00024D5A" w14:paraId="1DC0B515"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18EBB6E5" w14:textId="3486020F"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2.3.4</w:t>
            </w:r>
            <w:r w:rsidR="005B751C">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 xml:space="preserve">Miratimi i Listës Kombëtare të pajisjeve dhe teknologjive ndihmëse, në përputhje me </w:t>
            </w:r>
            <w:r w:rsidR="005B751C" w:rsidRPr="00024D5A">
              <w:rPr>
                <w:rFonts w:ascii="Garamond" w:eastAsia="Times New Roman" w:hAnsi="Garamond"/>
                <w:sz w:val="6"/>
                <w:szCs w:val="16"/>
                <w:lang w:eastAsia="en-US"/>
              </w:rPr>
              <w:t xml:space="preserve">listën prioritare </w:t>
            </w:r>
            <w:r w:rsidRPr="00024D5A">
              <w:rPr>
                <w:rFonts w:ascii="Garamond" w:eastAsia="Times New Roman" w:hAnsi="Garamond"/>
                <w:sz w:val="6"/>
                <w:szCs w:val="16"/>
                <w:lang w:eastAsia="en-US"/>
              </w:rPr>
              <w:t>të OBSH-së.</w:t>
            </w:r>
            <w:r w:rsidR="005B751C">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 xml:space="preserve">VKM, e cila përcakton tipologjinë e mjeteve ndihmëse, </w:t>
            </w:r>
            <w:r w:rsidR="005B751C" w:rsidRPr="00024D5A">
              <w:rPr>
                <w:rFonts w:ascii="Garamond" w:eastAsia="Times New Roman" w:hAnsi="Garamond"/>
                <w:sz w:val="6"/>
                <w:szCs w:val="16"/>
                <w:lang w:eastAsia="en-US"/>
              </w:rPr>
              <w:t>standardet</w:t>
            </w:r>
            <w:r w:rsidRPr="00024D5A">
              <w:rPr>
                <w:rFonts w:ascii="Garamond" w:eastAsia="Times New Roman" w:hAnsi="Garamond"/>
                <w:sz w:val="6"/>
                <w:szCs w:val="16"/>
                <w:lang w:eastAsia="en-US"/>
              </w:rPr>
              <w:t xml:space="preserve"> e tyre (ISO), maksimumin e mbulimit </w:t>
            </w:r>
            <w:r w:rsidR="005B751C" w:rsidRPr="00024D5A">
              <w:rPr>
                <w:rFonts w:ascii="Garamond" w:eastAsia="Times New Roman" w:hAnsi="Garamond"/>
                <w:sz w:val="6"/>
                <w:szCs w:val="16"/>
                <w:lang w:eastAsia="en-US"/>
              </w:rPr>
              <w:t>financiar</w:t>
            </w:r>
            <w:r w:rsidRPr="00024D5A">
              <w:rPr>
                <w:rFonts w:ascii="Garamond" w:eastAsia="Times New Roman" w:hAnsi="Garamond"/>
                <w:sz w:val="6"/>
                <w:szCs w:val="16"/>
                <w:lang w:eastAsia="en-US"/>
              </w:rPr>
              <w:t xml:space="preserve"> të rimbursueshëm, dhe pjesëmarrjen financiare </w:t>
            </w:r>
            <w:r w:rsidRPr="005B751C">
              <w:rPr>
                <w:rFonts w:ascii="Garamond" w:eastAsia="Times New Roman" w:hAnsi="Garamond"/>
                <w:i/>
                <w:iCs/>
                <w:sz w:val="6"/>
                <w:szCs w:val="16"/>
                <w:lang w:eastAsia="en-US"/>
              </w:rPr>
              <w:t xml:space="preserve">(co-payment), </w:t>
            </w:r>
            <w:r w:rsidRPr="00024D5A">
              <w:rPr>
                <w:rFonts w:ascii="Garamond" w:eastAsia="Times New Roman" w:hAnsi="Garamond"/>
                <w:sz w:val="6"/>
                <w:szCs w:val="16"/>
                <w:lang w:eastAsia="en-US"/>
              </w:rPr>
              <w:t>nëse përdoruesi kërkon pa</w:t>
            </w:r>
            <w:r w:rsidR="005B751C">
              <w:rPr>
                <w:rFonts w:ascii="Garamond" w:eastAsia="Times New Roman" w:hAnsi="Garamond"/>
                <w:sz w:val="6"/>
                <w:szCs w:val="16"/>
                <w:lang w:eastAsia="en-US"/>
              </w:rPr>
              <w:t>j</w:t>
            </w:r>
            <w:r w:rsidRPr="00024D5A">
              <w:rPr>
                <w:rFonts w:ascii="Garamond" w:eastAsia="Times New Roman" w:hAnsi="Garamond"/>
                <w:sz w:val="6"/>
                <w:szCs w:val="16"/>
                <w:lang w:eastAsia="en-US"/>
              </w:rPr>
              <w:t>isje më cilësore dhe më të shtrenjtë. Zhvillimi i mekanizmave të qëndrueshëm të rimbursimit dhe mbulimit financiar për pajisjet ndihmëse, përmes FSDKSH</w:t>
            </w:r>
            <w:r w:rsidR="005B751C">
              <w:rPr>
                <w:rFonts w:ascii="Garamond" w:eastAsia="Times New Roman" w:hAnsi="Garamond"/>
                <w:sz w:val="6"/>
                <w:szCs w:val="16"/>
                <w:lang w:eastAsia="en-US"/>
              </w:rPr>
              <w:t>-së.</w:t>
            </w:r>
            <w:r w:rsidRPr="00024D5A">
              <w:rPr>
                <w:rFonts w:ascii="Garamond" w:eastAsia="Times New Roman" w:hAnsi="Garamond"/>
                <w:sz w:val="6"/>
                <w:szCs w:val="16"/>
                <w:lang w:eastAsia="en-US"/>
              </w:rPr>
              <w:t xml:space="preserve"> </w:t>
            </w:r>
          </w:p>
        </w:tc>
        <w:tc>
          <w:tcPr>
            <w:tcW w:w="567" w:type="dxa"/>
            <w:tcBorders>
              <w:top w:val="nil"/>
              <w:left w:val="nil"/>
              <w:bottom w:val="single" w:sz="4" w:space="0" w:color="auto"/>
              <w:right w:val="single" w:sz="4" w:space="0" w:color="auto"/>
            </w:tcBorders>
            <w:hideMark/>
          </w:tcPr>
          <w:p w14:paraId="25D41C86"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2029</w:t>
            </w:r>
          </w:p>
        </w:tc>
        <w:tc>
          <w:tcPr>
            <w:tcW w:w="567" w:type="dxa"/>
            <w:tcBorders>
              <w:top w:val="nil"/>
              <w:left w:val="nil"/>
              <w:bottom w:val="single" w:sz="4" w:space="0" w:color="auto"/>
              <w:right w:val="nil"/>
            </w:tcBorders>
            <w:hideMark/>
          </w:tcPr>
          <w:p w14:paraId="55571666"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single" w:sz="4" w:space="0" w:color="auto"/>
              <w:bottom w:val="single" w:sz="4" w:space="0" w:color="auto"/>
              <w:right w:val="single" w:sz="4" w:space="0" w:color="auto"/>
            </w:tcBorders>
            <w:hideMark/>
          </w:tcPr>
          <w:p w14:paraId="0903191B"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4" w:space="0" w:color="auto"/>
            </w:tcBorders>
            <w:hideMark/>
          </w:tcPr>
          <w:p w14:paraId="56E6D050"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708" w:type="dxa"/>
            <w:tcBorders>
              <w:top w:val="nil"/>
              <w:left w:val="nil"/>
              <w:bottom w:val="single" w:sz="4" w:space="0" w:color="auto"/>
              <w:right w:val="single" w:sz="4" w:space="0" w:color="auto"/>
            </w:tcBorders>
            <w:hideMark/>
          </w:tcPr>
          <w:p w14:paraId="6FD26D0B" w14:textId="633BA10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76AE32FB" w14:textId="762F75C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13E6CE48" w14:textId="7114339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188466D1" w14:textId="776B20B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2,757</w:t>
            </w:r>
          </w:p>
        </w:tc>
        <w:tc>
          <w:tcPr>
            <w:tcW w:w="1615" w:type="dxa"/>
            <w:tcBorders>
              <w:top w:val="nil"/>
              <w:left w:val="nil"/>
              <w:bottom w:val="single" w:sz="4" w:space="0" w:color="auto"/>
              <w:right w:val="single" w:sz="4" w:space="0" w:color="auto"/>
            </w:tcBorders>
            <w:hideMark/>
          </w:tcPr>
          <w:p w14:paraId="2A691E6B" w14:textId="274BC97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2,757</w:t>
            </w:r>
          </w:p>
        </w:tc>
      </w:tr>
      <w:tr w:rsidR="00B807EE" w:rsidRPr="00024D5A" w14:paraId="04C1A86D"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04EFA1AD" w14:textId="0F3AFEC3"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2.3.5 Hartimi i standardeve për përshkrimin, përdorimin, jetëgjatësinë dhe mirëmbajtjen e pajisjeve ndihmëse.</w:t>
            </w:r>
          </w:p>
        </w:tc>
        <w:tc>
          <w:tcPr>
            <w:tcW w:w="567" w:type="dxa"/>
            <w:tcBorders>
              <w:top w:val="nil"/>
              <w:left w:val="nil"/>
              <w:bottom w:val="single" w:sz="4" w:space="0" w:color="auto"/>
              <w:right w:val="single" w:sz="4" w:space="0" w:color="auto"/>
            </w:tcBorders>
            <w:hideMark/>
          </w:tcPr>
          <w:p w14:paraId="781A226A"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2029</w:t>
            </w:r>
          </w:p>
        </w:tc>
        <w:tc>
          <w:tcPr>
            <w:tcW w:w="567" w:type="dxa"/>
            <w:tcBorders>
              <w:top w:val="nil"/>
              <w:left w:val="nil"/>
              <w:bottom w:val="single" w:sz="4" w:space="0" w:color="auto"/>
              <w:right w:val="nil"/>
            </w:tcBorders>
            <w:hideMark/>
          </w:tcPr>
          <w:p w14:paraId="1DA74208"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single" w:sz="4" w:space="0" w:color="auto"/>
              <w:bottom w:val="single" w:sz="4" w:space="0" w:color="auto"/>
              <w:right w:val="single" w:sz="4" w:space="0" w:color="auto"/>
            </w:tcBorders>
            <w:hideMark/>
          </w:tcPr>
          <w:p w14:paraId="349CFA9C"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4" w:space="0" w:color="auto"/>
            </w:tcBorders>
            <w:hideMark/>
          </w:tcPr>
          <w:p w14:paraId="0546F403"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FDSKSH</w:t>
            </w:r>
          </w:p>
        </w:tc>
        <w:tc>
          <w:tcPr>
            <w:tcW w:w="708" w:type="dxa"/>
            <w:tcBorders>
              <w:top w:val="nil"/>
              <w:left w:val="nil"/>
              <w:bottom w:val="single" w:sz="4" w:space="0" w:color="auto"/>
              <w:right w:val="single" w:sz="4" w:space="0" w:color="auto"/>
            </w:tcBorders>
            <w:hideMark/>
          </w:tcPr>
          <w:p w14:paraId="0E0BD98E" w14:textId="5A42B6D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77A5D47B" w14:textId="08C0083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2FD55FDB" w14:textId="4701033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27CB2110" w14:textId="33DF1B6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2,100</w:t>
            </w:r>
          </w:p>
        </w:tc>
        <w:tc>
          <w:tcPr>
            <w:tcW w:w="1615" w:type="dxa"/>
            <w:tcBorders>
              <w:top w:val="nil"/>
              <w:left w:val="nil"/>
              <w:bottom w:val="single" w:sz="4" w:space="0" w:color="auto"/>
              <w:right w:val="single" w:sz="4" w:space="0" w:color="auto"/>
            </w:tcBorders>
            <w:hideMark/>
          </w:tcPr>
          <w:p w14:paraId="36C027BF" w14:textId="2641172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2,100</w:t>
            </w:r>
          </w:p>
        </w:tc>
      </w:tr>
      <w:tr w:rsidR="00B807EE" w:rsidRPr="00024D5A" w14:paraId="1B6C00E0"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14670F81" w14:textId="2D5E2194"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2.3.6 Vijimësia dhe mbulimi financiar i shpenzimeve për orteza, proteza, karrige me rrota dhe mjete të tjera ndihmëse deri në momentin e rregullimit të kuadrit ligjor në pikën 2.3.2.</w:t>
            </w:r>
          </w:p>
        </w:tc>
        <w:tc>
          <w:tcPr>
            <w:tcW w:w="567" w:type="dxa"/>
            <w:tcBorders>
              <w:top w:val="nil"/>
              <w:left w:val="nil"/>
              <w:bottom w:val="single" w:sz="4" w:space="0" w:color="auto"/>
              <w:right w:val="single" w:sz="4" w:space="0" w:color="auto"/>
            </w:tcBorders>
            <w:noWrap/>
            <w:hideMark/>
          </w:tcPr>
          <w:p w14:paraId="50CA7A4A"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nil"/>
            </w:tcBorders>
            <w:noWrap/>
            <w:hideMark/>
          </w:tcPr>
          <w:p w14:paraId="02C24C18"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single" w:sz="4" w:space="0" w:color="auto"/>
              <w:bottom w:val="single" w:sz="4" w:space="0" w:color="auto"/>
              <w:right w:val="single" w:sz="4" w:space="0" w:color="auto"/>
            </w:tcBorders>
            <w:noWrap/>
            <w:hideMark/>
          </w:tcPr>
          <w:p w14:paraId="72EDD4B6"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4" w:space="0" w:color="auto"/>
            </w:tcBorders>
            <w:noWrap/>
            <w:hideMark/>
          </w:tcPr>
          <w:p w14:paraId="29063977"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SHSSH</w:t>
            </w:r>
          </w:p>
        </w:tc>
        <w:tc>
          <w:tcPr>
            <w:tcW w:w="708" w:type="dxa"/>
            <w:tcBorders>
              <w:top w:val="nil"/>
              <w:left w:val="nil"/>
              <w:bottom w:val="single" w:sz="4" w:space="0" w:color="auto"/>
              <w:right w:val="single" w:sz="4" w:space="0" w:color="auto"/>
            </w:tcBorders>
            <w:hideMark/>
          </w:tcPr>
          <w:p w14:paraId="6ED7517C" w14:textId="7A5F149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555DF848" w14:textId="0AD7533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110AD420" w14:textId="4D3FC5B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67788DAA" w14:textId="03379C5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16DF9BE3" w14:textId="511903D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31A3AC7C" w14:textId="77777777" w:rsidTr="002B321E">
        <w:trPr>
          <w:trHeight w:val="20"/>
        </w:trPr>
        <w:tc>
          <w:tcPr>
            <w:tcW w:w="4673" w:type="dxa"/>
            <w:tcBorders>
              <w:top w:val="nil"/>
              <w:left w:val="single" w:sz="4" w:space="0" w:color="auto"/>
              <w:bottom w:val="single" w:sz="4" w:space="0" w:color="auto"/>
              <w:right w:val="nil"/>
            </w:tcBorders>
            <w:shd w:val="clear" w:color="000000" w:fill="FDE9D9"/>
            <w:hideMark/>
          </w:tcPr>
          <w:p w14:paraId="196A47B3" w14:textId="181F0DE3"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Objektivi </w:t>
            </w:r>
            <w:r w:rsidR="005B751C" w:rsidRPr="00024D5A">
              <w:rPr>
                <w:rFonts w:ascii="Garamond" w:eastAsia="Times New Roman" w:hAnsi="Garamond"/>
                <w:b/>
                <w:bCs/>
                <w:sz w:val="6"/>
                <w:szCs w:val="16"/>
                <w:lang w:eastAsia="en-US"/>
              </w:rPr>
              <w:t xml:space="preserve">specifik </w:t>
            </w:r>
            <w:r w:rsidRPr="00024D5A">
              <w:rPr>
                <w:rFonts w:ascii="Garamond" w:eastAsia="Times New Roman" w:hAnsi="Garamond"/>
                <w:b/>
                <w:bCs/>
                <w:sz w:val="6"/>
                <w:szCs w:val="16"/>
                <w:lang w:eastAsia="en-US"/>
              </w:rPr>
              <w:t>3</w:t>
            </w:r>
            <w:r w:rsidR="005B751C">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Përmirësimi i cilësisë së shërbimeve përmes forcimit të burimeve njerëzore, aksesueshmërisë dhe mekanizmave të monitorimit dhe llogaridhënies</w:t>
            </w:r>
            <w:r w:rsidR="005B751C">
              <w:rPr>
                <w:rFonts w:ascii="Garamond" w:eastAsia="Times New Roman" w:hAnsi="Garamond"/>
                <w:b/>
                <w:bCs/>
                <w:sz w:val="6"/>
                <w:szCs w:val="16"/>
                <w:lang w:eastAsia="en-US"/>
              </w:rPr>
              <w:t>.</w:t>
            </w:r>
          </w:p>
        </w:tc>
        <w:tc>
          <w:tcPr>
            <w:tcW w:w="567" w:type="dxa"/>
            <w:tcBorders>
              <w:top w:val="nil"/>
              <w:left w:val="single" w:sz="4" w:space="0" w:color="auto"/>
              <w:bottom w:val="single" w:sz="4" w:space="0" w:color="auto"/>
              <w:right w:val="single" w:sz="4" w:space="0" w:color="auto"/>
            </w:tcBorders>
            <w:shd w:val="clear" w:color="000000" w:fill="FDE9D9"/>
            <w:hideMark/>
          </w:tcPr>
          <w:p w14:paraId="1D4D6BF5"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nil"/>
            </w:tcBorders>
            <w:shd w:val="clear" w:color="000000" w:fill="FDE9D9"/>
            <w:hideMark/>
          </w:tcPr>
          <w:p w14:paraId="3E3345E2"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single" w:sz="4" w:space="0" w:color="auto"/>
              <w:bottom w:val="single" w:sz="4" w:space="0" w:color="auto"/>
              <w:right w:val="single" w:sz="4" w:space="0" w:color="auto"/>
            </w:tcBorders>
            <w:shd w:val="clear" w:color="000000" w:fill="FDE9D9"/>
            <w:hideMark/>
          </w:tcPr>
          <w:p w14:paraId="500CCB90"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MSHMS/OSHKSH</w:t>
            </w:r>
          </w:p>
        </w:tc>
        <w:tc>
          <w:tcPr>
            <w:tcW w:w="1418" w:type="dxa"/>
            <w:tcBorders>
              <w:top w:val="nil"/>
              <w:left w:val="nil"/>
              <w:bottom w:val="single" w:sz="4" w:space="0" w:color="auto"/>
              <w:right w:val="single" w:sz="4" w:space="0" w:color="auto"/>
            </w:tcBorders>
            <w:shd w:val="clear" w:color="000000" w:fill="FDE9D9"/>
            <w:hideMark/>
          </w:tcPr>
          <w:p w14:paraId="15EA32B3" w14:textId="0363B59E" w:rsidR="00700D7D" w:rsidRPr="00024D5A" w:rsidRDefault="00700D7D" w:rsidP="005A46ED">
            <w:pPr>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Instituti i Shëndetit Publik (ISHP)/ASCK Bashkëpunues: Urdhri i Mjekut, Urdhri i Infermierit, Universiteti i Mjekësisë</w:t>
            </w:r>
          </w:p>
        </w:tc>
        <w:tc>
          <w:tcPr>
            <w:tcW w:w="708" w:type="dxa"/>
            <w:tcBorders>
              <w:top w:val="nil"/>
              <w:left w:val="nil"/>
              <w:bottom w:val="single" w:sz="4" w:space="0" w:color="auto"/>
              <w:right w:val="nil"/>
            </w:tcBorders>
            <w:shd w:val="clear" w:color="000000" w:fill="FDE9D9"/>
            <w:hideMark/>
          </w:tcPr>
          <w:p w14:paraId="54A7B945" w14:textId="625640B9"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w:t>
            </w:r>
          </w:p>
        </w:tc>
        <w:tc>
          <w:tcPr>
            <w:tcW w:w="567" w:type="dxa"/>
            <w:tcBorders>
              <w:top w:val="nil"/>
              <w:left w:val="single" w:sz="4" w:space="0" w:color="auto"/>
              <w:bottom w:val="single" w:sz="4" w:space="0" w:color="auto"/>
              <w:right w:val="nil"/>
            </w:tcBorders>
            <w:shd w:val="clear" w:color="000000" w:fill="FDE9D9"/>
            <w:hideMark/>
          </w:tcPr>
          <w:p w14:paraId="417B6767" w14:textId="26F16758"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4,500</w:t>
            </w:r>
          </w:p>
        </w:tc>
        <w:tc>
          <w:tcPr>
            <w:tcW w:w="567" w:type="dxa"/>
            <w:tcBorders>
              <w:top w:val="nil"/>
              <w:left w:val="single" w:sz="4" w:space="0" w:color="auto"/>
              <w:bottom w:val="single" w:sz="4" w:space="0" w:color="auto"/>
              <w:right w:val="nil"/>
            </w:tcBorders>
            <w:shd w:val="clear" w:color="000000" w:fill="FDE9D9"/>
            <w:hideMark/>
          </w:tcPr>
          <w:p w14:paraId="363AC45E" w14:textId="75192B8D"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6,041</w:t>
            </w:r>
          </w:p>
        </w:tc>
        <w:tc>
          <w:tcPr>
            <w:tcW w:w="1134" w:type="dxa"/>
            <w:tcBorders>
              <w:top w:val="nil"/>
              <w:left w:val="single" w:sz="4" w:space="0" w:color="auto"/>
              <w:bottom w:val="single" w:sz="4" w:space="0" w:color="auto"/>
              <w:right w:val="nil"/>
            </w:tcBorders>
            <w:shd w:val="clear" w:color="000000" w:fill="FDE9D9"/>
            <w:hideMark/>
          </w:tcPr>
          <w:p w14:paraId="078C1DD9" w14:textId="2107D17D"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10,491</w:t>
            </w:r>
          </w:p>
        </w:tc>
        <w:tc>
          <w:tcPr>
            <w:tcW w:w="1615" w:type="dxa"/>
            <w:tcBorders>
              <w:top w:val="nil"/>
              <w:left w:val="single" w:sz="4" w:space="0" w:color="auto"/>
              <w:bottom w:val="single" w:sz="4" w:space="0" w:color="auto"/>
              <w:right w:val="nil"/>
            </w:tcBorders>
            <w:shd w:val="clear" w:color="000000" w:fill="FDE9D9"/>
            <w:hideMark/>
          </w:tcPr>
          <w:p w14:paraId="2561BD30" w14:textId="461865B6"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10,491</w:t>
            </w:r>
          </w:p>
        </w:tc>
      </w:tr>
      <w:tr w:rsidR="00B807EE" w:rsidRPr="00024D5A" w14:paraId="18FB734A"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C5D9F1"/>
            <w:hideMark/>
          </w:tcPr>
          <w:p w14:paraId="6F1CE6EA" w14:textId="0BA98860"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Masa prioritare 3.1</w:t>
            </w:r>
            <w:r w:rsidR="003526AF">
              <w:rPr>
                <w:rFonts w:ascii="Garamond" w:eastAsia="Times New Roman" w:hAnsi="Garamond"/>
                <w:b/>
                <w:bCs/>
                <w:sz w:val="6"/>
                <w:szCs w:val="16"/>
                <w:lang w:eastAsia="en-US"/>
              </w:rPr>
              <w:t xml:space="preserve">: </w:t>
            </w:r>
            <w:r w:rsidR="005B751C">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Edukimi dhe forcimi i kapaciteteve të personelit shëndetësor</w:t>
            </w:r>
            <w:r w:rsidR="005B751C">
              <w:rPr>
                <w:rFonts w:ascii="Garamond" w:eastAsia="Times New Roman" w:hAnsi="Garamond"/>
                <w:b/>
                <w:bCs/>
                <w:sz w:val="6"/>
                <w:szCs w:val="16"/>
                <w:lang w:eastAsia="en-US"/>
              </w:rPr>
              <w:t>.</w:t>
            </w:r>
          </w:p>
        </w:tc>
        <w:tc>
          <w:tcPr>
            <w:tcW w:w="567" w:type="dxa"/>
            <w:tcBorders>
              <w:top w:val="nil"/>
              <w:left w:val="nil"/>
              <w:bottom w:val="single" w:sz="4" w:space="0" w:color="auto"/>
              <w:right w:val="single" w:sz="4" w:space="0" w:color="auto"/>
            </w:tcBorders>
            <w:shd w:val="clear" w:color="000000" w:fill="C5D9F1"/>
            <w:noWrap/>
            <w:hideMark/>
          </w:tcPr>
          <w:p w14:paraId="42D37EFE"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single" w:sz="4" w:space="0" w:color="auto"/>
            </w:tcBorders>
            <w:shd w:val="clear" w:color="000000" w:fill="C5D9F1"/>
            <w:noWrap/>
            <w:hideMark/>
          </w:tcPr>
          <w:p w14:paraId="46BBA3F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shd w:val="clear" w:color="000000" w:fill="C5D9F1"/>
            <w:hideMark/>
          </w:tcPr>
          <w:p w14:paraId="278E6F2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MSHMS/OSHKSH</w:t>
            </w:r>
          </w:p>
        </w:tc>
        <w:tc>
          <w:tcPr>
            <w:tcW w:w="1418" w:type="dxa"/>
            <w:tcBorders>
              <w:top w:val="nil"/>
              <w:left w:val="nil"/>
              <w:bottom w:val="single" w:sz="4" w:space="0" w:color="auto"/>
              <w:right w:val="single" w:sz="4" w:space="0" w:color="auto"/>
            </w:tcBorders>
            <w:shd w:val="clear" w:color="000000" w:fill="C5D9F1"/>
            <w:hideMark/>
          </w:tcPr>
          <w:p w14:paraId="1E4B3A5C" w14:textId="2CA3D62A" w:rsidR="00700D7D" w:rsidRPr="00024D5A" w:rsidRDefault="00700D7D" w:rsidP="005A46ED">
            <w:pPr>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Instituti i Shëndetit Publik (ISHP)/ASCK Bashkëpunues: Urdhri i Mjekut, Urdhri i Infermierit, Universiteti i Mjekësisë</w:t>
            </w:r>
          </w:p>
        </w:tc>
        <w:tc>
          <w:tcPr>
            <w:tcW w:w="708" w:type="dxa"/>
            <w:tcBorders>
              <w:top w:val="nil"/>
              <w:left w:val="nil"/>
              <w:bottom w:val="single" w:sz="4" w:space="0" w:color="auto"/>
              <w:right w:val="single" w:sz="4" w:space="0" w:color="auto"/>
            </w:tcBorders>
            <w:shd w:val="clear" w:color="000000" w:fill="C5D9F1"/>
            <w:noWrap/>
            <w:hideMark/>
          </w:tcPr>
          <w:p w14:paraId="470A9351" w14:textId="536D804E"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w:t>
            </w:r>
          </w:p>
        </w:tc>
        <w:tc>
          <w:tcPr>
            <w:tcW w:w="567" w:type="dxa"/>
            <w:tcBorders>
              <w:top w:val="nil"/>
              <w:left w:val="nil"/>
              <w:bottom w:val="single" w:sz="4" w:space="0" w:color="auto"/>
              <w:right w:val="single" w:sz="4" w:space="0" w:color="auto"/>
            </w:tcBorders>
            <w:shd w:val="clear" w:color="000000" w:fill="C5D9F1"/>
            <w:noWrap/>
            <w:hideMark/>
          </w:tcPr>
          <w:p w14:paraId="7BC27798" w14:textId="71D33C6B"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w:t>
            </w:r>
          </w:p>
        </w:tc>
        <w:tc>
          <w:tcPr>
            <w:tcW w:w="567" w:type="dxa"/>
            <w:tcBorders>
              <w:top w:val="nil"/>
              <w:left w:val="nil"/>
              <w:bottom w:val="single" w:sz="4" w:space="0" w:color="auto"/>
              <w:right w:val="single" w:sz="4" w:space="0" w:color="auto"/>
            </w:tcBorders>
            <w:shd w:val="clear" w:color="000000" w:fill="C5D9F1"/>
            <w:noWrap/>
            <w:hideMark/>
          </w:tcPr>
          <w:p w14:paraId="6E72F502" w14:textId="5A5FE857"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1,541</w:t>
            </w:r>
          </w:p>
        </w:tc>
        <w:tc>
          <w:tcPr>
            <w:tcW w:w="1134" w:type="dxa"/>
            <w:tcBorders>
              <w:top w:val="nil"/>
              <w:left w:val="nil"/>
              <w:bottom w:val="single" w:sz="4" w:space="0" w:color="auto"/>
              <w:right w:val="single" w:sz="4" w:space="0" w:color="auto"/>
            </w:tcBorders>
            <w:shd w:val="clear" w:color="000000" w:fill="C5D9F1"/>
            <w:noWrap/>
            <w:hideMark/>
          </w:tcPr>
          <w:p w14:paraId="4B2E320E" w14:textId="288A120B"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1,541</w:t>
            </w:r>
          </w:p>
        </w:tc>
        <w:tc>
          <w:tcPr>
            <w:tcW w:w="1615" w:type="dxa"/>
            <w:tcBorders>
              <w:top w:val="nil"/>
              <w:left w:val="nil"/>
              <w:bottom w:val="single" w:sz="4" w:space="0" w:color="auto"/>
              <w:right w:val="single" w:sz="4" w:space="0" w:color="auto"/>
            </w:tcBorders>
            <w:shd w:val="clear" w:color="000000" w:fill="C5D9F1"/>
            <w:noWrap/>
            <w:hideMark/>
          </w:tcPr>
          <w:p w14:paraId="46432551" w14:textId="442EB441"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1,541</w:t>
            </w:r>
          </w:p>
        </w:tc>
      </w:tr>
      <w:tr w:rsidR="00B807EE" w:rsidRPr="00024D5A" w14:paraId="057DC876"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01828FB7" w14:textId="48E8FDD1"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3.1.1 Zhvillimi dhe zbatimi i programeve të trajnimit të vazhdueshëm për personelin shëndetësor mbi qasjen e bazuar në të drejtat e njeriut, CRPD-në dhe komunikimin e aksesueshëm me personat me aftësi të kufizuara.</w:t>
            </w:r>
          </w:p>
        </w:tc>
        <w:tc>
          <w:tcPr>
            <w:tcW w:w="567" w:type="dxa"/>
            <w:tcBorders>
              <w:top w:val="nil"/>
              <w:left w:val="nil"/>
              <w:bottom w:val="single" w:sz="4" w:space="0" w:color="auto"/>
              <w:right w:val="single" w:sz="4" w:space="0" w:color="auto"/>
            </w:tcBorders>
            <w:hideMark/>
          </w:tcPr>
          <w:p w14:paraId="08D00AF1"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2028</w:t>
            </w:r>
          </w:p>
        </w:tc>
        <w:tc>
          <w:tcPr>
            <w:tcW w:w="567" w:type="dxa"/>
            <w:tcBorders>
              <w:top w:val="nil"/>
              <w:left w:val="nil"/>
              <w:bottom w:val="single" w:sz="4" w:space="0" w:color="auto"/>
              <w:right w:val="single" w:sz="4" w:space="0" w:color="auto"/>
            </w:tcBorders>
            <w:hideMark/>
          </w:tcPr>
          <w:p w14:paraId="30408084"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358F1970"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4" w:space="0" w:color="auto"/>
            </w:tcBorders>
            <w:hideMark/>
          </w:tcPr>
          <w:p w14:paraId="4DCFB8D6" w14:textId="77777777" w:rsidR="00700D7D" w:rsidRPr="00024D5A" w:rsidRDefault="00700D7D" w:rsidP="005A46ED">
            <w:pPr>
              <w:rPr>
                <w:rFonts w:ascii="Garamond" w:eastAsia="Times New Roman" w:hAnsi="Garamond"/>
                <w:sz w:val="6"/>
                <w:szCs w:val="16"/>
                <w:lang w:eastAsia="en-US"/>
              </w:rPr>
            </w:pPr>
            <w:r w:rsidRPr="00024D5A">
              <w:rPr>
                <w:rFonts w:ascii="Garamond" w:eastAsia="Times New Roman" w:hAnsi="Garamond"/>
                <w:sz w:val="6"/>
                <w:szCs w:val="16"/>
                <w:lang w:eastAsia="en-US"/>
              </w:rPr>
              <w:t>Instituti i Shëndetit Publik (ISHP)/</w:t>
            </w:r>
            <w:r w:rsidRPr="00024D5A">
              <w:rPr>
                <w:rFonts w:ascii="Garamond" w:eastAsia="Times New Roman" w:hAnsi="Garamond"/>
                <w:sz w:val="6"/>
                <w:szCs w:val="16"/>
                <w:lang w:eastAsia="en-US"/>
              </w:rPr>
              <w:br/>
              <w:t>ASCK</w:t>
            </w:r>
            <w:r w:rsidRPr="00024D5A">
              <w:rPr>
                <w:rFonts w:ascii="Garamond" w:eastAsia="Times New Roman" w:hAnsi="Garamond"/>
                <w:sz w:val="6"/>
                <w:szCs w:val="16"/>
                <w:lang w:eastAsia="en-US"/>
              </w:rPr>
              <w:br/>
              <w:t>Bashkëpunues:</w:t>
            </w:r>
            <w:r w:rsidRPr="00024D5A">
              <w:rPr>
                <w:rFonts w:ascii="Garamond" w:eastAsia="Times New Roman" w:hAnsi="Garamond"/>
                <w:sz w:val="6"/>
                <w:szCs w:val="16"/>
                <w:lang w:eastAsia="en-US"/>
              </w:rPr>
              <w:br/>
              <w:t>Urdhri i Mjekut</w:t>
            </w:r>
            <w:r w:rsidRPr="00024D5A">
              <w:rPr>
                <w:rFonts w:ascii="Garamond" w:eastAsia="Times New Roman" w:hAnsi="Garamond"/>
                <w:sz w:val="6"/>
                <w:szCs w:val="16"/>
                <w:lang w:eastAsia="en-US"/>
              </w:rPr>
              <w:br/>
              <w:t>Urdhri i Infermierit</w:t>
            </w:r>
            <w:r w:rsidRPr="00024D5A">
              <w:rPr>
                <w:rFonts w:ascii="Garamond" w:eastAsia="Times New Roman" w:hAnsi="Garamond"/>
                <w:sz w:val="6"/>
                <w:szCs w:val="16"/>
                <w:lang w:eastAsia="en-US"/>
              </w:rPr>
              <w:br/>
              <w:t>Universiteti i Mjekësisë</w:t>
            </w:r>
          </w:p>
        </w:tc>
        <w:tc>
          <w:tcPr>
            <w:tcW w:w="708" w:type="dxa"/>
            <w:tcBorders>
              <w:top w:val="nil"/>
              <w:left w:val="nil"/>
              <w:bottom w:val="single" w:sz="4" w:space="0" w:color="auto"/>
              <w:right w:val="single" w:sz="4" w:space="0" w:color="auto"/>
            </w:tcBorders>
            <w:hideMark/>
          </w:tcPr>
          <w:p w14:paraId="34F2D57D" w14:textId="1E9F680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62F4FDE4" w14:textId="67CE9ED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6BBCF9BA" w14:textId="16D7090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1,541</w:t>
            </w:r>
          </w:p>
        </w:tc>
        <w:tc>
          <w:tcPr>
            <w:tcW w:w="1134" w:type="dxa"/>
            <w:tcBorders>
              <w:top w:val="nil"/>
              <w:left w:val="nil"/>
              <w:bottom w:val="single" w:sz="4" w:space="0" w:color="auto"/>
              <w:right w:val="single" w:sz="4" w:space="0" w:color="auto"/>
            </w:tcBorders>
            <w:hideMark/>
          </w:tcPr>
          <w:p w14:paraId="4BC555F9" w14:textId="68764CD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1,541</w:t>
            </w:r>
          </w:p>
        </w:tc>
        <w:tc>
          <w:tcPr>
            <w:tcW w:w="1615" w:type="dxa"/>
            <w:tcBorders>
              <w:top w:val="nil"/>
              <w:left w:val="nil"/>
              <w:bottom w:val="single" w:sz="4" w:space="0" w:color="auto"/>
              <w:right w:val="single" w:sz="4" w:space="0" w:color="auto"/>
            </w:tcBorders>
            <w:hideMark/>
          </w:tcPr>
          <w:p w14:paraId="6C7FFF9B" w14:textId="6D19A2E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1,541</w:t>
            </w:r>
          </w:p>
        </w:tc>
      </w:tr>
      <w:tr w:rsidR="00B807EE" w:rsidRPr="00024D5A" w14:paraId="0C25DE23"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C5D9F1"/>
            <w:hideMark/>
          </w:tcPr>
          <w:p w14:paraId="4580009A" w14:textId="43A1E9E4"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Masa </w:t>
            </w:r>
            <w:r w:rsidR="005B751C" w:rsidRPr="00024D5A">
              <w:rPr>
                <w:rFonts w:ascii="Garamond" w:eastAsia="Times New Roman" w:hAnsi="Garamond"/>
                <w:b/>
                <w:bCs/>
                <w:sz w:val="6"/>
                <w:szCs w:val="16"/>
                <w:lang w:eastAsia="en-US"/>
              </w:rPr>
              <w:t xml:space="preserve">prioritare </w:t>
            </w:r>
            <w:r w:rsidRPr="00024D5A">
              <w:rPr>
                <w:rFonts w:ascii="Garamond" w:eastAsia="Times New Roman" w:hAnsi="Garamond"/>
                <w:b/>
                <w:bCs/>
                <w:sz w:val="6"/>
                <w:szCs w:val="16"/>
                <w:lang w:eastAsia="en-US"/>
              </w:rPr>
              <w:t>3.2</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Akses i barabartë në mjedise dhe informacion shëndetësor për të gjitha kategoritë e personave me aftësi të kufizuar</w:t>
            </w:r>
            <w:r w:rsidR="005B751C">
              <w:rPr>
                <w:rFonts w:ascii="Garamond" w:eastAsia="Times New Roman" w:hAnsi="Garamond"/>
                <w:b/>
                <w:bCs/>
                <w:sz w:val="6"/>
                <w:szCs w:val="16"/>
                <w:lang w:eastAsia="en-US"/>
              </w:rPr>
              <w:t>.</w:t>
            </w:r>
          </w:p>
        </w:tc>
        <w:tc>
          <w:tcPr>
            <w:tcW w:w="567" w:type="dxa"/>
            <w:tcBorders>
              <w:top w:val="nil"/>
              <w:left w:val="nil"/>
              <w:bottom w:val="single" w:sz="4" w:space="0" w:color="auto"/>
              <w:right w:val="single" w:sz="4" w:space="0" w:color="auto"/>
            </w:tcBorders>
            <w:shd w:val="clear" w:color="000000" w:fill="C5D9F1"/>
            <w:noWrap/>
            <w:hideMark/>
          </w:tcPr>
          <w:p w14:paraId="5AA3F474"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567" w:type="dxa"/>
            <w:tcBorders>
              <w:top w:val="nil"/>
              <w:left w:val="nil"/>
              <w:bottom w:val="single" w:sz="4" w:space="0" w:color="auto"/>
              <w:right w:val="single" w:sz="4" w:space="0" w:color="auto"/>
            </w:tcBorders>
            <w:shd w:val="clear" w:color="000000" w:fill="C5D9F1"/>
            <w:noWrap/>
            <w:hideMark/>
          </w:tcPr>
          <w:p w14:paraId="5EE5DE2E"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shd w:val="clear" w:color="000000" w:fill="C5D9F1"/>
            <w:noWrap/>
            <w:hideMark/>
          </w:tcPr>
          <w:p w14:paraId="338974F6"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OSHKSH</w:t>
            </w:r>
          </w:p>
        </w:tc>
        <w:tc>
          <w:tcPr>
            <w:tcW w:w="1418" w:type="dxa"/>
            <w:tcBorders>
              <w:top w:val="nil"/>
              <w:left w:val="nil"/>
              <w:bottom w:val="single" w:sz="4" w:space="0" w:color="auto"/>
              <w:right w:val="single" w:sz="4" w:space="0" w:color="auto"/>
            </w:tcBorders>
            <w:shd w:val="clear" w:color="000000" w:fill="C5D9F1"/>
            <w:noWrap/>
            <w:hideMark/>
          </w:tcPr>
          <w:p w14:paraId="3B58CA93"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708" w:type="dxa"/>
            <w:tcBorders>
              <w:top w:val="nil"/>
              <w:left w:val="nil"/>
              <w:bottom w:val="single" w:sz="4" w:space="0" w:color="auto"/>
              <w:right w:val="single" w:sz="4" w:space="0" w:color="auto"/>
            </w:tcBorders>
            <w:shd w:val="clear" w:color="000000" w:fill="C5D9F1"/>
            <w:noWrap/>
            <w:hideMark/>
          </w:tcPr>
          <w:p w14:paraId="58602EA3" w14:textId="22414AC6"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w:t>
            </w:r>
          </w:p>
        </w:tc>
        <w:tc>
          <w:tcPr>
            <w:tcW w:w="567" w:type="dxa"/>
            <w:tcBorders>
              <w:top w:val="nil"/>
              <w:left w:val="nil"/>
              <w:bottom w:val="single" w:sz="4" w:space="0" w:color="auto"/>
              <w:right w:val="single" w:sz="4" w:space="0" w:color="auto"/>
            </w:tcBorders>
            <w:shd w:val="clear" w:color="000000" w:fill="C5D9F1"/>
            <w:noWrap/>
            <w:hideMark/>
          </w:tcPr>
          <w:p w14:paraId="7CE9F6C2" w14:textId="1676B6CE"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4,500</w:t>
            </w:r>
          </w:p>
        </w:tc>
        <w:tc>
          <w:tcPr>
            <w:tcW w:w="567" w:type="dxa"/>
            <w:tcBorders>
              <w:top w:val="nil"/>
              <w:left w:val="nil"/>
              <w:bottom w:val="single" w:sz="4" w:space="0" w:color="auto"/>
              <w:right w:val="single" w:sz="4" w:space="0" w:color="auto"/>
            </w:tcBorders>
            <w:shd w:val="clear" w:color="000000" w:fill="C5D9F1"/>
            <w:noWrap/>
            <w:hideMark/>
          </w:tcPr>
          <w:p w14:paraId="36AC5E9F" w14:textId="03905A36"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4,500</w:t>
            </w:r>
          </w:p>
        </w:tc>
        <w:tc>
          <w:tcPr>
            <w:tcW w:w="1134" w:type="dxa"/>
            <w:tcBorders>
              <w:top w:val="nil"/>
              <w:left w:val="nil"/>
              <w:bottom w:val="single" w:sz="4" w:space="0" w:color="auto"/>
              <w:right w:val="single" w:sz="4" w:space="0" w:color="auto"/>
            </w:tcBorders>
            <w:shd w:val="clear" w:color="000000" w:fill="C5D9F1"/>
            <w:noWrap/>
            <w:hideMark/>
          </w:tcPr>
          <w:p w14:paraId="0DB6D40E" w14:textId="0DD92443"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8,950</w:t>
            </w:r>
          </w:p>
        </w:tc>
        <w:tc>
          <w:tcPr>
            <w:tcW w:w="1615" w:type="dxa"/>
            <w:tcBorders>
              <w:top w:val="nil"/>
              <w:left w:val="nil"/>
              <w:bottom w:val="single" w:sz="4" w:space="0" w:color="auto"/>
              <w:right w:val="single" w:sz="4" w:space="0" w:color="auto"/>
            </w:tcBorders>
            <w:shd w:val="clear" w:color="000000" w:fill="C5D9F1"/>
            <w:noWrap/>
            <w:hideMark/>
          </w:tcPr>
          <w:p w14:paraId="39F1CBD8" w14:textId="5FF814CA"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8,950</w:t>
            </w:r>
          </w:p>
        </w:tc>
      </w:tr>
      <w:tr w:rsidR="00B807EE" w:rsidRPr="00024D5A" w14:paraId="3A118452"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23C78ED4" w14:textId="0AC8B709"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3.2.1</w:t>
            </w:r>
            <w:r w:rsidR="005B751C">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Përgatitja e programeve të promovimit të shëndetit dhe parandalimit të sëmundjeve,</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të aksesueshme dhe të përshtatura për personat me aftësi të kufizuara (informacion në format të aksesueshëm, komunikim alternativ, materiale të lexueshme lehtë, gjuhë e thjeshtuar, gjuhë shenjash).</w:t>
            </w:r>
          </w:p>
        </w:tc>
        <w:tc>
          <w:tcPr>
            <w:tcW w:w="567" w:type="dxa"/>
            <w:tcBorders>
              <w:top w:val="nil"/>
              <w:left w:val="nil"/>
              <w:bottom w:val="single" w:sz="4" w:space="0" w:color="auto"/>
              <w:right w:val="single" w:sz="4" w:space="0" w:color="auto"/>
            </w:tcBorders>
            <w:hideMark/>
          </w:tcPr>
          <w:p w14:paraId="39BF11A4"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2029</w:t>
            </w:r>
          </w:p>
        </w:tc>
        <w:tc>
          <w:tcPr>
            <w:tcW w:w="567" w:type="dxa"/>
            <w:tcBorders>
              <w:top w:val="nil"/>
              <w:left w:val="nil"/>
              <w:bottom w:val="single" w:sz="4" w:space="0" w:color="auto"/>
              <w:right w:val="single" w:sz="4" w:space="0" w:color="auto"/>
            </w:tcBorders>
            <w:hideMark/>
          </w:tcPr>
          <w:p w14:paraId="72148403"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18195337"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OSHKSH</w:t>
            </w:r>
          </w:p>
        </w:tc>
        <w:tc>
          <w:tcPr>
            <w:tcW w:w="1418" w:type="dxa"/>
            <w:tcBorders>
              <w:top w:val="nil"/>
              <w:left w:val="nil"/>
              <w:bottom w:val="single" w:sz="4" w:space="0" w:color="auto"/>
              <w:right w:val="single" w:sz="4" w:space="0" w:color="auto"/>
            </w:tcBorders>
            <w:hideMark/>
          </w:tcPr>
          <w:p w14:paraId="1E9A1CA8"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MSHMS</w:t>
            </w:r>
          </w:p>
        </w:tc>
        <w:tc>
          <w:tcPr>
            <w:tcW w:w="708" w:type="dxa"/>
            <w:tcBorders>
              <w:top w:val="nil"/>
              <w:left w:val="nil"/>
              <w:bottom w:val="single" w:sz="4" w:space="0" w:color="auto"/>
              <w:right w:val="single" w:sz="4" w:space="0" w:color="auto"/>
            </w:tcBorders>
            <w:hideMark/>
          </w:tcPr>
          <w:p w14:paraId="194A0AF0" w14:textId="5206F84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48924B9D" w14:textId="0333E06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2F6BA93E" w14:textId="72FDFCE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504875E1" w14:textId="463882A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2,200</w:t>
            </w:r>
          </w:p>
        </w:tc>
        <w:tc>
          <w:tcPr>
            <w:tcW w:w="1615" w:type="dxa"/>
            <w:tcBorders>
              <w:top w:val="nil"/>
              <w:left w:val="nil"/>
              <w:bottom w:val="single" w:sz="4" w:space="0" w:color="auto"/>
              <w:right w:val="single" w:sz="4" w:space="0" w:color="auto"/>
            </w:tcBorders>
            <w:hideMark/>
          </w:tcPr>
          <w:p w14:paraId="06DF2816" w14:textId="62EA2F9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2,200</w:t>
            </w:r>
          </w:p>
        </w:tc>
      </w:tr>
      <w:tr w:rsidR="00B807EE" w:rsidRPr="00024D5A" w14:paraId="5DAFF85E"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4D0E1DB2" w14:textId="3517980D"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3.2.2 Përshtatja graduale e infrastrukturës fizike të institucioneve shëndetësore në të gjitha nivelet, për të garantuar akses të plotë për personat me aftësi të kufizuara, bazuar në kuadrin ligjor të vendit dhe </w:t>
            </w:r>
            <w:r w:rsidR="005B751C" w:rsidRPr="00024D5A">
              <w:rPr>
                <w:rFonts w:ascii="Garamond" w:eastAsia="Times New Roman" w:hAnsi="Garamond"/>
                <w:sz w:val="6"/>
                <w:szCs w:val="16"/>
                <w:lang w:eastAsia="en-US"/>
              </w:rPr>
              <w:t>standardet</w:t>
            </w:r>
            <w:r w:rsidRPr="00024D5A">
              <w:rPr>
                <w:rFonts w:ascii="Garamond" w:eastAsia="Times New Roman" w:hAnsi="Garamond"/>
                <w:sz w:val="6"/>
                <w:szCs w:val="16"/>
                <w:lang w:eastAsia="en-US"/>
              </w:rPr>
              <w:t xml:space="preserve"> ndërkombëtare.</w:t>
            </w:r>
          </w:p>
        </w:tc>
        <w:tc>
          <w:tcPr>
            <w:tcW w:w="567" w:type="dxa"/>
            <w:tcBorders>
              <w:top w:val="nil"/>
              <w:left w:val="nil"/>
              <w:bottom w:val="single" w:sz="4" w:space="0" w:color="auto"/>
              <w:right w:val="single" w:sz="4" w:space="0" w:color="auto"/>
            </w:tcBorders>
            <w:hideMark/>
          </w:tcPr>
          <w:p w14:paraId="319622B0"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2029</w:t>
            </w:r>
          </w:p>
        </w:tc>
        <w:tc>
          <w:tcPr>
            <w:tcW w:w="567" w:type="dxa"/>
            <w:tcBorders>
              <w:top w:val="nil"/>
              <w:left w:val="nil"/>
              <w:bottom w:val="single" w:sz="4" w:space="0" w:color="auto"/>
              <w:right w:val="single" w:sz="4" w:space="0" w:color="auto"/>
            </w:tcBorders>
            <w:hideMark/>
          </w:tcPr>
          <w:p w14:paraId="67BD786D"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6AC1DA2B"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OSHKSH</w:t>
            </w:r>
          </w:p>
        </w:tc>
        <w:tc>
          <w:tcPr>
            <w:tcW w:w="1418" w:type="dxa"/>
            <w:tcBorders>
              <w:top w:val="nil"/>
              <w:left w:val="nil"/>
              <w:bottom w:val="single" w:sz="4" w:space="0" w:color="auto"/>
              <w:right w:val="single" w:sz="4" w:space="0" w:color="auto"/>
            </w:tcBorders>
            <w:hideMark/>
          </w:tcPr>
          <w:p w14:paraId="29DB8508"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MSHMS</w:t>
            </w:r>
          </w:p>
        </w:tc>
        <w:tc>
          <w:tcPr>
            <w:tcW w:w="708" w:type="dxa"/>
            <w:tcBorders>
              <w:top w:val="nil"/>
              <w:left w:val="nil"/>
              <w:bottom w:val="single" w:sz="4" w:space="0" w:color="auto"/>
              <w:right w:val="single" w:sz="4" w:space="0" w:color="auto"/>
            </w:tcBorders>
            <w:hideMark/>
          </w:tcPr>
          <w:p w14:paraId="658B3C7A" w14:textId="7E53C8B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299BF37B" w14:textId="2AE3CC6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5ED88362" w14:textId="2B729C5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33352E4E" w14:textId="6224BBC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2,250</w:t>
            </w:r>
          </w:p>
        </w:tc>
        <w:tc>
          <w:tcPr>
            <w:tcW w:w="1615" w:type="dxa"/>
            <w:tcBorders>
              <w:top w:val="nil"/>
              <w:left w:val="nil"/>
              <w:bottom w:val="single" w:sz="4" w:space="0" w:color="auto"/>
              <w:right w:val="single" w:sz="4" w:space="0" w:color="auto"/>
            </w:tcBorders>
            <w:hideMark/>
          </w:tcPr>
          <w:p w14:paraId="1A3E28CD" w14:textId="6480C14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2,250</w:t>
            </w:r>
          </w:p>
        </w:tc>
      </w:tr>
      <w:tr w:rsidR="00B807EE" w:rsidRPr="00024D5A" w14:paraId="2E12F72A"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42D81B52" w14:textId="77DDC18A"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3.3.3 Përgatitja e informacionit shëndetësor në formate të aksesueshme për të gjitha kategoritë e aftësisë së kufizuar në të gjith</w:t>
            </w:r>
            <w:r w:rsidR="007675EC" w:rsidRPr="00024D5A">
              <w:rPr>
                <w:rFonts w:ascii="Garamond" w:eastAsia="Times New Roman" w:hAnsi="Garamond"/>
                <w:sz w:val="6"/>
                <w:szCs w:val="16"/>
                <w:lang w:eastAsia="en-US"/>
              </w:rPr>
              <w:t>a</w:t>
            </w:r>
            <w:r w:rsidRPr="00024D5A">
              <w:rPr>
                <w:rFonts w:ascii="Garamond" w:eastAsia="Times New Roman" w:hAnsi="Garamond"/>
                <w:sz w:val="6"/>
                <w:szCs w:val="16"/>
                <w:lang w:eastAsia="en-US"/>
              </w:rPr>
              <w:t xml:space="preserve"> nivelet e ofrimit të shërbimit shëndetësor, në përputhje me </w:t>
            </w:r>
            <w:r w:rsidR="005B751C">
              <w:rPr>
                <w:rFonts w:ascii="Garamond" w:eastAsia="Times New Roman" w:hAnsi="Garamond"/>
                <w:sz w:val="6"/>
                <w:szCs w:val="16"/>
                <w:lang w:eastAsia="en-US"/>
              </w:rPr>
              <w:t>k</w:t>
            </w:r>
            <w:r w:rsidRPr="00024D5A">
              <w:rPr>
                <w:rFonts w:ascii="Garamond" w:eastAsia="Times New Roman" w:hAnsi="Garamond"/>
                <w:sz w:val="6"/>
                <w:szCs w:val="16"/>
                <w:lang w:eastAsia="en-US"/>
              </w:rPr>
              <w:t xml:space="preserve">uadrin ligjor </w:t>
            </w:r>
            <w:r w:rsidR="003F2F02" w:rsidRPr="00024D5A">
              <w:rPr>
                <w:rFonts w:ascii="Garamond" w:eastAsia="Times New Roman" w:hAnsi="Garamond"/>
                <w:sz w:val="6"/>
                <w:szCs w:val="16"/>
                <w:lang w:eastAsia="en-US"/>
              </w:rPr>
              <w:t>vendës</w:t>
            </w:r>
            <w:r w:rsidRPr="00024D5A">
              <w:rPr>
                <w:rFonts w:ascii="Garamond" w:eastAsia="Times New Roman" w:hAnsi="Garamond"/>
                <w:sz w:val="6"/>
                <w:szCs w:val="16"/>
                <w:lang w:eastAsia="en-US"/>
              </w:rPr>
              <w:t xml:space="preserve"> dhe </w:t>
            </w:r>
            <w:r w:rsidR="005B751C" w:rsidRPr="00024D5A">
              <w:rPr>
                <w:rFonts w:ascii="Garamond" w:eastAsia="Times New Roman" w:hAnsi="Garamond"/>
                <w:sz w:val="6"/>
                <w:szCs w:val="16"/>
                <w:lang w:eastAsia="en-US"/>
              </w:rPr>
              <w:t>standardet</w:t>
            </w:r>
            <w:r w:rsidRPr="00024D5A">
              <w:rPr>
                <w:rFonts w:ascii="Garamond" w:eastAsia="Times New Roman" w:hAnsi="Garamond"/>
                <w:sz w:val="6"/>
                <w:szCs w:val="16"/>
                <w:lang w:eastAsia="en-US"/>
              </w:rPr>
              <w:t xml:space="preserve"> ndërkombëtare (audio, video, </w:t>
            </w:r>
            <w:r w:rsidR="005B751C" w:rsidRPr="00024D5A">
              <w:rPr>
                <w:rFonts w:ascii="Garamond" w:eastAsia="Times New Roman" w:hAnsi="Garamond"/>
                <w:sz w:val="6"/>
                <w:szCs w:val="16"/>
                <w:lang w:eastAsia="en-US"/>
              </w:rPr>
              <w:t>Braille</w:t>
            </w:r>
            <w:r w:rsidRPr="00024D5A">
              <w:rPr>
                <w:rFonts w:ascii="Garamond" w:eastAsia="Times New Roman" w:hAnsi="Garamond"/>
                <w:sz w:val="6"/>
                <w:szCs w:val="16"/>
                <w:lang w:eastAsia="en-US"/>
              </w:rPr>
              <w:t>, lehtësisht të lexueshme, gjuha e shenjave)</w:t>
            </w:r>
          </w:p>
        </w:tc>
        <w:tc>
          <w:tcPr>
            <w:tcW w:w="567" w:type="dxa"/>
            <w:tcBorders>
              <w:top w:val="nil"/>
              <w:left w:val="nil"/>
              <w:bottom w:val="single" w:sz="4" w:space="0" w:color="auto"/>
              <w:right w:val="single" w:sz="4" w:space="0" w:color="auto"/>
            </w:tcBorders>
            <w:hideMark/>
          </w:tcPr>
          <w:p w14:paraId="779CE536"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2027</w:t>
            </w:r>
          </w:p>
        </w:tc>
        <w:tc>
          <w:tcPr>
            <w:tcW w:w="567" w:type="dxa"/>
            <w:tcBorders>
              <w:top w:val="nil"/>
              <w:left w:val="nil"/>
              <w:bottom w:val="single" w:sz="4" w:space="0" w:color="auto"/>
              <w:right w:val="single" w:sz="4" w:space="0" w:color="auto"/>
            </w:tcBorders>
            <w:hideMark/>
          </w:tcPr>
          <w:p w14:paraId="5912534F"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nil"/>
              <w:bottom w:val="single" w:sz="4" w:space="0" w:color="auto"/>
              <w:right w:val="single" w:sz="4" w:space="0" w:color="auto"/>
            </w:tcBorders>
            <w:hideMark/>
          </w:tcPr>
          <w:p w14:paraId="2F12DFEE"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OSHKSH</w:t>
            </w:r>
          </w:p>
        </w:tc>
        <w:tc>
          <w:tcPr>
            <w:tcW w:w="1418" w:type="dxa"/>
            <w:tcBorders>
              <w:top w:val="nil"/>
              <w:left w:val="nil"/>
              <w:bottom w:val="single" w:sz="4" w:space="0" w:color="auto"/>
              <w:right w:val="single" w:sz="4" w:space="0" w:color="auto"/>
            </w:tcBorders>
            <w:hideMark/>
          </w:tcPr>
          <w:p w14:paraId="02258C53"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MSHMS</w:t>
            </w:r>
          </w:p>
        </w:tc>
        <w:tc>
          <w:tcPr>
            <w:tcW w:w="708" w:type="dxa"/>
            <w:tcBorders>
              <w:top w:val="nil"/>
              <w:left w:val="nil"/>
              <w:bottom w:val="single" w:sz="4" w:space="0" w:color="auto"/>
              <w:right w:val="single" w:sz="4" w:space="0" w:color="auto"/>
            </w:tcBorders>
            <w:hideMark/>
          </w:tcPr>
          <w:p w14:paraId="7584FDFA" w14:textId="4129B0A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0A105803" w14:textId="4A153AE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4,500</w:t>
            </w:r>
          </w:p>
        </w:tc>
        <w:tc>
          <w:tcPr>
            <w:tcW w:w="567" w:type="dxa"/>
            <w:tcBorders>
              <w:top w:val="nil"/>
              <w:left w:val="nil"/>
              <w:bottom w:val="single" w:sz="4" w:space="0" w:color="auto"/>
              <w:right w:val="single" w:sz="4" w:space="0" w:color="auto"/>
            </w:tcBorders>
            <w:hideMark/>
          </w:tcPr>
          <w:p w14:paraId="300D1C9E" w14:textId="5308065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4,500</w:t>
            </w:r>
          </w:p>
        </w:tc>
        <w:tc>
          <w:tcPr>
            <w:tcW w:w="1134" w:type="dxa"/>
            <w:tcBorders>
              <w:top w:val="nil"/>
              <w:left w:val="nil"/>
              <w:bottom w:val="single" w:sz="4" w:space="0" w:color="auto"/>
              <w:right w:val="single" w:sz="4" w:space="0" w:color="auto"/>
            </w:tcBorders>
            <w:hideMark/>
          </w:tcPr>
          <w:p w14:paraId="020FB5B7" w14:textId="7E9715A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4,500</w:t>
            </w:r>
          </w:p>
        </w:tc>
        <w:tc>
          <w:tcPr>
            <w:tcW w:w="1615" w:type="dxa"/>
            <w:tcBorders>
              <w:top w:val="nil"/>
              <w:left w:val="nil"/>
              <w:bottom w:val="single" w:sz="4" w:space="0" w:color="auto"/>
              <w:right w:val="single" w:sz="4" w:space="0" w:color="auto"/>
            </w:tcBorders>
            <w:hideMark/>
          </w:tcPr>
          <w:p w14:paraId="2FBAD891" w14:textId="6237F61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4,500</w:t>
            </w:r>
          </w:p>
        </w:tc>
      </w:tr>
      <w:tr w:rsidR="00B807EE" w:rsidRPr="00024D5A" w14:paraId="3B588DC9" w14:textId="77777777" w:rsidTr="002B321E">
        <w:trPr>
          <w:trHeight w:val="20"/>
        </w:trPr>
        <w:tc>
          <w:tcPr>
            <w:tcW w:w="4673" w:type="dxa"/>
            <w:tcBorders>
              <w:top w:val="single" w:sz="8" w:space="0" w:color="auto"/>
              <w:left w:val="single" w:sz="4" w:space="0" w:color="auto"/>
              <w:bottom w:val="single" w:sz="8" w:space="0" w:color="auto"/>
              <w:right w:val="single" w:sz="4" w:space="0" w:color="auto"/>
            </w:tcBorders>
            <w:shd w:val="clear" w:color="000000" w:fill="F276AB"/>
            <w:hideMark/>
          </w:tcPr>
          <w:p w14:paraId="28A0D17D" w14:textId="6B948DAC"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VII. </w:t>
            </w:r>
            <w:r w:rsidR="00CB1F64">
              <w:rPr>
                <w:rFonts w:ascii="Garamond" w:eastAsia="Times New Roman" w:hAnsi="Garamond"/>
                <w:b/>
                <w:bCs/>
                <w:sz w:val="6"/>
                <w:szCs w:val="16"/>
                <w:lang w:eastAsia="en-US"/>
              </w:rPr>
              <w:t>P</w:t>
            </w:r>
            <w:bookmarkStart w:id="90" w:name="_GoBack"/>
            <w:bookmarkEnd w:id="90"/>
            <w:r w:rsidR="00CB1F64" w:rsidRPr="00024D5A">
              <w:rPr>
                <w:rFonts w:ascii="Garamond" w:eastAsia="Times New Roman" w:hAnsi="Garamond"/>
                <w:b/>
                <w:bCs/>
                <w:sz w:val="6"/>
                <w:szCs w:val="16"/>
                <w:lang w:eastAsia="en-US"/>
              </w:rPr>
              <w:t xml:space="preserve">ËRFSHIRJA </w:t>
            </w:r>
            <w:r w:rsidRPr="00024D5A">
              <w:rPr>
                <w:rFonts w:ascii="Garamond" w:eastAsia="Times New Roman" w:hAnsi="Garamond"/>
                <w:b/>
                <w:bCs/>
                <w:sz w:val="6"/>
                <w:szCs w:val="16"/>
                <w:lang w:eastAsia="en-US"/>
              </w:rPr>
              <w:t>N</w:t>
            </w:r>
            <w:r w:rsidR="000E07F0" w:rsidRPr="00024D5A">
              <w:rPr>
                <w:rFonts w:ascii="Garamond" w:eastAsia="Times New Roman" w:hAnsi="Garamond"/>
                <w:b/>
                <w:bCs/>
                <w:sz w:val="6"/>
                <w:szCs w:val="16"/>
                <w:lang w:eastAsia="en-US"/>
              </w:rPr>
              <w:t>Ë</w:t>
            </w:r>
            <w:r w:rsidRPr="00024D5A">
              <w:rPr>
                <w:rFonts w:ascii="Garamond" w:eastAsia="Times New Roman" w:hAnsi="Garamond"/>
                <w:b/>
                <w:bCs/>
                <w:sz w:val="6"/>
                <w:szCs w:val="16"/>
                <w:lang w:eastAsia="en-US"/>
              </w:rPr>
              <w:t xml:space="preserve"> JET</w:t>
            </w:r>
            <w:r w:rsidR="000E07F0" w:rsidRPr="00024D5A">
              <w:rPr>
                <w:rFonts w:ascii="Garamond" w:eastAsia="Times New Roman" w:hAnsi="Garamond"/>
                <w:b/>
                <w:bCs/>
                <w:sz w:val="6"/>
                <w:szCs w:val="16"/>
                <w:lang w:eastAsia="en-US"/>
              </w:rPr>
              <w:t>Ë</w:t>
            </w:r>
            <w:r w:rsidRPr="00024D5A">
              <w:rPr>
                <w:rFonts w:ascii="Garamond" w:eastAsia="Times New Roman" w:hAnsi="Garamond"/>
                <w:b/>
                <w:bCs/>
                <w:sz w:val="6"/>
                <w:szCs w:val="16"/>
                <w:lang w:eastAsia="en-US"/>
              </w:rPr>
              <w:t>N PUBLIKE DHE POLITIKE</w:t>
            </w:r>
          </w:p>
        </w:tc>
        <w:tc>
          <w:tcPr>
            <w:tcW w:w="567" w:type="dxa"/>
            <w:tcBorders>
              <w:top w:val="single" w:sz="8" w:space="0" w:color="auto"/>
              <w:left w:val="nil"/>
              <w:bottom w:val="single" w:sz="8" w:space="0" w:color="auto"/>
              <w:right w:val="single" w:sz="4" w:space="0" w:color="auto"/>
            </w:tcBorders>
            <w:shd w:val="clear" w:color="000000" w:fill="F276AB"/>
            <w:hideMark/>
          </w:tcPr>
          <w:p w14:paraId="3C9169F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567" w:type="dxa"/>
            <w:tcBorders>
              <w:top w:val="single" w:sz="8" w:space="0" w:color="auto"/>
              <w:left w:val="nil"/>
              <w:bottom w:val="single" w:sz="8" w:space="0" w:color="auto"/>
              <w:right w:val="single" w:sz="4" w:space="0" w:color="auto"/>
            </w:tcBorders>
            <w:shd w:val="clear" w:color="000000" w:fill="F276AB"/>
            <w:hideMark/>
          </w:tcPr>
          <w:p w14:paraId="319B4CD3"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1134" w:type="dxa"/>
            <w:tcBorders>
              <w:top w:val="single" w:sz="8" w:space="0" w:color="auto"/>
              <w:left w:val="nil"/>
              <w:bottom w:val="single" w:sz="8" w:space="0" w:color="auto"/>
              <w:right w:val="single" w:sz="4" w:space="0" w:color="auto"/>
            </w:tcBorders>
            <w:shd w:val="clear" w:color="000000" w:fill="F276AB"/>
            <w:hideMark/>
          </w:tcPr>
          <w:p w14:paraId="2DDF0C8D"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1418" w:type="dxa"/>
            <w:tcBorders>
              <w:top w:val="single" w:sz="8" w:space="0" w:color="auto"/>
              <w:left w:val="nil"/>
              <w:bottom w:val="single" w:sz="8" w:space="0" w:color="auto"/>
              <w:right w:val="single" w:sz="4" w:space="0" w:color="auto"/>
            </w:tcBorders>
            <w:shd w:val="clear" w:color="000000" w:fill="F276AB"/>
            <w:hideMark/>
          </w:tcPr>
          <w:p w14:paraId="60F14527"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708" w:type="dxa"/>
            <w:tcBorders>
              <w:top w:val="single" w:sz="8" w:space="0" w:color="auto"/>
              <w:left w:val="nil"/>
              <w:bottom w:val="single" w:sz="8" w:space="0" w:color="auto"/>
              <w:right w:val="single" w:sz="4" w:space="0" w:color="auto"/>
            </w:tcBorders>
            <w:shd w:val="clear" w:color="000000" w:fill="F276AB"/>
            <w:hideMark/>
          </w:tcPr>
          <w:p w14:paraId="22F6D165" w14:textId="753DB117"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2,077</w:t>
            </w:r>
          </w:p>
        </w:tc>
        <w:tc>
          <w:tcPr>
            <w:tcW w:w="567" w:type="dxa"/>
            <w:tcBorders>
              <w:top w:val="single" w:sz="8" w:space="0" w:color="auto"/>
              <w:left w:val="nil"/>
              <w:bottom w:val="single" w:sz="8" w:space="0" w:color="auto"/>
              <w:right w:val="single" w:sz="4" w:space="0" w:color="auto"/>
            </w:tcBorders>
            <w:shd w:val="clear" w:color="000000" w:fill="F276AB"/>
            <w:hideMark/>
          </w:tcPr>
          <w:p w14:paraId="71CBDC91" w14:textId="05BDA9D0"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6,961</w:t>
            </w:r>
          </w:p>
        </w:tc>
        <w:tc>
          <w:tcPr>
            <w:tcW w:w="567" w:type="dxa"/>
            <w:tcBorders>
              <w:top w:val="single" w:sz="8" w:space="0" w:color="auto"/>
              <w:left w:val="nil"/>
              <w:bottom w:val="single" w:sz="8" w:space="0" w:color="auto"/>
              <w:right w:val="single" w:sz="4" w:space="0" w:color="auto"/>
            </w:tcBorders>
            <w:shd w:val="clear" w:color="000000" w:fill="F276AB"/>
            <w:hideMark/>
          </w:tcPr>
          <w:p w14:paraId="34D98E74" w14:textId="191DC3F5"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4,580</w:t>
            </w:r>
          </w:p>
        </w:tc>
        <w:tc>
          <w:tcPr>
            <w:tcW w:w="1134" w:type="dxa"/>
            <w:tcBorders>
              <w:top w:val="single" w:sz="8" w:space="0" w:color="auto"/>
              <w:left w:val="nil"/>
              <w:bottom w:val="single" w:sz="8" w:space="0" w:color="auto"/>
              <w:right w:val="single" w:sz="4" w:space="0" w:color="auto"/>
            </w:tcBorders>
            <w:shd w:val="clear" w:color="000000" w:fill="F276AB"/>
            <w:hideMark/>
          </w:tcPr>
          <w:p w14:paraId="193AC1A6" w14:textId="02B61FBE"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4,288</w:t>
            </w:r>
          </w:p>
        </w:tc>
        <w:tc>
          <w:tcPr>
            <w:tcW w:w="1615" w:type="dxa"/>
            <w:tcBorders>
              <w:top w:val="single" w:sz="8" w:space="0" w:color="auto"/>
              <w:left w:val="nil"/>
              <w:bottom w:val="single" w:sz="8" w:space="0" w:color="auto"/>
              <w:right w:val="single" w:sz="4" w:space="0" w:color="auto"/>
            </w:tcBorders>
            <w:shd w:val="clear" w:color="000000" w:fill="F276AB"/>
            <w:hideMark/>
          </w:tcPr>
          <w:p w14:paraId="7E23B80C" w14:textId="4EBA5970"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3,788</w:t>
            </w:r>
          </w:p>
        </w:tc>
      </w:tr>
      <w:tr w:rsidR="00B807EE" w:rsidRPr="00024D5A" w14:paraId="496F14B8" w14:textId="77777777" w:rsidTr="002B321E">
        <w:trPr>
          <w:trHeight w:val="20"/>
        </w:trPr>
        <w:tc>
          <w:tcPr>
            <w:tcW w:w="4673" w:type="dxa"/>
            <w:tcBorders>
              <w:top w:val="nil"/>
              <w:left w:val="single" w:sz="4" w:space="0" w:color="auto"/>
              <w:bottom w:val="single" w:sz="4" w:space="0" w:color="auto"/>
              <w:right w:val="nil"/>
            </w:tcBorders>
            <w:shd w:val="clear" w:color="000000" w:fill="FDE9D9"/>
            <w:hideMark/>
          </w:tcPr>
          <w:p w14:paraId="4F442160" w14:textId="67D9495C"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Objektivi </w:t>
            </w:r>
            <w:r w:rsidR="005B751C" w:rsidRPr="00024D5A">
              <w:rPr>
                <w:rFonts w:ascii="Garamond" w:eastAsia="Times New Roman" w:hAnsi="Garamond"/>
                <w:b/>
                <w:bCs/>
                <w:sz w:val="6"/>
                <w:szCs w:val="16"/>
                <w:lang w:eastAsia="en-US"/>
              </w:rPr>
              <w:t xml:space="preserve">specifik </w:t>
            </w:r>
            <w:r w:rsidRPr="00024D5A">
              <w:rPr>
                <w:rFonts w:ascii="Garamond" w:eastAsia="Times New Roman" w:hAnsi="Garamond"/>
                <w:b/>
                <w:bCs/>
                <w:sz w:val="6"/>
                <w:szCs w:val="16"/>
                <w:lang w:eastAsia="en-US"/>
              </w:rPr>
              <w:t>1</w:t>
            </w:r>
            <w:r w:rsidR="003526AF">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Rritja e numrit të personave me aftësi të kufizuara në procesin e votimit, dhënia e mundësisë për të mbrojtur interesat e tyre dhe për të marrë pjesë në vendimmarrje</w:t>
            </w:r>
            <w:r w:rsidR="005B751C">
              <w:rPr>
                <w:rFonts w:ascii="Garamond" w:eastAsia="Times New Roman" w:hAnsi="Garamond"/>
                <w:b/>
                <w:bCs/>
                <w:sz w:val="6"/>
                <w:szCs w:val="16"/>
                <w:lang w:eastAsia="en-US"/>
              </w:rPr>
              <w:t>.</w:t>
            </w:r>
          </w:p>
        </w:tc>
        <w:tc>
          <w:tcPr>
            <w:tcW w:w="567" w:type="dxa"/>
            <w:tcBorders>
              <w:top w:val="single" w:sz="4" w:space="0" w:color="auto"/>
              <w:left w:val="single" w:sz="4" w:space="0" w:color="auto"/>
              <w:bottom w:val="single" w:sz="4" w:space="0" w:color="auto"/>
              <w:right w:val="single" w:sz="4" w:space="0" w:color="auto"/>
            </w:tcBorders>
            <w:shd w:val="clear" w:color="000000" w:fill="FDE9D9"/>
            <w:hideMark/>
          </w:tcPr>
          <w:p w14:paraId="03C1330D"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single" w:sz="4" w:space="0" w:color="auto"/>
              <w:left w:val="nil"/>
              <w:bottom w:val="single" w:sz="4" w:space="0" w:color="auto"/>
              <w:right w:val="nil"/>
            </w:tcBorders>
            <w:shd w:val="clear" w:color="000000" w:fill="FDE9D9"/>
            <w:hideMark/>
          </w:tcPr>
          <w:p w14:paraId="25D01EAA"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single" w:sz="4" w:space="0" w:color="auto"/>
              <w:left w:val="single" w:sz="4" w:space="0" w:color="auto"/>
              <w:bottom w:val="single" w:sz="4" w:space="0" w:color="auto"/>
              <w:right w:val="single" w:sz="4" w:space="0" w:color="auto"/>
            </w:tcBorders>
            <w:shd w:val="clear" w:color="000000" w:fill="FDE9D9"/>
            <w:hideMark/>
          </w:tcPr>
          <w:p w14:paraId="3C35284A"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MSHMS/KQZ</w:t>
            </w:r>
          </w:p>
        </w:tc>
        <w:tc>
          <w:tcPr>
            <w:tcW w:w="1418" w:type="dxa"/>
            <w:tcBorders>
              <w:top w:val="single" w:sz="4" w:space="0" w:color="auto"/>
              <w:left w:val="nil"/>
              <w:bottom w:val="single" w:sz="4" w:space="0" w:color="auto"/>
              <w:right w:val="single" w:sz="4" w:space="0" w:color="auto"/>
            </w:tcBorders>
            <w:shd w:val="clear" w:color="000000" w:fill="FDE9D9"/>
            <w:hideMark/>
          </w:tcPr>
          <w:p w14:paraId="5E577220" w14:textId="7A9970EA"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KQZ</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bashkit</w:t>
            </w:r>
            <w:r w:rsidR="00A74194">
              <w:rPr>
                <w:rFonts w:ascii="Garamond" w:eastAsia="Times New Roman" w:hAnsi="Garamond"/>
                <w:b/>
                <w:bCs/>
                <w:sz w:val="6"/>
                <w:szCs w:val="16"/>
                <w:lang w:eastAsia="en-US"/>
              </w:rPr>
              <w:t>ë</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OJF</w:t>
            </w:r>
          </w:p>
        </w:tc>
        <w:tc>
          <w:tcPr>
            <w:tcW w:w="708" w:type="dxa"/>
            <w:tcBorders>
              <w:top w:val="nil"/>
              <w:left w:val="nil"/>
              <w:bottom w:val="single" w:sz="4" w:space="0" w:color="auto"/>
              <w:right w:val="nil"/>
            </w:tcBorders>
            <w:shd w:val="clear" w:color="000000" w:fill="FDE9D9"/>
            <w:hideMark/>
          </w:tcPr>
          <w:p w14:paraId="5BC22E42" w14:textId="272C39C0"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2,077</w:t>
            </w:r>
          </w:p>
        </w:tc>
        <w:tc>
          <w:tcPr>
            <w:tcW w:w="567" w:type="dxa"/>
            <w:tcBorders>
              <w:top w:val="nil"/>
              <w:left w:val="single" w:sz="4" w:space="0" w:color="auto"/>
              <w:bottom w:val="single" w:sz="4" w:space="0" w:color="auto"/>
              <w:right w:val="nil"/>
            </w:tcBorders>
            <w:shd w:val="clear" w:color="000000" w:fill="FDE9D9"/>
            <w:hideMark/>
          </w:tcPr>
          <w:p w14:paraId="437584C0" w14:textId="12235F24"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3,503</w:t>
            </w:r>
          </w:p>
        </w:tc>
        <w:tc>
          <w:tcPr>
            <w:tcW w:w="567" w:type="dxa"/>
            <w:tcBorders>
              <w:top w:val="nil"/>
              <w:left w:val="single" w:sz="4" w:space="0" w:color="auto"/>
              <w:bottom w:val="single" w:sz="4" w:space="0" w:color="auto"/>
              <w:right w:val="nil"/>
            </w:tcBorders>
            <w:shd w:val="clear" w:color="000000" w:fill="FDE9D9"/>
            <w:hideMark/>
          </w:tcPr>
          <w:p w14:paraId="0E728D60" w14:textId="5A8F7AE1"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766</w:t>
            </w:r>
          </w:p>
        </w:tc>
        <w:tc>
          <w:tcPr>
            <w:tcW w:w="1134" w:type="dxa"/>
            <w:tcBorders>
              <w:top w:val="nil"/>
              <w:left w:val="single" w:sz="4" w:space="0" w:color="auto"/>
              <w:bottom w:val="single" w:sz="4" w:space="0" w:color="auto"/>
              <w:right w:val="nil"/>
            </w:tcBorders>
            <w:shd w:val="clear" w:color="000000" w:fill="FDE9D9"/>
            <w:hideMark/>
          </w:tcPr>
          <w:p w14:paraId="5BA64443" w14:textId="74ED182C"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966</w:t>
            </w:r>
          </w:p>
        </w:tc>
        <w:tc>
          <w:tcPr>
            <w:tcW w:w="1615" w:type="dxa"/>
            <w:tcBorders>
              <w:top w:val="nil"/>
              <w:left w:val="single" w:sz="4" w:space="0" w:color="auto"/>
              <w:bottom w:val="single" w:sz="4" w:space="0" w:color="auto"/>
              <w:right w:val="nil"/>
            </w:tcBorders>
            <w:shd w:val="clear" w:color="000000" w:fill="FDE9D9"/>
            <w:hideMark/>
          </w:tcPr>
          <w:p w14:paraId="14959483" w14:textId="19C79D04"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466</w:t>
            </w:r>
          </w:p>
        </w:tc>
      </w:tr>
      <w:tr w:rsidR="00B807EE" w:rsidRPr="00024D5A" w14:paraId="1373B969"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DCE6F1"/>
            <w:hideMark/>
          </w:tcPr>
          <w:p w14:paraId="457ABA59" w14:textId="545B59AA"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Masa </w:t>
            </w:r>
            <w:r w:rsidR="005B751C" w:rsidRPr="00024D5A">
              <w:rPr>
                <w:rFonts w:ascii="Garamond" w:eastAsia="Times New Roman" w:hAnsi="Garamond"/>
                <w:b/>
                <w:bCs/>
                <w:sz w:val="6"/>
                <w:szCs w:val="16"/>
                <w:lang w:eastAsia="en-US"/>
              </w:rPr>
              <w:t xml:space="preserve">prioritare </w:t>
            </w:r>
            <w:r w:rsidRPr="00024D5A">
              <w:rPr>
                <w:rFonts w:ascii="Garamond" w:eastAsia="Times New Roman" w:hAnsi="Garamond"/>
                <w:b/>
                <w:bCs/>
                <w:sz w:val="6"/>
                <w:szCs w:val="16"/>
                <w:lang w:eastAsia="en-US"/>
              </w:rPr>
              <w:t>1.1</w:t>
            </w:r>
            <w:r w:rsidR="003526AF">
              <w:rPr>
                <w:rFonts w:ascii="Garamond" w:eastAsia="Times New Roman" w:hAnsi="Garamond"/>
                <w:b/>
                <w:bCs/>
                <w:sz w:val="6"/>
                <w:szCs w:val="16"/>
                <w:lang w:eastAsia="en-US"/>
              </w:rPr>
              <w:t>:</w:t>
            </w:r>
            <w:r w:rsidR="008F29FA" w:rsidRPr="00024D5A">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Përmirësime ligjore për të mundësuar pjesëmarrjen në votime të të gjithë votuesve me aftësi të kufizuara.</w:t>
            </w:r>
          </w:p>
        </w:tc>
        <w:tc>
          <w:tcPr>
            <w:tcW w:w="567" w:type="dxa"/>
            <w:tcBorders>
              <w:top w:val="nil"/>
              <w:left w:val="nil"/>
              <w:bottom w:val="single" w:sz="4" w:space="0" w:color="auto"/>
              <w:right w:val="single" w:sz="4" w:space="0" w:color="auto"/>
            </w:tcBorders>
            <w:shd w:val="clear" w:color="000000" w:fill="DCE6F1"/>
            <w:hideMark/>
          </w:tcPr>
          <w:p w14:paraId="104BCA91"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nil"/>
            </w:tcBorders>
            <w:shd w:val="clear" w:color="000000" w:fill="DCE6F1"/>
            <w:hideMark/>
          </w:tcPr>
          <w:p w14:paraId="46A6D52C"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2029</w:t>
            </w:r>
          </w:p>
        </w:tc>
        <w:tc>
          <w:tcPr>
            <w:tcW w:w="1134" w:type="dxa"/>
            <w:tcBorders>
              <w:top w:val="nil"/>
              <w:left w:val="single" w:sz="4" w:space="0" w:color="auto"/>
              <w:bottom w:val="single" w:sz="4" w:space="0" w:color="auto"/>
              <w:right w:val="single" w:sz="4" w:space="0" w:color="auto"/>
            </w:tcBorders>
            <w:shd w:val="clear" w:color="000000" w:fill="DCE6F1"/>
            <w:hideMark/>
          </w:tcPr>
          <w:p w14:paraId="094CD12E"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KQZ</w:t>
            </w:r>
          </w:p>
        </w:tc>
        <w:tc>
          <w:tcPr>
            <w:tcW w:w="1418" w:type="dxa"/>
            <w:tcBorders>
              <w:top w:val="nil"/>
              <w:left w:val="nil"/>
              <w:bottom w:val="single" w:sz="4" w:space="0" w:color="auto"/>
              <w:right w:val="single" w:sz="4" w:space="0" w:color="auto"/>
            </w:tcBorders>
            <w:shd w:val="clear" w:color="000000" w:fill="DCE6F1"/>
            <w:hideMark/>
          </w:tcPr>
          <w:p w14:paraId="63017D2B" w14:textId="3951B8CE"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r w:rsidR="007675EC" w:rsidRPr="00024D5A">
              <w:rPr>
                <w:rFonts w:ascii="Garamond" w:eastAsia="Times New Roman" w:hAnsi="Garamond"/>
                <w:b/>
                <w:bCs/>
                <w:sz w:val="6"/>
                <w:szCs w:val="16"/>
                <w:lang w:eastAsia="en-US"/>
              </w:rPr>
              <w:t>/</w:t>
            </w:r>
            <w:r w:rsidR="005A46ED" w:rsidRPr="00024D5A">
              <w:rPr>
                <w:rFonts w:ascii="Garamond" w:eastAsia="Times New Roman" w:hAnsi="Garamond"/>
                <w:b/>
                <w:bCs/>
                <w:sz w:val="6"/>
                <w:szCs w:val="16"/>
                <w:lang w:eastAsia="en-US"/>
              </w:rPr>
              <w:t>bashkitë</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OJF</w:t>
            </w:r>
          </w:p>
        </w:tc>
        <w:tc>
          <w:tcPr>
            <w:tcW w:w="708" w:type="dxa"/>
            <w:tcBorders>
              <w:top w:val="nil"/>
              <w:left w:val="nil"/>
              <w:bottom w:val="single" w:sz="4" w:space="0" w:color="auto"/>
              <w:right w:val="single" w:sz="4" w:space="0" w:color="auto"/>
            </w:tcBorders>
            <w:shd w:val="clear" w:color="000000" w:fill="DCE6F1"/>
            <w:hideMark/>
          </w:tcPr>
          <w:p w14:paraId="4B2BC1F2" w14:textId="29DBE705"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2,077</w:t>
            </w:r>
          </w:p>
        </w:tc>
        <w:tc>
          <w:tcPr>
            <w:tcW w:w="567" w:type="dxa"/>
            <w:tcBorders>
              <w:top w:val="nil"/>
              <w:left w:val="nil"/>
              <w:bottom w:val="single" w:sz="4" w:space="0" w:color="auto"/>
              <w:right w:val="single" w:sz="4" w:space="0" w:color="auto"/>
            </w:tcBorders>
            <w:shd w:val="clear" w:color="000000" w:fill="DCE6F1"/>
            <w:hideMark/>
          </w:tcPr>
          <w:p w14:paraId="68BC4D42" w14:textId="01CF6BED"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3,036</w:t>
            </w:r>
          </w:p>
        </w:tc>
        <w:tc>
          <w:tcPr>
            <w:tcW w:w="567" w:type="dxa"/>
            <w:tcBorders>
              <w:top w:val="nil"/>
              <w:left w:val="nil"/>
              <w:bottom w:val="single" w:sz="4" w:space="0" w:color="auto"/>
              <w:right w:val="single" w:sz="4" w:space="0" w:color="auto"/>
            </w:tcBorders>
            <w:shd w:val="clear" w:color="000000" w:fill="DCE6F1"/>
            <w:hideMark/>
          </w:tcPr>
          <w:p w14:paraId="1AECCFD8" w14:textId="064EDB38"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300</w:t>
            </w:r>
          </w:p>
        </w:tc>
        <w:tc>
          <w:tcPr>
            <w:tcW w:w="1134" w:type="dxa"/>
            <w:tcBorders>
              <w:top w:val="nil"/>
              <w:left w:val="nil"/>
              <w:bottom w:val="single" w:sz="4" w:space="0" w:color="auto"/>
              <w:right w:val="single" w:sz="4" w:space="0" w:color="auto"/>
            </w:tcBorders>
            <w:shd w:val="clear" w:color="000000" w:fill="DCE6F1"/>
            <w:hideMark/>
          </w:tcPr>
          <w:p w14:paraId="09EE5668" w14:textId="23FDF648"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500</w:t>
            </w:r>
          </w:p>
        </w:tc>
        <w:tc>
          <w:tcPr>
            <w:tcW w:w="1615" w:type="dxa"/>
            <w:tcBorders>
              <w:top w:val="nil"/>
              <w:left w:val="nil"/>
              <w:bottom w:val="single" w:sz="4" w:space="0" w:color="auto"/>
              <w:right w:val="single" w:sz="4" w:space="0" w:color="auto"/>
            </w:tcBorders>
            <w:shd w:val="clear" w:color="000000" w:fill="DCE6F1"/>
            <w:hideMark/>
          </w:tcPr>
          <w:p w14:paraId="17758B75" w14:textId="3DA6A057"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w:t>
            </w:r>
          </w:p>
        </w:tc>
      </w:tr>
      <w:tr w:rsidR="00B807EE" w:rsidRPr="00024D5A" w14:paraId="592521DF"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599CA392" w14:textId="4420F864"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1.1.1 Kryerja e ndryshimeve në legjislacion, me qëllim detyrimin e </w:t>
            </w:r>
            <w:r w:rsidR="003245E7" w:rsidRPr="00024D5A">
              <w:rPr>
                <w:rFonts w:ascii="Garamond" w:eastAsia="Times New Roman" w:hAnsi="Garamond"/>
                <w:sz w:val="6"/>
                <w:szCs w:val="16"/>
                <w:lang w:eastAsia="en-US"/>
              </w:rPr>
              <w:t>NJVV</w:t>
            </w:r>
            <w:r w:rsidRPr="00024D5A">
              <w:rPr>
                <w:rFonts w:ascii="Garamond" w:eastAsia="Times New Roman" w:hAnsi="Garamond"/>
                <w:sz w:val="6"/>
                <w:szCs w:val="16"/>
                <w:lang w:eastAsia="en-US"/>
              </w:rPr>
              <w:t>-ve për të dërguar në KQZ të dhëna për zgjedhësit me AK</w:t>
            </w:r>
            <w:r w:rsidR="005B751C">
              <w:rPr>
                <w:rFonts w:ascii="Garamond" w:eastAsia="Times New Roman" w:hAnsi="Garamond"/>
                <w:sz w:val="6"/>
                <w:szCs w:val="16"/>
                <w:lang w:eastAsia="en-US"/>
              </w:rPr>
              <w:t>-në</w:t>
            </w:r>
            <w:r w:rsidRPr="00024D5A">
              <w:rPr>
                <w:rFonts w:ascii="Garamond" w:eastAsia="Times New Roman" w:hAnsi="Garamond"/>
                <w:sz w:val="6"/>
                <w:szCs w:val="16"/>
                <w:lang w:eastAsia="en-US"/>
              </w:rPr>
              <w:t xml:space="preserve"> dhe nevojat që ata kanë për të marrë pjesë në procesin e votimit dhe përmirësimi i Kodit Elektoral dhe procedurave administrative për të siguruar akses në procesin e votimit për personat me aftësi të kufizuara</w:t>
            </w:r>
            <w:r w:rsidR="005B751C">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që nuk mund të largohen nga rezidenca e tyre.</w:t>
            </w:r>
          </w:p>
        </w:tc>
        <w:tc>
          <w:tcPr>
            <w:tcW w:w="567" w:type="dxa"/>
            <w:tcBorders>
              <w:top w:val="nil"/>
              <w:left w:val="nil"/>
              <w:bottom w:val="single" w:sz="4" w:space="0" w:color="auto"/>
              <w:right w:val="single" w:sz="4" w:space="0" w:color="auto"/>
            </w:tcBorders>
            <w:hideMark/>
          </w:tcPr>
          <w:p w14:paraId="693BFB3E"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nil"/>
            </w:tcBorders>
            <w:hideMark/>
          </w:tcPr>
          <w:p w14:paraId="3D22663F"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2027</w:t>
            </w:r>
          </w:p>
        </w:tc>
        <w:tc>
          <w:tcPr>
            <w:tcW w:w="1134" w:type="dxa"/>
            <w:tcBorders>
              <w:top w:val="nil"/>
              <w:left w:val="single" w:sz="4" w:space="0" w:color="auto"/>
              <w:bottom w:val="single" w:sz="4" w:space="0" w:color="auto"/>
              <w:right w:val="single" w:sz="4" w:space="0" w:color="auto"/>
            </w:tcBorders>
            <w:hideMark/>
          </w:tcPr>
          <w:p w14:paraId="6BB947DD"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KQZ</w:t>
            </w:r>
          </w:p>
        </w:tc>
        <w:tc>
          <w:tcPr>
            <w:tcW w:w="1418" w:type="dxa"/>
            <w:tcBorders>
              <w:top w:val="nil"/>
              <w:left w:val="nil"/>
              <w:bottom w:val="single" w:sz="4" w:space="0" w:color="auto"/>
              <w:right w:val="single" w:sz="4" w:space="0" w:color="auto"/>
            </w:tcBorders>
            <w:hideMark/>
          </w:tcPr>
          <w:p w14:paraId="3E06E657" w14:textId="67B92D49"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MSHMS</w:t>
            </w:r>
            <w:r w:rsidR="007675EC" w:rsidRPr="00024D5A">
              <w:rPr>
                <w:rFonts w:ascii="Garamond" w:eastAsia="Times New Roman" w:hAnsi="Garamond"/>
                <w:sz w:val="6"/>
                <w:szCs w:val="16"/>
                <w:lang w:eastAsia="en-US"/>
              </w:rPr>
              <w:t>/</w:t>
            </w:r>
            <w:r w:rsidR="005A46ED" w:rsidRPr="00024D5A">
              <w:rPr>
                <w:rFonts w:ascii="Garamond" w:eastAsia="Times New Roman" w:hAnsi="Garamond"/>
                <w:sz w:val="6"/>
                <w:szCs w:val="16"/>
                <w:lang w:eastAsia="en-US"/>
              </w:rPr>
              <w:t>bashkitë</w:t>
            </w:r>
            <w:r w:rsidR="007675EC"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OJF</w:t>
            </w:r>
          </w:p>
        </w:tc>
        <w:tc>
          <w:tcPr>
            <w:tcW w:w="708" w:type="dxa"/>
            <w:tcBorders>
              <w:top w:val="nil"/>
              <w:left w:val="nil"/>
              <w:bottom w:val="single" w:sz="4" w:space="0" w:color="auto"/>
              <w:right w:val="single" w:sz="4" w:space="0" w:color="auto"/>
            </w:tcBorders>
            <w:hideMark/>
          </w:tcPr>
          <w:p w14:paraId="29BF7797" w14:textId="13F2033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2,077</w:t>
            </w:r>
          </w:p>
        </w:tc>
        <w:tc>
          <w:tcPr>
            <w:tcW w:w="567" w:type="dxa"/>
            <w:tcBorders>
              <w:top w:val="nil"/>
              <w:left w:val="nil"/>
              <w:bottom w:val="single" w:sz="4" w:space="0" w:color="auto"/>
              <w:right w:val="single" w:sz="4" w:space="0" w:color="auto"/>
            </w:tcBorders>
            <w:hideMark/>
          </w:tcPr>
          <w:p w14:paraId="315BA97B" w14:textId="133072A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1,373</w:t>
            </w:r>
          </w:p>
        </w:tc>
        <w:tc>
          <w:tcPr>
            <w:tcW w:w="567" w:type="dxa"/>
            <w:tcBorders>
              <w:top w:val="nil"/>
              <w:left w:val="nil"/>
              <w:bottom w:val="single" w:sz="4" w:space="0" w:color="auto"/>
              <w:right w:val="single" w:sz="4" w:space="0" w:color="auto"/>
            </w:tcBorders>
            <w:hideMark/>
          </w:tcPr>
          <w:p w14:paraId="2481B46B" w14:textId="5D77DB6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1EF33375" w14:textId="6177C6D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7309C706" w14:textId="460176E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78C8F512"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0091490C" w14:textId="3FE5E3C1"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1.1.2 Mundësimi i votimit të personave me probleme të zhvillimit intelektual dhe psikosocial për të votuar në mënyrë të pavarur nëpërmjet realizimit të përshtatjes së informacionit të thjeshtuar.</w:t>
            </w:r>
          </w:p>
        </w:tc>
        <w:tc>
          <w:tcPr>
            <w:tcW w:w="567" w:type="dxa"/>
            <w:tcBorders>
              <w:top w:val="nil"/>
              <w:left w:val="nil"/>
              <w:bottom w:val="single" w:sz="4" w:space="0" w:color="auto"/>
              <w:right w:val="single" w:sz="4" w:space="0" w:color="auto"/>
            </w:tcBorders>
            <w:hideMark/>
          </w:tcPr>
          <w:p w14:paraId="60AC0D73"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2027</w:t>
            </w:r>
          </w:p>
        </w:tc>
        <w:tc>
          <w:tcPr>
            <w:tcW w:w="567" w:type="dxa"/>
            <w:tcBorders>
              <w:top w:val="nil"/>
              <w:left w:val="nil"/>
              <w:bottom w:val="single" w:sz="4" w:space="0" w:color="auto"/>
              <w:right w:val="nil"/>
            </w:tcBorders>
            <w:hideMark/>
          </w:tcPr>
          <w:p w14:paraId="438CE88B"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2029</w:t>
            </w:r>
          </w:p>
        </w:tc>
        <w:tc>
          <w:tcPr>
            <w:tcW w:w="1134" w:type="dxa"/>
            <w:tcBorders>
              <w:top w:val="nil"/>
              <w:left w:val="single" w:sz="4" w:space="0" w:color="auto"/>
              <w:bottom w:val="single" w:sz="4" w:space="0" w:color="auto"/>
              <w:right w:val="single" w:sz="4" w:space="0" w:color="auto"/>
            </w:tcBorders>
            <w:hideMark/>
          </w:tcPr>
          <w:p w14:paraId="0FC1F3CA"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KQZ</w:t>
            </w:r>
          </w:p>
        </w:tc>
        <w:tc>
          <w:tcPr>
            <w:tcW w:w="1418" w:type="dxa"/>
            <w:tcBorders>
              <w:top w:val="nil"/>
              <w:left w:val="nil"/>
              <w:bottom w:val="single" w:sz="4" w:space="0" w:color="auto"/>
              <w:right w:val="single" w:sz="4" w:space="0" w:color="auto"/>
            </w:tcBorders>
            <w:hideMark/>
          </w:tcPr>
          <w:p w14:paraId="1EB25750" w14:textId="11E7963A"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KQZ</w:t>
            </w:r>
            <w:r w:rsidR="007675EC" w:rsidRPr="00024D5A">
              <w:rPr>
                <w:rFonts w:ascii="Garamond" w:eastAsia="Times New Roman" w:hAnsi="Garamond"/>
                <w:sz w:val="6"/>
                <w:szCs w:val="16"/>
                <w:lang w:eastAsia="en-US"/>
              </w:rPr>
              <w:t>/</w:t>
            </w:r>
            <w:r w:rsidR="005A46ED" w:rsidRPr="00024D5A">
              <w:rPr>
                <w:rFonts w:ascii="Garamond" w:eastAsia="Times New Roman" w:hAnsi="Garamond"/>
                <w:sz w:val="6"/>
                <w:szCs w:val="16"/>
                <w:lang w:eastAsia="en-US"/>
              </w:rPr>
              <w:t>bashkitë</w:t>
            </w:r>
            <w:r w:rsidR="007675EC"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OJF</w:t>
            </w:r>
          </w:p>
        </w:tc>
        <w:tc>
          <w:tcPr>
            <w:tcW w:w="708" w:type="dxa"/>
            <w:tcBorders>
              <w:top w:val="nil"/>
              <w:left w:val="nil"/>
              <w:bottom w:val="single" w:sz="4" w:space="0" w:color="auto"/>
              <w:right w:val="single" w:sz="4" w:space="0" w:color="auto"/>
            </w:tcBorders>
            <w:hideMark/>
          </w:tcPr>
          <w:p w14:paraId="3ACC641E" w14:textId="148DBEC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4E299463" w14:textId="50A65BD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1,664</w:t>
            </w:r>
          </w:p>
        </w:tc>
        <w:tc>
          <w:tcPr>
            <w:tcW w:w="567" w:type="dxa"/>
            <w:tcBorders>
              <w:top w:val="nil"/>
              <w:left w:val="nil"/>
              <w:bottom w:val="single" w:sz="4" w:space="0" w:color="auto"/>
              <w:right w:val="single" w:sz="4" w:space="0" w:color="auto"/>
            </w:tcBorders>
            <w:hideMark/>
          </w:tcPr>
          <w:p w14:paraId="2C2E6A5D" w14:textId="634DB37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300</w:t>
            </w:r>
          </w:p>
        </w:tc>
        <w:tc>
          <w:tcPr>
            <w:tcW w:w="1134" w:type="dxa"/>
            <w:tcBorders>
              <w:top w:val="nil"/>
              <w:left w:val="nil"/>
              <w:bottom w:val="single" w:sz="4" w:space="0" w:color="auto"/>
              <w:right w:val="single" w:sz="4" w:space="0" w:color="auto"/>
            </w:tcBorders>
            <w:hideMark/>
          </w:tcPr>
          <w:p w14:paraId="0BB347CE" w14:textId="44D5F89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500</w:t>
            </w:r>
          </w:p>
        </w:tc>
        <w:tc>
          <w:tcPr>
            <w:tcW w:w="1615" w:type="dxa"/>
            <w:tcBorders>
              <w:top w:val="nil"/>
              <w:left w:val="nil"/>
              <w:bottom w:val="single" w:sz="4" w:space="0" w:color="auto"/>
              <w:right w:val="single" w:sz="4" w:space="0" w:color="auto"/>
            </w:tcBorders>
            <w:hideMark/>
          </w:tcPr>
          <w:p w14:paraId="77D67164" w14:textId="63D7DEF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3A50D965"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B8CCE4"/>
            <w:hideMark/>
          </w:tcPr>
          <w:p w14:paraId="506EBB62" w14:textId="3E146D21"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 xml:space="preserve">Masa </w:t>
            </w:r>
            <w:r w:rsidR="005B751C" w:rsidRPr="00024D5A">
              <w:rPr>
                <w:rFonts w:ascii="Garamond" w:eastAsia="Times New Roman" w:hAnsi="Garamond"/>
                <w:b/>
                <w:bCs/>
                <w:i/>
                <w:iCs/>
                <w:sz w:val="6"/>
                <w:szCs w:val="16"/>
                <w:lang w:eastAsia="en-US"/>
              </w:rPr>
              <w:t xml:space="preserve">prioritare </w:t>
            </w:r>
            <w:r w:rsidRPr="00024D5A">
              <w:rPr>
                <w:rFonts w:ascii="Garamond" w:eastAsia="Times New Roman" w:hAnsi="Garamond"/>
                <w:b/>
                <w:bCs/>
                <w:i/>
                <w:iCs/>
                <w:sz w:val="6"/>
                <w:szCs w:val="16"/>
                <w:lang w:eastAsia="en-US"/>
              </w:rPr>
              <w:t>1.2</w:t>
            </w:r>
            <w:r w:rsidR="003526AF">
              <w:rPr>
                <w:rFonts w:ascii="Garamond" w:eastAsia="Times New Roman" w:hAnsi="Garamond"/>
                <w:b/>
                <w:bCs/>
                <w:i/>
                <w:iCs/>
                <w:sz w:val="6"/>
                <w:szCs w:val="16"/>
                <w:lang w:eastAsia="en-US"/>
              </w:rPr>
              <w:t>:</w:t>
            </w:r>
            <w:r w:rsidR="008F29FA" w:rsidRPr="00024D5A">
              <w:rPr>
                <w:rFonts w:ascii="Garamond" w:eastAsia="Times New Roman" w:hAnsi="Garamond"/>
                <w:b/>
                <w:bCs/>
                <w:i/>
                <w:iCs/>
                <w:sz w:val="6"/>
                <w:szCs w:val="16"/>
                <w:lang w:eastAsia="en-US"/>
              </w:rPr>
              <w:t xml:space="preserve"> </w:t>
            </w:r>
            <w:r w:rsidRPr="00024D5A">
              <w:rPr>
                <w:rFonts w:ascii="Garamond" w:eastAsia="Times New Roman" w:hAnsi="Garamond"/>
                <w:b/>
                <w:bCs/>
                <w:i/>
                <w:iCs/>
                <w:sz w:val="6"/>
                <w:szCs w:val="16"/>
                <w:lang w:eastAsia="en-US"/>
              </w:rPr>
              <w:t>Rritje e ndërgjegjësimit për pjesëmarrjen e personave me aftësi të kufizuara në proceset zgjedhore, jo vetëm si votues.</w:t>
            </w:r>
          </w:p>
        </w:tc>
        <w:tc>
          <w:tcPr>
            <w:tcW w:w="567" w:type="dxa"/>
            <w:tcBorders>
              <w:top w:val="nil"/>
              <w:left w:val="nil"/>
              <w:bottom w:val="single" w:sz="4" w:space="0" w:color="auto"/>
              <w:right w:val="single" w:sz="4" w:space="0" w:color="auto"/>
            </w:tcBorders>
            <w:shd w:val="clear" w:color="000000" w:fill="B8CCE4"/>
            <w:hideMark/>
          </w:tcPr>
          <w:p w14:paraId="43178494"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2027</w:t>
            </w:r>
          </w:p>
        </w:tc>
        <w:tc>
          <w:tcPr>
            <w:tcW w:w="567" w:type="dxa"/>
            <w:tcBorders>
              <w:top w:val="nil"/>
              <w:left w:val="nil"/>
              <w:bottom w:val="single" w:sz="4" w:space="0" w:color="auto"/>
              <w:right w:val="nil"/>
            </w:tcBorders>
            <w:shd w:val="clear" w:color="000000" w:fill="B8CCE4"/>
            <w:hideMark/>
          </w:tcPr>
          <w:p w14:paraId="784603C5"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2030</w:t>
            </w:r>
          </w:p>
        </w:tc>
        <w:tc>
          <w:tcPr>
            <w:tcW w:w="1134" w:type="dxa"/>
            <w:tcBorders>
              <w:top w:val="nil"/>
              <w:left w:val="single" w:sz="4" w:space="0" w:color="auto"/>
              <w:bottom w:val="single" w:sz="4" w:space="0" w:color="auto"/>
              <w:right w:val="single" w:sz="4" w:space="0" w:color="auto"/>
            </w:tcBorders>
            <w:shd w:val="clear" w:color="000000" w:fill="B8CCE4"/>
            <w:hideMark/>
          </w:tcPr>
          <w:p w14:paraId="310B8CE3"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KQZ</w:t>
            </w:r>
          </w:p>
        </w:tc>
        <w:tc>
          <w:tcPr>
            <w:tcW w:w="1418" w:type="dxa"/>
            <w:tcBorders>
              <w:top w:val="nil"/>
              <w:left w:val="nil"/>
              <w:bottom w:val="single" w:sz="4" w:space="0" w:color="auto"/>
              <w:right w:val="single" w:sz="4" w:space="0" w:color="auto"/>
            </w:tcBorders>
            <w:shd w:val="clear" w:color="000000" w:fill="B8CCE4"/>
            <w:hideMark/>
          </w:tcPr>
          <w:p w14:paraId="23289EBB" w14:textId="66E5B39C" w:rsidR="00700D7D" w:rsidRPr="00024D5A" w:rsidRDefault="005A46E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Bashkitë</w:t>
            </w:r>
            <w:r w:rsidR="007675EC" w:rsidRPr="00024D5A">
              <w:rPr>
                <w:rFonts w:ascii="Garamond" w:eastAsia="Times New Roman" w:hAnsi="Garamond"/>
                <w:b/>
                <w:bCs/>
                <w:i/>
                <w:iCs/>
                <w:sz w:val="6"/>
                <w:szCs w:val="16"/>
                <w:lang w:eastAsia="en-US"/>
              </w:rPr>
              <w:t>/</w:t>
            </w:r>
            <w:r w:rsidR="00700D7D" w:rsidRPr="00024D5A">
              <w:rPr>
                <w:rFonts w:ascii="Garamond" w:eastAsia="Times New Roman" w:hAnsi="Garamond"/>
                <w:b/>
                <w:bCs/>
                <w:i/>
                <w:iCs/>
                <w:sz w:val="6"/>
                <w:szCs w:val="16"/>
                <w:lang w:eastAsia="en-US"/>
              </w:rPr>
              <w:t>OJF</w:t>
            </w:r>
          </w:p>
        </w:tc>
        <w:tc>
          <w:tcPr>
            <w:tcW w:w="708" w:type="dxa"/>
            <w:tcBorders>
              <w:top w:val="nil"/>
              <w:left w:val="nil"/>
              <w:bottom w:val="single" w:sz="4" w:space="0" w:color="auto"/>
              <w:right w:val="single" w:sz="4" w:space="0" w:color="auto"/>
            </w:tcBorders>
            <w:shd w:val="clear" w:color="000000" w:fill="B8CCE4"/>
            <w:hideMark/>
          </w:tcPr>
          <w:p w14:paraId="685E4399" w14:textId="28291D8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shd w:val="clear" w:color="000000" w:fill="B8CCE4"/>
            <w:hideMark/>
          </w:tcPr>
          <w:p w14:paraId="0354325B" w14:textId="5E1F065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466</w:t>
            </w:r>
          </w:p>
        </w:tc>
        <w:tc>
          <w:tcPr>
            <w:tcW w:w="567" w:type="dxa"/>
            <w:tcBorders>
              <w:top w:val="nil"/>
              <w:left w:val="nil"/>
              <w:bottom w:val="single" w:sz="4" w:space="0" w:color="auto"/>
              <w:right w:val="single" w:sz="4" w:space="0" w:color="auto"/>
            </w:tcBorders>
            <w:shd w:val="clear" w:color="000000" w:fill="B8CCE4"/>
            <w:hideMark/>
          </w:tcPr>
          <w:p w14:paraId="501C8481" w14:textId="3DC8E75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466</w:t>
            </w:r>
          </w:p>
        </w:tc>
        <w:tc>
          <w:tcPr>
            <w:tcW w:w="1134" w:type="dxa"/>
            <w:tcBorders>
              <w:top w:val="nil"/>
              <w:left w:val="nil"/>
              <w:bottom w:val="single" w:sz="4" w:space="0" w:color="auto"/>
              <w:right w:val="single" w:sz="4" w:space="0" w:color="auto"/>
            </w:tcBorders>
            <w:shd w:val="clear" w:color="000000" w:fill="B8CCE4"/>
            <w:hideMark/>
          </w:tcPr>
          <w:p w14:paraId="71143296" w14:textId="0ED5475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466</w:t>
            </w:r>
          </w:p>
        </w:tc>
        <w:tc>
          <w:tcPr>
            <w:tcW w:w="1615" w:type="dxa"/>
            <w:tcBorders>
              <w:top w:val="nil"/>
              <w:left w:val="nil"/>
              <w:bottom w:val="single" w:sz="4" w:space="0" w:color="auto"/>
              <w:right w:val="single" w:sz="4" w:space="0" w:color="auto"/>
            </w:tcBorders>
            <w:shd w:val="clear" w:color="000000" w:fill="B8CCE4"/>
            <w:hideMark/>
          </w:tcPr>
          <w:p w14:paraId="2EE5A0A6" w14:textId="06AE951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466</w:t>
            </w:r>
          </w:p>
        </w:tc>
      </w:tr>
      <w:tr w:rsidR="00B807EE" w:rsidRPr="00024D5A" w14:paraId="2ACB1C9A"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4AB0D068"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1.2.1 Organizimi i fushatave në bashkëpunim me organizatat e personave me aftësi të kufizuara për rritjen e ndërgjegjësimit dhe promovimin e pjesëmarrjes së tyre në procesin e votimit.</w:t>
            </w:r>
          </w:p>
        </w:tc>
        <w:tc>
          <w:tcPr>
            <w:tcW w:w="567" w:type="dxa"/>
            <w:tcBorders>
              <w:top w:val="nil"/>
              <w:left w:val="nil"/>
              <w:bottom w:val="single" w:sz="4" w:space="0" w:color="auto"/>
              <w:right w:val="single" w:sz="4" w:space="0" w:color="auto"/>
            </w:tcBorders>
            <w:hideMark/>
          </w:tcPr>
          <w:p w14:paraId="7C38020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2027</w:t>
            </w:r>
          </w:p>
        </w:tc>
        <w:tc>
          <w:tcPr>
            <w:tcW w:w="567" w:type="dxa"/>
            <w:tcBorders>
              <w:top w:val="nil"/>
              <w:left w:val="nil"/>
              <w:bottom w:val="single" w:sz="4" w:space="0" w:color="auto"/>
              <w:right w:val="nil"/>
            </w:tcBorders>
            <w:hideMark/>
          </w:tcPr>
          <w:p w14:paraId="0BB2444C"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single" w:sz="4" w:space="0" w:color="auto"/>
              <w:bottom w:val="single" w:sz="4" w:space="0" w:color="auto"/>
              <w:right w:val="single" w:sz="4" w:space="0" w:color="auto"/>
            </w:tcBorders>
            <w:hideMark/>
          </w:tcPr>
          <w:p w14:paraId="50F2E037"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KQZ</w:t>
            </w:r>
          </w:p>
        </w:tc>
        <w:tc>
          <w:tcPr>
            <w:tcW w:w="1418" w:type="dxa"/>
            <w:tcBorders>
              <w:top w:val="nil"/>
              <w:left w:val="nil"/>
              <w:bottom w:val="single" w:sz="4" w:space="0" w:color="auto"/>
              <w:right w:val="single" w:sz="4" w:space="0" w:color="auto"/>
            </w:tcBorders>
            <w:hideMark/>
          </w:tcPr>
          <w:p w14:paraId="10907833" w14:textId="3B58C0BB" w:rsidR="00700D7D" w:rsidRPr="00024D5A" w:rsidRDefault="005A46E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Bashkitë</w:t>
            </w:r>
            <w:r w:rsidR="007675EC" w:rsidRPr="00024D5A">
              <w:rPr>
                <w:rFonts w:ascii="Garamond" w:eastAsia="Times New Roman" w:hAnsi="Garamond"/>
                <w:sz w:val="6"/>
                <w:szCs w:val="16"/>
                <w:lang w:eastAsia="en-US"/>
              </w:rPr>
              <w:t>/</w:t>
            </w:r>
            <w:r w:rsidR="00700D7D" w:rsidRPr="00024D5A">
              <w:rPr>
                <w:rFonts w:ascii="Garamond" w:eastAsia="Times New Roman" w:hAnsi="Garamond"/>
                <w:sz w:val="6"/>
                <w:szCs w:val="16"/>
                <w:lang w:eastAsia="en-US"/>
              </w:rPr>
              <w:t>OJF</w:t>
            </w:r>
          </w:p>
        </w:tc>
        <w:tc>
          <w:tcPr>
            <w:tcW w:w="708" w:type="dxa"/>
            <w:tcBorders>
              <w:top w:val="nil"/>
              <w:left w:val="nil"/>
              <w:bottom w:val="single" w:sz="4" w:space="0" w:color="auto"/>
              <w:right w:val="single" w:sz="4" w:space="0" w:color="auto"/>
            </w:tcBorders>
            <w:hideMark/>
          </w:tcPr>
          <w:p w14:paraId="115FE451" w14:textId="1F1E5EC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26C6BC36" w14:textId="50D8B4A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466</w:t>
            </w:r>
          </w:p>
        </w:tc>
        <w:tc>
          <w:tcPr>
            <w:tcW w:w="567" w:type="dxa"/>
            <w:tcBorders>
              <w:top w:val="nil"/>
              <w:left w:val="nil"/>
              <w:bottom w:val="single" w:sz="4" w:space="0" w:color="auto"/>
              <w:right w:val="single" w:sz="4" w:space="0" w:color="auto"/>
            </w:tcBorders>
            <w:hideMark/>
          </w:tcPr>
          <w:p w14:paraId="312F33B7" w14:textId="5C31699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466</w:t>
            </w:r>
          </w:p>
        </w:tc>
        <w:tc>
          <w:tcPr>
            <w:tcW w:w="1134" w:type="dxa"/>
            <w:tcBorders>
              <w:top w:val="nil"/>
              <w:left w:val="nil"/>
              <w:bottom w:val="single" w:sz="4" w:space="0" w:color="auto"/>
              <w:right w:val="single" w:sz="4" w:space="0" w:color="auto"/>
            </w:tcBorders>
            <w:hideMark/>
          </w:tcPr>
          <w:p w14:paraId="7ADFD3FC" w14:textId="1B7586A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466</w:t>
            </w:r>
          </w:p>
        </w:tc>
        <w:tc>
          <w:tcPr>
            <w:tcW w:w="1615" w:type="dxa"/>
            <w:tcBorders>
              <w:top w:val="nil"/>
              <w:left w:val="nil"/>
              <w:bottom w:val="single" w:sz="4" w:space="0" w:color="auto"/>
              <w:right w:val="single" w:sz="4" w:space="0" w:color="auto"/>
            </w:tcBorders>
            <w:hideMark/>
          </w:tcPr>
          <w:p w14:paraId="77D468F3" w14:textId="4DF8E48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466</w:t>
            </w:r>
          </w:p>
        </w:tc>
      </w:tr>
      <w:tr w:rsidR="00B807EE" w:rsidRPr="00024D5A" w14:paraId="6670287D"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4D151031" w14:textId="539BAF86" w:rsidR="00700D7D" w:rsidRPr="00024D5A" w:rsidRDefault="008F29FA"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 </w:t>
            </w:r>
            <w:r w:rsidR="00700D7D" w:rsidRPr="00024D5A">
              <w:rPr>
                <w:rFonts w:ascii="Garamond" w:eastAsia="Times New Roman" w:hAnsi="Garamond"/>
                <w:sz w:val="6"/>
                <w:szCs w:val="16"/>
                <w:lang w:eastAsia="en-US"/>
              </w:rPr>
              <w:t>1.2.2 Ndërtimi i kapaciteteve për personat me aftësi të kufizuara, të cilët dëshirojnë të angazhohen si vëzhgues gjatë zgjedhjeve, pjesë e një organizate.</w:t>
            </w:r>
          </w:p>
        </w:tc>
        <w:tc>
          <w:tcPr>
            <w:tcW w:w="567" w:type="dxa"/>
            <w:tcBorders>
              <w:top w:val="nil"/>
              <w:left w:val="nil"/>
              <w:bottom w:val="single" w:sz="4" w:space="0" w:color="auto"/>
              <w:right w:val="single" w:sz="4" w:space="0" w:color="auto"/>
            </w:tcBorders>
            <w:hideMark/>
          </w:tcPr>
          <w:p w14:paraId="3C1B163F"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2027</w:t>
            </w:r>
          </w:p>
        </w:tc>
        <w:tc>
          <w:tcPr>
            <w:tcW w:w="567" w:type="dxa"/>
            <w:tcBorders>
              <w:top w:val="nil"/>
              <w:left w:val="nil"/>
              <w:bottom w:val="single" w:sz="4" w:space="0" w:color="auto"/>
              <w:right w:val="nil"/>
            </w:tcBorders>
            <w:hideMark/>
          </w:tcPr>
          <w:p w14:paraId="76313EAF"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2029</w:t>
            </w:r>
          </w:p>
        </w:tc>
        <w:tc>
          <w:tcPr>
            <w:tcW w:w="1134" w:type="dxa"/>
            <w:tcBorders>
              <w:top w:val="nil"/>
              <w:left w:val="single" w:sz="4" w:space="0" w:color="auto"/>
              <w:bottom w:val="single" w:sz="4" w:space="0" w:color="auto"/>
              <w:right w:val="single" w:sz="4" w:space="0" w:color="auto"/>
            </w:tcBorders>
            <w:hideMark/>
          </w:tcPr>
          <w:p w14:paraId="5A3EAA92"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KQZ</w:t>
            </w:r>
          </w:p>
        </w:tc>
        <w:tc>
          <w:tcPr>
            <w:tcW w:w="1418" w:type="dxa"/>
            <w:tcBorders>
              <w:top w:val="nil"/>
              <w:left w:val="nil"/>
              <w:bottom w:val="single" w:sz="4" w:space="0" w:color="auto"/>
              <w:right w:val="single" w:sz="4" w:space="0" w:color="auto"/>
            </w:tcBorders>
            <w:hideMark/>
          </w:tcPr>
          <w:p w14:paraId="31228B91" w14:textId="48E0FCA9" w:rsidR="00700D7D" w:rsidRPr="00024D5A" w:rsidRDefault="005A46E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Bashkitë</w:t>
            </w:r>
            <w:r w:rsidR="007675EC" w:rsidRPr="00024D5A">
              <w:rPr>
                <w:rFonts w:ascii="Garamond" w:eastAsia="Times New Roman" w:hAnsi="Garamond"/>
                <w:sz w:val="6"/>
                <w:szCs w:val="16"/>
                <w:lang w:eastAsia="en-US"/>
              </w:rPr>
              <w:t>/</w:t>
            </w:r>
            <w:r w:rsidR="00700D7D" w:rsidRPr="00024D5A">
              <w:rPr>
                <w:rFonts w:ascii="Garamond" w:eastAsia="Times New Roman" w:hAnsi="Garamond"/>
                <w:sz w:val="6"/>
                <w:szCs w:val="16"/>
                <w:lang w:eastAsia="en-US"/>
              </w:rPr>
              <w:t>OJF</w:t>
            </w:r>
          </w:p>
        </w:tc>
        <w:tc>
          <w:tcPr>
            <w:tcW w:w="708" w:type="dxa"/>
            <w:tcBorders>
              <w:top w:val="nil"/>
              <w:left w:val="nil"/>
              <w:bottom w:val="single" w:sz="4" w:space="0" w:color="auto"/>
              <w:right w:val="single" w:sz="4" w:space="0" w:color="auto"/>
            </w:tcBorders>
            <w:hideMark/>
          </w:tcPr>
          <w:p w14:paraId="1550FC11" w14:textId="6282803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5EE2C91A" w14:textId="5849BDB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3D49DBBD" w14:textId="49536D3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557FADB6" w14:textId="4117072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1E3806F8" w14:textId="7193322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6849660A" w14:textId="77777777" w:rsidTr="002B321E">
        <w:trPr>
          <w:trHeight w:val="20"/>
        </w:trPr>
        <w:tc>
          <w:tcPr>
            <w:tcW w:w="4673" w:type="dxa"/>
            <w:tcBorders>
              <w:top w:val="nil"/>
              <w:left w:val="single" w:sz="4" w:space="0" w:color="auto"/>
              <w:bottom w:val="single" w:sz="4" w:space="0" w:color="auto"/>
              <w:right w:val="nil"/>
            </w:tcBorders>
            <w:shd w:val="clear" w:color="000000" w:fill="FDE9D9"/>
            <w:hideMark/>
          </w:tcPr>
          <w:p w14:paraId="77CE3FCA" w14:textId="0B4F6E64"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Objektivi specifik 2</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Promovimi i punës së artistëve me aftësi të kufizuara dhe përfshirja e personave me aftësi të kufizuara në jetën artistike</w:t>
            </w:r>
            <w:r w:rsidR="00B47620"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për të marrë pjesë në aktivitete dhe evenimente sportive kombëtare dhe ndërkombëtare</w:t>
            </w:r>
            <w:r w:rsidR="005B751C">
              <w:rPr>
                <w:rFonts w:ascii="Garamond" w:eastAsia="Times New Roman" w:hAnsi="Garamond"/>
                <w:b/>
                <w:bCs/>
                <w:sz w:val="6"/>
                <w:szCs w:val="16"/>
                <w:lang w:eastAsia="en-US"/>
              </w:rPr>
              <w:t>.</w:t>
            </w:r>
          </w:p>
        </w:tc>
        <w:tc>
          <w:tcPr>
            <w:tcW w:w="567" w:type="dxa"/>
            <w:tcBorders>
              <w:top w:val="nil"/>
              <w:left w:val="single" w:sz="4" w:space="0" w:color="auto"/>
              <w:bottom w:val="single" w:sz="4" w:space="0" w:color="auto"/>
              <w:right w:val="single" w:sz="4" w:space="0" w:color="auto"/>
            </w:tcBorders>
            <w:shd w:val="clear" w:color="000000" w:fill="FDE9D9"/>
            <w:hideMark/>
          </w:tcPr>
          <w:p w14:paraId="3E72164E"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nil"/>
            </w:tcBorders>
            <w:shd w:val="clear" w:color="000000" w:fill="FDE9D9"/>
            <w:hideMark/>
          </w:tcPr>
          <w:p w14:paraId="39CE73CC"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single" w:sz="4" w:space="0" w:color="auto"/>
              <w:bottom w:val="single" w:sz="4" w:space="0" w:color="auto"/>
              <w:right w:val="single" w:sz="4" w:space="0" w:color="auto"/>
            </w:tcBorders>
            <w:shd w:val="clear" w:color="000000" w:fill="FDE9D9"/>
            <w:hideMark/>
          </w:tcPr>
          <w:p w14:paraId="403D1B32"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MTKS</w:t>
            </w:r>
          </w:p>
        </w:tc>
        <w:tc>
          <w:tcPr>
            <w:tcW w:w="1418" w:type="dxa"/>
            <w:tcBorders>
              <w:top w:val="nil"/>
              <w:left w:val="nil"/>
              <w:bottom w:val="single" w:sz="4" w:space="0" w:color="auto"/>
              <w:right w:val="single" w:sz="4" w:space="0" w:color="auto"/>
            </w:tcBorders>
            <w:shd w:val="clear" w:color="000000" w:fill="FDE9D9"/>
            <w:hideMark/>
          </w:tcPr>
          <w:p w14:paraId="03492EF3" w14:textId="25F3D55B"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KKS/INSTAT</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OJF/BASHKI</w:t>
            </w:r>
          </w:p>
        </w:tc>
        <w:tc>
          <w:tcPr>
            <w:tcW w:w="708" w:type="dxa"/>
            <w:tcBorders>
              <w:top w:val="nil"/>
              <w:left w:val="nil"/>
              <w:bottom w:val="single" w:sz="4" w:space="0" w:color="auto"/>
              <w:right w:val="nil"/>
            </w:tcBorders>
            <w:shd w:val="clear" w:color="000000" w:fill="FDE9D9"/>
            <w:hideMark/>
          </w:tcPr>
          <w:p w14:paraId="299AD554" w14:textId="4D444853"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w:t>
            </w:r>
          </w:p>
        </w:tc>
        <w:tc>
          <w:tcPr>
            <w:tcW w:w="567" w:type="dxa"/>
            <w:tcBorders>
              <w:top w:val="nil"/>
              <w:left w:val="single" w:sz="4" w:space="0" w:color="auto"/>
              <w:bottom w:val="single" w:sz="4" w:space="0" w:color="auto"/>
              <w:right w:val="nil"/>
            </w:tcBorders>
            <w:shd w:val="clear" w:color="000000" w:fill="FDE9D9"/>
            <w:hideMark/>
          </w:tcPr>
          <w:p w14:paraId="33F6C213" w14:textId="7F3697DD"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3,458</w:t>
            </w:r>
          </w:p>
        </w:tc>
        <w:tc>
          <w:tcPr>
            <w:tcW w:w="567" w:type="dxa"/>
            <w:tcBorders>
              <w:top w:val="nil"/>
              <w:left w:val="single" w:sz="4" w:space="0" w:color="auto"/>
              <w:bottom w:val="single" w:sz="4" w:space="0" w:color="auto"/>
              <w:right w:val="nil"/>
            </w:tcBorders>
            <w:shd w:val="clear" w:color="000000" w:fill="FDE9D9"/>
            <w:hideMark/>
          </w:tcPr>
          <w:p w14:paraId="1C80131E" w14:textId="2DF94792"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3,813</w:t>
            </w:r>
          </w:p>
        </w:tc>
        <w:tc>
          <w:tcPr>
            <w:tcW w:w="1134" w:type="dxa"/>
            <w:tcBorders>
              <w:top w:val="nil"/>
              <w:left w:val="single" w:sz="4" w:space="0" w:color="auto"/>
              <w:bottom w:val="single" w:sz="4" w:space="0" w:color="auto"/>
              <w:right w:val="nil"/>
            </w:tcBorders>
            <w:shd w:val="clear" w:color="000000" w:fill="FDE9D9"/>
            <w:hideMark/>
          </w:tcPr>
          <w:p w14:paraId="786A32EC" w14:textId="395DDC7B"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3,322</w:t>
            </w:r>
          </w:p>
        </w:tc>
        <w:tc>
          <w:tcPr>
            <w:tcW w:w="1615" w:type="dxa"/>
            <w:tcBorders>
              <w:top w:val="nil"/>
              <w:left w:val="single" w:sz="4" w:space="0" w:color="auto"/>
              <w:bottom w:val="single" w:sz="4" w:space="0" w:color="auto"/>
              <w:right w:val="nil"/>
            </w:tcBorders>
            <w:shd w:val="clear" w:color="000000" w:fill="FDE9D9"/>
            <w:hideMark/>
          </w:tcPr>
          <w:p w14:paraId="1D307D73" w14:textId="129C9DC1"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3,322</w:t>
            </w:r>
          </w:p>
        </w:tc>
      </w:tr>
      <w:tr w:rsidR="00B807EE" w:rsidRPr="00024D5A" w14:paraId="708FCA1F"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DCE6F1"/>
            <w:hideMark/>
          </w:tcPr>
          <w:p w14:paraId="62DC6F7D" w14:textId="34B87325"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Masa prioritare 2.1</w:t>
            </w:r>
            <w:r w:rsidR="003526AF">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Rritje e aksesit për pjesëmarrje t</w:t>
            </w:r>
            <w:r w:rsidR="0059189E" w:rsidRPr="00024D5A">
              <w:rPr>
                <w:rFonts w:ascii="Garamond" w:eastAsia="Times New Roman" w:hAnsi="Garamond"/>
                <w:b/>
                <w:bCs/>
                <w:sz w:val="6"/>
                <w:szCs w:val="16"/>
                <w:lang w:eastAsia="en-US"/>
              </w:rPr>
              <w:t>ë</w:t>
            </w:r>
            <w:r w:rsidRPr="00024D5A">
              <w:rPr>
                <w:rFonts w:ascii="Garamond" w:eastAsia="Times New Roman" w:hAnsi="Garamond"/>
                <w:b/>
                <w:bCs/>
                <w:sz w:val="6"/>
                <w:szCs w:val="16"/>
                <w:lang w:eastAsia="en-US"/>
              </w:rPr>
              <w:t xml:space="preserve"> PAK</w:t>
            </w:r>
            <w:r w:rsidR="0059189E" w:rsidRPr="00024D5A">
              <w:rPr>
                <w:rFonts w:ascii="Garamond" w:eastAsia="Times New Roman" w:hAnsi="Garamond"/>
                <w:b/>
                <w:bCs/>
                <w:sz w:val="6"/>
                <w:szCs w:val="16"/>
                <w:lang w:eastAsia="en-US"/>
              </w:rPr>
              <w:t>-së</w:t>
            </w:r>
            <w:r w:rsidRPr="00024D5A">
              <w:rPr>
                <w:rFonts w:ascii="Garamond" w:eastAsia="Times New Roman" w:hAnsi="Garamond"/>
                <w:b/>
                <w:bCs/>
                <w:sz w:val="6"/>
                <w:szCs w:val="16"/>
                <w:lang w:eastAsia="en-US"/>
              </w:rPr>
              <w:t xml:space="preserve"> në aktivitete kulturore dhe sportive</w:t>
            </w:r>
            <w:r w:rsidR="005B751C">
              <w:rPr>
                <w:rFonts w:ascii="Garamond" w:eastAsia="Times New Roman" w:hAnsi="Garamond"/>
                <w:b/>
                <w:bCs/>
                <w:sz w:val="6"/>
                <w:szCs w:val="16"/>
                <w:lang w:eastAsia="en-US"/>
              </w:rPr>
              <w:t>.</w:t>
            </w:r>
          </w:p>
        </w:tc>
        <w:tc>
          <w:tcPr>
            <w:tcW w:w="567" w:type="dxa"/>
            <w:tcBorders>
              <w:top w:val="nil"/>
              <w:left w:val="nil"/>
              <w:bottom w:val="single" w:sz="4" w:space="0" w:color="auto"/>
              <w:right w:val="single" w:sz="4" w:space="0" w:color="auto"/>
            </w:tcBorders>
            <w:shd w:val="clear" w:color="000000" w:fill="DCE6F1"/>
            <w:hideMark/>
          </w:tcPr>
          <w:p w14:paraId="3DADF0CB"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nil"/>
            </w:tcBorders>
            <w:shd w:val="clear" w:color="000000" w:fill="DCE6F1"/>
            <w:hideMark/>
          </w:tcPr>
          <w:p w14:paraId="54FB622E"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single" w:sz="4" w:space="0" w:color="auto"/>
              <w:bottom w:val="single" w:sz="4" w:space="0" w:color="auto"/>
              <w:right w:val="single" w:sz="4" w:space="0" w:color="auto"/>
            </w:tcBorders>
            <w:shd w:val="clear" w:color="000000" w:fill="DCE6F1"/>
            <w:hideMark/>
          </w:tcPr>
          <w:p w14:paraId="4AF24EA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MTKS</w:t>
            </w:r>
          </w:p>
        </w:tc>
        <w:tc>
          <w:tcPr>
            <w:tcW w:w="1418" w:type="dxa"/>
            <w:tcBorders>
              <w:top w:val="nil"/>
              <w:left w:val="nil"/>
              <w:bottom w:val="single" w:sz="4" w:space="0" w:color="auto"/>
              <w:right w:val="single" w:sz="4" w:space="0" w:color="auto"/>
            </w:tcBorders>
            <w:shd w:val="clear" w:color="000000" w:fill="DCE6F1"/>
            <w:hideMark/>
          </w:tcPr>
          <w:p w14:paraId="4CC07BF7" w14:textId="1AD5F5AA"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INSTAT</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OJF/BASHKI</w:t>
            </w:r>
          </w:p>
        </w:tc>
        <w:tc>
          <w:tcPr>
            <w:tcW w:w="708" w:type="dxa"/>
            <w:tcBorders>
              <w:top w:val="nil"/>
              <w:left w:val="nil"/>
              <w:bottom w:val="single" w:sz="4" w:space="0" w:color="auto"/>
              <w:right w:val="nil"/>
            </w:tcBorders>
            <w:shd w:val="clear" w:color="000000" w:fill="DCE6F1"/>
            <w:hideMark/>
          </w:tcPr>
          <w:p w14:paraId="0F609304" w14:textId="0751F3CE"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w:t>
            </w:r>
          </w:p>
        </w:tc>
        <w:tc>
          <w:tcPr>
            <w:tcW w:w="567" w:type="dxa"/>
            <w:tcBorders>
              <w:top w:val="nil"/>
              <w:left w:val="single" w:sz="4" w:space="0" w:color="auto"/>
              <w:bottom w:val="single" w:sz="4" w:space="0" w:color="auto"/>
              <w:right w:val="nil"/>
            </w:tcBorders>
            <w:shd w:val="clear" w:color="000000" w:fill="DCE6F1"/>
            <w:hideMark/>
          </w:tcPr>
          <w:p w14:paraId="06F4C398" w14:textId="00A7C919"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236</w:t>
            </w:r>
          </w:p>
        </w:tc>
        <w:tc>
          <w:tcPr>
            <w:tcW w:w="567" w:type="dxa"/>
            <w:tcBorders>
              <w:top w:val="nil"/>
              <w:left w:val="single" w:sz="4" w:space="0" w:color="auto"/>
              <w:bottom w:val="single" w:sz="4" w:space="0" w:color="auto"/>
              <w:right w:val="nil"/>
            </w:tcBorders>
            <w:shd w:val="clear" w:color="000000" w:fill="DCE6F1"/>
            <w:hideMark/>
          </w:tcPr>
          <w:p w14:paraId="7700481A" w14:textId="3A5A83EF"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136</w:t>
            </w:r>
          </w:p>
        </w:tc>
        <w:tc>
          <w:tcPr>
            <w:tcW w:w="1134" w:type="dxa"/>
            <w:tcBorders>
              <w:top w:val="nil"/>
              <w:left w:val="single" w:sz="4" w:space="0" w:color="auto"/>
              <w:bottom w:val="single" w:sz="4" w:space="0" w:color="auto"/>
              <w:right w:val="nil"/>
            </w:tcBorders>
            <w:shd w:val="clear" w:color="000000" w:fill="DCE6F1"/>
            <w:hideMark/>
          </w:tcPr>
          <w:p w14:paraId="60DAFBE3" w14:textId="15F78703"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136</w:t>
            </w:r>
          </w:p>
        </w:tc>
        <w:tc>
          <w:tcPr>
            <w:tcW w:w="1615" w:type="dxa"/>
            <w:tcBorders>
              <w:top w:val="nil"/>
              <w:left w:val="single" w:sz="4" w:space="0" w:color="auto"/>
              <w:bottom w:val="single" w:sz="4" w:space="0" w:color="auto"/>
              <w:right w:val="nil"/>
            </w:tcBorders>
            <w:shd w:val="clear" w:color="000000" w:fill="DCE6F1"/>
            <w:hideMark/>
          </w:tcPr>
          <w:p w14:paraId="4BFE29A0" w14:textId="1874C627"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136</w:t>
            </w:r>
          </w:p>
        </w:tc>
      </w:tr>
      <w:tr w:rsidR="00B807EE" w:rsidRPr="00024D5A" w14:paraId="2F383E2E"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5749EFC9" w14:textId="60585FA4"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2.1.1 Nënshkrimi i një marrëveshje bashkëpunimi me organizatat e personave me aftësi të kufizuara, për promovimin e pjesëmarrjes së artistëve me AK</w:t>
            </w:r>
            <w:r w:rsidR="005B751C">
              <w:rPr>
                <w:rFonts w:ascii="Garamond" w:eastAsia="Times New Roman" w:hAnsi="Garamond"/>
                <w:sz w:val="6"/>
                <w:szCs w:val="16"/>
                <w:lang w:eastAsia="en-US"/>
              </w:rPr>
              <w:t>-në</w:t>
            </w:r>
            <w:r w:rsidRPr="00024D5A">
              <w:rPr>
                <w:rFonts w:ascii="Garamond" w:eastAsia="Times New Roman" w:hAnsi="Garamond"/>
                <w:sz w:val="6"/>
                <w:szCs w:val="16"/>
                <w:lang w:eastAsia="en-US"/>
              </w:rPr>
              <w:t xml:space="preserve"> në aktivitetet kulturore/artistike dhe sportive, si dhe i aktiviteteve të organizuara nga vet personat me aftësi të kufizuara.</w:t>
            </w:r>
          </w:p>
        </w:tc>
        <w:tc>
          <w:tcPr>
            <w:tcW w:w="567" w:type="dxa"/>
            <w:tcBorders>
              <w:top w:val="nil"/>
              <w:left w:val="nil"/>
              <w:bottom w:val="single" w:sz="4" w:space="0" w:color="auto"/>
              <w:right w:val="single" w:sz="4" w:space="0" w:color="auto"/>
            </w:tcBorders>
            <w:hideMark/>
          </w:tcPr>
          <w:p w14:paraId="4A80DAD8"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2027</w:t>
            </w:r>
          </w:p>
        </w:tc>
        <w:tc>
          <w:tcPr>
            <w:tcW w:w="567" w:type="dxa"/>
            <w:tcBorders>
              <w:top w:val="nil"/>
              <w:left w:val="nil"/>
              <w:bottom w:val="single" w:sz="4" w:space="0" w:color="auto"/>
              <w:right w:val="nil"/>
            </w:tcBorders>
            <w:hideMark/>
          </w:tcPr>
          <w:p w14:paraId="4C586EBA"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1134" w:type="dxa"/>
            <w:tcBorders>
              <w:top w:val="nil"/>
              <w:left w:val="single" w:sz="4" w:space="0" w:color="auto"/>
              <w:bottom w:val="single" w:sz="4" w:space="0" w:color="auto"/>
              <w:right w:val="single" w:sz="4" w:space="0" w:color="auto"/>
            </w:tcBorders>
            <w:hideMark/>
          </w:tcPr>
          <w:p w14:paraId="779CC2BD"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MTKS</w:t>
            </w:r>
          </w:p>
        </w:tc>
        <w:tc>
          <w:tcPr>
            <w:tcW w:w="1418" w:type="dxa"/>
            <w:tcBorders>
              <w:top w:val="nil"/>
              <w:left w:val="nil"/>
              <w:bottom w:val="single" w:sz="4" w:space="0" w:color="auto"/>
              <w:right w:val="single" w:sz="4" w:space="0" w:color="auto"/>
            </w:tcBorders>
            <w:hideMark/>
          </w:tcPr>
          <w:p w14:paraId="53E7BF73"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OJF</w:t>
            </w:r>
          </w:p>
        </w:tc>
        <w:tc>
          <w:tcPr>
            <w:tcW w:w="708" w:type="dxa"/>
            <w:tcBorders>
              <w:top w:val="nil"/>
              <w:left w:val="nil"/>
              <w:bottom w:val="single" w:sz="4" w:space="0" w:color="auto"/>
              <w:right w:val="single" w:sz="4" w:space="0" w:color="auto"/>
            </w:tcBorders>
            <w:hideMark/>
          </w:tcPr>
          <w:p w14:paraId="7CA8831A" w14:textId="58F6775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67BA84F6" w14:textId="7EB9748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100</w:t>
            </w:r>
          </w:p>
        </w:tc>
        <w:tc>
          <w:tcPr>
            <w:tcW w:w="567" w:type="dxa"/>
            <w:tcBorders>
              <w:top w:val="nil"/>
              <w:left w:val="nil"/>
              <w:bottom w:val="single" w:sz="4" w:space="0" w:color="auto"/>
              <w:right w:val="single" w:sz="4" w:space="0" w:color="auto"/>
            </w:tcBorders>
            <w:hideMark/>
          </w:tcPr>
          <w:p w14:paraId="798BCF9E" w14:textId="34EF34D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03A8E314" w14:textId="22411FF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011C215B" w14:textId="6CE9ECC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6A068B09"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1BB6454E" w14:textId="2F37D936"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2.1.2 Përmirësimi i sistemit të mbledhjes së të dhënave të MTKS</w:t>
            </w:r>
            <w:r w:rsidR="005B751C">
              <w:rPr>
                <w:rFonts w:ascii="Garamond" w:eastAsia="Times New Roman" w:hAnsi="Garamond"/>
                <w:sz w:val="6"/>
                <w:szCs w:val="16"/>
                <w:lang w:eastAsia="en-US"/>
              </w:rPr>
              <w:t>-së</w:t>
            </w:r>
            <w:r w:rsidRPr="00024D5A">
              <w:rPr>
                <w:rFonts w:ascii="Garamond" w:eastAsia="Times New Roman" w:hAnsi="Garamond"/>
                <w:sz w:val="6"/>
                <w:szCs w:val="16"/>
                <w:lang w:eastAsia="en-US"/>
              </w:rPr>
              <w:t>, me qëllim futjen e statistikave për personat me aftësi të kufizuara.</w:t>
            </w:r>
          </w:p>
        </w:tc>
        <w:tc>
          <w:tcPr>
            <w:tcW w:w="567" w:type="dxa"/>
            <w:tcBorders>
              <w:top w:val="nil"/>
              <w:left w:val="nil"/>
              <w:bottom w:val="single" w:sz="4" w:space="0" w:color="auto"/>
              <w:right w:val="single" w:sz="4" w:space="0" w:color="auto"/>
            </w:tcBorders>
            <w:hideMark/>
          </w:tcPr>
          <w:p w14:paraId="3A8D711A"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2027</w:t>
            </w:r>
          </w:p>
        </w:tc>
        <w:tc>
          <w:tcPr>
            <w:tcW w:w="567" w:type="dxa"/>
            <w:tcBorders>
              <w:top w:val="nil"/>
              <w:left w:val="nil"/>
              <w:bottom w:val="single" w:sz="4" w:space="0" w:color="auto"/>
              <w:right w:val="nil"/>
            </w:tcBorders>
            <w:hideMark/>
          </w:tcPr>
          <w:p w14:paraId="5F38D7A2"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single" w:sz="4" w:space="0" w:color="auto"/>
              <w:bottom w:val="single" w:sz="4" w:space="0" w:color="auto"/>
              <w:right w:val="single" w:sz="4" w:space="0" w:color="auto"/>
            </w:tcBorders>
            <w:hideMark/>
          </w:tcPr>
          <w:p w14:paraId="22B55AA3"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MTKS</w:t>
            </w:r>
          </w:p>
        </w:tc>
        <w:tc>
          <w:tcPr>
            <w:tcW w:w="1418" w:type="dxa"/>
            <w:tcBorders>
              <w:top w:val="nil"/>
              <w:left w:val="nil"/>
              <w:bottom w:val="single" w:sz="4" w:space="0" w:color="auto"/>
              <w:right w:val="single" w:sz="4" w:space="0" w:color="auto"/>
            </w:tcBorders>
            <w:hideMark/>
          </w:tcPr>
          <w:p w14:paraId="2262F190" w14:textId="77ED6988"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INSTAT</w:t>
            </w:r>
            <w:r w:rsidR="007675EC"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OJF</w:t>
            </w:r>
          </w:p>
        </w:tc>
        <w:tc>
          <w:tcPr>
            <w:tcW w:w="708" w:type="dxa"/>
            <w:tcBorders>
              <w:top w:val="nil"/>
              <w:left w:val="nil"/>
              <w:bottom w:val="single" w:sz="4" w:space="0" w:color="auto"/>
              <w:right w:val="single" w:sz="4" w:space="0" w:color="auto"/>
            </w:tcBorders>
            <w:hideMark/>
          </w:tcPr>
          <w:p w14:paraId="48D9ECB1" w14:textId="4B431AA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6B5A11CC" w14:textId="3A333DC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136</w:t>
            </w:r>
          </w:p>
        </w:tc>
        <w:tc>
          <w:tcPr>
            <w:tcW w:w="567" w:type="dxa"/>
            <w:tcBorders>
              <w:top w:val="nil"/>
              <w:left w:val="nil"/>
              <w:bottom w:val="single" w:sz="4" w:space="0" w:color="auto"/>
              <w:right w:val="single" w:sz="4" w:space="0" w:color="auto"/>
            </w:tcBorders>
            <w:hideMark/>
          </w:tcPr>
          <w:p w14:paraId="7969B498" w14:textId="7A66E30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136</w:t>
            </w:r>
          </w:p>
        </w:tc>
        <w:tc>
          <w:tcPr>
            <w:tcW w:w="1134" w:type="dxa"/>
            <w:tcBorders>
              <w:top w:val="nil"/>
              <w:left w:val="nil"/>
              <w:bottom w:val="single" w:sz="4" w:space="0" w:color="auto"/>
              <w:right w:val="single" w:sz="4" w:space="0" w:color="auto"/>
            </w:tcBorders>
            <w:hideMark/>
          </w:tcPr>
          <w:p w14:paraId="6742243A" w14:textId="7A6C8BD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136</w:t>
            </w:r>
          </w:p>
        </w:tc>
        <w:tc>
          <w:tcPr>
            <w:tcW w:w="1615" w:type="dxa"/>
            <w:tcBorders>
              <w:top w:val="nil"/>
              <w:left w:val="nil"/>
              <w:bottom w:val="single" w:sz="4" w:space="0" w:color="auto"/>
              <w:right w:val="single" w:sz="4" w:space="0" w:color="auto"/>
            </w:tcBorders>
            <w:hideMark/>
          </w:tcPr>
          <w:p w14:paraId="6F74AC65" w14:textId="2FB566E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136</w:t>
            </w:r>
          </w:p>
        </w:tc>
      </w:tr>
      <w:tr w:rsidR="00B807EE" w:rsidRPr="00024D5A" w14:paraId="7E2DEC3D"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1810CB23" w14:textId="0C94C8EF"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2.1.3 Rritja e numrit të qendrave që ofrojnë </w:t>
            </w:r>
            <w:r w:rsidR="000C2D3A" w:rsidRPr="00024D5A">
              <w:rPr>
                <w:rFonts w:ascii="Garamond" w:eastAsia="Times New Roman" w:hAnsi="Garamond"/>
                <w:sz w:val="6"/>
                <w:szCs w:val="16"/>
                <w:lang w:eastAsia="en-US"/>
              </w:rPr>
              <w:t>stërvitjet</w:t>
            </w:r>
            <w:r w:rsidRPr="00024D5A">
              <w:rPr>
                <w:rFonts w:ascii="Garamond" w:eastAsia="Times New Roman" w:hAnsi="Garamond"/>
                <w:sz w:val="6"/>
                <w:szCs w:val="16"/>
                <w:lang w:eastAsia="en-US"/>
              </w:rPr>
              <w:t xml:space="preserve"> gjithëpërfshirëse</w:t>
            </w:r>
            <w:r w:rsidR="005B751C">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noWrap/>
            <w:hideMark/>
          </w:tcPr>
          <w:p w14:paraId="574DC2A6"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nil"/>
            </w:tcBorders>
            <w:noWrap/>
            <w:hideMark/>
          </w:tcPr>
          <w:p w14:paraId="5D313857"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single" w:sz="4" w:space="0" w:color="auto"/>
              <w:bottom w:val="single" w:sz="4" w:space="0" w:color="auto"/>
              <w:right w:val="single" w:sz="4" w:space="0" w:color="auto"/>
            </w:tcBorders>
            <w:noWrap/>
            <w:hideMark/>
          </w:tcPr>
          <w:p w14:paraId="444B39DF"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MTKS</w:t>
            </w:r>
          </w:p>
        </w:tc>
        <w:tc>
          <w:tcPr>
            <w:tcW w:w="1418" w:type="dxa"/>
            <w:tcBorders>
              <w:top w:val="nil"/>
              <w:left w:val="nil"/>
              <w:bottom w:val="single" w:sz="4" w:space="0" w:color="auto"/>
              <w:right w:val="single" w:sz="4" w:space="0" w:color="auto"/>
            </w:tcBorders>
            <w:noWrap/>
            <w:hideMark/>
          </w:tcPr>
          <w:p w14:paraId="14F7F8CE" w14:textId="7A0EDC0F" w:rsidR="00700D7D" w:rsidRPr="00024D5A" w:rsidRDefault="005A46E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Bashkitë</w:t>
            </w:r>
          </w:p>
        </w:tc>
        <w:tc>
          <w:tcPr>
            <w:tcW w:w="708" w:type="dxa"/>
            <w:tcBorders>
              <w:top w:val="nil"/>
              <w:left w:val="nil"/>
              <w:bottom w:val="single" w:sz="4" w:space="0" w:color="auto"/>
              <w:right w:val="single" w:sz="4" w:space="0" w:color="auto"/>
            </w:tcBorders>
            <w:hideMark/>
          </w:tcPr>
          <w:p w14:paraId="0810B3AE" w14:textId="03D8892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03C9E093" w14:textId="226B8B4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72B90A04" w14:textId="62D98FE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3FC23882" w14:textId="77A0D62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18FEB336" w14:textId="244F1C9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2ECC3864"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C5D9F1"/>
            <w:hideMark/>
          </w:tcPr>
          <w:p w14:paraId="42CCE742" w14:textId="7F2CD76A"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Masa prioritare</w:t>
            </w:r>
            <w:r w:rsidR="005B751C">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2.2</w:t>
            </w:r>
            <w:r w:rsidR="003526AF">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 xml:space="preserve"> Ngritja dhe fuqizimi i kapaciteteve</w:t>
            </w:r>
            <w:r w:rsidR="005B751C">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w:t>
            </w:r>
          </w:p>
        </w:tc>
        <w:tc>
          <w:tcPr>
            <w:tcW w:w="567" w:type="dxa"/>
            <w:tcBorders>
              <w:top w:val="nil"/>
              <w:left w:val="nil"/>
              <w:bottom w:val="single" w:sz="4" w:space="0" w:color="auto"/>
              <w:right w:val="single" w:sz="4" w:space="0" w:color="auto"/>
            </w:tcBorders>
            <w:shd w:val="clear" w:color="000000" w:fill="C5D9F1"/>
            <w:noWrap/>
            <w:hideMark/>
          </w:tcPr>
          <w:p w14:paraId="49D095A2"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nil"/>
            </w:tcBorders>
            <w:shd w:val="clear" w:color="000000" w:fill="C5D9F1"/>
            <w:noWrap/>
            <w:hideMark/>
          </w:tcPr>
          <w:p w14:paraId="62094CB4"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single" w:sz="4" w:space="0" w:color="auto"/>
              <w:bottom w:val="single" w:sz="4" w:space="0" w:color="auto"/>
              <w:right w:val="single" w:sz="4" w:space="0" w:color="auto"/>
            </w:tcBorders>
            <w:shd w:val="clear" w:color="000000" w:fill="C5D9F1"/>
            <w:noWrap/>
            <w:hideMark/>
          </w:tcPr>
          <w:p w14:paraId="19D081F7"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MA/MTKS</w:t>
            </w:r>
          </w:p>
        </w:tc>
        <w:tc>
          <w:tcPr>
            <w:tcW w:w="1418" w:type="dxa"/>
            <w:tcBorders>
              <w:top w:val="nil"/>
              <w:left w:val="nil"/>
              <w:bottom w:val="single" w:sz="4" w:space="0" w:color="auto"/>
              <w:right w:val="single" w:sz="4" w:space="0" w:color="auto"/>
            </w:tcBorders>
            <w:shd w:val="clear" w:color="000000" w:fill="C5D9F1"/>
            <w:noWrap/>
            <w:hideMark/>
          </w:tcPr>
          <w:p w14:paraId="6F169BC5"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MSHMS/KKS</w:t>
            </w:r>
          </w:p>
        </w:tc>
        <w:tc>
          <w:tcPr>
            <w:tcW w:w="708" w:type="dxa"/>
            <w:tcBorders>
              <w:top w:val="nil"/>
              <w:left w:val="nil"/>
              <w:bottom w:val="single" w:sz="4" w:space="0" w:color="auto"/>
              <w:right w:val="single" w:sz="4" w:space="0" w:color="auto"/>
            </w:tcBorders>
            <w:shd w:val="clear" w:color="000000" w:fill="C5D9F1"/>
            <w:noWrap/>
            <w:hideMark/>
          </w:tcPr>
          <w:p w14:paraId="5162D9DD" w14:textId="2EC118C5"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shd w:val="clear" w:color="000000" w:fill="C5D9F1"/>
            <w:noWrap/>
            <w:hideMark/>
          </w:tcPr>
          <w:p w14:paraId="584CD285" w14:textId="6B48B7FE"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3,222</w:t>
            </w:r>
          </w:p>
        </w:tc>
        <w:tc>
          <w:tcPr>
            <w:tcW w:w="567" w:type="dxa"/>
            <w:tcBorders>
              <w:top w:val="nil"/>
              <w:left w:val="nil"/>
              <w:bottom w:val="single" w:sz="4" w:space="0" w:color="auto"/>
              <w:right w:val="single" w:sz="4" w:space="0" w:color="auto"/>
            </w:tcBorders>
            <w:shd w:val="clear" w:color="000000" w:fill="C5D9F1"/>
            <w:noWrap/>
            <w:hideMark/>
          </w:tcPr>
          <w:p w14:paraId="16350CFD" w14:textId="02253CC4"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3,677</w:t>
            </w:r>
          </w:p>
        </w:tc>
        <w:tc>
          <w:tcPr>
            <w:tcW w:w="1134" w:type="dxa"/>
            <w:tcBorders>
              <w:top w:val="nil"/>
              <w:left w:val="nil"/>
              <w:bottom w:val="single" w:sz="4" w:space="0" w:color="auto"/>
              <w:right w:val="single" w:sz="4" w:space="0" w:color="auto"/>
            </w:tcBorders>
            <w:shd w:val="clear" w:color="000000" w:fill="C5D9F1"/>
            <w:noWrap/>
            <w:hideMark/>
          </w:tcPr>
          <w:p w14:paraId="0C400321" w14:textId="279836EA"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3,185</w:t>
            </w:r>
          </w:p>
        </w:tc>
        <w:tc>
          <w:tcPr>
            <w:tcW w:w="1615" w:type="dxa"/>
            <w:tcBorders>
              <w:top w:val="nil"/>
              <w:left w:val="nil"/>
              <w:bottom w:val="single" w:sz="4" w:space="0" w:color="auto"/>
              <w:right w:val="single" w:sz="4" w:space="0" w:color="auto"/>
            </w:tcBorders>
            <w:shd w:val="clear" w:color="000000" w:fill="C5D9F1"/>
            <w:noWrap/>
            <w:hideMark/>
          </w:tcPr>
          <w:p w14:paraId="0EC4CBD4" w14:textId="5644DA70"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3,185</w:t>
            </w:r>
          </w:p>
        </w:tc>
      </w:tr>
      <w:tr w:rsidR="00B807EE" w:rsidRPr="00024D5A" w14:paraId="6401082A" w14:textId="77777777" w:rsidTr="002B321E">
        <w:trPr>
          <w:trHeight w:val="20"/>
        </w:trPr>
        <w:tc>
          <w:tcPr>
            <w:tcW w:w="4673" w:type="dxa"/>
            <w:tcBorders>
              <w:top w:val="nil"/>
              <w:left w:val="single" w:sz="4" w:space="0" w:color="auto"/>
              <w:bottom w:val="nil"/>
              <w:right w:val="nil"/>
            </w:tcBorders>
            <w:hideMark/>
          </w:tcPr>
          <w:p w14:paraId="6B9C2CE4" w14:textId="52837179"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2.3.1</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Trajnimi dhe specializimi i mësuesve të edukimit fizik për të punuar me fëmijë me aftësi të kufizuara,</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 xml:space="preserve">plan individual përgatitur nga </w:t>
            </w:r>
            <w:r w:rsidR="000C2D3A" w:rsidRPr="00024D5A">
              <w:rPr>
                <w:rFonts w:ascii="Garamond" w:eastAsia="Times New Roman" w:hAnsi="Garamond"/>
                <w:sz w:val="6"/>
                <w:szCs w:val="16"/>
                <w:lang w:eastAsia="en-US"/>
              </w:rPr>
              <w:t>mësuesit</w:t>
            </w:r>
            <w:r w:rsidRPr="00024D5A">
              <w:rPr>
                <w:rFonts w:ascii="Garamond" w:eastAsia="Times New Roman" w:hAnsi="Garamond"/>
                <w:sz w:val="6"/>
                <w:szCs w:val="16"/>
                <w:lang w:eastAsia="en-US"/>
              </w:rPr>
              <w:t>.</w:t>
            </w:r>
          </w:p>
        </w:tc>
        <w:tc>
          <w:tcPr>
            <w:tcW w:w="567" w:type="dxa"/>
            <w:tcBorders>
              <w:top w:val="nil"/>
              <w:left w:val="single" w:sz="4" w:space="0" w:color="auto"/>
              <w:bottom w:val="single" w:sz="4" w:space="0" w:color="auto"/>
              <w:right w:val="single" w:sz="4" w:space="0" w:color="auto"/>
            </w:tcBorders>
            <w:noWrap/>
            <w:hideMark/>
          </w:tcPr>
          <w:p w14:paraId="61731B7D"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2027</w:t>
            </w:r>
          </w:p>
        </w:tc>
        <w:tc>
          <w:tcPr>
            <w:tcW w:w="567" w:type="dxa"/>
            <w:tcBorders>
              <w:top w:val="nil"/>
              <w:left w:val="nil"/>
              <w:bottom w:val="single" w:sz="4" w:space="0" w:color="auto"/>
              <w:right w:val="nil"/>
            </w:tcBorders>
            <w:noWrap/>
            <w:hideMark/>
          </w:tcPr>
          <w:p w14:paraId="17F28392"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single" w:sz="4" w:space="0" w:color="auto"/>
              <w:bottom w:val="single" w:sz="4" w:space="0" w:color="auto"/>
              <w:right w:val="single" w:sz="4" w:space="0" w:color="auto"/>
            </w:tcBorders>
            <w:noWrap/>
            <w:hideMark/>
          </w:tcPr>
          <w:p w14:paraId="4DAE46DD"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MA</w:t>
            </w:r>
          </w:p>
        </w:tc>
        <w:tc>
          <w:tcPr>
            <w:tcW w:w="1418" w:type="dxa"/>
            <w:tcBorders>
              <w:top w:val="nil"/>
              <w:left w:val="nil"/>
              <w:bottom w:val="single" w:sz="4" w:space="0" w:color="auto"/>
              <w:right w:val="single" w:sz="4" w:space="0" w:color="auto"/>
            </w:tcBorders>
            <w:noWrap/>
            <w:hideMark/>
          </w:tcPr>
          <w:p w14:paraId="31E1696C"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MSHMS</w:t>
            </w:r>
          </w:p>
        </w:tc>
        <w:tc>
          <w:tcPr>
            <w:tcW w:w="708" w:type="dxa"/>
            <w:tcBorders>
              <w:top w:val="nil"/>
              <w:left w:val="nil"/>
              <w:bottom w:val="single" w:sz="4" w:space="0" w:color="auto"/>
              <w:right w:val="single" w:sz="4" w:space="0" w:color="auto"/>
            </w:tcBorders>
            <w:hideMark/>
          </w:tcPr>
          <w:p w14:paraId="2F96259C" w14:textId="130BC40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2E2D8F30" w14:textId="73228E1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2,136</w:t>
            </w:r>
          </w:p>
        </w:tc>
        <w:tc>
          <w:tcPr>
            <w:tcW w:w="567" w:type="dxa"/>
            <w:tcBorders>
              <w:top w:val="nil"/>
              <w:left w:val="nil"/>
              <w:bottom w:val="single" w:sz="4" w:space="0" w:color="auto"/>
              <w:right w:val="single" w:sz="4" w:space="0" w:color="auto"/>
            </w:tcBorders>
            <w:hideMark/>
          </w:tcPr>
          <w:p w14:paraId="24DB0326" w14:textId="50E776E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1,236</w:t>
            </w:r>
          </w:p>
        </w:tc>
        <w:tc>
          <w:tcPr>
            <w:tcW w:w="1134" w:type="dxa"/>
            <w:tcBorders>
              <w:top w:val="nil"/>
              <w:left w:val="nil"/>
              <w:bottom w:val="single" w:sz="4" w:space="0" w:color="auto"/>
              <w:right w:val="single" w:sz="4" w:space="0" w:color="auto"/>
            </w:tcBorders>
            <w:hideMark/>
          </w:tcPr>
          <w:p w14:paraId="01149310" w14:textId="6889E1D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1,236</w:t>
            </w:r>
          </w:p>
        </w:tc>
        <w:tc>
          <w:tcPr>
            <w:tcW w:w="1615" w:type="dxa"/>
            <w:tcBorders>
              <w:top w:val="nil"/>
              <w:left w:val="nil"/>
              <w:bottom w:val="single" w:sz="4" w:space="0" w:color="auto"/>
              <w:right w:val="single" w:sz="4" w:space="0" w:color="auto"/>
            </w:tcBorders>
            <w:hideMark/>
          </w:tcPr>
          <w:p w14:paraId="0D5A8084" w14:textId="6214608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1,236</w:t>
            </w:r>
          </w:p>
        </w:tc>
      </w:tr>
      <w:tr w:rsidR="00B807EE" w:rsidRPr="00024D5A" w14:paraId="09AE22C2" w14:textId="77777777" w:rsidTr="002B321E">
        <w:trPr>
          <w:trHeight w:val="20"/>
        </w:trPr>
        <w:tc>
          <w:tcPr>
            <w:tcW w:w="4673" w:type="dxa"/>
            <w:tcBorders>
              <w:top w:val="single" w:sz="4" w:space="0" w:color="auto"/>
              <w:left w:val="single" w:sz="4" w:space="0" w:color="auto"/>
              <w:bottom w:val="single" w:sz="4" w:space="0" w:color="auto"/>
              <w:right w:val="single" w:sz="4" w:space="0" w:color="auto"/>
            </w:tcBorders>
            <w:hideMark/>
          </w:tcPr>
          <w:p w14:paraId="16A33227"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2.3.2 Përfshirja në vijimësi e të paktën një personi me aftësi të kufizuara si anëtar i Komitetit Kombëtar të Sporteve.</w:t>
            </w:r>
          </w:p>
        </w:tc>
        <w:tc>
          <w:tcPr>
            <w:tcW w:w="567" w:type="dxa"/>
            <w:tcBorders>
              <w:top w:val="nil"/>
              <w:left w:val="nil"/>
              <w:bottom w:val="single" w:sz="4" w:space="0" w:color="auto"/>
              <w:right w:val="single" w:sz="4" w:space="0" w:color="auto"/>
            </w:tcBorders>
            <w:noWrap/>
            <w:hideMark/>
          </w:tcPr>
          <w:p w14:paraId="0DC7B9D8"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2027</w:t>
            </w:r>
          </w:p>
        </w:tc>
        <w:tc>
          <w:tcPr>
            <w:tcW w:w="567" w:type="dxa"/>
            <w:tcBorders>
              <w:top w:val="nil"/>
              <w:left w:val="nil"/>
              <w:bottom w:val="single" w:sz="4" w:space="0" w:color="auto"/>
              <w:right w:val="nil"/>
            </w:tcBorders>
            <w:noWrap/>
            <w:hideMark/>
          </w:tcPr>
          <w:p w14:paraId="4231455F"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2028</w:t>
            </w:r>
          </w:p>
        </w:tc>
        <w:tc>
          <w:tcPr>
            <w:tcW w:w="1134" w:type="dxa"/>
            <w:tcBorders>
              <w:top w:val="nil"/>
              <w:left w:val="single" w:sz="4" w:space="0" w:color="auto"/>
              <w:bottom w:val="single" w:sz="4" w:space="0" w:color="auto"/>
              <w:right w:val="single" w:sz="4" w:space="0" w:color="auto"/>
            </w:tcBorders>
            <w:noWrap/>
            <w:hideMark/>
          </w:tcPr>
          <w:p w14:paraId="773F264C"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MTKS</w:t>
            </w:r>
          </w:p>
        </w:tc>
        <w:tc>
          <w:tcPr>
            <w:tcW w:w="1418" w:type="dxa"/>
            <w:tcBorders>
              <w:top w:val="nil"/>
              <w:left w:val="nil"/>
              <w:bottom w:val="single" w:sz="4" w:space="0" w:color="auto"/>
              <w:right w:val="single" w:sz="4" w:space="0" w:color="auto"/>
            </w:tcBorders>
            <w:hideMark/>
          </w:tcPr>
          <w:p w14:paraId="4CAD3B2D" w14:textId="2DF63891"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Komiteti </w:t>
            </w:r>
            <w:r w:rsidR="005A46ED" w:rsidRPr="00024D5A">
              <w:rPr>
                <w:rFonts w:ascii="Garamond" w:eastAsia="Times New Roman" w:hAnsi="Garamond"/>
                <w:sz w:val="6"/>
                <w:szCs w:val="16"/>
                <w:lang w:eastAsia="en-US"/>
              </w:rPr>
              <w:t>kombëtar</w:t>
            </w:r>
            <w:r w:rsidR="005A46ED">
              <w:rPr>
                <w:rFonts w:ascii="Garamond" w:eastAsia="Times New Roman" w:hAnsi="Garamond"/>
                <w:sz w:val="6"/>
                <w:szCs w:val="16"/>
                <w:lang w:eastAsia="en-US"/>
              </w:rPr>
              <w:t xml:space="preserve"> i</w:t>
            </w:r>
            <w:r w:rsidRPr="00024D5A">
              <w:rPr>
                <w:rFonts w:ascii="Garamond" w:eastAsia="Times New Roman" w:hAnsi="Garamond"/>
                <w:sz w:val="6"/>
                <w:szCs w:val="16"/>
                <w:lang w:eastAsia="en-US"/>
              </w:rPr>
              <w:t xml:space="preserve"> Sporteve (KKS)</w:t>
            </w:r>
          </w:p>
        </w:tc>
        <w:tc>
          <w:tcPr>
            <w:tcW w:w="708" w:type="dxa"/>
            <w:tcBorders>
              <w:top w:val="nil"/>
              <w:left w:val="nil"/>
              <w:bottom w:val="single" w:sz="4" w:space="0" w:color="auto"/>
              <w:right w:val="single" w:sz="4" w:space="0" w:color="auto"/>
            </w:tcBorders>
            <w:hideMark/>
          </w:tcPr>
          <w:p w14:paraId="2CC41A12" w14:textId="31C7811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7A28ED84" w14:textId="16948D8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136</w:t>
            </w:r>
          </w:p>
        </w:tc>
        <w:tc>
          <w:tcPr>
            <w:tcW w:w="567" w:type="dxa"/>
            <w:tcBorders>
              <w:top w:val="nil"/>
              <w:left w:val="nil"/>
              <w:bottom w:val="single" w:sz="4" w:space="0" w:color="auto"/>
              <w:right w:val="single" w:sz="4" w:space="0" w:color="auto"/>
            </w:tcBorders>
            <w:hideMark/>
          </w:tcPr>
          <w:p w14:paraId="0F2CDE03" w14:textId="62800AC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491</w:t>
            </w:r>
          </w:p>
        </w:tc>
        <w:tc>
          <w:tcPr>
            <w:tcW w:w="1134" w:type="dxa"/>
            <w:tcBorders>
              <w:top w:val="nil"/>
              <w:left w:val="nil"/>
              <w:bottom w:val="single" w:sz="4" w:space="0" w:color="auto"/>
              <w:right w:val="single" w:sz="4" w:space="0" w:color="auto"/>
            </w:tcBorders>
            <w:hideMark/>
          </w:tcPr>
          <w:p w14:paraId="474DD2B6" w14:textId="24B64C7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0F995DBF" w14:textId="4D14A0E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559F9047"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7878330E" w14:textId="7C0F3EC4"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2.3.3 Bashkëpunimi me organizata t</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specializuara/Olimpiku Special</w:t>
            </w:r>
            <w:r w:rsidR="005B751C">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noWrap/>
            <w:hideMark/>
          </w:tcPr>
          <w:p w14:paraId="364BA456"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nil"/>
            </w:tcBorders>
            <w:noWrap/>
            <w:hideMark/>
          </w:tcPr>
          <w:p w14:paraId="0EEC41A6"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single" w:sz="4" w:space="0" w:color="auto"/>
              <w:bottom w:val="single" w:sz="4" w:space="0" w:color="auto"/>
              <w:right w:val="single" w:sz="4" w:space="0" w:color="auto"/>
            </w:tcBorders>
            <w:noWrap/>
            <w:hideMark/>
          </w:tcPr>
          <w:p w14:paraId="189F3EF2"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MTKS</w:t>
            </w:r>
          </w:p>
        </w:tc>
        <w:tc>
          <w:tcPr>
            <w:tcW w:w="1418" w:type="dxa"/>
            <w:tcBorders>
              <w:top w:val="nil"/>
              <w:left w:val="nil"/>
              <w:bottom w:val="single" w:sz="4" w:space="0" w:color="auto"/>
              <w:right w:val="single" w:sz="4" w:space="0" w:color="auto"/>
            </w:tcBorders>
            <w:noWrap/>
            <w:hideMark/>
          </w:tcPr>
          <w:p w14:paraId="303E81E3"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KKS</w:t>
            </w:r>
          </w:p>
        </w:tc>
        <w:tc>
          <w:tcPr>
            <w:tcW w:w="708" w:type="dxa"/>
            <w:tcBorders>
              <w:top w:val="nil"/>
              <w:left w:val="nil"/>
              <w:bottom w:val="single" w:sz="4" w:space="0" w:color="auto"/>
              <w:right w:val="single" w:sz="4" w:space="0" w:color="auto"/>
            </w:tcBorders>
            <w:hideMark/>
          </w:tcPr>
          <w:p w14:paraId="6909AF3D" w14:textId="0854C4D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3394A5D5" w14:textId="65D95CD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949</w:t>
            </w:r>
          </w:p>
        </w:tc>
        <w:tc>
          <w:tcPr>
            <w:tcW w:w="567" w:type="dxa"/>
            <w:tcBorders>
              <w:top w:val="nil"/>
              <w:left w:val="nil"/>
              <w:bottom w:val="single" w:sz="4" w:space="0" w:color="auto"/>
              <w:right w:val="single" w:sz="4" w:space="0" w:color="auto"/>
            </w:tcBorders>
            <w:hideMark/>
          </w:tcPr>
          <w:p w14:paraId="68AA9AB8" w14:textId="55E6FE8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1,949</w:t>
            </w:r>
          </w:p>
        </w:tc>
        <w:tc>
          <w:tcPr>
            <w:tcW w:w="1134" w:type="dxa"/>
            <w:tcBorders>
              <w:top w:val="nil"/>
              <w:left w:val="nil"/>
              <w:bottom w:val="single" w:sz="4" w:space="0" w:color="auto"/>
              <w:right w:val="single" w:sz="4" w:space="0" w:color="auto"/>
            </w:tcBorders>
            <w:hideMark/>
          </w:tcPr>
          <w:p w14:paraId="73FE637A" w14:textId="533E12C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1,949</w:t>
            </w:r>
          </w:p>
        </w:tc>
        <w:tc>
          <w:tcPr>
            <w:tcW w:w="1615" w:type="dxa"/>
            <w:tcBorders>
              <w:top w:val="nil"/>
              <w:left w:val="nil"/>
              <w:bottom w:val="single" w:sz="4" w:space="0" w:color="auto"/>
              <w:right w:val="single" w:sz="4" w:space="0" w:color="auto"/>
            </w:tcBorders>
            <w:hideMark/>
          </w:tcPr>
          <w:p w14:paraId="013B28F9" w14:textId="13A6C0C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1,949</w:t>
            </w:r>
          </w:p>
        </w:tc>
      </w:tr>
      <w:tr w:rsidR="00B807EE" w:rsidRPr="00024D5A" w14:paraId="0BF5F52F" w14:textId="77777777" w:rsidTr="002B321E">
        <w:trPr>
          <w:trHeight w:val="20"/>
        </w:trPr>
        <w:tc>
          <w:tcPr>
            <w:tcW w:w="4673" w:type="dxa"/>
            <w:tcBorders>
              <w:top w:val="single" w:sz="8" w:space="0" w:color="auto"/>
              <w:left w:val="single" w:sz="4" w:space="0" w:color="auto"/>
              <w:bottom w:val="single" w:sz="8" w:space="0" w:color="auto"/>
              <w:right w:val="single" w:sz="4" w:space="0" w:color="auto"/>
            </w:tcBorders>
            <w:shd w:val="clear" w:color="000000" w:fill="F276AB"/>
            <w:hideMark/>
          </w:tcPr>
          <w:p w14:paraId="656ED9FF"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VIII. BASHKËPUNIMI DHE KOORDINIMI NDËRINSTITUCIONAL</w:t>
            </w:r>
          </w:p>
        </w:tc>
        <w:tc>
          <w:tcPr>
            <w:tcW w:w="567" w:type="dxa"/>
            <w:tcBorders>
              <w:top w:val="single" w:sz="8" w:space="0" w:color="auto"/>
              <w:left w:val="nil"/>
              <w:bottom w:val="single" w:sz="8" w:space="0" w:color="auto"/>
              <w:right w:val="single" w:sz="4" w:space="0" w:color="auto"/>
            </w:tcBorders>
            <w:shd w:val="clear" w:color="000000" w:fill="F276AB"/>
            <w:hideMark/>
          </w:tcPr>
          <w:p w14:paraId="68ADE7A6"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567" w:type="dxa"/>
            <w:tcBorders>
              <w:top w:val="single" w:sz="8" w:space="0" w:color="auto"/>
              <w:left w:val="nil"/>
              <w:bottom w:val="single" w:sz="8" w:space="0" w:color="auto"/>
              <w:right w:val="single" w:sz="4" w:space="0" w:color="auto"/>
            </w:tcBorders>
            <w:shd w:val="clear" w:color="000000" w:fill="F276AB"/>
            <w:hideMark/>
          </w:tcPr>
          <w:p w14:paraId="729CA73D"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1134" w:type="dxa"/>
            <w:tcBorders>
              <w:top w:val="single" w:sz="8" w:space="0" w:color="auto"/>
              <w:left w:val="nil"/>
              <w:bottom w:val="single" w:sz="8" w:space="0" w:color="auto"/>
              <w:right w:val="single" w:sz="4" w:space="0" w:color="auto"/>
            </w:tcBorders>
            <w:shd w:val="clear" w:color="000000" w:fill="F276AB"/>
            <w:hideMark/>
          </w:tcPr>
          <w:p w14:paraId="7EC8CA7D"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1418" w:type="dxa"/>
            <w:tcBorders>
              <w:top w:val="single" w:sz="8" w:space="0" w:color="auto"/>
              <w:left w:val="nil"/>
              <w:bottom w:val="single" w:sz="8" w:space="0" w:color="auto"/>
              <w:right w:val="single" w:sz="4" w:space="0" w:color="auto"/>
            </w:tcBorders>
            <w:shd w:val="clear" w:color="000000" w:fill="F276AB"/>
            <w:hideMark/>
          </w:tcPr>
          <w:p w14:paraId="780D1CDC"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w:t>
            </w:r>
          </w:p>
        </w:tc>
        <w:tc>
          <w:tcPr>
            <w:tcW w:w="708" w:type="dxa"/>
            <w:tcBorders>
              <w:top w:val="single" w:sz="8" w:space="0" w:color="auto"/>
              <w:left w:val="nil"/>
              <w:bottom w:val="single" w:sz="8" w:space="0" w:color="auto"/>
              <w:right w:val="single" w:sz="4" w:space="0" w:color="auto"/>
            </w:tcBorders>
            <w:shd w:val="clear" w:color="000000" w:fill="F276AB"/>
            <w:hideMark/>
          </w:tcPr>
          <w:p w14:paraId="2A192314" w14:textId="34BCA401"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9,095</w:t>
            </w:r>
          </w:p>
        </w:tc>
        <w:tc>
          <w:tcPr>
            <w:tcW w:w="567" w:type="dxa"/>
            <w:tcBorders>
              <w:top w:val="single" w:sz="8" w:space="0" w:color="auto"/>
              <w:left w:val="nil"/>
              <w:bottom w:val="single" w:sz="8" w:space="0" w:color="auto"/>
              <w:right w:val="single" w:sz="4" w:space="0" w:color="auto"/>
            </w:tcBorders>
            <w:shd w:val="clear" w:color="000000" w:fill="F276AB"/>
            <w:hideMark/>
          </w:tcPr>
          <w:p w14:paraId="2163732F" w14:textId="632A0127"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13,067</w:t>
            </w:r>
          </w:p>
        </w:tc>
        <w:tc>
          <w:tcPr>
            <w:tcW w:w="567" w:type="dxa"/>
            <w:tcBorders>
              <w:top w:val="single" w:sz="8" w:space="0" w:color="auto"/>
              <w:left w:val="nil"/>
              <w:bottom w:val="single" w:sz="8" w:space="0" w:color="auto"/>
              <w:right w:val="single" w:sz="4" w:space="0" w:color="auto"/>
            </w:tcBorders>
            <w:shd w:val="clear" w:color="000000" w:fill="F276AB"/>
            <w:hideMark/>
          </w:tcPr>
          <w:p w14:paraId="7F469F66" w14:textId="5551CD85"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7,017</w:t>
            </w:r>
          </w:p>
        </w:tc>
        <w:tc>
          <w:tcPr>
            <w:tcW w:w="1134" w:type="dxa"/>
            <w:tcBorders>
              <w:top w:val="single" w:sz="8" w:space="0" w:color="auto"/>
              <w:left w:val="nil"/>
              <w:bottom w:val="single" w:sz="8" w:space="0" w:color="auto"/>
              <w:right w:val="single" w:sz="4" w:space="0" w:color="auto"/>
            </w:tcBorders>
            <w:shd w:val="clear" w:color="000000" w:fill="F276AB"/>
            <w:hideMark/>
          </w:tcPr>
          <w:p w14:paraId="535DF747" w14:textId="26E57CB9"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6,442</w:t>
            </w:r>
          </w:p>
        </w:tc>
        <w:tc>
          <w:tcPr>
            <w:tcW w:w="1615" w:type="dxa"/>
            <w:tcBorders>
              <w:top w:val="single" w:sz="8" w:space="0" w:color="auto"/>
              <w:left w:val="nil"/>
              <w:bottom w:val="single" w:sz="8" w:space="0" w:color="auto"/>
              <w:right w:val="single" w:sz="4" w:space="0" w:color="auto"/>
            </w:tcBorders>
            <w:shd w:val="clear" w:color="000000" w:fill="F276AB"/>
            <w:hideMark/>
          </w:tcPr>
          <w:p w14:paraId="56E435EF" w14:textId="78A6290C"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4,942</w:t>
            </w:r>
          </w:p>
        </w:tc>
      </w:tr>
      <w:tr w:rsidR="00B807EE" w:rsidRPr="00024D5A" w14:paraId="45E7F837" w14:textId="77777777" w:rsidTr="002B321E">
        <w:trPr>
          <w:trHeight w:val="20"/>
        </w:trPr>
        <w:tc>
          <w:tcPr>
            <w:tcW w:w="4673" w:type="dxa"/>
            <w:tcBorders>
              <w:top w:val="nil"/>
              <w:left w:val="single" w:sz="4" w:space="0" w:color="auto"/>
              <w:bottom w:val="nil"/>
              <w:right w:val="nil"/>
            </w:tcBorders>
            <w:shd w:val="clear" w:color="000000" w:fill="FDE9D9"/>
            <w:hideMark/>
          </w:tcPr>
          <w:p w14:paraId="75CBBA01" w14:textId="1A93E2D1"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 xml:space="preserve">Objektivi </w:t>
            </w:r>
            <w:r w:rsidR="005B751C" w:rsidRPr="00024D5A">
              <w:rPr>
                <w:rFonts w:ascii="Garamond" w:eastAsia="Times New Roman" w:hAnsi="Garamond"/>
                <w:b/>
                <w:bCs/>
                <w:sz w:val="6"/>
                <w:szCs w:val="16"/>
                <w:lang w:eastAsia="en-US"/>
              </w:rPr>
              <w:t xml:space="preserve">specifik </w:t>
            </w:r>
            <w:r w:rsidRPr="00024D5A">
              <w:rPr>
                <w:rFonts w:ascii="Garamond" w:eastAsia="Times New Roman" w:hAnsi="Garamond"/>
                <w:b/>
                <w:bCs/>
                <w:sz w:val="6"/>
                <w:szCs w:val="16"/>
                <w:lang w:eastAsia="en-US"/>
              </w:rPr>
              <w:t>1</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Forcimi i bashkëpunimit institucional ndërmjet strukturave qendrore dhe pushtetit vendor dhe ndërveprimi me OPAK në të gjitha nivelet.</w:t>
            </w:r>
          </w:p>
        </w:tc>
        <w:tc>
          <w:tcPr>
            <w:tcW w:w="567" w:type="dxa"/>
            <w:tcBorders>
              <w:top w:val="single" w:sz="4" w:space="0" w:color="auto"/>
              <w:left w:val="single" w:sz="4" w:space="0" w:color="auto"/>
              <w:bottom w:val="single" w:sz="4" w:space="0" w:color="auto"/>
              <w:right w:val="single" w:sz="4" w:space="0" w:color="auto"/>
            </w:tcBorders>
            <w:shd w:val="clear" w:color="000000" w:fill="FDE9D9"/>
            <w:hideMark/>
          </w:tcPr>
          <w:p w14:paraId="23AB9F77"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single" w:sz="4" w:space="0" w:color="auto"/>
              <w:left w:val="nil"/>
              <w:bottom w:val="single" w:sz="4" w:space="0" w:color="auto"/>
              <w:right w:val="nil"/>
            </w:tcBorders>
            <w:shd w:val="clear" w:color="000000" w:fill="FDE9D9"/>
            <w:hideMark/>
          </w:tcPr>
          <w:p w14:paraId="0A116FAD"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single" w:sz="4" w:space="0" w:color="auto"/>
              <w:left w:val="single" w:sz="4" w:space="0" w:color="auto"/>
              <w:bottom w:val="single" w:sz="4" w:space="0" w:color="auto"/>
              <w:right w:val="single" w:sz="4" w:space="0" w:color="auto"/>
            </w:tcBorders>
            <w:shd w:val="clear" w:color="000000" w:fill="FDE9D9"/>
            <w:hideMark/>
          </w:tcPr>
          <w:p w14:paraId="59F5F25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MSHMS/BASHKI</w:t>
            </w:r>
          </w:p>
        </w:tc>
        <w:tc>
          <w:tcPr>
            <w:tcW w:w="1418" w:type="dxa"/>
            <w:tcBorders>
              <w:top w:val="single" w:sz="4" w:space="0" w:color="auto"/>
              <w:left w:val="nil"/>
              <w:bottom w:val="single" w:sz="4" w:space="0" w:color="auto"/>
              <w:right w:val="single" w:sz="4" w:space="0" w:color="auto"/>
            </w:tcBorders>
            <w:shd w:val="clear" w:color="000000" w:fill="FDE9D9"/>
            <w:hideMark/>
          </w:tcPr>
          <w:p w14:paraId="4B5F2A81" w14:textId="4737B03C"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MSHMS/BASHKI/NJVV</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AMVV</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OJF</w:t>
            </w:r>
          </w:p>
        </w:tc>
        <w:tc>
          <w:tcPr>
            <w:tcW w:w="708" w:type="dxa"/>
            <w:tcBorders>
              <w:top w:val="single" w:sz="4" w:space="0" w:color="auto"/>
              <w:left w:val="nil"/>
              <w:bottom w:val="single" w:sz="4" w:space="0" w:color="auto"/>
              <w:right w:val="nil"/>
            </w:tcBorders>
            <w:shd w:val="clear" w:color="000000" w:fill="FDE9D9"/>
            <w:hideMark/>
          </w:tcPr>
          <w:p w14:paraId="1CEE7F77" w14:textId="1D804A57"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7,645</w:t>
            </w:r>
          </w:p>
        </w:tc>
        <w:tc>
          <w:tcPr>
            <w:tcW w:w="567" w:type="dxa"/>
            <w:tcBorders>
              <w:top w:val="single" w:sz="4" w:space="0" w:color="auto"/>
              <w:left w:val="single" w:sz="4" w:space="0" w:color="auto"/>
              <w:bottom w:val="single" w:sz="4" w:space="0" w:color="auto"/>
              <w:right w:val="nil"/>
            </w:tcBorders>
            <w:shd w:val="clear" w:color="000000" w:fill="FDE9D9"/>
            <w:hideMark/>
          </w:tcPr>
          <w:p w14:paraId="049CC197" w14:textId="5EBC38CE"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7,645</w:t>
            </w:r>
          </w:p>
        </w:tc>
        <w:tc>
          <w:tcPr>
            <w:tcW w:w="567" w:type="dxa"/>
            <w:tcBorders>
              <w:top w:val="single" w:sz="4" w:space="0" w:color="auto"/>
              <w:left w:val="single" w:sz="4" w:space="0" w:color="auto"/>
              <w:bottom w:val="single" w:sz="4" w:space="0" w:color="auto"/>
              <w:right w:val="nil"/>
            </w:tcBorders>
            <w:shd w:val="clear" w:color="000000" w:fill="FDE9D9"/>
            <w:hideMark/>
          </w:tcPr>
          <w:p w14:paraId="0CBB6AAB" w14:textId="176CE388"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2,500</w:t>
            </w:r>
          </w:p>
        </w:tc>
        <w:tc>
          <w:tcPr>
            <w:tcW w:w="1134" w:type="dxa"/>
            <w:tcBorders>
              <w:top w:val="single" w:sz="4" w:space="0" w:color="auto"/>
              <w:left w:val="single" w:sz="4" w:space="0" w:color="auto"/>
              <w:bottom w:val="single" w:sz="4" w:space="0" w:color="auto"/>
              <w:right w:val="nil"/>
            </w:tcBorders>
            <w:shd w:val="clear" w:color="000000" w:fill="FDE9D9"/>
            <w:hideMark/>
          </w:tcPr>
          <w:p w14:paraId="0CF7C710" w14:textId="03713817"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2,500</w:t>
            </w:r>
          </w:p>
        </w:tc>
        <w:tc>
          <w:tcPr>
            <w:tcW w:w="1615" w:type="dxa"/>
            <w:tcBorders>
              <w:top w:val="single" w:sz="4" w:space="0" w:color="auto"/>
              <w:left w:val="single" w:sz="4" w:space="0" w:color="auto"/>
              <w:bottom w:val="single" w:sz="4" w:space="0" w:color="auto"/>
              <w:right w:val="nil"/>
            </w:tcBorders>
            <w:shd w:val="clear" w:color="000000" w:fill="FDE9D9"/>
            <w:hideMark/>
          </w:tcPr>
          <w:p w14:paraId="189C7959" w14:textId="662CF86A"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2,500</w:t>
            </w:r>
          </w:p>
        </w:tc>
      </w:tr>
      <w:tr w:rsidR="00B807EE" w:rsidRPr="00024D5A" w14:paraId="5ACCB2F1" w14:textId="77777777" w:rsidTr="002B321E">
        <w:trPr>
          <w:trHeight w:val="20"/>
        </w:trPr>
        <w:tc>
          <w:tcPr>
            <w:tcW w:w="4673" w:type="dxa"/>
            <w:tcBorders>
              <w:top w:val="single" w:sz="4" w:space="0" w:color="auto"/>
              <w:left w:val="single" w:sz="4" w:space="0" w:color="auto"/>
              <w:bottom w:val="single" w:sz="4" w:space="0" w:color="auto"/>
              <w:right w:val="single" w:sz="4" w:space="0" w:color="auto"/>
            </w:tcBorders>
            <w:shd w:val="clear" w:color="000000" w:fill="DCE6F1"/>
            <w:hideMark/>
          </w:tcPr>
          <w:p w14:paraId="6F2A2840" w14:textId="2D9D7AC8"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Masa prioritare</w:t>
            </w:r>
            <w:r w:rsidR="000C2D3A" w:rsidRPr="00024D5A">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1.1</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Orientimi i bashkive për të fuqizuar bashkëpunimin me MSHMS</w:t>
            </w:r>
            <w:r w:rsidR="005B751C">
              <w:rPr>
                <w:rFonts w:ascii="Garamond" w:eastAsia="Times New Roman" w:hAnsi="Garamond"/>
                <w:b/>
                <w:bCs/>
                <w:sz w:val="6"/>
                <w:szCs w:val="16"/>
                <w:lang w:eastAsia="en-US"/>
              </w:rPr>
              <w:t>-në</w:t>
            </w:r>
            <w:r w:rsidRPr="00024D5A">
              <w:rPr>
                <w:rFonts w:ascii="Garamond" w:eastAsia="Times New Roman" w:hAnsi="Garamond"/>
                <w:b/>
                <w:bCs/>
                <w:sz w:val="6"/>
                <w:szCs w:val="16"/>
                <w:lang w:eastAsia="en-US"/>
              </w:rPr>
              <w:t xml:space="preserve"> pjesëmarrjen në votime të të gjithë votuesve me aftësi të kufizuara.</w:t>
            </w:r>
          </w:p>
        </w:tc>
        <w:tc>
          <w:tcPr>
            <w:tcW w:w="567" w:type="dxa"/>
            <w:tcBorders>
              <w:top w:val="nil"/>
              <w:left w:val="nil"/>
              <w:bottom w:val="single" w:sz="4" w:space="0" w:color="auto"/>
              <w:right w:val="single" w:sz="4" w:space="0" w:color="auto"/>
            </w:tcBorders>
            <w:shd w:val="clear" w:color="000000" w:fill="DCE6F1"/>
            <w:hideMark/>
          </w:tcPr>
          <w:p w14:paraId="3F570A06"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nil"/>
            </w:tcBorders>
            <w:shd w:val="clear" w:color="000000" w:fill="DCE6F1"/>
            <w:hideMark/>
          </w:tcPr>
          <w:p w14:paraId="09285BE1"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single" w:sz="4" w:space="0" w:color="auto"/>
              <w:bottom w:val="single" w:sz="4" w:space="0" w:color="auto"/>
              <w:right w:val="single" w:sz="4" w:space="0" w:color="auto"/>
            </w:tcBorders>
            <w:shd w:val="clear" w:color="000000" w:fill="DCE6F1"/>
            <w:hideMark/>
          </w:tcPr>
          <w:p w14:paraId="6C597617" w14:textId="06293B1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MF/BASHKI</w:t>
            </w:r>
          </w:p>
        </w:tc>
        <w:tc>
          <w:tcPr>
            <w:tcW w:w="1418" w:type="dxa"/>
            <w:tcBorders>
              <w:top w:val="nil"/>
              <w:left w:val="nil"/>
              <w:bottom w:val="single" w:sz="4" w:space="0" w:color="auto"/>
              <w:right w:val="single" w:sz="4" w:space="0" w:color="auto"/>
            </w:tcBorders>
            <w:shd w:val="clear" w:color="000000" w:fill="DCE6F1"/>
            <w:hideMark/>
          </w:tcPr>
          <w:p w14:paraId="3F1448C4"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MSHMS/BASHKI</w:t>
            </w:r>
          </w:p>
        </w:tc>
        <w:tc>
          <w:tcPr>
            <w:tcW w:w="708" w:type="dxa"/>
            <w:tcBorders>
              <w:top w:val="nil"/>
              <w:left w:val="nil"/>
              <w:bottom w:val="single" w:sz="4" w:space="0" w:color="auto"/>
              <w:right w:val="single" w:sz="4" w:space="0" w:color="auto"/>
            </w:tcBorders>
            <w:shd w:val="clear" w:color="000000" w:fill="DCE6F1"/>
            <w:hideMark/>
          </w:tcPr>
          <w:p w14:paraId="08385D26" w14:textId="2E3D9BF8"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2,500</w:t>
            </w:r>
          </w:p>
        </w:tc>
        <w:tc>
          <w:tcPr>
            <w:tcW w:w="567" w:type="dxa"/>
            <w:tcBorders>
              <w:top w:val="nil"/>
              <w:left w:val="nil"/>
              <w:bottom w:val="single" w:sz="4" w:space="0" w:color="auto"/>
              <w:right w:val="single" w:sz="4" w:space="0" w:color="auto"/>
            </w:tcBorders>
            <w:shd w:val="clear" w:color="000000" w:fill="DCE6F1"/>
            <w:hideMark/>
          </w:tcPr>
          <w:p w14:paraId="755A3B64" w14:textId="55B2C27B"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2,500</w:t>
            </w:r>
          </w:p>
        </w:tc>
        <w:tc>
          <w:tcPr>
            <w:tcW w:w="567" w:type="dxa"/>
            <w:tcBorders>
              <w:top w:val="nil"/>
              <w:left w:val="nil"/>
              <w:bottom w:val="single" w:sz="4" w:space="0" w:color="auto"/>
              <w:right w:val="single" w:sz="4" w:space="0" w:color="auto"/>
            </w:tcBorders>
            <w:shd w:val="clear" w:color="000000" w:fill="DCE6F1"/>
            <w:hideMark/>
          </w:tcPr>
          <w:p w14:paraId="21A55B33" w14:textId="1C324FCD"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2,500</w:t>
            </w:r>
          </w:p>
        </w:tc>
        <w:tc>
          <w:tcPr>
            <w:tcW w:w="1134" w:type="dxa"/>
            <w:tcBorders>
              <w:top w:val="nil"/>
              <w:left w:val="nil"/>
              <w:bottom w:val="single" w:sz="4" w:space="0" w:color="auto"/>
              <w:right w:val="single" w:sz="4" w:space="0" w:color="auto"/>
            </w:tcBorders>
            <w:shd w:val="clear" w:color="000000" w:fill="DCE6F1"/>
            <w:hideMark/>
          </w:tcPr>
          <w:p w14:paraId="5FA86E58" w14:textId="260AD22C"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2,500</w:t>
            </w:r>
          </w:p>
        </w:tc>
        <w:tc>
          <w:tcPr>
            <w:tcW w:w="1615" w:type="dxa"/>
            <w:tcBorders>
              <w:top w:val="nil"/>
              <w:left w:val="nil"/>
              <w:bottom w:val="single" w:sz="4" w:space="0" w:color="auto"/>
              <w:right w:val="single" w:sz="4" w:space="0" w:color="auto"/>
            </w:tcBorders>
            <w:shd w:val="clear" w:color="000000" w:fill="DCE6F1"/>
            <w:hideMark/>
          </w:tcPr>
          <w:p w14:paraId="5B9E165C" w14:textId="5CDEE715"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2,500</w:t>
            </w:r>
          </w:p>
        </w:tc>
      </w:tr>
      <w:tr w:rsidR="00B807EE" w:rsidRPr="00024D5A" w14:paraId="5DD74C00"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79F9BA7D" w14:textId="6915739D"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1.1.1 Bashkërendim ndërmjet ministrisë përgjegjëse për çështjet e aftësisë së kufizuar (MSHMS) dhe njësive të qeverisjes vendore, </w:t>
            </w:r>
            <w:r w:rsidR="000C2D3A" w:rsidRPr="00024D5A">
              <w:rPr>
                <w:rFonts w:ascii="Garamond" w:eastAsia="Times New Roman" w:hAnsi="Garamond"/>
                <w:sz w:val="6"/>
                <w:szCs w:val="16"/>
                <w:lang w:eastAsia="en-US"/>
              </w:rPr>
              <w:t>nëpërmjet</w:t>
            </w:r>
            <w:r w:rsidRPr="00024D5A">
              <w:rPr>
                <w:rFonts w:ascii="Garamond" w:eastAsia="Times New Roman" w:hAnsi="Garamond"/>
                <w:sz w:val="6"/>
                <w:szCs w:val="16"/>
                <w:lang w:eastAsia="en-US"/>
              </w:rPr>
              <w:t xml:space="preserve"> hartimit t</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planeve sociale vendore, n</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w:t>
            </w:r>
            <w:r w:rsidR="000C2D3A" w:rsidRPr="00024D5A">
              <w:rPr>
                <w:rFonts w:ascii="Garamond" w:eastAsia="Times New Roman" w:hAnsi="Garamond"/>
                <w:sz w:val="6"/>
                <w:szCs w:val="16"/>
                <w:lang w:eastAsia="en-US"/>
              </w:rPr>
              <w:t>përputhje</w:t>
            </w:r>
            <w:r w:rsidRPr="00024D5A">
              <w:rPr>
                <w:rFonts w:ascii="Garamond" w:eastAsia="Times New Roman" w:hAnsi="Garamond"/>
                <w:sz w:val="6"/>
                <w:szCs w:val="16"/>
                <w:lang w:eastAsia="en-US"/>
              </w:rPr>
              <w:t xml:space="preserve"> me planin Komb</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tar t</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PAK</w:t>
            </w:r>
            <w:r w:rsidR="0059189E" w:rsidRPr="00024D5A">
              <w:rPr>
                <w:rFonts w:ascii="Garamond" w:eastAsia="Times New Roman" w:hAnsi="Garamond"/>
                <w:sz w:val="6"/>
                <w:szCs w:val="16"/>
                <w:lang w:eastAsia="en-US"/>
              </w:rPr>
              <w:t>-së</w:t>
            </w:r>
          </w:p>
        </w:tc>
        <w:tc>
          <w:tcPr>
            <w:tcW w:w="567" w:type="dxa"/>
            <w:tcBorders>
              <w:top w:val="nil"/>
              <w:left w:val="nil"/>
              <w:bottom w:val="single" w:sz="4" w:space="0" w:color="auto"/>
              <w:right w:val="single" w:sz="4" w:space="0" w:color="auto"/>
            </w:tcBorders>
            <w:hideMark/>
          </w:tcPr>
          <w:p w14:paraId="7C743FAC"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nil"/>
            </w:tcBorders>
            <w:hideMark/>
          </w:tcPr>
          <w:p w14:paraId="12BBA9D7"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single" w:sz="4" w:space="0" w:color="auto"/>
              <w:bottom w:val="single" w:sz="4" w:space="0" w:color="auto"/>
              <w:right w:val="single" w:sz="4" w:space="0" w:color="auto"/>
            </w:tcBorders>
            <w:hideMark/>
          </w:tcPr>
          <w:p w14:paraId="446F566D" w14:textId="3A27E59B" w:rsidR="00700D7D" w:rsidRPr="00024D5A" w:rsidRDefault="005A46E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Bashkitë</w:t>
            </w:r>
          </w:p>
        </w:tc>
        <w:tc>
          <w:tcPr>
            <w:tcW w:w="1418" w:type="dxa"/>
            <w:tcBorders>
              <w:top w:val="nil"/>
              <w:left w:val="nil"/>
              <w:bottom w:val="single" w:sz="4" w:space="0" w:color="auto"/>
              <w:right w:val="single" w:sz="4" w:space="0" w:color="auto"/>
            </w:tcBorders>
            <w:hideMark/>
          </w:tcPr>
          <w:p w14:paraId="7E536BB6"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MSHMS</w:t>
            </w:r>
          </w:p>
        </w:tc>
        <w:tc>
          <w:tcPr>
            <w:tcW w:w="708" w:type="dxa"/>
            <w:tcBorders>
              <w:top w:val="nil"/>
              <w:left w:val="nil"/>
              <w:bottom w:val="single" w:sz="4" w:space="0" w:color="auto"/>
              <w:right w:val="single" w:sz="4" w:space="0" w:color="auto"/>
            </w:tcBorders>
            <w:hideMark/>
          </w:tcPr>
          <w:p w14:paraId="61581655" w14:textId="26D4F28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2,500</w:t>
            </w:r>
          </w:p>
        </w:tc>
        <w:tc>
          <w:tcPr>
            <w:tcW w:w="567" w:type="dxa"/>
            <w:tcBorders>
              <w:top w:val="nil"/>
              <w:left w:val="nil"/>
              <w:bottom w:val="single" w:sz="4" w:space="0" w:color="auto"/>
              <w:right w:val="single" w:sz="4" w:space="0" w:color="auto"/>
            </w:tcBorders>
            <w:hideMark/>
          </w:tcPr>
          <w:p w14:paraId="0B5DA668" w14:textId="4A141CF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2,500</w:t>
            </w:r>
          </w:p>
        </w:tc>
        <w:tc>
          <w:tcPr>
            <w:tcW w:w="567" w:type="dxa"/>
            <w:tcBorders>
              <w:top w:val="nil"/>
              <w:left w:val="nil"/>
              <w:bottom w:val="single" w:sz="4" w:space="0" w:color="auto"/>
              <w:right w:val="single" w:sz="4" w:space="0" w:color="auto"/>
            </w:tcBorders>
            <w:hideMark/>
          </w:tcPr>
          <w:p w14:paraId="22C589FF" w14:textId="3F7A2B5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2,500</w:t>
            </w:r>
          </w:p>
        </w:tc>
        <w:tc>
          <w:tcPr>
            <w:tcW w:w="1134" w:type="dxa"/>
            <w:tcBorders>
              <w:top w:val="nil"/>
              <w:left w:val="nil"/>
              <w:bottom w:val="single" w:sz="4" w:space="0" w:color="auto"/>
              <w:right w:val="single" w:sz="4" w:space="0" w:color="auto"/>
            </w:tcBorders>
            <w:hideMark/>
          </w:tcPr>
          <w:p w14:paraId="0F4BC78B" w14:textId="57C571A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2,500</w:t>
            </w:r>
          </w:p>
        </w:tc>
        <w:tc>
          <w:tcPr>
            <w:tcW w:w="1615" w:type="dxa"/>
            <w:tcBorders>
              <w:top w:val="nil"/>
              <w:left w:val="nil"/>
              <w:bottom w:val="single" w:sz="4" w:space="0" w:color="auto"/>
              <w:right w:val="single" w:sz="4" w:space="0" w:color="auto"/>
            </w:tcBorders>
            <w:hideMark/>
          </w:tcPr>
          <w:p w14:paraId="6932D30B" w14:textId="0627AC1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2,500</w:t>
            </w:r>
          </w:p>
        </w:tc>
      </w:tr>
      <w:tr w:rsidR="00B807EE" w:rsidRPr="00024D5A" w14:paraId="471D7FA5" w14:textId="77777777" w:rsidTr="002B321E">
        <w:trPr>
          <w:trHeight w:val="20"/>
        </w:trPr>
        <w:tc>
          <w:tcPr>
            <w:tcW w:w="4673" w:type="dxa"/>
            <w:tcBorders>
              <w:top w:val="nil"/>
              <w:left w:val="single" w:sz="4" w:space="0" w:color="auto"/>
              <w:bottom w:val="nil"/>
              <w:right w:val="single" w:sz="4" w:space="0" w:color="auto"/>
            </w:tcBorders>
            <w:hideMark/>
          </w:tcPr>
          <w:p w14:paraId="278B7145" w14:textId="32FEBE75"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1.1.2 Rritje progresive e mbështetjes financiare për pushtetin vendor për shtimin e numrit dhe </w:t>
            </w:r>
            <w:r w:rsidR="000C2D3A" w:rsidRPr="00024D5A">
              <w:rPr>
                <w:rFonts w:ascii="Garamond" w:eastAsia="Times New Roman" w:hAnsi="Garamond"/>
                <w:sz w:val="6"/>
                <w:szCs w:val="16"/>
                <w:lang w:eastAsia="en-US"/>
              </w:rPr>
              <w:t>tipologjisë</w:t>
            </w:r>
            <w:r w:rsidRPr="00024D5A">
              <w:rPr>
                <w:rFonts w:ascii="Garamond" w:eastAsia="Times New Roman" w:hAnsi="Garamond"/>
                <w:sz w:val="6"/>
                <w:szCs w:val="16"/>
                <w:lang w:eastAsia="en-US"/>
              </w:rPr>
              <w:t xml:space="preserve"> së shërbimeve për PAK</w:t>
            </w:r>
            <w:r w:rsidR="000C2D3A" w:rsidRPr="00024D5A">
              <w:rPr>
                <w:rFonts w:ascii="Garamond" w:eastAsia="Times New Roman" w:hAnsi="Garamond"/>
                <w:sz w:val="6"/>
                <w:szCs w:val="16"/>
                <w:lang w:eastAsia="en-US"/>
              </w:rPr>
              <w:t>-në</w:t>
            </w:r>
            <w:r w:rsidRPr="00024D5A">
              <w:rPr>
                <w:rFonts w:ascii="Garamond" w:eastAsia="Times New Roman" w:hAnsi="Garamond"/>
                <w:sz w:val="6"/>
                <w:szCs w:val="16"/>
                <w:lang w:eastAsia="en-US"/>
              </w:rPr>
              <w:t>.</w:t>
            </w:r>
          </w:p>
        </w:tc>
        <w:tc>
          <w:tcPr>
            <w:tcW w:w="567" w:type="dxa"/>
            <w:tcBorders>
              <w:top w:val="nil"/>
              <w:left w:val="nil"/>
              <w:bottom w:val="nil"/>
              <w:right w:val="single" w:sz="4" w:space="0" w:color="auto"/>
            </w:tcBorders>
            <w:hideMark/>
          </w:tcPr>
          <w:p w14:paraId="2B8532AB"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nil"/>
              <w:right w:val="nil"/>
            </w:tcBorders>
            <w:hideMark/>
          </w:tcPr>
          <w:p w14:paraId="2FF5925A"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single" w:sz="4" w:space="0" w:color="auto"/>
              <w:bottom w:val="single" w:sz="4" w:space="0" w:color="auto"/>
              <w:right w:val="single" w:sz="4" w:space="0" w:color="auto"/>
            </w:tcBorders>
            <w:hideMark/>
          </w:tcPr>
          <w:p w14:paraId="7AFC646D" w14:textId="230BCED1"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MSHMS</w:t>
            </w:r>
            <w:r w:rsidR="007675EC"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MF</w:t>
            </w:r>
          </w:p>
        </w:tc>
        <w:tc>
          <w:tcPr>
            <w:tcW w:w="1418" w:type="dxa"/>
            <w:tcBorders>
              <w:top w:val="nil"/>
              <w:left w:val="nil"/>
              <w:bottom w:val="single" w:sz="4" w:space="0" w:color="auto"/>
              <w:right w:val="single" w:sz="4" w:space="0" w:color="auto"/>
            </w:tcBorders>
            <w:hideMark/>
          </w:tcPr>
          <w:p w14:paraId="3FA5B2B7" w14:textId="4BE3DAF0"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Bashkit</w:t>
            </w:r>
            <w:r w:rsidR="00A74194">
              <w:rPr>
                <w:rFonts w:ascii="Garamond" w:eastAsia="Times New Roman" w:hAnsi="Garamond"/>
                <w:sz w:val="6"/>
                <w:szCs w:val="16"/>
                <w:lang w:eastAsia="en-US"/>
              </w:rPr>
              <w:t>ë</w:t>
            </w:r>
          </w:p>
        </w:tc>
        <w:tc>
          <w:tcPr>
            <w:tcW w:w="708" w:type="dxa"/>
            <w:tcBorders>
              <w:top w:val="nil"/>
              <w:left w:val="nil"/>
              <w:bottom w:val="single" w:sz="4" w:space="0" w:color="auto"/>
              <w:right w:val="single" w:sz="4" w:space="0" w:color="auto"/>
            </w:tcBorders>
            <w:hideMark/>
          </w:tcPr>
          <w:p w14:paraId="52C5FFC1" w14:textId="430FDA9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10F170D3" w14:textId="3472779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1981FCBC" w14:textId="2528C8E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2AC986F9" w14:textId="69F51E3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104BCDA9" w14:textId="5178407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16C2E48E" w14:textId="77777777" w:rsidTr="002B321E">
        <w:trPr>
          <w:trHeight w:val="20"/>
        </w:trPr>
        <w:tc>
          <w:tcPr>
            <w:tcW w:w="4673" w:type="dxa"/>
            <w:tcBorders>
              <w:top w:val="single" w:sz="4" w:space="0" w:color="auto"/>
              <w:left w:val="single" w:sz="4" w:space="0" w:color="auto"/>
              <w:bottom w:val="single" w:sz="4" w:space="0" w:color="auto"/>
              <w:right w:val="single" w:sz="4" w:space="0" w:color="auto"/>
            </w:tcBorders>
            <w:shd w:val="clear" w:color="000000" w:fill="B8CCE4"/>
            <w:hideMark/>
          </w:tcPr>
          <w:p w14:paraId="51B6C012" w14:textId="6A46DF35"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Masa prioritare 1.2</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Fuqizimi i rolit të bashkive dhe promovimi i tyre në njohjen dhe përmbushjen e nevojave të PAK</w:t>
            </w:r>
            <w:r w:rsidR="0069081C">
              <w:rPr>
                <w:rFonts w:ascii="Garamond" w:eastAsia="Times New Roman" w:hAnsi="Garamond"/>
                <w:b/>
                <w:bCs/>
                <w:sz w:val="6"/>
                <w:szCs w:val="16"/>
                <w:lang w:eastAsia="en-US"/>
              </w:rPr>
              <w:t>-së</w:t>
            </w:r>
            <w:r w:rsidRPr="00024D5A">
              <w:rPr>
                <w:rFonts w:ascii="Garamond" w:eastAsia="Times New Roman" w:hAnsi="Garamond"/>
                <w:b/>
                <w:bCs/>
                <w:sz w:val="6"/>
                <w:szCs w:val="16"/>
                <w:lang w:eastAsia="en-US"/>
              </w:rPr>
              <w:t xml:space="preserve"> në territorin e tyre.</w:t>
            </w:r>
          </w:p>
        </w:tc>
        <w:tc>
          <w:tcPr>
            <w:tcW w:w="567" w:type="dxa"/>
            <w:tcBorders>
              <w:top w:val="single" w:sz="8" w:space="0" w:color="auto"/>
              <w:left w:val="nil"/>
              <w:bottom w:val="nil"/>
              <w:right w:val="single" w:sz="4" w:space="0" w:color="auto"/>
            </w:tcBorders>
            <w:shd w:val="clear" w:color="000000" w:fill="B8CCE4"/>
            <w:hideMark/>
          </w:tcPr>
          <w:p w14:paraId="6AF3584A"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2026</w:t>
            </w:r>
          </w:p>
        </w:tc>
        <w:tc>
          <w:tcPr>
            <w:tcW w:w="567" w:type="dxa"/>
            <w:tcBorders>
              <w:top w:val="single" w:sz="8" w:space="0" w:color="auto"/>
              <w:left w:val="nil"/>
              <w:bottom w:val="nil"/>
              <w:right w:val="nil"/>
            </w:tcBorders>
            <w:shd w:val="clear" w:color="000000" w:fill="B8CCE4"/>
            <w:hideMark/>
          </w:tcPr>
          <w:p w14:paraId="148F025A"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2027</w:t>
            </w:r>
          </w:p>
        </w:tc>
        <w:tc>
          <w:tcPr>
            <w:tcW w:w="1134" w:type="dxa"/>
            <w:tcBorders>
              <w:top w:val="nil"/>
              <w:left w:val="single" w:sz="4" w:space="0" w:color="auto"/>
              <w:bottom w:val="single" w:sz="4" w:space="0" w:color="auto"/>
              <w:right w:val="single" w:sz="4" w:space="0" w:color="auto"/>
            </w:tcBorders>
            <w:shd w:val="clear" w:color="000000" w:fill="B8CCE4"/>
            <w:hideMark/>
          </w:tcPr>
          <w:p w14:paraId="4D59E6B9" w14:textId="77777777"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MSHMS/BASHKI</w:t>
            </w:r>
          </w:p>
        </w:tc>
        <w:tc>
          <w:tcPr>
            <w:tcW w:w="1418" w:type="dxa"/>
            <w:tcBorders>
              <w:top w:val="nil"/>
              <w:left w:val="nil"/>
              <w:bottom w:val="single" w:sz="4" w:space="0" w:color="auto"/>
              <w:right w:val="single" w:sz="4" w:space="0" w:color="auto"/>
            </w:tcBorders>
            <w:shd w:val="clear" w:color="000000" w:fill="B8CCE4"/>
            <w:hideMark/>
          </w:tcPr>
          <w:p w14:paraId="0CF5319C" w14:textId="37735448" w:rsidR="00700D7D" w:rsidRPr="00024D5A" w:rsidRDefault="00700D7D" w:rsidP="00180DF3">
            <w:pPr>
              <w:jc w:val="both"/>
              <w:rPr>
                <w:rFonts w:ascii="Garamond" w:eastAsia="Times New Roman" w:hAnsi="Garamond"/>
                <w:b/>
                <w:bCs/>
                <w:i/>
                <w:iCs/>
                <w:sz w:val="6"/>
                <w:szCs w:val="16"/>
                <w:lang w:eastAsia="en-US"/>
              </w:rPr>
            </w:pPr>
            <w:r w:rsidRPr="00024D5A">
              <w:rPr>
                <w:rFonts w:ascii="Garamond" w:eastAsia="Times New Roman" w:hAnsi="Garamond"/>
                <w:b/>
                <w:bCs/>
                <w:i/>
                <w:iCs/>
                <w:sz w:val="6"/>
                <w:szCs w:val="16"/>
                <w:lang w:eastAsia="en-US"/>
              </w:rPr>
              <w:t>NJVV</w:t>
            </w:r>
            <w:r w:rsidR="007675EC" w:rsidRPr="00024D5A">
              <w:rPr>
                <w:rFonts w:ascii="Garamond" w:eastAsia="Times New Roman" w:hAnsi="Garamond"/>
                <w:b/>
                <w:bCs/>
                <w:i/>
                <w:iCs/>
                <w:sz w:val="6"/>
                <w:szCs w:val="16"/>
                <w:lang w:eastAsia="en-US"/>
              </w:rPr>
              <w:t>/</w:t>
            </w:r>
            <w:r w:rsidRPr="00024D5A">
              <w:rPr>
                <w:rFonts w:ascii="Garamond" w:eastAsia="Times New Roman" w:hAnsi="Garamond"/>
                <w:b/>
                <w:bCs/>
                <w:i/>
                <w:iCs/>
                <w:sz w:val="6"/>
                <w:szCs w:val="16"/>
                <w:lang w:eastAsia="en-US"/>
              </w:rPr>
              <w:t>AMVV</w:t>
            </w:r>
            <w:r w:rsidR="007675EC" w:rsidRPr="00024D5A">
              <w:rPr>
                <w:rFonts w:ascii="Garamond" w:eastAsia="Times New Roman" w:hAnsi="Garamond"/>
                <w:b/>
                <w:bCs/>
                <w:i/>
                <w:iCs/>
                <w:sz w:val="6"/>
                <w:szCs w:val="16"/>
                <w:lang w:eastAsia="en-US"/>
              </w:rPr>
              <w:t>/</w:t>
            </w:r>
            <w:r w:rsidRPr="00024D5A">
              <w:rPr>
                <w:rFonts w:ascii="Garamond" w:eastAsia="Times New Roman" w:hAnsi="Garamond"/>
                <w:b/>
                <w:bCs/>
                <w:i/>
                <w:iCs/>
                <w:sz w:val="6"/>
                <w:szCs w:val="16"/>
                <w:lang w:eastAsia="en-US"/>
              </w:rPr>
              <w:t>OJF/BASHKI</w:t>
            </w:r>
          </w:p>
        </w:tc>
        <w:tc>
          <w:tcPr>
            <w:tcW w:w="708" w:type="dxa"/>
            <w:tcBorders>
              <w:top w:val="single" w:sz="8" w:space="0" w:color="auto"/>
              <w:left w:val="nil"/>
              <w:bottom w:val="single" w:sz="8" w:space="0" w:color="auto"/>
              <w:right w:val="single" w:sz="4" w:space="0" w:color="auto"/>
            </w:tcBorders>
            <w:shd w:val="clear" w:color="000000" w:fill="B8CCE4"/>
            <w:hideMark/>
          </w:tcPr>
          <w:p w14:paraId="357CDE73" w14:textId="6BD754B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5,145</w:t>
            </w:r>
          </w:p>
        </w:tc>
        <w:tc>
          <w:tcPr>
            <w:tcW w:w="567" w:type="dxa"/>
            <w:tcBorders>
              <w:top w:val="single" w:sz="8" w:space="0" w:color="auto"/>
              <w:left w:val="nil"/>
              <w:bottom w:val="single" w:sz="8" w:space="0" w:color="auto"/>
              <w:right w:val="single" w:sz="4" w:space="0" w:color="auto"/>
            </w:tcBorders>
            <w:shd w:val="clear" w:color="000000" w:fill="B8CCE4"/>
            <w:hideMark/>
          </w:tcPr>
          <w:p w14:paraId="126EC523" w14:textId="1F08E99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5,145</w:t>
            </w:r>
          </w:p>
        </w:tc>
        <w:tc>
          <w:tcPr>
            <w:tcW w:w="567" w:type="dxa"/>
            <w:tcBorders>
              <w:top w:val="single" w:sz="8" w:space="0" w:color="auto"/>
              <w:left w:val="nil"/>
              <w:bottom w:val="single" w:sz="8" w:space="0" w:color="auto"/>
              <w:right w:val="single" w:sz="4" w:space="0" w:color="auto"/>
            </w:tcBorders>
            <w:shd w:val="clear" w:color="000000" w:fill="B8CCE4"/>
            <w:hideMark/>
          </w:tcPr>
          <w:p w14:paraId="3E8D7DA5" w14:textId="19A5A9F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single" w:sz="8" w:space="0" w:color="auto"/>
              <w:left w:val="nil"/>
              <w:bottom w:val="single" w:sz="8" w:space="0" w:color="auto"/>
              <w:right w:val="single" w:sz="4" w:space="0" w:color="auto"/>
            </w:tcBorders>
            <w:shd w:val="clear" w:color="000000" w:fill="B8CCE4"/>
            <w:hideMark/>
          </w:tcPr>
          <w:p w14:paraId="551A0A0B" w14:textId="3FB83DF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single" w:sz="8" w:space="0" w:color="auto"/>
              <w:left w:val="nil"/>
              <w:bottom w:val="single" w:sz="8" w:space="0" w:color="auto"/>
              <w:right w:val="single" w:sz="4" w:space="0" w:color="auto"/>
            </w:tcBorders>
            <w:shd w:val="clear" w:color="000000" w:fill="B8CCE4"/>
            <w:hideMark/>
          </w:tcPr>
          <w:p w14:paraId="63001F70" w14:textId="78A3FCD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3CF433BD"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4DC6DF65" w14:textId="3B1455F6"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1.2.1</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Hartimi i një guide metodologjike për të ndihmuar bashkitë në kryerjen e një vlerësimi të nevojave të përfshirjes së personave me aftësi të kufizuara që jetojnë në territorin e tyre.</w:t>
            </w:r>
          </w:p>
        </w:tc>
        <w:tc>
          <w:tcPr>
            <w:tcW w:w="567" w:type="dxa"/>
            <w:tcBorders>
              <w:top w:val="single" w:sz="4" w:space="0" w:color="auto"/>
              <w:left w:val="nil"/>
              <w:bottom w:val="single" w:sz="4" w:space="0" w:color="auto"/>
              <w:right w:val="single" w:sz="4" w:space="0" w:color="auto"/>
            </w:tcBorders>
            <w:hideMark/>
          </w:tcPr>
          <w:p w14:paraId="61750E4A"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single" w:sz="4" w:space="0" w:color="auto"/>
              <w:left w:val="nil"/>
              <w:bottom w:val="single" w:sz="4" w:space="0" w:color="auto"/>
              <w:right w:val="nil"/>
            </w:tcBorders>
            <w:hideMark/>
          </w:tcPr>
          <w:p w14:paraId="62B21C99"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2027</w:t>
            </w:r>
          </w:p>
        </w:tc>
        <w:tc>
          <w:tcPr>
            <w:tcW w:w="1134" w:type="dxa"/>
            <w:tcBorders>
              <w:top w:val="nil"/>
              <w:left w:val="single" w:sz="4" w:space="0" w:color="auto"/>
              <w:bottom w:val="single" w:sz="4" w:space="0" w:color="auto"/>
              <w:right w:val="single" w:sz="4" w:space="0" w:color="auto"/>
            </w:tcBorders>
            <w:hideMark/>
          </w:tcPr>
          <w:p w14:paraId="6600131D"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MSHMS</w:t>
            </w:r>
          </w:p>
        </w:tc>
        <w:tc>
          <w:tcPr>
            <w:tcW w:w="1418" w:type="dxa"/>
            <w:tcBorders>
              <w:top w:val="nil"/>
              <w:left w:val="nil"/>
              <w:bottom w:val="single" w:sz="4" w:space="0" w:color="auto"/>
              <w:right w:val="single" w:sz="4" w:space="0" w:color="auto"/>
            </w:tcBorders>
            <w:hideMark/>
          </w:tcPr>
          <w:p w14:paraId="2BEA3134" w14:textId="2F54EC35"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NJVV</w:t>
            </w:r>
            <w:r w:rsidR="007675EC"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AMVV</w:t>
            </w:r>
            <w:r w:rsidR="007675EC"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OJF</w:t>
            </w:r>
          </w:p>
        </w:tc>
        <w:tc>
          <w:tcPr>
            <w:tcW w:w="708" w:type="dxa"/>
            <w:tcBorders>
              <w:top w:val="single" w:sz="4" w:space="0" w:color="auto"/>
              <w:left w:val="nil"/>
              <w:bottom w:val="single" w:sz="4" w:space="0" w:color="auto"/>
              <w:right w:val="single" w:sz="4" w:space="0" w:color="auto"/>
            </w:tcBorders>
            <w:hideMark/>
          </w:tcPr>
          <w:p w14:paraId="526E606C" w14:textId="540BE6E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3,436</w:t>
            </w:r>
          </w:p>
        </w:tc>
        <w:tc>
          <w:tcPr>
            <w:tcW w:w="567" w:type="dxa"/>
            <w:tcBorders>
              <w:top w:val="single" w:sz="4" w:space="0" w:color="auto"/>
              <w:left w:val="nil"/>
              <w:bottom w:val="single" w:sz="4" w:space="0" w:color="auto"/>
              <w:right w:val="single" w:sz="4" w:space="0" w:color="auto"/>
            </w:tcBorders>
            <w:hideMark/>
          </w:tcPr>
          <w:p w14:paraId="6F75E27A" w14:textId="69BE780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3,436</w:t>
            </w:r>
          </w:p>
        </w:tc>
        <w:tc>
          <w:tcPr>
            <w:tcW w:w="567" w:type="dxa"/>
            <w:tcBorders>
              <w:top w:val="single" w:sz="4" w:space="0" w:color="auto"/>
              <w:left w:val="nil"/>
              <w:bottom w:val="single" w:sz="4" w:space="0" w:color="auto"/>
              <w:right w:val="single" w:sz="4" w:space="0" w:color="auto"/>
            </w:tcBorders>
            <w:hideMark/>
          </w:tcPr>
          <w:p w14:paraId="187E5AF5" w14:textId="4DE3660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single" w:sz="4" w:space="0" w:color="auto"/>
              <w:left w:val="nil"/>
              <w:bottom w:val="single" w:sz="4" w:space="0" w:color="auto"/>
              <w:right w:val="single" w:sz="4" w:space="0" w:color="auto"/>
            </w:tcBorders>
            <w:hideMark/>
          </w:tcPr>
          <w:p w14:paraId="42742D6A" w14:textId="0C068F8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single" w:sz="4" w:space="0" w:color="auto"/>
              <w:left w:val="nil"/>
              <w:bottom w:val="single" w:sz="4" w:space="0" w:color="auto"/>
              <w:right w:val="single" w:sz="4" w:space="0" w:color="auto"/>
            </w:tcBorders>
            <w:hideMark/>
          </w:tcPr>
          <w:p w14:paraId="7DFF0F20" w14:textId="021C800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126DFCF4"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7F71AFE6" w14:textId="4B88CCC1"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1.2.2</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Marrëveshje bashkëpunimi ndërmjet bashkive dhe organizatave të PAK</w:t>
            </w:r>
            <w:r w:rsidR="0069081C">
              <w:rPr>
                <w:rFonts w:ascii="Garamond" w:eastAsia="Times New Roman" w:hAnsi="Garamond"/>
                <w:sz w:val="6"/>
                <w:szCs w:val="16"/>
                <w:lang w:eastAsia="en-US"/>
              </w:rPr>
              <w:t>-së,</w:t>
            </w:r>
            <w:r w:rsidRPr="00024D5A">
              <w:rPr>
                <w:rFonts w:ascii="Garamond" w:eastAsia="Times New Roman" w:hAnsi="Garamond"/>
                <w:sz w:val="6"/>
                <w:szCs w:val="16"/>
                <w:lang w:eastAsia="en-US"/>
              </w:rPr>
              <w:t xml:space="preserve"> duke organizuar</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 xml:space="preserve">takime periodike për njohjen e problematikave. </w:t>
            </w:r>
          </w:p>
        </w:tc>
        <w:tc>
          <w:tcPr>
            <w:tcW w:w="567" w:type="dxa"/>
            <w:tcBorders>
              <w:top w:val="nil"/>
              <w:left w:val="nil"/>
              <w:bottom w:val="single" w:sz="4" w:space="0" w:color="auto"/>
              <w:right w:val="single" w:sz="4" w:space="0" w:color="auto"/>
            </w:tcBorders>
            <w:hideMark/>
          </w:tcPr>
          <w:p w14:paraId="47760D61"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nil"/>
            </w:tcBorders>
            <w:hideMark/>
          </w:tcPr>
          <w:p w14:paraId="16EC21A0"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2027</w:t>
            </w:r>
          </w:p>
        </w:tc>
        <w:tc>
          <w:tcPr>
            <w:tcW w:w="1134" w:type="dxa"/>
            <w:tcBorders>
              <w:top w:val="nil"/>
              <w:left w:val="single" w:sz="4" w:space="0" w:color="auto"/>
              <w:bottom w:val="single" w:sz="4" w:space="0" w:color="auto"/>
              <w:right w:val="single" w:sz="4" w:space="0" w:color="auto"/>
            </w:tcBorders>
            <w:hideMark/>
          </w:tcPr>
          <w:p w14:paraId="7BD2B35D" w14:textId="49A0BEF4" w:rsidR="00700D7D" w:rsidRPr="00024D5A" w:rsidRDefault="005A46E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Bashkitë</w:t>
            </w:r>
          </w:p>
        </w:tc>
        <w:tc>
          <w:tcPr>
            <w:tcW w:w="1418" w:type="dxa"/>
            <w:tcBorders>
              <w:top w:val="nil"/>
              <w:left w:val="nil"/>
              <w:bottom w:val="single" w:sz="4" w:space="0" w:color="auto"/>
              <w:right w:val="single" w:sz="4" w:space="0" w:color="auto"/>
            </w:tcBorders>
            <w:hideMark/>
          </w:tcPr>
          <w:p w14:paraId="5D37F87C"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OJF</w:t>
            </w:r>
          </w:p>
        </w:tc>
        <w:tc>
          <w:tcPr>
            <w:tcW w:w="708" w:type="dxa"/>
            <w:tcBorders>
              <w:top w:val="nil"/>
              <w:left w:val="nil"/>
              <w:bottom w:val="single" w:sz="4" w:space="0" w:color="auto"/>
              <w:right w:val="single" w:sz="4" w:space="0" w:color="auto"/>
            </w:tcBorders>
            <w:hideMark/>
          </w:tcPr>
          <w:p w14:paraId="47449712" w14:textId="24A1EB3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1,200</w:t>
            </w:r>
          </w:p>
        </w:tc>
        <w:tc>
          <w:tcPr>
            <w:tcW w:w="567" w:type="dxa"/>
            <w:tcBorders>
              <w:top w:val="nil"/>
              <w:left w:val="nil"/>
              <w:bottom w:val="single" w:sz="4" w:space="0" w:color="auto"/>
              <w:right w:val="single" w:sz="4" w:space="0" w:color="auto"/>
            </w:tcBorders>
            <w:hideMark/>
          </w:tcPr>
          <w:p w14:paraId="2D646834" w14:textId="5EEA6F4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1,200</w:t>
            </w:r>
          </w:p>
        </w:tc>
        <w:tc>
          <w:tcPr>
            <w:tcW w:w="567" w:type="dxa"/>
            <w:tcBorders>
              <w:top w:val="nil"/>
              <w:left w:val="nil"/>
              <w:bottom w:val="single" w:sz="4" w:space="0" w:color="auto"/>
              <w:right w:val="single" w:sz="4" w:space="0" w:color="auto"/>
            </w:tcBorders>
            <w:hideMark/>
          </w:tcPr>
          <w:p w14:paraId="7FFE647C" w14:textId="569692A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5D61E1D4" w14:textId="592EBCA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0F217ABA" w14:textId="7055DF7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0AC7CC97" w14:textId="77777777" w:rsidTr="002B321E">
        <w:trPr>
          <w:trHeight w:val="20"/>
        </w:trPr>
        <w:tc>
          <w:tcPr>
            <w:tcW w:w="4673" w:type="dxa"/>
            <w:tcBorders>
              <w:top w:val="nil"/>
              <w:left w:val="single" w:sz="4" w:space="0" w:color="auto"/>
              <w:bottom w:val="nil"/>
              <w:right w:val="single" w:sz="4" w:space="0" w:color="auto"/>
            </w:tcBorders>
            <w:noWrap/>
            <w:hideMark/>
          </w:tcPr>
          <w:p w14:paraId="208DC5C7" w14:textId="2C4A0EB4"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1.2.3</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Organizimi i aktivitete promovuese të iniciativave të mira</w:t>
            </w:r>
            <w:r w:rsidR="0069081C">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duke shpallur bashkitë më të mira të vitit, lidhur me realizimin e të drejtave të personave me aftësi të kufizuara.</w:t>
            </w:r>
          </w:p>
        </w:tc>
        <w:tc>
          <w:tcPr>
            <w:tcW w:w="567" w:type="dxa"/>
            <w:tcBorders>
              <w:top w:val="nil"/>
              <w:left w:val="nil"/>
              <w:bottom w:val="single" w:sz="4" w:space="0" w:color="auto"/>
              <w:right w:val="single" w:sz="4" w:space="0" w:color="auto"/>
            </w:tcBorders>
            <w:hideMark/>
          </w:tcPr>
          <w:p w14:paraId="79E9326A"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nil"/>
            </w:tcBorders>
            <w:hideMark/>
          </w:tcPr>
          <w:p w14:paraId="02400585"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2027</w:t>
            </w:r>
          </w:p>
        </w:tc>
        <w:tc>
          <w:tcPr>
            <w:tcW w:w="1134" w:type="dxa"/>
            <w:tcBorders>
              <w:top w:val="nil"/>
              <w:left w:val="single" w:sz="4" w:space="0" w:color="auto"/>
              <w:bottom w:val="single" w:sz="4" w:space="0" w:color="auto"/>
              <w:right w:val="single" w:sz="4" w:space="0" w:color="auto"/>
            </w:tcBorders>
            <w:hideMark/>
          </w:tcPr>
          <w:p w14:paraId="6D208047"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MSHMS</w:t>
            </w:r>
          </w:p>
        </w:tc>
        <w:tc>
          <w:tcPr>
            <w:tcW w:w="1418" w:type="dxa"/>
            <w:tcBorders>
              <w:top w:val="nil"/>
              <w:left w:val="nil"/>
              <w:bottom w:val="single" w:sz="4" w:space="0" w:color="auto"/>
              <w:right w:val="single" w:sz="4" w:space="0" w:color="auto"/>
            </w:tcBorders>
            <w:hideMark/>
          </w:tcPr>
          <w:p w14:paraId="12E61025" w14:textId="7876DCC0"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T</w:t>
            </w:r>
            <w:r w:rsidR="005A46ED">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gjitha inst.</w:t>
            </w:r>
            <w:r w:rsidR="007675EC" w:rsidRPr="00024D5A">
              <w:rPr>
                <w:rFonts w:ascii="Garamond" w:eastAsia="Times New Roman" w:hAnsi="Garamond"/>
                <w:sz w:val="6"/>
                <w:szCs w:val="16"/>
                <w:lang w:eastAsia="en-US"/>
              </w:rPr>
              <w:t>/</w:t>
            </w:r>
            <w:r w:rsidR="005A46ED" w:rsidRPr="00024D5A">
              <w:rPr>
                <w:rFonts w:ascii="Garamond" w:eastAsia="Times New Roman" w:hAnsi="Garamond"/>
                <w:sz w:val="6"/>
                <w:szCs w:val="16"/>
                <w:lang w:eastAsia="en-US"/>
              </w:rPr>
              <w:t>Bashkitë</w:t>
            </w:r>
            <w:r w:rsidR="007675EC"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OJF</w:t>
            </w:r>
          </w:p>
        </w:tc>
        <w:tc>
          <w:tcPr>
            <w:tcW w:w="708" w:type="dxa"/>
            <w:tcBorders>
              <w:top w:val="nil"/>
              <w:left w:val="nil"/>
              <w:bottom w:val="single" w:sz="4" w:space="0" w:color="auto"/>
              <w:right w:val="single" w:sz="4" w:space="0" w:color="auto"/>
            </w:tcBorders>
            <w:hideMark/>
          </w:tcPr>
          <w:p w14:paraId="1F061883" w14:textId="15C413D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509</w:t>
            </w:r>
          </w:p>
        </w:tc>
        <w:tc>
          <w:tcPr>
            <w:tcW w:w="567" w:type="dxa"/>
            <w:tcBorders>
              <w:top w:val="nil"/>
              <w:left w:val="nil"/>
              <w:bottom w:val="single" w:sz="4" w:space="0" w:color="auto"/>
              <w:right w:val="single" w:sz="4" w:space="0" w:color="auto"/>
            </w:tcBorders>
            <w:hideMark/>
          </w:tcPr>
          <w:p w14:paraId="47E70E7D" w14:textId="2E896AB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509</w:t>
            </w:r>
          </w:p>
        </w:tc>
        <w:tc>
          <w:tcPr>
            <w:tcW w:w="567" w:type="dxa"/>
            <w:tcBorders>
              <w:top w:val="nil"/>
              <w:left w:val="nil"/>
              <w:bottom w:val="single" w:sz="4" w:space="0" w:color="auto"/>
              <w:right w:val="single" w:sz="4" w:space="0" w:color="auto"/>
            </w:tcBorders>
            <w:hideMark/>
          </w:tcPr>
          <w:p w14:paraId="0623B465" w14:textId="592FAAB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22CC3825" w14:textId="7074571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0F92B8CA" w14:textId="7ABD4B8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0C53826C" w14:textId="77777777" w:rsidTr="002B321E">
        <w:trPr>
          <w:trHeight w:val="20"/>
        </w:trPr>
        <w:tc>
          <w:tcPr>
            <w:tcW w:w="4673" w:type="dxa"/>
            <w:tcBorders>
              <w:top w:val="single" w:sz="4" w:space="0" w:color="auto"/>
              <w:left w:val="single" w:sz="4" w:space="0" w:color="auto"/>
              <w:bottom w:val="single" w:sz="4" w:space="0" w:color="auto"/>
              <w:right w:val="single" w:sz="4" w:space="0" w:color="auto"/>
            </w:tcBorders>
            <w:shd w:val="clear" w:color="000000" w:fill="FDE9D9"/>
            <w:hideMark/>
          </w:tcPr>
          <w:p w14:paraId="2E0080F7" w14:textId="68BBD46C"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Objektivi specifik 2</w:t>
            </w:r>
            <w:r w:rsidR="003526AF">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Përmirësimi i funksionimit të KKAK</w:t>
            </w:r>
            <w:r w:rsidR="0069081C">
              <w:rPr>
                <w:rFonts w:ascii="Garamond" w:eastAsia="Times New Roman" w:hAnsi="Garamond"/>
                <w:b/>
                <w:bCs/>
                <w:sz w:val="6"/>
                <w:szCs w:val="16"/>
                <w:lang w:eastAsia="en-US"/>
              </w:rPr>
              <w:t>-së</w:t>
            </w:r>
            <w:r w:rsidRPr="00024D5A">
              <w:rPr>
                <w:rFonts w:ascii="Garamond" w:eastAsia="Times New Roman" w:hAnsi="Garamond"/>
                <w:b/>
                <w:bCs/>
                <w:sz w:val="6"/>
                <w:szCs w:val="16"/>
                <w:lang w:eastAsia="en-US"/>
              </w:rPr>
              <w:t xml:space="preserve"> lidhur me koordinimin e politikave publike në nivel horizontal dhe vertikal, të dedikuara për personat me aftësi të kufizuara</w:t>
            </w:r>
            <w:r w:rsidR="0069081C">
              <w:rPr>
                <w:rFonts w:ascii="Garamond" w:eastAsia="Times New Roman" w:hAnsi="Garamond"/>
                <w:b/>
                <w:bCs/>
                <w:sz w:val="6"/>
                <w:szCs w:val="16"/>
                <w:lang w:eastAsia="en-US"/>
              </w:rPr>
              <w:t>.</w:t>
            </w:r>
          </w:p>
        </w:tc>
        <w:tc>
          <w:tcPr>
            <w:tcW w:w="567" w:type="dxa"/>
            <w:tcBorders>
              <w:top w:val="nil"/>
              <w:left w:val="nil"/>
              <w:bottom w:val="single" w:sz="4" w:space="0" w:color="auto"/>
              <w:right w:val="single" w:sz="4" w:space="0" w:color="auto"/>
            </w:tcBorders>
            <w:shd w:val="clear" w:color="000000" w:fill="FDE9D9"/>
            <w:hideMark/>
          </w:tcPr>
          <w:p w14:paraId="646061D7"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nil"/>
            </w:tcBorders>
            <w:shd w:val="clear" w:color="000000" w:fill="FDE9D9"/>
            <w:hideMark/>
          </w:tcPr>
          <w:p w14:paraId="60965456"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single" w:sz="4" w:space="0" w:color="auto"/>
              <w:bottom w:val="single" w:sz="4" w:space="0" w:color="auto"/>
              <w:right w:val="single" w:sz="4" w:space="0" w:color="auto"/>
            </w:tcBorders>
            <w:shd w:val="clear" w:color="000000" w:fill="FDE9D9"/>
            <w:hideMark/>
          </w:tcPr>
          <w:p w14:paraId="022E6247"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MSHMS/PARLAMENTI</w:t>
            </w:r>
          </w:p>
        </w:tc>
        <w:tc>
          <w:tcPr>
            <w:tcW w:w="1418" w:type="dxa"/>
            <w:tcBorders>
              <w:top w:val="nil"/>
              <w:left w:val="nil"/>
              <w:bottom w:val="single" w:sz="4" w:space="0" w:color="auto"/>
              <w:right w:val="single" w:sz="4" w:space="0" w:color="auto"/>
            </w:tcBorders>
            <w:shd w:val="clear" w:color="000000" w:fill="FDE9D9"/>
            <w:hideMark/>
          </w:tcPr>
          <w:p w14:paraId="487CFB02" w14:textId="56BA8954"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Sekretariati KKAK/T</w:t>
            </w:r>
            <w:r w:rsidR="005A46ED">
              <w:rPr>
                <w:rFonts w:ascii="Garamond" w:eastAsia="Times New Roman" w:hAnsi="Garamond"/>
                <w:b/>
                <w:bCs/>
                <w:sz w:val="6"/>
                <w:szCs w:val="16"/>
                <w:lang w:eastAsia="en-US"/>
              </w:rPr>
              <w:t>ë</w:t>
            </w:r>
            <w:r w:rsidRPr="00024D5A">
              <w:rPr>
                <w:rFonts w:ascii="Garamond" w:eastAsia="Times New Roman" w:hAnsi="Garamond"/>
                <w:b/>
                <w:bCs/>
                <w:sz w:val="6"/>
                <w:szCs w:val="16"/>
                <w:lang w:eastAsia="en-US"/>
              </w:rPr>
              <w:t xml:space="preserve"> gjitha inst. OJF</w:t>
            </w:r>
          </w:p>
        </w:tc>
        <w:tc>
          <w:tcPr>
            <w:tcW w:w="708" w:type="dxa"/>
            <w:tcBorders>
              <w:top w:val="nil"/>
              <w:left w:val="nil"/>
              <w:bottom w:val="single" w:sz="4" w:space="0" w:color="auto"/>
              <w:right w:val="nil"/>
            </w:tcBorders>
            <w:shd w:val="clear" w:color="000000" w:fill="FDE9D9"/>
            <w:hideMark/>
          </w:tcPr>
          <w:p w14:paraId="7DB664ED" w14:textId="21F3DBE0"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545</w:t>
            </w:r>
          </w:p>
        </w:tc>
        <w:tc>
          <w:tcPr>
            <w:tcW w:w="567" w:type="dxa"/>
            <w:tcBorders>
              <w:top w:val="nil"/>
              <w:left w:val="single" w:sz="4" w:space="0" w:color="auto"/>
              <w:bottom w:val="single" w:sz="4" w:space="0" w:color="auto"/>
              <w:right w:val="nil"/>
            </w:tcBorders>
            <w:shd w:val="clear" w:color="000000" w:fill="FDE9D9"/>
            <w:hideMark/>
          </w:tcPr>
          <w:p w14:paraId="594AC9D6" w14:textId="714DEBF0"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2,617</w:t>
            </w:r>
          </w:p>
        </w:tc>
        <w:tc>
          <w:tcPr>
            <w:tcW w:w="567" w:type="dxa"/>
            <w:tcBorders>
              <w:top w:val="nil"/>
              <w:left w:val="single" w:sz="4" w:space="0" w:color="auto"/>
              <w:bottom w:val="single" w:sz="4" w:space="0" w:color="auto"/>
              <w:right w:val="nil"/>
            </w:tcBorders>
            <w:shd w:val="clear" w:color="000000" w:fill="FDE9D9"/>
            <w:hideMark/>
          </w:tcPr>
          <w:p w14:paraId="252E0C9B" w14:textId="12E5A45F"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2,617</w:t>
            </w:r>
          </w:p>
        </w:tc>
        <w:tc>
          <w:tcPr>
            <w:tcW w:w="1134" w:type="dxa"/>
            <w:tcBorders>
              <w:top w:val="nil"/>
              <w:left w:val="single" w:sz="4" w:space="0" w:color="auto"/>
              <w:bottom w:val="single" w:sz="4" w:space="0" w:color="auto"/>
              <w:right w:val="nil"/>
            </w:tcBorders>
            <w:shd w:val="clear" w:color="000000" w:fill="FDE9D9"/>
            <w:hideMark/>
          </w:tcPr>
          <w:p w14:paraId="72A6656E" w14:textId="33948784"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2,442</w:t>
            </w:r>
          </w:p>
        </w:tc>
        <w:tc>
          <w:tcPr>
            <w:tcW w:w="1615" w:type="dxa"/>
            <w:tcBorders>
              <w:top w:val="nil"/>
              <w:left w:val="single" w:sz="4" w:space="0" w:color="auto"/>
              <w:bottom w:val="single" w:sz="4" w:space="0" w:color="auto"/>
              <w:right w:val="nil"/>
            </w:tcBorders>
            <w:shd w:val="clear" w:color="000000" w:fill="FDE9D9"/>
            <w:hideMark/>
          </w:tcPr>
          <w:p w14:paraId="748E25F8" w14:textId="2F73CB10"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2,442</w:t>
            </w:r>
          </w:p>
        </w:tc>
      </w:tr>
      <w:tr w:rsidR="00B807EE" w:rsidRPr="00024D5A" w14:paraId="057B4FEC"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DCE6F1"/>
            <w:hideMark/>
          </w:tcPr>
          <w:p w14:paraId="7ABF2F4A" w14:textId="3E0906B2"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Masa prioritare 2.1: Rritje e aksesit për pjesëmarrje t</w:t>
            </w:r>
            <w:r w:rsidR="0059189E" w:rsidRPr="00024D5A">
              <w:rPr>
                <w:rFonts w:ascii="Garamond" w:eastAsia="Times New Roman" w:hAnsi="Garamond"/>
                <w:b/>
                <w:bCs/>
                <w:sz w:val="6"/>
                <w:szCs w:val="16"/>
                <w:lang w:eastAsia="en-US"/>
              </w:rPr>
              <w:t>ë</w:t>
            </w:r>
            <w:r w:rsidRPr="00024D5A">
              <w:rPr>
                <w:rFonts w:ascii="Garamond" w:eastAsia="Times New Roman" w:hAnsi="Garamond"/>
                <w:b/>
                <w:bCs/>
                <w:sz w:val="6"/>
                <w:szCs w:val="16"/>
                <w:lang w:eastAsia="en-US"/>
              </w:rPr>
              <w:t xml:space="preserve"> PAK</w:t>
            </w:r>
            <w:r w:rsidR="0059189E" w:rsidRPr="00024D5A">
              <w:rPr>
                <w:rFonts w:ascii="Garamond" w:eastAsia="Times New Roman" w:hAnsi="Garamond"/>
                <w:b/>
                <w:bCs/>
                <w:sz w:val="6"/>
                <w:szCs w:val="16"/>
                <w:lang w:eastAsia="en-US"/>
              </w:rPr>
              <w:t>-së</w:t>
            </w:r>
            <w:r w:rsidRPr="00024D5A">
              <w:rPr>
                <w:rFonts w:ascii="Garamond" w:eastAsia="Times New Roman" w:hAnsi="Garamond"/>
                <w:b/>
                <w:bCs/>
                <w:sz w:val="6"/>
                <w:szCs w:val="16"/>
                <w:lang w:eastAsia="en-US"/>
              </w:rPr>
              <w:t xml:space="preserve"> në aktivitete kulturore</w:t>
            </w:r>
            <w:r w:rsidR="0069081C">
              <w:rPr>
                <w:rFonts w:ascii="Garamond" w:eastAsia="Times New Roman" w:hAnsi="Garamond"/>
                <w:b/>
                <w:bCs/>
                <w:sz w:val="6"/>
                <w:szCs w:val="16"/>
                <w:lang w:eastAsia="en-US"/>
              </w:rPr>
              <w:t>.</w:t>
            </w:r>
          </w:p>
        </w:tc>
        <w:tc>
          <w:tcPr>
            <w:tcW w:w="567" w:type="dxa"/>
            <w:tcBorders>
              <w:top w:val="nil"/>
              <w:left w:val="nil"/>
              <w:bottom w:val="single" w:sz="4" w:space="0" w:color="auto"/>
              <w:right w:val="single" w:sz="4" w:space="0" w:color="auto"/>
            </w:tcBorders>
            <w:shd w:val="clear" w:color="000000" w:fill="DCE6F1"/>
            <w:hideMark/>
          </w:tcPr>
          <w:p w14:paraId="138623B8"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nil"/>
            </w:tcBorders>
            <w:shd w:val="clear" w:color="000000" w:fill="DCE6F1"/>
            <w:hideMark/>
          </w:tcPr>
          <w:p w14:paraId="1C150AA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single" w:sz="4" w:space="0" w:color="auto"/>
              <w:bottom w:val="single" w:sz="4" w:space="0" w:color="auto"/>
              <w:right w:val="single" w:sz="4" w:space="0" w:color="auto"/>
            </w:tcBorders>
            <w:shd w:val="clear" w:color="000000" w:fill="DCE6F1"/>
            <w:hideMark/>
          </w:tcPr>
          <w:p w14:paraId="6E46AD70"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MSHMS/PARLAMENTI</w:t>
            </w:r>
          </w:p>
        </w:tc>
        <w:tc>
          <w:tcPr>
            <w:tcW w:w="1418" w:type="dxa"/>
            <w:tcBorders>
              <w:top w:val="nil"/>
              <w:left w:val="nil"/>
              <w:bottom w:val="single" w:sz="4" w:space="0" w:color="auto"/>
              <w:right w:val="single" w:sz="4" w:space="0" w:color="auto"/>
            </w:tcBorders>
            <w:shd w:val="clear" w:color="000000" w:fill="DCE6F1"/>
            <w:hideMark/>
          </w:tcPr>
          <w:p w14:paraId="28789CCC" w14:textId="29EE1656"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T</w:t>
            </w:r>
            <w:r w:rsidR="005A46ED">
              <w:rPr>
                <w:rFonts w:ascii="Garamond" w:eastAsia="Times New Roman" w:hAnsi="Garamond"/>
                <w:b/>
                <w:bCs/>
                <w:sz w:val="6"/>
                <w:szCs w:val="16"/>
                <w:lang w:eastAsia="en-US"/>
              </w:rPr>
              <w:t>ë</w:t>
            </w:r>
            <w:r w:rsidRPr="00024D5A">
              <w:rPr>
                <w:rFonts w:ascii="Garamond" w:eastAsia="Times New Roman" w:hAnsi="Garamond"/>
                <w:b/>
                <w:bCs/>
                <w:sz w:val="6"/>
                <w:szCs w:val="16"/>
                <w:lang w:eastAsia="en-US"/>
              </w:rPr>
              <w:t xml:space="preserve"> gjitha </w:t>
            </w:r>
            <w:r w:rsidR="005A46ED" w:rsidRPr="00024D5A">
              <w:rPr>
                <w:rFonts w:ascii="Garamond" w:eastAsia="Times New Roman" w:hAnsi="Garamond"/>
                <w:b/>
                <w:bCs/>
                <w:sz w:val="6"/>
                <w:szCs w:val="16"/>
                <w:lang w:eastAsia="en-US"/>
              </w:rPr>
              <w:t>institucionet</w:t>
            </w:r>
            <w:r w:rsidRPr="00024D5A">
              <w:rPr>
                <w:rFonts w:ascii="Garamond" w:eastAsia="Times New Roman" w:hAnsi="Garamond"/>
                <w:b/>
                <w:bCs/>
                <w:sz w:val="6"/>
                <w:szCs w:val="16"/>
                <w:lang w:eastAsia="en-US"/>
              </w:rPr>
              <w:t>/OJF</w:t>
            </w:r>
          </w:p>
        </w:tc>
        <w:tc>
          <w:tcPr>
            <w:tcW w:w="708" w:type="dxa"/>
            <w:tcBorders>
              <w:top w:val="nil"/>
              <w:left w:val="nil"/>
              <w:bottom w:val="single" w:sz="4" w:space="0" w:color="auto"/>
              <w:right w:val="nil"/>
            </w:tcBorders>
            <w:shd w:val="clear" w:color="000000" w:fill="DCE6F1"/>
            <w:hideMark/>
          </w:tcPr>
          <w:p w14:paraId="3624025F" w14:textId="6731FA12"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409</w:t>
            </w:r>
          </w:p>
        </w:tc>
        <w:tc>
          <w:tcPr>
            <w:tcW w:w="567" w:type="dxa"/>
            <w:tcBorders>
              <w:top w:val="nil"/>
              <w:left w:val="single" w:sz="4" w:space="0" w:color="auto"/>
              <w:bottom w:val="single" w:sz="4" w:space="0" w:color="auto"/>
              <w:right w:val="nil"/>
            </w:tcBorders>
            <w:shd w:val="clear" w:color="000000" w:fill="DCE6F1"/>
            <w:hideMark/>
          </w:tcPr>
          <w:p w14:paraId="1E7BBC33" w14:textId="32E5038E"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409</w:t>
            </w:r>
          </w:p>
        </w:tc>
        <w:tc>
          <w:tcPr>
            <w:tcW w:w="567" w:type="dxa"/>
            <w:tcBorders>
              <w:top w:val="nil"/>
              <w:left w:val="single" w:sz="4" w:space="0" w:color="auto"/>
              <w:bottom w:val="single" w:sz="4" w:space="0" w:color="auto"/>
              <w:right w:val="nil"/>
            </w:tcBorders>
            <w:shd w:val="clear" w:color="000000" w:fill="DCE6F1"/>
            <w:hideMark/>
          </w:tcPr>
          <w:p w14:paraId="0BEFA129" w14:textId="4B281086"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409</w:t>
            </w:r>
          </w:p>
        </w:tc>
        <w:tc>
          <w:tcPr>
            <w:tcW w:w="1134" w:type="dxa"/>
            <w:tcBorders>
              <w:top w:val="nil"/>
              <w:left w:val="single" w:sz="4" w:space="0" w:color="auto"/>
              <w:bottom w:val="single" w:sz="4" w:space="0" w:color="auto"/>
              <w:right w:val="nil"/>
            </w:tcBorders>
            <w:shd w:val="clear" w:color="000000" w:fill="DCE6F1"/>
            <w:hideMark/>
          </w:tcPr>
          <w:p w14:paraId="030650F4" w14:textId="62E5E100"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409</w:t>
            </w:r>
          </w:p>
        </w:tc>
        <w:tc>
          <w:tcPr>
            <w:tcW w:w="1615" w:type="dxa"/>
            <w:tcBorders>
              <w:top w:val="nil"/>
              <w:left w:val="single" w:sz="4" w:space="0" w:color="auto"/>
              <w:bottom w:val="single" w:sz="4" w:space="0" w:color="auto"/>
              <w:right w:val="nil"/>
            </w:tcBorders>
            <w:shd w:val="clear" w:color="000000" w:fill="DCE6F1"/>
            <w:hideMark/>
          </w:tcPr>
          <w:p w14:paraId="245C56D1" w14:textId="152F7631"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409</w:t>
            </w:r>
          </w:p>
        </w:tc>
      </w:tr>
      <w:tr w:rsidR="00B807EE" w:rsidRPr="00024D5A" w14:paraId="3AD14F1B"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66B5B97E" w14:textId="551C7C3E"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2.1.1</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Sigurimi i informacionit nga ministritë e linjës adresuar KKAK</w:t>
            </w:r>
            <w:r w:rsidR="0069081C">
              <w:rPr>
                <w:rFonts w:ascii="Garamond" w:eastAsia="Times New Roman" w:hAnsi="Garamond"/>
                <w:sz w:val="6"/>
                <w:szCs w:val="16"/>
                <w:lang w:eastAsia="en-US"/>
              </w:rPr>
              <w:t>-së</w:t>
            </w:r>
            <w:r w:rsidRPr="00024D5A">
              <w:rPr>
                <w:rFonts w:ascii="Garamond" w:eastAsia="Times New Roman" w:hAnsi="Garamond"/>
                <w:sz w:val="6"/>
                <w:szCs w:val="16"/>
                <w:lang w:eastAsia="en-US"/>
              </w:rPr>
              <w:t>, në lidhje me iniciativa për ndryshime ligjore në ligjet sektoriale të institucionit.</w:t>
            </w:r>
          </w:p>
        </w:tc>
        <w:tc>
          <w:tcPr>
            <w:tcW w:w="567" w:type="dxa"/>
            <w:tcBorders>
              <w:top w:val="nil"/>
              <w:left w:val="nil"/>
              <w:bottom w:val="single" w:sz="4" w:space="0" w:color="auto"/>
              <w:right w:val="single" w:sz="4" w:space="0" w:color="auto"/>
            </w:tcBorders>
            <w:hideMark/>
          </w:tcPr>
          <w:p w14:paraId="649A0FC8"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nil"/>
            </w:tcBorders>
            <w:hideMark/>
          </w:tcPr>
          <w:p w14:paraId="055C52E9"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single" w:sz="4" w:space="0" w:color="auto"/>
              <w:bottom w:val="single" w:sz="4" w:space="0" w:color="auto"/>
              <w:right w:val="single" w:sz="4" w:space="0" w:color="auto"/>
            </w:tcBorders>
            <w:hideMark/>
          </w:tcPr>
          <w:p w14:paraId="41E573A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4" w:space="0" w:color="auto"/>
            </w:tcBorders>
            <w:hideMark/>
          </w:tcPr>
          <w:p w14:paraId="1A92EB05" w14:textId="62B03AD9"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T</w:t>
            </w:r>
            <w:r w:rsidR="005A46ED">
              <w:rPr>
                <w:rFonts w:ascii="Garamond" w:eastAsia="Times New Roman" w:hAnsi="Garamond"/>
                <w:b/>
                <w:bCs/>
                <w:sz w:val="6"/>
                <w:szCs w:val="16"/>
                <w:lang w:eastAsia="en-US"/>
              </w:rPr>
              <w:t>ë</w:t>
            </w:r>
            <w:r w:rsidRPr="00024D5A">
              <w:rPr>
                <w:rFonts w:ascii="Garamond" w:eastAsia="Times New Roman" w:hAnsi="Garamond"/>
                <w:b/>
                <w:bCs/>
                <w:sz w:val="6"/>
                <w:szCs w:val="16"/>
                <w:lang w:eastAsia="en-US"/>
              </w:rPr>
              <w:t xml:space="preserve"> gjitha inst.</w:t>
            </w:r>
          </w:p>
        </w:tc>
        <w:tc>
          <w:tcPr>
            <w:tcW w:w="708" w:type="dxa"/>
            <w:tcBorders>
              <w:top w:val="nil"/>
              <w:left w:val="nil"/>
              <w:bottom w:val="single" w:sz="4" w:space="0" w:color="auto"/>
              <w:right w:val="single" w:sz="4" w:space="0" w:color="auto"/>
            </w:tcBorders>
            <w:hideMark/>
          </w:tcPr>
          <w:p w14:paraId="114EE361" w14:textId="2390C16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409</w:t>
            </w:r>
          </w:p>
        </w:tc>
        <w:tc>
          <w:tcPr>
            <w:tcW w:w="567" w:type="dxa"/>
            <w:tcBorders>
              <w:top w:val="nil"/>
              <w:left w:val="nil"/>
              <w:bottom w:val="single" w:sz="4" w:space="0" w:color="auto"/>
              <w:right w:val="single" w:sz="4" w:space="0" w:color="auto"/>
            </w:tcBorders>
            <w:hideMark/>
          </w:tcPr>
          <w:p w14:paraId="1A75BB6F" w14:textId="49F4095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409</w:t>
            </w:r>
          </w:p>
        </w:tc>
        <w:tc>
          <w:tcPr>
            <w:tcW w:w="567" w:type="dxa"/>
            <w:tcBorders>
              <w:top w:val="nil"/>
              <w:left w:val="nil"/>
              <w:bottom w:val="single" w:sz="4" w:space="0" w:color="auto"/>
              <w:right w:val="single" w:sz="4" w:space="0" w:color="auto"/>
            </w:tcBorders>
            <w:hideMark/>
          </w:tcPr>
          <w:p w14:paraId="31A457D5" w14:textId="2575C39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409</w:t>
            </w:r>
          </w:p>
        </w:tc>
        <w:tc>
          <w:tcPr>
            <w:tcW w:w="1134" w:type="dxa"/>
            <w:tcBorders>
              <w:top w:val="nil"/>
              <w:left w:val="nil"/>
              <w:bottom w:val="single" w:sz="4" w:space="0" w:color="auto"/>
              <w:right w:val="single" w:sz="4" w:space="0" w:color="auto"/>
            </w:tcBorders>
            <w:hideMark/>
          </w:tcPr>
          <w:p w14:paraId="08CA5D4D" w14:textId="0ADA445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409</w:t>
            </w:r>
          </w:p>
        </w:tc>
        <w:tc>
          <w:tcPr>
            <w:tcW w:w="1615" w:type="dxa"/>
            <w:tcBorders>
              <w:top w:val="nil"/>
              <w:left w:val="nil"/>
              <w:bottom w:val="single" w:sz="4" w:space="0" w:color="auto"/>
              <w:right w:val="single" w:sz="4" w:space="0" w:color="auto"/>
            </w:tcBorders>
            <w:hideMark/>
          </w:tcPr>
          <w:p w14:paraId="5669FB0F" w14:textId="07F1589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409</w:t>
            </w:r>
          </w:p>
        </w:tc>
      </w:tr>
      <w:tr w:rsidR="00B807EE" w:rsidRPr="00024D5A" w14:paraId="35C9CBEB" w14:textId="77777777" w:rsidTr="002B321E">
        <w:trPr>
          <w:trHeight w:val="20"/>
        </w:trPr>
        <w:tc>
          <w:tcPr>
            <w:tcW w:w="4673" w:type="dxa"/>
            <w:tcBorders>
              <w:top w:val="nil"/>
              <w:left w:val="single" w:sz="4" w:space="0" w:color="auto"/>
              <w:bottom w:val="nil"/>
              <w:right w:val="single" w:sz="4" w:space="0" w:color="auto"/>
            </w:tcBorders>
            <w:noWrap/>
            <w:hideMark/>
          </w:tcPr>
          <w:p w14:paraId="0AD4A4CA" w14:textId="68A31D84"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2.1.2 Pjes</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marrje</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t</w:t>
            </w:r>
            <w:r w:rsidR="0059189E" w:rsidRPr="00024D5A">
              <w:rPr>
                <w:rFonts w:ascii="Garamond" w:eastAsia="Times New Roman" w:hAnsi="Garamond"/>
                <w:sz w:val="6"/>
                <w:szCs w:val="16"/>
                <w:lang w:eastAsia="en-US"/>
              </w:rPr>
              <w:t xml:space="preserve">ë </w:t>
            </w:r>
            <w:r w:rsidR="00BA4F73" w:rsidRPr="00024D5A">
              <w:rPr>
                <w:rFonts w:ascii="Garamond" w:eastAsia="Times New Roman" w:hAnsi="Garamond"/>
                <w:sz w:val="6"/>
                <w:szCs w:val="16"/>
                <w:lang w:eastAsia="en-US"/>
              </w:rPr>
              <w:t>OJF</w:t>
            </w:r>
            <w:r w:rsidR="000C2D3A" w:rsidRPr="00024D5A">
              <w:rPr>
                <w:rFonts w:ascii="Garamond" w:eastAsia="Times New Roman" w:hAnsi="Garamond"/>
                <w:sz w:val="6"/>
                <w:szCs w:val="16"/>
                <w:lang w:eastAsia="en-US"/>
              </w:rPr>
              <w:t>-ve</w:t>
            </w:r>
            <w:r w:rsidRPr="00024D5A">
              <w:rPr>
                <w:rFonts w:ascii="Garamond" w:eastAsia="Times New Roman" w:hAnsi="Garamond"/>
                <w:sz w:val="6"/>
                <w:szCs w:val="16"/>
                <w:lang w:eastAsia="en-US"/>
              </w:rPr>
              <w:t xml:space="preserve"> n</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mbledhjet e </w:t>
            </w:r>
            <w:r w:rsidR="0069081C" w:rsidRPr="00024D5A">
              <w:rPr>
                <w:rFonts w:ascii="Garamond" w:eastAsia="Times New Roman" w:hAnsi="Garamond"/>
                <w:sz w:val="6"/>
                <w:szCs w:val="16"/>
                <w:lang w:eastAsia="en-US"/>
              </w:rPr>
              <w:t xml:space="preserve">komisioneve </w:t>
            </w:r>
            <w:r w:rsidRPr="00024D5A">
              <w:rPr>
                <w:rFonts w:ascii="Garamond" w:eastAsia="Times New Roman" w:hAnsi="Garamond"/>
                <w:sz w:val="6"/>
                <w:szCs w:val="16"/>
                <w:lang w:eastAsia="en-US"/>
              </w:rPr>
              <w:t>parlamentare dhe takime me Grupin e Deputeteve Miq t</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Aft</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sis</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s</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Kufizuar</w:t>
            </w:r>
            <w:r w:rsidR="0069081C">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hideMark/>
          </w:tcPr>
          <w:p w14:paraId="1AC29507"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nil"/>
            </w:tcBorders>
            <w:hideMark/>
          </w:tcPr>
          <w:p w14:paraId="35DBF780"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single" w:sz="4" w:space="0" w:color="auto"/>
              <w:bottom w:val="single" w:sz="4" w:space="0" w:color="auto"/>
              <w:right w:val="single" w:sz="4" w:space="0" w:color="auto"/>
            </w:tcBorders>
            <w:hideMark/>
          </w:tcPr>
          <w:p w14:paraId="52B2A7B1"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Parlamenti</w:t>
            </w:r>
          </w:p>
        </w:tc>
        <w:tc>
          <w:tcPr>
            <w:tcW w:w="1418" w:type="dxa"/>
            <w:tcBorders>
              <w:top w:val="nil"/>
              <w:left w:val="nil"/>
              <w:bottom w:val="single" w:sz="4" w:space="0" w:color="auto"/>
              <w:right w:val="single" w:sz="4" w:space="0" w:color="auto"/>
            </w:tcBorders>
            <w:hideMark/>
          </w:tcPr>
          <w:p w14:paraId="2AD80200"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OJF</w:t>
            </w:r>
          </w:p>
        </w:tc>
        <w:tc>
          <w:tcPr>
            <w:tcW w:w="708" w:type="dxa"/>
            <w:tcBorders>
              <w:top w:val="nil"/>
              <w:left w:val="nil"/>
              <w:bottom w:val="single" w:sz="4" w:space="0" w:color="auto"/>
              <w:right w:val="single" w:sz="4" w:space="0" w:color="auto"/>
            </w:tcBorders>
            <w:hideMark/>
          </w:tcPr>
          <w:p w14:paraId="3BD18587" w14:textId="35677F2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6FFC697A" w14:textId="5E2D13E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41675A91" w14:textId="7B21618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350A4012" w14:textId="72BA44C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6548D2BF" w14:textId="4448F10A"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7FF0DB4B" w14:textId="77777777" w:rsidTr="002B321E">
        <w:trPr>
          <w:trHeight w:val="20"/>
        </w:trPr>
        <w:tc>
          <w:tcPr>
            <w:tcW w:w="4673" w:type="dxa"/>
            <w:tcBorders>
              <w:top w:val="single" w:sz="4" w:space="0" w:color="auto"/>
              <w:left w:val="single" w:sz="4" w:space="0" w:color="auto"/>
              <w:bottom w:val="single" w:sz="4" w:space="0" w:color="auto"/>
              <w:right w:val="single" w:sz="4" w:space="0" w:color="auto"/>
            </w:tcBorders>
            <w:shd w:val="clear" w:color="000000" w:fill="DCE6F1"/>
            <w:hideMark/>
          </w:tcPr>
          <w:p w14:paraId="19A0CABE" w14:textId="5B9E0DA5"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Masa prioritare 2.2</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Ndërtimi i një plani vjetor aktivitetesh të KKAK</w:t>
            </w:r>
            <w:r w:rsidR="0069081C">
              <w:rPr>
                <w:rFonts w:ascii="Garamond" w:eastAsia="Times New Roman" w:hAnsi="Garamond"/>
                <w:b/>
                <w:bCs/>
                <w:sz w:val="6"/>
                <w:szCs w:val="16"/>
                <w:lang w:eastAsia="en-US"/>
              </w:rPr>
              <w:t>-së.</w:t>
            </w:r>
          </w:p>
        </w:tc>
        <w:tc>
          <w:tcPr>
            <w:tcW w:w="567" w:type="dxa"/>
            <w:tcBorders>
              <w:top w:val="nil"/>
              <w:left w:val="nil"/>
              <w:bottom w:val="single" w:sz="4" w:space="0" w:color="auto"/>
              <w:right w:val="single" w:sz="4" w:space="0" w:color="auto"/>
            </w:tcBorders>
            <w:shd w:val="clear" w:color="000000" w:fill="C5D9F1"/>
            <w:noWrap/>
            <w:hideMark/>
          </w:tcPr>
          <w:p w14:paraId="488EA2BB"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nil"/>
            </w:tcBorders>
            <w:shd w:val="clear" w:color="000000" w:fill="C5D9F1"/>
            <w:noWrap/>
            <w:hideMark/>
          </w:tcPr>
          <w:p w14:paraId="2305B342"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single" w:sz="4" w:space="0" w:color="auto"/>
              <w:bottom w:val="single" w:sz="4" w:space="0" w:color="auto"/>
              <w:right w:val="single" w:sz="4" w:space="0" w:color="auto"/>
            </w:tcBorders>
            <w:shd w:val="clear" w:color="000000" w:fill="C5D9F1"/>
            <w:noWrap/>
            <w:hideMark/>
          </w:tcPr>
          <w:p w14:paraId="2CBA9DDB"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4" w:space="0" w:color="auto"/>
            </w:tcBorders>
            <w:shd w:val="clear" w:color="000000" w:fill="C5D9F1"/>
            <w:hideMark/>
          </w:tcPr>
          <w:p w14:paraId="0E469ADA" w14:textId="2623D658"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Sekretariati KKAK/T</w:t>
            </w:r>
            <w:r w:rsidR="005A46ED">
              <w:rPr>
                <w:rFonts w:ascii="Garamond" w:eastAsia="Times New Roman" w:hAnsi="Garamond"/>
                <w:b/>
                <w:bCs/>
                <w:sz w:val="6"/>
                <w:szCs w:val="16"/>
                <w:lang w:eastAsia="en-US"/>
              </w:rPr>
              <w:t>ë</w:t>
            </w:r>
            <w:r w:rsidRPr="00024D5A">
              <w:rPr>
                <w:rFonts w:ascii="Garamond" w:eastAsia="Times New Roman" w:hAnsi="Garamond"/>
                <w:b/>
                <w:bCs/>
                <w:sz w:val="6"/>
                <w:szCs w:val="16"/>
                <w:lang w:eastAsia="en-US"/>
              </w:rPr>
              <w:t xml:space="preserve"> gjitha inst. OJF</w:t>
            </w:r>
          </w:p>
        </w:tc>
        <w:tc>
          <w:tcPr>
            <w:tcW w:w="708" w:type="dxa"/>
            <w:tcBorders>
              <w:top w:val="nil"/>
              <w:left w:val="nil"/>
              <w:bottom w:val="single" w:sz="4" w:space="0" w:color="auto"/>
              <w:right w:val="single" w:sz="4" w:space="0" w:color="auto"/>
            </w:tcBorders>
            <w:shd w:val="clear" w:color="000000" w:fill="C5D9F1"/>
            <w:noWrap/>
            <w:hideMark/>
          </w:tcPr>
          <w:p w14:paraId="45AF4AD4" w14:textId="55E8CB33"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136</w:t>
            </w:r>
          </w:p>
        </w:tc>
        <w:tc>
          <w:tcPr>
            <w:tcW w:w="567" w:type="dxa"/>
            <w:tcBorders>
              <w:top w:val="nil"/>
              <w:left w:val="nil"/>
              <w:bottom w:val="single" w:sz="4" w:space="0" w:color="auto"/>
              <w:right w:val="single" w:sz="4" w:space="0" w:color="auto"/>
            </w:tcBorders>
            <w:shd w:val="clear" w:color="000000" w:fill="C5D9F1"/>
            <w:noWrap/>
            <w:hideMark/>
          </w:tcPr>
          <w:p w14:paraId="70D6723E" w14:textId="428B14F5"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2,208</w:t>
            </w:r>
          </w:p>
        </w:tc>
        <w:tc>
          <w:tcPr>
            <w:tcW w:w="567" w:type="dxa"/>
            <w:tcBorders>
              <w:top w:val="nil"/>
              <w:left w:val="nil"/>
              <w:bottom w:val="single" w:sz="4" w:space="0" w:color="auto"/>
              <w:right w:val="single" w:sz="4" w:space="0" w:color="auto"/>
            </w:tcBorders>
            <w:shd w:val="clear" w:color="000000" w:fill="C5D9F1"/>
            <w:noWrap/>
            <w:hideMark/>
          </w:tcPr>
          <w:p w14:paraId="6DE99C72" w14:textId="32F7D7F3"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2,208</w:t>
            </w:r>
          </w:p>
        </w:tc>
        <w:tc>
          <w:tcPr>
            <w:tcW w:w="1134" w:type="dxa"/>
            <w:tcBorders>
              <w:top w:val="nil"/>
              <w:left w:val="nil"/>
              <w:bottom w:val="single" w:sz="4" w:space="0" w:color="auto"/>
              <w:right w:val="single" w:sz="4" w:space="0" w:color="auto"/>
            </w:tcBorders>
            <w:shd w:val="clear" w:color="000000" w:fill="C5D9F1"/>
            <w:noWrap/>
            <w:hideMark/>
          </w:tcPr>
          <w:p w14:paraId="3623BF38" w14:textId="30E97006"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2,033</w:t>
            </w:r>
          </w:p>
        </w:tc>
        <w:tc>
          <w:tcPr>
            <w:tcW w:w="1615" w:type="dxa"/>
            <w:tcBorders>
              <w:top w:val="nil"/>
              <w:left w:val="nil"/>
              <w:bottom w:val="single" w:sz="4" w:space="0" w:color="auto"/>
              <w:right w:val="single" w:sz="4" w:space="0" w:color="auto"/>
            </w:tcBorders>
            <w:shd w:val="clear" w:color="000000" w:fill="C5D9F1"/>
            <w:noWrap/>
            <w:hideMark/>
          </w:tcPr>
          <w:p w14:paraId="146BA049" w14:textId="46579A94" w:rsidR="00700D7D" w:rsidRPr="00024D5A" w:rsidRDefault="00700D7D" w:rsidP="00180DF3">
            <w:pPr>
              <w:jc w:val="center"/>
              <w:rPr>
                <w:rFonts w:ascii="Garamond" w:eastAsia="Times New Roman" w:hAnsi="Garamond"/>
                <w:sz w:val="6"/>
                <w:szCs w:val="16"/>
                <w:lang w:eastAsia="en-US"/>
              </w:rPr>
            </w:pPr>
            <w:r w:rsidRPr="00024D5A">
              <w:rPr>
                <w:rFonts w:ascii="Garamond" w:eastAsia="Times New Roman" w:hAnsi="Garamond"/>
                <w:sz w:val="6"/>
                <w:szCs w:val="16"/>
                <w:lang w:eastAsia="en-US"/>
              </w:rPr>
              <w:t>2,033</w:t>
            </w:r>
          </w:p>
        </w:tc>
      </w:tr>
      <w:tr w:rsidR="00B807EE" w:rsidRPr="00024D5A" w14:paraId="20FD3A82" w14:textId="77777777" w:rsidTr="002B321E">
        <w:trPr>
          <w:trHeight w:val="20"/>
        </w:trPr>
        <w:tc>
          <w:tcPr>
            <w:tcW w:w="4673" w:type="dxa"/>
            <w:tcBorders>
              <w:top w:val="nil"/>
              <w:left w:val="single" w:sz="4" w:space="0" w:color="auto"/>
              <w:bottom w:val="nil"/>
              <w:right w:val="nil"/>
            </w:tcBorders>
            <w:noWrap/>
            <w:hideMark/>
          </w:tcPr>
          <w:p w14:paraId="5619D716"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2.2.1 Kryesimi dhe ofrimi i inputeve të takimeve të Këshillit Kombëtar të Aftësisë së Kufizuar.</w:t>
            </w:r>
          </w:p>
        </w:tc>
        <w:tc>
          <w:tcPr>
            <w:tcW w:w="567" w:type="dxa"/>
            <w:tcBorders>
              <w:top w:val="nil"/>
              <w:left w:val="single" w:sz="4" w:space="0" w:color="auto"/>
              <w:bottom w:val="single" w:sz="4" w:space="0" w:color="auto"/>
              <w:right w:val="single" w:sz="4" w:space="0" w:color="auto"/>
            </w:tcBorders>
            <w:noWrap/>
            <w:hideMark/>
          </w:tcPr>
          <w:p w14:paraId="385D5729"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nil"/>
            </w:tcBorders>
            <w:noWrap/>
            <w:hideMark/>
          </w:tcPr>
          <w:p w14:paraId="6FE59682"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single" w:sz="4" w:space="0" w:color="auto"/>
              <w:bottom w:val="single" w:sz="4" w:space="0" w:color="auto"/>
              <w:right w:val="single" w:sz="4" w:space="0" w:color="auto"/>
            </w:tcBorders>
            <w:noWrap/>
            <w:hideMark/>
          </w:tcPr>
          <w:p w14:paraId="55CBF887"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MSHMS</w:t>
            </w:r>
          </w:p>
        </w:tc>
        <w:tc>
          <w:tcPr>
            <w:tcW w:w="1418" w:type="dxa"/>
            <w:tcBorders>
              <w:top w:val="nil"/>
              <w:left w:val="nil"/>
              <w:bottom w:val="single" w:sz="4" w:space="0" w:color="auto"/>
              <w:right w:val="single" w:sz="4" w:space="0" w:color="auto"/>
            </w:tcBorders>
            <w:hideMark/>
          </w:tcPr>
          <w:p w14:paraId="0D0A4443"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Sekretariati KKAK</w:t>
            </w:r>
          </w:p>
        </w:tc>
        <w:tc>
          <w:tcPr>
            <w:tcW w:w="708" w:type="dxa"/>
            <w:tcBorders>
              <w:top w:val="nil"/>
              <w:left w:val="nil"/>
              <w:bottom w:val="single" w:sz="4" w:space="0" w:color="auto"/>
              <w:right w:val="single" w:sz="4" w:space="0" w:color="auto"/>
            </w:tcBorders>
            <w:hideMark/>
          </w:tcPr>
          <w:p w14:paraId="5DE9836C" w14:textId="76648C5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6263B234" w14:textId="0ECDA1D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25B86B47" w14:textId="558747A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2EF85C55" w14:textId="6DEDF94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08FB050B" w14:textId="1CB9B03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24D8034F" w14:textId="77777777" w:rsidTr="002B321E">
        <w:trPr>
          <w:trHeight w:val="20"/>
        </w:trPr>
        <w:tc>
          <w:tcPr>
            <w:tcW w:w="4673" w:type="dxa"/>
            <w:tcBorders>
              <w:top w:val="single" w:sz="4" w:space="0" w:color="auto"/>
              <w:left w:val="single" w:sz="4" w:space="0" w:color="auto"/>
              <w:bottom w:val="single" w:sz="4" w:space="0" w:color="auto"/>
              <w:right w:val="single" w:sz="4" w:space="0" w:color="auto"/>
            </w:tcBorders>
            <w:hideMark/>
          </w:tcPr>
          <w:p w14:paraId="2DBA59F4" w14:textId="7FF93D32"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2.2.2 Dy takime n</w:t>
            </w:r>
            <w:r w:rsidR="004D2BF5"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vit me të gjitha ministritë e linjës përgjegjëse për zbatimin e </w:t>
            </w:r>
            <w:r w:rsidR="0069081C" w:rsidRPr="00024D5A">
              <w:rPr>
                <w:rFonts w:ascii="Garamond" w:eastAsia="Times New Roman" w:hAnsi="Garamond"/>
                <w:sz w:val="6"/>
                <w:szCs w:val="16"/>
                <w:lang w:eastAsia="en-US"/>
              </w:rPr>
              <w:t>planit të veprimit</w:t>
            </w:r>
            <w:r w:rsidR="0069081C">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për të diskutuar veprimet prioritare dhe bashkëpunimin e mundshëm me aktorët e tjerë, përfshirë edhe organizata të PAK</w:t>
            </w:r>
            <w:r w:rsidR="0069081C">
              <w:rPr>
                <w:rFonts w:ascii="Garamond" w:eastAsia="Times New Roman" w:hAnsi="Garamond"/>
                <w:sz w:val="6"/>
                <w:szCs w:val="16"/>
                <w:lang w:eastAsia="en-US"/>
              </w:rPr>
              <w:t>-së</w:t>
            </w:r>
            <w:r w:rsidRPr="00024D5A">
              <w:rPr>
                <w:rFonts w:ascii="Garamond" w:eastAsia="Times New Roman" w:hAnsi="Garamond"/>
                <w:sz w:val="6"/>
                <w:szCs w:val="16"/>
                <w:lang w:eastAsia="en-US"/>
              </w:rPr>
              <w:t>, që nuk janë anëtare të KKAK</w:t>
            </w:r>
            <w:r w:rsidR="0069081C">
              <w:rPr>
                <w:rFonts w:ascii="Garamond" w:eastAsia="Times New Roman" w:hAnsi="Garamond"/>
                <w:sz w:val="6"/>
                <w:szCs w:val="16"/>
                <w:lang w:eastAsia="en-US"/>
              </w:rPr>
              <w:t>-së</w:t>
            </w:r>
            <w:r w:rsidRPr="00024D5A">
              <w:rPr>
                <w:rFonts w:ascii="Garamond" w:eastAsia="Times New Roman" w:hAnsi="Garamond"/>
                <w:sz w:val="6"/>
                <w:szCs w:val="16"/>
                <w:lang w:eastAsia="en-US"/>
              </w:rPr>
              <w:t xml:space="preserve">. </w:t>
            </w:r>
          </w:p>
        </w:tc>
        <w:tc>
          <w:tcPr>
            <w:tcW w:w="567" w:type="dxa"/>
            <w:tcBorders>
              <w:top w:val="nil"/>
              <w:left w:val="nil"/>
              <w:bottom w:val="single" w:sz="4" w:space="0" w:color="auto"/>
              <w:right w:val="single" w:sz="4" w:space="0" w:color="auto"/>
            </w:tcBorders>
            <w:noWrap/>
            <w:hideMark/>
          </w:tcPr>
          <w:p w14:paraId="6119BF7A"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2027</w:t>
            </w:r>
          </w:p>
        </w:tc>
        <w:tc>
          <w:tcPr>
            <w:tcW w:w="567" w:type="dxa"/>
            <w:tcBorders>
              <w:top w:val="nil"/>
              <w:left w:val="nil"/>
              <w:bottom w:val="single" w:sz="4" w:space="0" w:color="auto"/>
              <w:right w:val="nil"/>
            </w:tcBorders>
            <w:noWrap/>
            <w:hideMark/>
          </w:tcPr>
          <w:p w14:paraId="33D3A35B"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single" w:sz="4" w:space="0" w:color="auto"/>
              <w:bottom w:val="single" w:sz="4" w:space="0" w:color="auto"/>
              <w:right w:val="single" w:sz="4" w:space="0" w:color="auto"/>
            </w:tcBorders>
            <w:noWrap/>
            <w:hideMark/>
          </w:tcPr>
          <w:p w14:paraId="592EB372"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MSHMS</w:t>
            </w:r>
          </w:p>
        </w:tc>
        <w:tc>
          <w:tcPr>
            <w:tcW w:w="1418" w:type="dxa"/>
            <w:tcBorders>
              <w:top w:val="nil"/>
              <w:left w:val="nil"/>
              <w:bottom w:val="single" w:sz="4" w:space="0" w:color="auto"/>
              <w:right w:val="single" w:sz="4" w:space="0" w:color="auto"/>
            </w:tcBorders>
            <w:hideMark/>
          </w:tcPr>
          <w:p w14:paraId="6FA71100" w14:textId="18324473"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T</w:t>
            </w:r>
            <w:r w:rsidR="005A46ED">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gjitha inst. OJF</w:t>
            </w:r>
          </w:p>
        </w:tc>
        <w:tc>
          <w:tcPr>
            <w:tcW w:w="708" w:type="dxa"/>
            <w:tcBorders>
              <w:top w:val="nil"/>
              <w:left w:val="nil"/>
              <w:bottom w:val="single" w:sz="4" w:space="0" w:color="auto"/>
              <w:right w:val="single" w:sz="4" w:space="0" w:color="auto"/>
            </w:tcBorders>
            <w:hideMark/>
          </w:tcPr>
          <w:p w14:paraId="77441F1D" w14:textId="5DE259C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0B6A8DF4" w14:textId="2F1EEA8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96</w:t>
            </w:r>
          </w:p>
        </w:tc>
        <w:tc>
          <w:tcPr>
            <w:tcW w:w="567" w:type="dxa"/>
            <w:tcBorders>
              <w:top w:val="nil"/>
              <w:left w:val="nil"/>
              <w:bottom w:val="single" w:sz="4" w:space="0" w:color="auto"/>
              <w:right w:val="single" w:sz="4" w:space="0" w:color="auto"/>
            </w:tcBorders>
            <w:hideMark/>
          </w:tcPr>
          <w:p w14:paraId="11D48B35" w14:textId="4BAD9A2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96</w:t>
            </w:r>
          </w:p>
        </w:tc>
        <w:tc>
          <w:tcPr>
            <w:tcW w:w="1134" w:type="dxa"/>
            <w:tcBorders>
              <w:top w:val="nil"/>
              <w:left w:val="nil"/>
              <w:bottom w:val="single" w:sz="4" w:space="0" w:color="auto"/>
              <w:right w:val="single" w:sz="4" w:space="0" w:color="auto"/>
            </w:tcBorders>
            <w:hideMark/>
          </w:tcPr>
          <w:p w14:paraId="21ED2142" w14:textId="50BD3EE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96</w:t>
            </w:r>
          </w:p>
        </w:tc>
        <w:tc>
          <w:tcPr>
            <w:tcW w:w="1615" w:type="dxa"/>
            <w:tcBorders>
              <w:top w:val="nil"/>
              <w:left w:val="nil"/>
              <w:bottom w:val="single" w:sz="4" w:space="0" w:color="auto"/>
              <w:right w:val="single" w:sz="4" w:space="0" w:color="auto"/>
            </w:tcBorders>
            <w:hideMark/>
          </w:tcPr>
          <w:p w14:paraId="2121B2E0" w14:textId="7B7563E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96</w:t>
            </w:r>
          </w:p>
        </w:tc>
      </w:tr>
      <w:tr w:rsidR="00B807EE" w:rsidRPr="00024D5A" w14:paraId="5258DE79" w14:textId="77777777" w:rsidTr="002B321E">
        <w:trPr>
          <w:trHeight w:val="20"/>
        </w:trPr>
        <w:tc>
          <w:tcPr>
            <w:tcW w:w="4673" w:type="dxa"/>
            <w:tcBorders>
              <w:top w:val="nil"/>
              <w:left w:val="single" w:sz="4" w:space="0" w:color="auto"/>
              <w:bottom w:val="nil"/>
              <w:right w:val="single" w:sz="4" w:space="0" w:color="auto"/>
            </w:tcBorders>
            <w:hideMark/>
          </w:tcPr>
          <w:p w14:paraId="0E03AF91" w14:textId="2E0E603F"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2.2.3 Kryerja e vizitave në </w:t>
            </w:r>
            <w:r w:rsidR="003245E7" w:rsidRPr="00024D5A">
              <w:rPr>
                <w:rFonts w:ascii="Garamond" w:eastAsia="Times New Roman" w:hAnsi="Garamond"/>
                <w:sz w:val="6"/>
                <w:szCs w:val="16"/>
                <w:lang w:eastAsia="en-US"/>
              </w:rPr>
              <w:t>NJVV</w:t>
            </w:r>
            <w:r w:rsidRPr="00024D5A">
              <w:rPr>
                <w:rFonts w:ascii="Garamond" w:eastAsia="Times New Roman" w:hAnsi="Garamond"/>
                <w:sz w:val="6"/>
                <w:szCs w:val="16"/>
                <w:lang w:eastAsia="en-US"/>
              </w:rPr>
              <w:t xml:space="preserve"> të ndryshme për të mbledhur të dhëna për zbatimin e </w:t>
            </w:r>
            <w:r w:rsidR="0069081C" w:rsidRPr="00024D5A">
              <w:rPr>
                <w:rFonts w:ascii="Garamond" w:eastAsia="Times New Roman" w:hAnsi="Garamond"/>
                <w:sz w:val="6"/>
                <w:szCs w:val="16"/>
                <w:lang w:eastAsia="en-US"/>
              </w:rPr>
              <w:t xml:space="preserve">planit të veprimit </w:t>
            </w:r>
            <w:r w:rsidRPr="00024D5A">
              <w:rPr>
                <w:rFonts w:ascii="Garamond" w:eastAsia="Times New Roman" w:hAnsi="Garamond"/>
                <w:sz w:val="6"/>
                <w:szCs w:val="16"/>
                <w:lang w:eastAsia="en-US"/>
              </w:rPr>
              <w:t xml:space="preserve">dhe për të identifikuar </w:t>
            </w:r>
            <w:r w:rsidR="000C2D3A" w:rsidRPr="00024D5A">
              <w:rPr>
                <w:rFonts w:ascii="Garamond" w:eastAsia="Times New Roman" w:hAnsi="Garamond"/>
                <w:sz w:val="6"/>
                <w:szCs w:val="16"/>
                <w:lang w:eastAsia="en-US"/>
              </w:rPr>
              <w:t>çështje</w:t>
            </w:r>
            <w:r w:rsidRPr="00024D5A">
              <w:rPr>
                <w:rFonts w:ascii="Garamond" w:eastAsia="Times New Roman" w:hAnsi="Garamond"/>
                <w:sz w:val="6"/>
                <w:szCs w:val="16"/>
                <w:lang w:eastAsia="en-US"/>
              </w:rPr>
              <w:t xml:space="preserve"> për t’i diskutuar ato në takimet e KKAK</w:t>
            </w:r>
            <w:r w:rsidR="0069081C">
              <w:rPr>
                <w:rFonts w:ascii="Garamond" w:eastAsia="Times New Roman" w:hAnsi="Garamond"/>
                <w:sz w:val="6"/>
                <w:szCs w:val="16"/>
                <w:lang w:eastAsia="en-US"/>
              </w:rPr>
              <w:t>-së</w:t>
            </w:r>
            <w:r w:rsidRPr="00024D5A">
              <w:rPr>
                <w:rFonts w:ascii="Garamond" w:eastAsia="Times New Roman" w:hAnsi="Garamond"/>
                <w:sz w:val="6"/>
                <w:szCs w:val="16"/>
                <w:lang w:eastAsia="en-US"/>
              </w:rPr>
              <w:t>.</w:t>
            </w:r>
          </w:p>
        </w:tc>
        <w:tc>
          <w:tcPr>
            <w:tcW w:w="567" w:type="dxa"/>
            <w:tcBorders>
              <w:top w:val="nil"/>
              <w:left w:val="nil"/>
              <w:bottom w:val="nil"/>
              <w:right w:val="single" w:sz="4" w:space="0" w:color="auto"/>
            </w:tcBorders>
            <w:noWrap/>
            <w:hideMark/>
          </w:tcPr>
          <w:p w14:paraId="3E72F430"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2027</w:t>
            </w:r>
          </w:p>
        </w:tc>
        <w:tc>
          <w:tcPr>
            <w:tcW w:w="567" w:type="dxa"/>
            <w:tcBorders>
              <w:top w:val="nil"/>
              <w:left w:val="nil"/>
              <w:bottom w:val="nil"/>
              <w:right w:val="nil"/>
            </w:tcBorders>
            <w:noWrap/>
            <w:hideMark/>
          </w:tcPr>
          <w:p w14:paraId="5B0EBD36"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single" w:sz="4" w:space="0" w:color="auto"/>
              <w:bottom w:val="single" w:sz="4" w:space="0" w:color="auto"/>
              <w:right w:val="single" w:sz="4" w:space="0" w:color="auto"/>
            </w:tcBorders>
            <w:noWrap/>
            <w:hideMark/>
          </w:tcPr>
          <w:p w14:paraId="5F7DB069"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MSHMS</w:t>
            </w:r>
          </w:p>
        </w:tc>
        <w:tc>
          <w:tcPr>
            <w:tcW w:w="1418" w:type="dxa"/>
            <w:tcBorders>
              <w:top w:val="nil"/>
              <w:left w:val="nil"/>
              <w:bottom w:val="single" w:sz="4" w:space="0" w:color="auto"/>
              <w:right w:val="single" w:sz="4" w:space="0" w:color="auto"/>
            </w:tcBorders>
            <w:noWrap/>
            <w:hideMark/>
          </w:tcPr>
          <w:p w14:paraId="73E58648" w14:textId="1FB63D57" w:rsidR="00700D7D" w:rsidRPr="00024D5A" w:rsidRDefault="003245E7"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NJVV</w:t>
            </w:r>
            <w:r w:rsidR="007675EC" w:rsidRPr="00024D5A">
              <w:rPr>
                <w:rFonts w:ascii="Garamond" w:eastAsia="Times New Roman" w:hAnsi="Garamond"/>
                <w:sz w:val="6"/>
                <w:szCs w:val="16"/>
                <w:lang w:eastAsia="en-US"/>
              </w:rPr>
              <w:t>/</w:t>
            </w:r>
            <w:r w:rsidR="00700D7D" w:rsidRPr="00024D5A">
              <w:rPr>
                <w:rFonts w:ascii="Garamond" w:eastAsia="Times New Roman" w:hAnsi="Garamond"/>
                <w:sz w:val="6"/>
                <w:szCs w:val="16"/>
                <w:lang w:eastAsia="en-US"/>
              </w:rPr>
              <w:t>KKAK</w:t>
            </w:r>
          </w:p>
        </w:tc>
        <w:tc>
          <w:tcPr>
            <w:tcW w:w="708" w:type="dxa"/>
            <w:tcBorders>
              <w:top w:val="nil"/>
              <w:left w:val="nil"/>
              <w:bottom w:val="single" w:sz="4" w:space="0" w:color="auto"/>
              <w:right w:val="single" w:sz="4" w:space="0" w:color="auto"/>
            </w:tcBorders>
            <w:hideMark/>
          </w:tcPr>
          <w:p w14:paraId="475D65B4" w14:textId="7B68504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6513734B" w14:textId="724162B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1,800</w:t>
            </w:r>
          </w:p>
        </w:tc>
        <w:tc>
          <w:tcPr>
            <w:tcW w:w="567" w:type="dxa"/>
            <w:tcBorders>
              <w:top w:val="nil"/>
              <w:left w:val="nil"/>
              <w:bottom w:val="single" w:sz="4" w:space="0" w:color="auto"/>
              <w:right w:val="single" w:sz="4" w:space="0" w:color="auto"/>
            </w:tcBorders>
            <w:hideMark/>
          </w:tcPr>
          <w:p w14:paraId="363AFA56" w14:textId="0DB7258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1,800</w:t>
            </w:r>
          </w:p>
        </w:tc>
        <w:tc>
          <w:tcPr>
            <w:tcW w:w="1134" w:type="dxa"/>
            <w:tcBorders>
              <w:top w:val="nil"/>
              <w:left w:val="nil"/>
              <w:bottom w:val="single" w:sz="4" w:space="0" w:color="auto"/>
              <w:right w:val="single" w:sz="4" w:space="0" w:color="auto"/>
            </w:tcBorders>
            <w:hideMark/>
          </w:tcPr>
          <w:p w14:paraId="0FA272E9" w14:textId="173F599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1,800</w:t>
            </w:r>
          </w:p>
        </w:tc>
        <w:tc>
          <w:tcPr>
            <w:tcW w:w="1615" w:type="dxa"/>
            <w:tcBorders>
              <w:top w:val="nil"/>
              <w:left w:val="nil"/>
              <w:bottom w:val="single" w:sz="4" w:space="0" w:color="auto"/>
              <w:right w:val="single" w:sz="4" w:space="0" w:color="auto"/>
            </w:tcBorders>
            <w:hideMark/>
          </w:tcPr>
          <w:p w14:paraId="661F1AED" w14:textId="7F911E6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1,800</w:t>
            </w:r>
          </w:p>
        </w:tc>
      </w:tr>
      <w:tr w:rsidR="00B807EE" w:rsidRPr="00024D5A" w14:paraId="03E9E0F3" w14:textId="77777777" w:rsidTr="002B321E">
        <w:trPr>
          <w:trHeight w:val="20"/>
        </w:trPr>
        <w:tc>
          <w:tcPr>
            <w:tcW w:w="4673" w:type="dxa"/>
            <w:tcBorders>
              <w:top w:val="single" w:sz="4" w:space="0" w:color="auto"/>
              <w:left w:val="single" w:sz="4" w:space="0" w:color="auto"/>
              <w:bottom w:val="single" w:sz="4" w:space="0" w:color="auto"/>
              <w:right w:val="single" w:sz="4" w:space="0" w:color="auto"/>
            </w:tcBorders>
            <w:hideMark/>
          </w:tcPr>
          <w:p w14:paraId="365BA2C5" w14:textId="788F281A"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2.2.4 Përgatitja e raporteve vjetore me aktivitetet dhe rezultatet e vitit të KKAK</w:t>
            </w:r>
            <w:r w:rsidR="000C2D3A" w:rsidRPr="00024D5A">
              <w:rPr>
                <w:rFonts w:ascii="Garamond" w:eastAsia="Times New Roman" w:hAnsi="Garamond"/>
                <w:sz w:val="6"/>
                <w:szCs w:val="16"/>
                <w:lang w:eastAsia="en-US"/>
              </w:rPr>
              <w:t>-së.</w:t>
            </w:r>
          </w:p>
        </w:tc>
        <w:tc>
          <w:tcPr>
            <w:tcW w:w="567" w:type="dxa"/>
            <w:tcBorders>
              <w:top w:val="single" w:sz="4" w:space="0" w:color="auto"/>
              <w:left w:val="nil"/>
              <w:bottom w:val="single" w:sz="4" w:space="0" w:color="auto"/>
              <w:right w:val="single" w:sz="4" w:space="0" w:color="auto"/>
            </w:tcBorders>
            <w:noWrap/>
            <w:hideMark/>
          </w:tcPr>
          <w:p w14:paraId="74803F19"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single" w:sz="4" w:space="0" w:color="auto"/>
              <w:left w:val="nil"/>
              <w:bottom w:val="single" w:sz="4" w:space="0" w:color="auto"/>
              <w:right w:val="nil"/>
            </w:tcBorders>
            <w:noWrap/>
            <w:hideMark/>
          </w:tcPr>
          <w:p w14:paraId="7701929F"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single" w:sz="4" w:space="0" w:color="auto"/>
              <w:bottom w:val="single" w:sz="4" w:space="0" w:color="auto"/>
              <w:right w:val="single" w:sz="4" w:space="0" w:color="auto"/>
            </w:tcBorders>
            <w:hideMark/>
          </w:tcPr>
          <w:p w14:paraId="1262D739" w14:textId="22698A18"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MSHMS</w:t>
            </w:r>
            <w:r w:rsidR="007675EC"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Sekretariati</w:t>
            </w:r>
          </w:p>
        </w:tc>
        <w:tc>
          <w:tcPr>
            <w:tcW w:w="1418" w:type="dxa"/>
            <w:tcBorders>
              <w:top w:val="nil"/>
              <w:left w:val="nil"/>
              <w:bottom w:val="single" w:sz="4" w:space="0" w:color="auto"/>
              <w:right w:val="single" w:sz="4" w:space="0" w:color="auto"/>
            </w:tcBorders>
            <w:noWrap/>
            <w:hideMark/>
          </w:tcPr>
          <w:p w14:paraId="74E76A1D"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708" w:type="dxa"/>
            <w:tcBorders>
              <w:top w:val="nil"/>
              <w:left w:val="nil"/>
              <w:bottom w:val="single" w:sz="4" w:space="0" w:color="auto"/>
              <w:right w:val="single" w:sz="4" w:space="0" w:color="auto"/>
            </w:tcBorders>
            <w:hideMark/>
          </w:tcPr>
          <w:p w14:paraId="6CDED484" w14:textId="3840572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136</w:t>
            </w:r>
          </w:p>
        </w:tc>
        <w:tc>
          <w:tcPr>
            <w:tcW w:w="567" w:type="dxa"/>
            <w:tcBorders>
              <w:top w:val="nil"/>
              <w:left w:val="nil"/>
              <w:bottom w:val="single" w:sz="4" w:space="0" w:color="auto"/>
              <w:right w:val="single" w:sz="4" w:space="0" w:color="auto"/>
            </w:tcBorders>
            <w:hideMark/>
          </w:tcPr>
          <w:p w14:paraId="3B8BC111" w14:textId="564ED54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136</w:t>
            </w:r>
          </w:p>
        </w:tc>
        <w:tc>
          <w:tcPr>
            <w:tcW w:w="567" w:type="dxa"/>
            <w:tcBorders>
              <w:top w:val="nil"/>
              <w:left w:val="nil"/>
              <w:bottom w:val="single" w:sz="4" w:space="0" w:color="auto"/>
              <w:right w:val="single" w:sz="4" w:space="0" w:color="auto"/>
            </w:tcBorders>
            <w:hideMark/>
          </w:tcPr>
          <w:p w14:paraId="7B7A7F6A" w14:textId="6DAD789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136</w:t>
            </w:r>
          </w:p>
        </w:tc>
        <w:tc>
          <w:tcPr>
            <w:tcW w:w="1134" w:type="dxa"/>
            <w:tcBorders>
              <w:top w:val="nil"/>
              <w:left w:val="nil"/>
              <w:bottom w:val="single" w:sz="4" w:space="0" w:color="auto"/>
              <w:right w:val="single" w:sz="4" w:space="0" w:color="auto"/>
            </w:tcBorders>
            <w:hideMark/>
          </w:tcPr>
          <w:p w14:paraId="25770856" w14:textId="2193A3D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136</w:t>
            </w:r>
          </w:p>
        </w:tc>
        <w:tc>
          <w:tcPr>
            <w:tcW w:w="1615" w:type="dxa"/>
            <w:tcBorders>
              <w:top w:val="nil"/>
              <w:left w:val="nil"/>
              <w:bottom w:val="single" w:sz="4" w:space="0" w:color="auto"/>
              <w:right w:val="single" w:sz="4" w:space="0" w:color="auto"/>
            </w:tcBorders>
            <w:hideMark/>
          </w:tcPr>
          <w:p w14:paraId="62878443" w14:textId="79260F1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136</w:t>
            </w:r>
          </w:p>
        </w:tc>
      </w:tr>
      <w:tr w:rsidR="00B807EE" w:rsidRPr="00024D5A" w14:paraId="630F061E" w14:textId="77777777" w:rsidTr="002B321E">
        <w:trPr>
          <w:trHeight w:val="20"/>
        </w:trPr>
        <w:tc>
          <w:tcPr>
            <w:tcW w:w="4673" w:type="dxa"/>
            <w:tcBorders>
              <w:top w:val="nil"/>
              <w:left w:val="single" w:sz="4" w:space="0" w:color="auto"/>
              <w:bottom w:val="nil"/>
              <w:right w:val="single" w:sz="4" w:space="0" w:color="auto"/>
            </w:tcBorders>
            <w:hideMark/>
          </w:tcPr>
          <w:p w14:paraId="3E677F41" w14:textId="063C4A03"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2.2.5 P</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rgatitja e raportit t</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radh</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s të progresit për zbatimin e Konventës së Kombeve të Bashkuara</w:t>
            </w:r>
            <w:r w:rsidR="0069081C">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noWrap/>
            <w:hideMark/>
          </w:tcPr>
          <w:p w14:paraId="2389A433"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2027</w:t>
            </w:r>
          </w:p>
        </w:tc>
        <w:tc>
          <w:tcPr>
            <w:tcW w:w="567" w:type="dxa"/>
            <w:tcBorders>
              <w:top w:val="nil"/>
              <w:left w:val="nil"/>
              <w:bottom w:val="single" w:sz="4" w:space="0" w:color="auto"/>
              <w:right w:val="nil"/>
            </w:tcBorders>
            <w:noWrap/>
            <w:hideMark/>
          </w:tcPr>
          <w:p w14:paraId="726D0C38"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2028</w:t>
            </w:r>
          </w:p>
        </w:tc>
        <w:tc>
          <w:tcPr>
            <w:tcW w:w="1134" w:type="dxa"/>
            <w:tcBorders>
              <w:top w:val="nil"/>
              <w:left w:val="single" w:sz="4" w:space="0" w:color="auto"/>
              <w:bottom w:val="single" w:sz="4" w:space="0" w:color="auto"/>
              <w:right w:val="single" w:sz="4" w:space="0" w:color="auto"/>
            </w:tcBorders>
            <w:noWrap/>
            <w:hideMark/>
          </w:tcPr>
          <w:p w14:paraId="5C7ABC6C"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MSHMS</w:t>
            </w:r>
          </w:p>
        </w:tc>
        <w:tc>
          <w:tcPr>
            <w:tcW w:w="1418" w:type="dxa"/>
            <w:tcBorders>
              <w:top w:val="nil"/>
              <w:left w:val="nil"/>
              <w:bottom w:val="single" w:sz="4" w:space="0" w:color="auto"/>
              <w:right w:val="single" w:sz="4" w:space="0" w:color="auto"/>
            </w:tcBorders>
            <w:hideMark/>
          </w:tcPr>
          <w:p w14:paraId="6B9B73A4" w14:textId="49E2EFE3"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T</w:t>
            </w:r>
            <w:r w:rsidR="005A46ED">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gjitha institucionet</w:t>
            </w:r>
          </w:p>
        </w:tc>
        <w:tc>
          <w:tcPr>
            <w:tcW w:w="708" w:type="dxa"/>
            <w:tcBorders>
              <w:top w:val="nil"/>
              <w:left w:val="nil"/>
              <w:bottom w:val="single" w:sz="4" w:space="0" w:color="auto"/>
              <w:right w:val="single" w:sz="4" w:space="0" w:color="auto"/>
            </w:tcBorders>
            <w:hideMark/>
          </w:tcPr>
          <w:p w14:paraId="45B056CF" w14:textId="56DD7C4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18FF232F" w14:textId="35E2C7F8"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175</w:t>
            </w:r>
          </w:p>
        </w:tc>
        <w:tc>
          <w:tcPr>
            <w:tcW w:w="567" w:type="dxa"/>
            <w:tcBorders>
              <w:top w:val="nil"/>
              <w:left w:val="nil"/>
              <w:bottom w:val="single" w:sz="4" w:space="0" w:color="auto"/>
              <w:right w:val="single" w:sz="4" w:space="0" w:color="auto"/>
            </w:tcBorders>
            <w:hideMark/>
          </w:tcPr>
          <w:p w14:paraId="0EF58FB4" w14:textId="19FE441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175</w:t>
            </w:r>
          </w:p>
        </w:tc>
        <w:tc>
          <w:tcPr>
            <w:tcW w:w="1134" w:type="dxa"/>
            <w:tcBorders>
              <w:top w:val="nil"/>
              <w:left w:val="nil"/>
              <w:bottom w:val="single" w:sz="4" w:space="0" w:color="auto"/>
              <w:right w:val="single" w:sz="4" w:space="0" w:color="auto"/>
            </w:tcBorders>
            <w:hideMark/>
          </w:tcPr>
          <w:p w14:paraId="7D96A6C2" w14:textId="27F6E9F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17884D6D" w14:textId="3A3678C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0A814684" w14:textId="77777777" w:rsidTr="002B321E">
        <w:trPr>
          <w:trHeight w:val="20"/>
        </w:trPr>
        <w:tc>
          <w:tcPr>
            <w:tcW w:w="4673" w:type="dxa"/>
            <w:tcBorders>
              <w:top w:val="single" w:sz="4" w:space="0" w:color="auto"/>
              <w:left w:val="single" w:sz="4" w:space="0" w:color="auto"/>
              <w:bottom w:val="single" w:sz="4" w:space="0" w:color="auto"/>
              <w:right w:val="single" w:sz="4" w:space="0" w:color="auto"/>
            </w:tcBorders>
            <w:shd w:val="clear" w:color="000000" w:fill="FDE9D9"/>
            <w:hideMark/>
          </w:tcPr>
          <w:p w14:paraId="526A9D97" w14:textId="5E70F986"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Objektivi specifik 3</w:t>
            </w:r>
            <w:r w:rsidR="003526AF">
              <w:rPr>
                <w:rFonts w:ascii="Garamond" w:eastAsia="Times New Roman" w:hAnsi="Garamond"/>
                <w:b/>
                <w:bCs/>
                <w:sz w:val="6"/>
                <w:szCs w:val="16"/>
                <w:lang w:eastAsia="en-US"/>
              </w:rPr>
              <w:t>:</w:t>
            </w:r>
            <w:r w:rsidR="008F29FA" w:rsidRPr="00024D5A">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Përmirësimi i funksionimit të KKAK</w:t>
            </w:r>
            <w:r w:rsidR="0069081C">
              <w:rPr>
                <w:rFonts w:ascii="Garamond" w:eastAsia="Times New Roman" w:hAnsi="Garamond"/>
                <w:b/>
                <w:bCs/>
                <w:sz w:val="6"/>
                <w:szCs w:val="16"/>
                <w:lang w:eastAsia="en-US"/>
              </w:rPr>
              <w:t>-së,</w:t>
            </w:r>
            <w:r w:rsidRPr="00024D5A">
              <w:rPr>
                <w:rFonts w:ascii="Garamond" w:eastAsia="Times New Roman" w:hAnsi="Garamond"/>
                <w:b/>
                <w:bCs/>
                <w:sz w:val="6"/>
                <w:szCs w:val="16"/>
                <w:lang w:eastAsia="en-US"/>
              </w:rPr>
              <w:t xml:space="preserve"> lidhur me koordinimin e politikave publike në nivel horizontal dhe vertikal, të dedikuara për personat me aftësi të kufizuara</w:t>
            </w:r>
            <w:r w:rsidR="0069081C">
              <w:rPr>
                <w:rFonts w:ascii="Garamond" w:eastAsia="Times New Roman" w:hAnsi="Garamond"/>
                <w:b/>
                <w:bCs/>
                <w:sz w:val="6"/>
                <w:szCs w:val="16"/>
                <w:lang w:eastAsia="en-US"/>
              </w:rPr>
              <w:t>.</w:t>
            </w:r>
          </w:p>
        </w:tc>
        <w:tc>
          <w:tcPr>
            <w:tcW w:w="567" w:type="dxa"/>
            <w:tcBorders>
              <w:top w:val="nil"/>
              <w:left w:val="nil"/>
              <w:bottom w:val="single" w:sz="4" w:space="0" w:color="auto"/>
              <w:right w:val="single" w:sz="4" w:space="0" w:color="auto"/>
            </w:tcBorders>
            <w:shd w:val="clear" w:color="000000" w:fill="FDE9D9"/>
            <w:hideMark/>
          </w:tcPr>
          <w:p w14:paraId="5F2C8AE3"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nil"/>
            </w:tcBorders>
            <w:shd w:val="clear" w:color="000000" w:fill="FDE9D9"/>
            <w:hideMark/>
          </w:tcPr>
          <w:p w14:paraId="4AD908EC"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single" w:sz="4" w:space="0" w:color="auto"/>
              <w:bottom w:val="single" w:sz="4" w:space="0" w:color="auto"/>
              <w:right w:val="single" w:sz="4" w:space="0" w:color="auto"/>
            </w:tcBorders>
            <w:shd w:val="clear" w:color="000000" w:fill="FDE9D9"/>
            <w:hideMark/>
          </w:tcPr>
          <w:p w14:paraId="03381324" w14:textId="45F80CEF"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INSTAT</w:t>
            </w:r>
          </w:p>
        </w:tc>
        <w:tc>
          <w:tcPr>
            <w:tcW w:w="1418" w:type="dxa"/>
            <w:tcBorders>
              <w:top w:val="nil"/>
              <w:left w:val="nil"/>
              <w:bottom w:val="single" w:sz="4" w:space="0" w:color="auto"/>
              <w:right w:val="single" w:sz="4" w:space="0" w:color="auto"/>
            </w:tcBorders>
            <w:shd w:val="clear" w:color="000000" w:fill="FDE9D9"/>
            <w:hideMark/>
          </w:tcPr>
          <w:p w14:paraId="1942F18C" w14:textId="68D691F9"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T</w:t>
            </w:r>
            <w:r w:rsidR="005A46ED">
              <w:rPr>
                <w:rFonts w:ascii="Garamond" w:eastAsia="Times New Roman" w:hAnsi="Garamond"/>
                <w:b/>
                <w:bCs/>
                <w:sz w:val="6"/>
                <w:szCs w:val="16"/>
                <w:lang w:eastAsia="en-US"/>
              </w:rPr>
              <w:t>ë</w:t>
            </w:r>
            <w:r w:rsidRPr="00024D5A">
              <w:rPr>
                <w:rFonts w:ascii="Garamond" w:eastAsia="Times New Roman" w:hAnsi="Garamond"/>
                <w:b/>
                <w:bCs/>
                <w:sz w:val="6"/>
                <w:szCs w:val="16"/>
                <w:lang w:eastAsia="en-US"/>
              </w:rPr>
              <w:t xml:space="preserve"> gjitha institucionet</w:t>
            </w:r>
          </w:p>
        </w:tc>
        <w:tc>
          <w:tcPr>
            <w:tcW w:w="708" w:type="dxa"/>
            <w:tcBorders>
              <w:top w:val="nil"/>
              <w:left w:val="nil"/>
              <w:bottom w:val="single" w:sz="4" w:space="0" w:color="auto"/>
              <w:right w:val="nil"/>
            </w:tcBorders>
            <w:shd w:val="clear" w:color="000000" w:fill="FDE9D9"/>
            <w:hideMark/>
          </w:tcPr>
          <w:p w14:paraId="38393472" w14:textId="5DA5C4ED"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905</w:t>
            </w:r>
          </w:p>
        </w:tc>
        <w:tc>
          <w:tcPr>
            <w:tcW w:w="567" w:type="dxa"/>
            <w:tcBorders>
              <w:top w:val="nil"/>
              <w:left w:val="single" w:sz="4" w:space="0" w:color="auto"/>
              <w:bottom w:val="single" w:sz="4" w:space="0" w:color="auto"/>
              <w:right w:val="nil"/>
            </w:tcBorders>
            <w:shd w:val="clear" w:color="000000" w:fill="FDE9D9"/>
            <w:hideMark/>
          </w:tcPr>
          <w:p w14:paraId="059DC6D2" w14:textId="4DF59B29"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1,305</w:t>
            </w:r>
          </w:p>
        </w:tc>
        <w:tc>
          <w:tcPr>
            <w:tcW w:w="567" w:type="dxa"/>
            <w:tcBorders>
              <w:top w:val="nil"/>
              <w:left w:val="single" w:sz="4" w:space="0" w:color="auto"/>
              <w:bottom w:val="single" w:sz="4" w:space="0" w:color="auto"/>
              <w:right w:val="nil"/>
            </w:tcBorders>
            <w:shd w:val="clear" w:color="000000" w:fill="FDE9D9"/>
            <w:hideMark/>
          </w:tcPr>
          <w:p w14:paraId="10E10BC2" w14:textId="734ABCF9"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400</w:t>
            </w:r>
          </w:p>
        </w:tc>
        <w:tc>
          <w:tcPr>
            <w:tcW w:w="1134" w:type="dxa"/>
            <w:tcBorders>
              <w:top w:val="nil"/>
              <w:left w:val="single" w:sz="4" w:space="0" w:color="auto"/>
              <w:bottom w:val="single" w:sz="4" w:space="0" w:color="auto"/>
              <w:right w:val="nil"/>
            </w:tcBorders>
            <w:shd w:val="clear" w:color="000000" w:fill="FDE9D9"/>
            <w:hideMark/>
          </w:tcPr>
          <w:p w14:paraId="248CBE10" w14:textId="674E9907"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w:t>
            </w:r>
          </w:p>
        </w:tc>
        <w:tc>
          <w:tcPr>
            <w:tcW w:w="1615" w:type="dxa"/>
            <w:tcBorders>
              <w:top w:val="nil"/>
              <w:left w:val="single" w:sz="4" w:space="0" w:color="auto"/>
              <w:bottom w:val="single" w:sz="4" w:space="0" w:color="auto"/>
              <w:right w:val="nil"/>
            </w:tcBorders>
            <w:shd w:val="clear" w:color="000000" w:fill="FDE9D9"/>
            <w:hideMark/>
          </w:tcPr>
          <w:p w14:paraId="46642236" w14:textId="4B02843F"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w:t>
            </w:r>
          </w:p>
        </w:tc>
      </w:tr>
      <w:tr w:rsidR="00B807EE" w:rsidRPr="00024D5A" w14:paraId="2C47A353"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DCE6F1"/>
            <w:hideMark/>
          </w:tcPr>
          <w:p w14:paraId="1C7AE1B7" w14:textId="30FBFF95"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Masa prioritare 3.1</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Përmirësim i akteve ligjore e nënligjore</w:t>
            </w:r>
            <w:r w:rsidR="0069081C">
              <w:rPr>
                <w:rFonts w:ascii="Garamond" w:eastAsia="Times New Roman" w:hAnsi="Garamond"/>
                <w:b/>
                <w:bCs/>
                <w:sz w:val="6"/>
                <w:szCs w:val="16"/>
                <w:lang w:eastAsia="en-US"/>
              </w:rPr>
              <w:t>.</w:t>
            </w:r>
          </w:p>
        </w:tc>
        <w:tc>
          <w:tcPr>
            <w:tcW w:w="567" w:type="dxa"/>
            <w:tcBorders>
              <w:top w:val="nil"/>
              <w:left w:val="nil"/>
              <w:bottom w:val="single" w:sz="4" w:space="0" w:color="auto"/>
              <w:right w:val="single" w:sz="4" w:space="0" w:color="auto"/>
            </w:tcBorders>
            <w:shd w:val="clear" w:color="000000" w:fill="DCE6F1"/>
            <w:hideMark/>
          </w:tcPr>
          <w:p w14:paraId="3131DFF4"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nil"/>
            </w:tcBorders>
            <w:shd w:val="clear" w:color="000000" w:fill="DCE6F1"/>
            <w:hideMark/>
          </w:tcPr>
          <w:p w14:paraId="61696F80"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single" w:sz="4" w:space="0" w:color="auto"/>
              <w:bottom w:val="single" w:sz="4" w:space="0" w:color="auto"/>
              <w:right w:val="single" w:sz="4" w:space="0" w:color="auto"/>
            </w:tcBorders>
            <w:shd w:val="clear" w:color="000000" w:fill="DCE6F1"/>
            <w:hideMark/>
          </w:tcPr>
          <w:p w14:paraId="24E775DE" w14:textId="38154BCB"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r w:rsidR="007675EC" w:rsidRPr="00024D5A">
              <w:rPr>
                <w:rFonts w:ascii="Garamond" w:eastAsia="Times New Roman" w:hAnsi="Garamond"/>
                <w:b/>
                <w:bCs/>
                <w:sz w:val="6"/>
                <w:szCs w:val="16"/>
                <w:lang w:eastAsia="en-US"/>
              </w:rPr>
              <w:t>/</w:t>
            </w:r>
            <w:r w:rsidRPr="00024D5A">
              <w:rPr>
                <w:rFonts w:ascii="Garamond" w:eastAsia="Times New Roman" w:hAnsi="Garamond"/>
                <w:b/>
                <w:bCs/>
                <w:sz w:val="6"/>
                <w:szCs w:val="16"/>
                <w:lang w:eastAsia="en-US"/>
              </w:rPr>
              <w:t>INSTAT</w:t>
            </w:r>
          </w:p>
        </w:tc>
        <w:tc>
          <w:tcPr>
            <w:tcW w:w="1418" w:type="dxa"/>
            <w:tcBorders>
              <w:top w:val="nil"/>
              <w:left w:val="nil"/>
              <w:bottom w:val="single" w:sz="4" w:space="0" w:color="auto"/>
              <w:right w:val="single" w:sz="4" w:space="0" w:color="auto"/>
            </w:tcBorders>
            <w:shd w:val="clear" w:color="000000" w:fill="DCE6F1"/>
            <w:hideMark/>
          </w:tcPr>
          <w:p w14:paraId="5EA17C7F" w14:textId="6B3634A8"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T</w:t>
            </w:r>
            <w:r w:rsidR="005A46ED">
              <w:rPr>
                <w:rFonts w:ascii="Garamond" w:eastAsia="Times New Roman" w:hAnsi="Garamond"/>
                <w:b/>
                <w:bCs/>
                <w:sz w:val="6"/>
                <w:szCs w:val="16"/>
                <w:lang w:eastAsia="en-US"/>
              </w:rPr>
              <w:t>ë</w:t>
            </w:r>
            <w:r w:rsidRPr="00024D5A">
              <w:rPr>
                <w:rFonts w:ascii="Garamond" w:eastAsia="Times New Roman" w:hAnsi="Garamond"/>
                <w:b/>
                <w:bCs/>
                <w:sz w:val="6"/>
                <w:szCs w:val="16"/>
                <w:lang w:eastAsia="en-US"/>
              </w:rPr>
              <w:t xml:space="preserve"> gjitha institucionet</w:t>
            </w:r>
          </w:p>
        </w:tc>
        <w:tc>
          <w:tcPr>
            <w:tcW w:w="708" w:type="dxa"/>
            <w:tcBorders>
              <w:top w:val="nil"/>
              <w:left w:val="nil"/>
              <w:bottom w:val="single" w:sz="4" w:space="0" w:color="auto"/>
              <w:right w:val="nil"/>
            </w:tcBorders>
            <w:shd w:val="clear" w:color="000000" w:fill="DCE6F1"/>
            <w:hideMark/>
          </w:tcPr>
          <w:p w14:paraId="7431EC79" w14:textId="7DA8575E"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905</w:t>
            </w:r>
          </w:p>
        </w:tc>
        <w:tc>
          <w:tcPr>
            <w:tcW w:w="567" w:type="dxa"/>
            <w:tcBorders>
              <w:top w:val="nil"/>
              <w:left w:val="single" w:sz="4" w:space="0" w:color="auto"/>
              <w:bottom w:val="single" w:sz="4" w:space="0" w:color="auto"/>
              <w:right w:val="nil"/>
            </w:tcBorders>
            <w:shd w:val="clear" w:color="000000" w:fill="DCE6F1"/>
            <w:hideMark/>
          </w:tcPr>
          <w:p w14:paraId="3A49E414" w14:textId="54297507"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1,305</w:t>
            </w:r>
          </w:p>
        </w:tc>
        <w:tc>
          <w:tcPr>
            <w:tcW w:w="567" w:type="dxa"/>
            <w:tcBorders>
              <w:top w:val="nil"/>
              <w:left w:val="single" w:sz="4" w:space="0" w:color="auto"/>
              <w:bottom w:val="single" w:sz="4" w:space="0" w:color="auto"/>
              <w:right w:val="nil"/>
            </w:tcBorders>
            <w:shd w:val="clear" w:color="000000" w:fill="DCE6F1"/>
            <w:hideMark/>
          </w:tcPr>
          <w:p w14:paraId="3FBFB25A" w14:textId="7E645C4A"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400</w:t>
            </w:r>
          </w:p>
        </w:tc>
        <w:tc>
          <w:tcPr>
            <w:tcW w:w="1134" w:type="dxa"/>
            <w:tcBorders>
              <w:top w:val="nil"/>
              <w:left w:val="single" w:sz="4" w:space="0" w:color="auto"/>
              <w:bottom w:val="single" w:sz="4" w:space="0" w:color="auto"/>
              <w:right w:val="nil"/>
            </w:tcBorders>
            <w:shd w:val="clear" w:color="000000" w:fill="DCE6F1"/>
            <w:hideMark/>
          </w:tcPr>
          <w:p w14:paraId="3829ED6E" w14:textId="7FB90BBD"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w:t>
            </w:r>
          </w:p>
        </w:tc>
        <w:tc>
          <w:tcPr>
            <w:tcW w:w="1615" w:type="dxa"/>
            <w:tcBorders>
              <w:top w:val="nil"/>
              <w:left w:val="single" w:sz="4" w:space="0" w:color="auto"/>
              <w:bottom w:val="single" w:sz="4" w:space="0" w:color="auto"/>
              <w:right w:val="nil"/>
            </w:tcBorders>
            <w:shd w:val="clear" w:color="000000" w:fill="DCE6F1"/>
            <w:hideMark/>
          </w:tcPr>
          <w:p w14:paraId="3B865A6C" w14:textId="335878F8"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w:t>
            </w:r>
          </w:p>
        </w:tc>
      </w:tr>
      <w:tr w:rsidR="00B807EE" w:rsidRPr="00024D5A" w14:paraId="2EF2D172" w14:textId="77777777" w:rsidTr="002B321E">
        <w:trPr>
          <w:trHeight w:val="20"/>
        </w:trPr>
        <w:tc>
          <w:tcPr>
            <w:tcW w:w="4673" w:type="dxa"/>
            <w:tcBorders>
              <w:top w:val="nil"/>
              <w:left w:val="single" w:sz="4" w:space="0" w:color="auto"/>
              <w:bottom w:val="nil"/>
              <w:right w:val="nil"/>
            </w:tcBorders>
            <w:noWrap/>
            <w:hideMark/>
          </w:tcPr>
          <w:p w14:paraId="53516292" w14:textId="7F6B53EC"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3.1.1</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Rishikimi i VKM-së për mbledhjen e statistikave, në bashkëpunim me INSTAT</w:t>
            </w:r>
            <w:r w:rsidR="0069081C">
              <w:rPr>
                <w:rFonts w:ascii="Garamond" w:eastAsia="Times New Roman" w:hAnsi="Garamond"/>
                <w:sz w:val="6"/>
                <w:szCs w:val="16"/>
                <w:lang w:eastAsia="en-US"/>
              </w:rPr>
              <w:t>-in</w:t>
            </w:r>
            <w:r w:rsidRPr="00024D5A">
              <w:rPr>
                <w:rFonts w:ascii="Garamond" w:eastAsia="Times New Roman" w:hAnsi="Garamond"/>
                <w:sz w:val="6"/>
                <w:szCs w:val="16"/>
                <w:lang w:eastAsia="en-US"/>
              </w:rPr>
              <w:t xml:space="preserve">, me qëllim përmirësimin e monitorimit të indikatorëve të Planit dhe </w:t>
            </w:r>
            <w:r w:rsidR="000C2D3A" w:rsidRPr="00024D5A">
              <w:rPr>
                <w:rFonts w:ascii="Garamond" w:eastAsia="Times New Roman" w:hAnsi="Garamond"/>
                <w:sz w:val="6"/>
                <w:szCs w:val="16"/>
                <w:lang w:eastAsia="en-US"/>
              </w:rPr>
              <w:t>dërgimin</w:t>
            </w:r>
            <w:r w:rsidRPr="00024D5A">
              <w:rPr>
                <w:rFonts w:ascii="Garamond" w:eastAsia="Times New Roman" w:hAnsi="Garamond"/>
                <w:sz w:val="6"/>
                <w:szCs w:val="16"/>
                <w:lang w:eastAsia="en-US"/>
              </w:rPr>
              <w:t xml:space="preserve"> n</w:t>
            </w:r>
            <w:r w:rsidR="004D2BF5"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KKAK të informacionit vjetor.</w:t>
            </w:r>
          </w:p>
        </w:tc>
        <w:tc>
          <w:tcPr>
            <w:tcW w:w="567" w:type="dxa"/>
            <w:tcBorders>
              <w:top w:val="nil"/>
              <w:left w:val="single" w:sz="4" w:space="0" w:color="auto"/>
              <w:bottom w:val="single" w:sz="4" w:space="0" w:color="auto"/>
              <w:right w:val="single" w:sz="4" w:space="0" w:color="auto"/>
            </w:tcBorders>
            <w:noWrap/>
            <w:hideMark/>
          </w:tcPr>
          <w:p w14:paraId="743F5673"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nil"/>
            </w:tcBorders>
            <w:noWrap/>
            <w:hideMark/>
          </w:tcPr>
          <w:p w14:paraId="3CE46AB2"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2027</w:t>
            </w:r>
          </w:p>
        </w:tc>
        <w:tc>
          <w:tcPr>
            <w:tcW w:w="1134" w:type="dxa"/>
            <w:tcBorders>
              <w:top w:val="nil"/>
              <w:left w:val="single" w:sz="4" w:space="0" w:color="auto"/>
              <w:bottom w:val="single" w:sz="4" w:space="0" w:color="auto"/>
              <w:right w:val="single" w:sz="4" w:space="0" w:color="auto"/>
            </w:tcBorders>
            <w:hideMark/>
          </w:tcPr>
          <w:p w14:paraId="21DDFE51" w14:textId="1D94B021"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MSHMS</w:t>
            </w:r>
            <w:r w:rsidR="007675EC"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INSTAT</w:t>
            </w:r>
          </w:p>
        </w:tc>
        <w:tc>
          <w:tcPr>
            <w:tcW w:w="1418" w:type="dxa"/>
            <w:tcBorders>
              <w:top w:val="nil"/>
              <w:left w:val="nil"/>
              <w:bottom w:val="single" w:sz="4" w:space="0" w:color="auto"/>
              <w:right w:val="single" w:sz="4" w:space="0" w:color="auto"/>
            </w:tcBorders>
            <w:hideMark/>
          </w:tcPr>
          <w:p w14:paraId="5C72201F" w14:textId="2109BE64"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T</w:t>
            </w:r>
            <w:r w:rsidR="005A46ED">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gjitha institucionet</w:t>
            </w:r>
          </w:p>
        </w:tc>
        <w:tc>
          <w:tcPr>
            <w:tcW w:w="708" w:type="dxa"/>
            <w:tcBorders>
              <w:top w:val="nil"/>
              <w:left w:val="nil"/>
              <w:bottom w:val="single" w:sz="4" w:space="0" w:color="auto"/>
              <w:right w:val="single" w:sz="4" w:space="0" w:color="auto"/>
            </w:tcBorders>
            <w:hideMark/>
          </w:tcPr>
          <w:p w14:paraId="21473608" w14:textId="0E441AE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905</w:t>
            </w:r>
          </w:p>
        </w:tc>
        <w:tc>
          <w:tcPr>
            <w:tcW w:w="567" w:type="dxa"/>
            <w:tcBorders>
              <w:top w:val="nil"/>
              <w:left w:val="nil"/>
              <w:bottom w:val="single" w:sz="4" w:space="0" w:color="auto"/>
              <w:right w:val="single" w:sz="4" w:space="0" w:color="auto"/>
            </w:tcBorders>
            <w:hideMark/>
          </w:tcPr>
          <w:p w14:paraId="43F0928B" w14:textId="4754BE62"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905</w:t>
            </w:r>
          </w:p>
        </w:tc>
        <w:tc>
          <w:tcPr>
            <w:tcW w:w="567" w:type="dxa"/>
            <w:tcBorders>
              <w:top w:val="nil"/>
              <w:left w:val="nil"/>
              <w:bottom w:val="single" w:sz="4" w:space="0" w:color="auto"/>
              <w:right w:val="single" w:sz="4" w:space="0" w:color="auto"/>
            </w:tcBorders>
            <w:hideMark/>
          </w:tcPr>
          <w:p w14:paraId="7F32BCD4" w14:textId="5E4F333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58830527" w14:textId="170C919F"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356997D7" w14:textId="73D6C83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412A1C3E" w14:textId="77777777" w:rsidTr="002B321E">
        <w:trPr>
          <w:trHeight w:val="20"/>
        </w:trPr>
        <w:tc>
          <w:tcPr>
            <w:tcW w:w="4673" w:type="dxa"/>
            <w:tcBorders>
              <w:top w:val="single" w:sz="4" w:space="0" w:color="auto"/>
              <w:left w:val="single" w:sz="4" w:space="0" w:color="auto"/>
              <w:bottom w:val="single" w:sz="4" w:space="0" w:color="auto"/>
              <w:right w:val="single" w:sz="4" w:space="0" w:color="auto"/>
            </w:tcBorders>
            <w:noWrap/>
            <w:hideMark/>
          </w:tcPr>
          <w:p w14:paraId="3459E10D" w14:textId="28D419F3"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3.1.2</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Trajnimi për pikat fokale t</w:t>
            </w:r>
            <w:r w:rsidR="0059189E" w:rsidRPr="00024D5A">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ministrive për </w:t>
            </w:r>
            <w:r w:rsidR="000C2D3A" w:rsidRPr="00024D5A">
              <w:rPr>
                <w:rFonts w:ascii="Garamond" w:eastAsia="Times New Roman" w:hAnsi="Garamond"/>
                <w:sz w:val="6"/>
                <w:szCs w:val="16"/>
                <w:lang w:eastAsia="en-US"/>
              </w:rPr>
              <w:t>çështjet</w:t>
            </w:r>
            <w:r w:rsidRPr="00024D5A">
              <w:rPr>
                <w:rFonts w:ascii="Garamond" w:eastAsia="Times New Roman" w:hAnsi="Garamond"/>
                <w:sz w:val="6"/>
                <w:szCs w:val="16"/>
                <w:lang w:eastAsia="en-US"/>
              </w:rPr>
              <w:t xml:space="preserve"> e AK</w:t>
            </w:r>
            <w:r w:rsidR="000C2D3A" w:rsidRPr="00024D5A">
              <w:rPr>
                <w:rFonts w:ascii="Garamond" w:eastAsia="Times New Roman" w:hAnsi="Garamond"/>
                <w:sz w:val="6"/>
                <w:szCs w:val="16"/>
                <w:lang w:eastAsia="en-US"/>
              </w:rPr>
              <w:t>-së</w:t>
            </w:r>
            <w:r w:rsidRPr="00024D5A">
              <w:rPr>
                <w:rFonts w:ascii="Garamond" w:eastAsia="Times New Roman" w:hAnsi="Garamond"/>
                <w:sz w:val="6"/>
                <w:szCs w:val="16"/>
                <w:lang w:eastAsia="en-US"/>
              </w:rPr>
              <w:t>, lidhur me mbledhjen e statistikave për aftësinë e kufizuar.</w:t>
            </w:r>
          </w:p>
        </w:tc>
        <w:tc>
          <w:tcPr>
            <w:tcW w:w="567" w:type="dxa"/>
            <w:tcBorders>
              <w:top w:val="nil"/>
              <w:left w:val="nil"/>
              <w:bottom w:val="single" w:sz="4" w:space="0" w:color="auto"/>
              <w:right w:val="single" w:sz="4" w:space="0" w:color="auto"/>
            </w:tcBorders>
            <w:noWrap/>
            <w:hideMark/>
          </w:tcPr>
          <w:p w14:paraId="771B7301"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2027</w:t>
            </w:r>
          </w:p>
        </w:tc>
        <w:tc>
          <w:tcPr>
            <w:tcW w:w="567" w:type="dxa"/>
            <w:tcBorders>
              <w:top w:val="nil"/>
              <w:left w:val="nil"/>
              <w:bottom w:val="single" w:sz="4" w:space="0" w:color="auto"/>
              <w:right w:val="nil"/>
            </w:tcBorders>
            <w:noWrap/>
            <w:hideMark/>
          </w:tcPr>
          <w:p w14:paraId="7317F1E9"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2028</w:t>
            </w:r>
          </w:p>
        </w:tc>
        <w:tc>
          <w:tcPr>
            <w:tcW w:w="1134" w:type="dxa"/>
            <w:tcBorders>
              <w:top w:val="nil"/>
              <w:left w:val="single" w:sz="4" w:space="0" w:color="auto"/>
              <w:bottom w:val="single" w:sz="4" w:space="0" w:color="auto"/>
              <w:right w:val="single" w:sz="4" w:space="0" w:color="auto"/>
            </w:tcBorders>
            <w:hideMark/>
          </w:tcPr>
          <w:p w14:paraId="78A85DEB" w14:textId="628ADBAC"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MSHMS</w:t>
            </w:r>
            <w:r w:rsidR="007675EC"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INSTAT</w:t>
            </w:r>
          </w:p>
        </w:tc>
        <w:tc>
          <w:tcPr>
            <w:tcW w:w="1418" w:type="dxa"/>
            <w:tcBorders>
              <w:top w:val="nil"/>
              <w:left w:val="nil"/>
              <w:bottom w:val="single" w:sz="4" w:space="0" w:color="auto"/>
              <w:right w:val="single" w:sz="4" w:space="0" w:color="auto"/>
            </w:tcBorders>
            <w:hideMark/>
          </w:tcPr>
          <w:p w14:paraId="6E27FE53" w14:textId="6DE82301"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T</w:t>
            </w:r>
            <w:r w:rsidR="005A46ED">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gjitha institucionet</w:t>
            </w:r>
          </w:p>
        </w:tc>
        <w:tc>
          <w:tcPr>
            <w:tcW w:w="708" w:type="dxa"/>
            <w:tcBorders>
              <w:top w:val="nil"/>
              <w:left w:val="nil"/>
              <w:bottom w:val="single" w:sz="4" w:space="0" w:color="auto"/>
              <w:right w:val="single" w:sz="4" w:space="0" w:color="auto"/>
            </w:tcBorders>
            <w:hideMark/>
          </w:tcPr>
          <w:p w14:paraId="0F549D08" w14:textId="7AF68470"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3C18FE85" w14:textId="699812A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400</w:t>
            </w:r>
          </w:p>
        </w:tc>
        <w:tc>
          <w:tcPr>
            <w:tcW w:w="567" w:type="dxa"/>
            <w:tcBorders>
              <w:top w:val="nil"/>
              <w:left w:val="nil"/>
              <w:bottom w:val="single" w:sz="4" w:space="0" w:color="auto"/>
              <w:right w:val="single" w:sz="4" w:space="0" w:color="auto"/>
            </w:tcBorders>
            <w:hideMark/>
          </w:tcPr>
          <w:p w14:paraId="25E8FA27" w14:textId="265EFE5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400</w:t>
            </w:r>
          </w:p>
        </w:tc>
        <w:tc>
          <w:tcPr>
            <w:tcW w:w="1134" w:type="dxa"/>
            <w:tcBorders>
              <w:top w:val="nil"/>
              <w:left w:val="nil"/>
              <w:bottom w:val="single" w:sz="4" w:space="0" w:color="auto"/>
              <w:right w:val="single" w:sz="4" w:space="0" w:color="auto"/>
            </w:tcBorders>
            <w:hideMark/>
          </w:tcPr>
          <w:p w14:paraId="75D168BB" w14:textId="73436F45"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7DABC178" w14:textId="0022301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45B9224E" w14:textId="77777777" w:rsidTr="002B321E">
        <w:trPr>
          <w:trHeight w:val="20"/>
        </w:trPr>
        <w:tc>
          <w:tcPr>
            <w:tcW w:w="4673" w:type="dxa"/>
            <w:tcBorders>
              <w:top w:val="nil"/>
              <w:left w:val="single" w:sz="4" w:space="0" w:color="auto"/>
              <w:bottom w:val="single" w:sz="4" w:space="0" w:color="auto"/>
              <w:right w:val="single" w:sz="4" w:space="0" w:color="auto"/>
            </w:tcBorders>
            <w:hideMark/>
          </w:tcPr>
          <w:p w14:paraId="078A55E9" w14:textId="3D625AD0"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xml:space="preserve"> 3.1.3 Përgatitja e një metodologjie/sistemi për mbledhjen e të dhënave administrative mbi statusin e punësimit të personave me aftësi të kufizuara dhe hartimi i raporteve periodike</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dy</w:t>
            </w:r>
            <w:r w:rsidR="000C2D3A" w:rsidRPr="00024D5A">
              <w:rPr>
                <w:rFonts w:ascii="Garamond" w:eastAsia="Times New Roman" w:hAnsi="Garamond"/>
                <w:sz w:val="6"/>
                <w:szCs w:val="16"/>
                <w:lang w:eastAsia="en-US"/>
              </w:rPr>
              <w:t>vjeçare</w:t>
            </w:r>
            <w:r w:rsidR="00062E20">
              <w:rPr>
                <w:rFonts w:ascii="Garamond" w:eastAsia="Times New Roman" w:hAnsi="Garamond"/>
                <w:sz w:val="6"/>
                <w:szCs w:val="16"/>
                <w:lang w:eastAsia="en-US"/>
              </w:rPr>
              <w:t>.</w:t>
            </w:r>
          </w:p>
        </w:tc>
        <w:tc>
          <w:tcPr>
            <w:tcW w:w="567" w:type="dxa"/>
            <w:tcBorders>
              <w:top w:val="nil"/>
              <w:left w:val="nil"/>
              <w:bottom w:val="single" w:sz="4" w:space="0" w:color="auto"/>
              <w:right w:val="single" w:sz="4" w:space="0" w:color="auto"/>
            </w:tcBorders>
            <w:noWrap/>
            <w:hideMark/>
          </w:tcPr>
          <w:p w14:paraId="610E87E3"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2027</w:t>
            </w:r>
          </w:p>
        </w:tc>
        <w:tc>
          <w:tcPr>
            <w:tcW w:w="567" w:type="dxa"/>
            <w:tcBorders>
              <w:top w:val="nil"/>
              <w:left w:val="nil"/>
              <w:bottom w:val="single" w:sz="4" w:space="0" w:color="auto"/>
              <w:right w:val="nil"/>
            </w:tcBorders>
            <w:noWrap/>
            <w:hideMark/>
          </w:tcPr>
          <w:p w14:paraId="057FEACE"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single" w:sz="4" w:space="0" w:color="auto"/>
              <w:bottom w:val="single" w:sz="4" w:space="0" w:color="auto"/>
              <w:right w:val="single" w:sz="4" w:space="0" w:color="auto"/>
            </w:tcBorders>
            <w:hideMark/>
          </w:tcPr>
          <w:p w14:paraId="175FA46D" w14:textId="7D064444"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MSHMS</w:t>
            </w:r>
            <w:r w:rsidR="007675EC"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INSTAT</w:t>
            </w:r>
          </w:p>
        </w:tc>
        <w:tc>
          <w:tcPr>
            <w:tcW w:w="1418" w:type="dxa"/>
            <w:tcBorders>
              <w:top w:val="nil"/>
              <w:left w:val="nil"/>
              <w:bottom w:val="single" w:sz="4" w:space="0" w:color="auto"/>
              <w:right w:val="single" w:sz="4" w:space="0" w:color="auto"/>
            </w:tcBorders>
            <w:hideMark/>
          </w:tcPr>
          <w:p w14:paraId="4B3396EE" w14:textId="5B9DB76A"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T</w:t>
            </w:r>
            <w:r w:rsidR="005A46ED">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gjitha institucionet</w:t>
            </w:r>
          </w:p>
        </w:tc>
        <w:tc>
          <w:tcPr>
            <w:tcW w:w="708" w:type="dxa"/>
            <w:tcBorders>
              <w:top w:val="nil"/>
              <w:left w:val="nil"/>
              <w:bottom w:val="single" w:sz="4" w:space="0" w:color="auto"/>
              <w:right w:val="single" w:sz="4" w:space="0" w:color="auto"/>
            </w:tcBorders>
            <w:hideMark/>
          </w:tcPr>
          <w:p w14:paraId="1531FE2F" w14:textId="2641CC39"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39F0FCC2" w14:textId="6CBCF24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6D1D7458" w14:textId="7549A33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1E0533F4" w14:textId="10F7DFD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48A6E557" w14:textId="46F986B7"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7DDD0164" w14:textId="77777777" w:rsidTr="002B321E">
        <w:trPr>
          <w:trHeight w:val="20"/>
        </w:trPr>
        <w:tc>
          <w:tcPr>
            <w:tcW w:w="4673" w:type="dxa"/>
            <w:tcBorders>
              <w:top w:val="nil"/>
              <w:left w:val="single" w:sz="4" w:space="0" w:color="auto"/>
              <w:bottom w:val="nil"/>
              <w:right w:val="nil"/>
            </w:tcBorders>
            <w:noWrap/>
            <w:hideMark/>
          </w:tcPr>
          <w:p w14:paraId="6A65F329" w14:textId="14A45C35" w:rsidR="00700D7D" w:rsidRPr="00024D5A" w:rsidRDefault="007C0500" w:rsidP="00180DF3">
            <w:pPr>
              <w:jc w:val="both"/>
              <w:rPr>
                <w:rFonts w:ascii="Garamond" w:eastAsia="Times New Roman" w:hAnsi="Garamond"/>
                <w:sz w:val="6"/>
                <w:szCs w:val="16"/>
                <w:lang w:eastAsia="en-US"/>
              </w:rPr>
            </w:pPr>
            <w:hyperlink r:id="rId20" w:anchor="RANGE!_edn1" w:history="1">
              <w:r w:rsidR="00700D7D" w:rsidRPr="00024D5A">
                <w:rPr>
                  <w:rFonts w:ascii="Garamond" w:eastAsia="Times New Roman" w:hAnsi="Garamond"/>
                  <w:sz w:val="6"/>
                  <w:szCs w:val="16"/>
                  <w:lang w:eastAsia="en-US"/>
                </w:rPr>
                <w:t>3.1.4</w:t>
              </w:r>
              <w:r w:rsidR="008F29FA" w:rsidRPr="00024D5A">
                <w:rPr>
                  <w:rFonts w:ascii="Garamond" w:eastAsia="Times New Roman" w:hAnsi="Garamond"/>
                  <w:sz w:val="6"/>
                  <w:szCs w:val="16"/>
                  <w:lang w:eastAsia="en-US"/>
                </w:rPr>
                <w:t xml:space="preserve"> </w:t>
              </w:r>
              <w:r w:rsidR="00700D7D" w:rsidRPr="00024D5A">
                <w:rPr>
                  <w:rFonts w:ascii="Garamond" w:eastAsia="Times New Roman" w:hAnsi="Garamond"/>
                  <w:sz w:val="6"/>
                  <w:szCs w:val="16"/>
                  <w:lang w:eastAsia="en-US"/>
                </w:rPr>
                <w:t xml:space="preserve">Ngritja e Grupit Ndërinstitucional të Statistikave të Përfshirjes Sociale (GNSPS), i bashkëkryesuar nga Ministria e Shëndetësisë dhe </w:t>
              </w:r>
              <w:r w:rsidR="000C2D3A" w:rsidRPr="00024D5A">
                <w:rPr>
                  <w:rFonts w:ascii="Garamond" w:eastAsia="Times New Roman" w:hAnsi="Garamond"/>
                  <w:sz w:val="6"/>
                  <w:szCs w:val="16"/>
                  <w:lang w:eastAsia="en-US"/>
                </w:rPr>
                <w:t>Mirëqenies</w:t>
              </w:r>
              <w:r w:rsidR="00700D7D" w:rsidRPr="00024D5A">
                <w:rPr>
                  <w:rFonts w:ascii="Garamond" w:eastAsia="Times New Roman" w:hAnsi="Garamond"/>
                  <w:sz w:val="6"/>
                  <w:szCs w:val="16"/>
                  <w:lang w:eastAsia="en-US"/>
                </w:rPr>
                <w:t xml:space="preserve"> Sociale dhe INSTAT</w:t>
              </w:r>
              <w:r w:rsidR="00062E20">
                <w:rPr>
                  <w:rFonts w:ascii="Garamond" w:eastAsia="Times New Roman" w:hAnsi="Garamond"/>
                  <w:sz w:val="6"/>
                  <w:szCs w:val="16"/>
                  <w:lang w:eastAsia="en-US"/>
                </w:rPr>
                <w:t>-i</w:t>
              </w:r>
              <w:r w:rsidR="00700D7D" w:rsidRPr="00024D5A">
                <w:rPr>
                  <w:rFonts w:ascii="Garamond" w:eastAsia="Times New Roman" w:hAnsi="Garamond"/>
                  <w:sz w:val="6"/>
                  <w:szCs w:val="16"/>
                  <w:lang w:eastAsia="en-US"/>
                </w:rPr>
                <w:t>, që do të funksionojë me pjesëmarrjen e zyrtarëve të nivelit të lartë nga ministritë e linjës, INSTAT</w:t>
              </w:r>
              <w:r w:rsidR="005A46ED">
                <w:rPr>
                  <w:rFonts w:ascii="Garamond" w:eastAsia="Times New Roman" w:hAnsi="Garamond"/>
                  <w:sz w:val="6"/>
                  <w:szCs w:val="16"/>
                  <w:lang w:eastAsia="en-US"/>
                </w:rPr>
                <w:t>-i</w:t>
              </w:r>
              <w:r w:rsidR="00700D7D" w:rsidRPr="00024D5A">
                <w:rPr>
                  <w:rFonts w:ascii="Garamond" w:eastAsia="Times New Roman" w:hAnsi="Garamond"/>
                  <w:sz w:val="6"/>
                  <w:szCs w:val="16"/>
                  <w:lang w:eastAsia="en-US"/>
                </w:rPr>
                <w:t xml:space="preserve"> dhe institucionet kryesore qeveritare përgjegjëse për mbrojtjen sociale, punësimin, shëndetin, arsimin, strehimin, aksesin në drejtësi dhe të drejtat e njeriut si dhe të përfaqësuesve nga qarqet akademike dhe institutet kërkimore</w:t>
              </w:r>
              <w:r w:rsidR="005A46ED">
                <w:rPr>
                  <w:rFonts w:ascii="Garamond" w:eastAsia="Times New Roman" w:hAnsi="Garamond"/>
                  <w:sz w:val="6"/>
                  <w:szCs w:val="16"/>
                  <w:lang w:eastAsia="en-US"/>
                </w:rPr>
                <w:t>,</w:t>
              </w:r>
              <w:r w:rsidR="00700D7D" w:rsidRPr="00024D5A">
                <w:rPr>
                  <w:rFonts w:ascii="Garamond" w:eastAsia="Times New Roman" w:hAnsi="Garamond"/>
                  <w:sz w:val="6"/>
                  <w:szCs w:val="16"/>
                  <w:lang w:eastAsia="en-US"/>
                </w:rPr>
                <w:t xml:space="preserve"> që do të mundësojë garantimin e mbledhjes dhe analizës së të dhënave administrative për gjininë, grupmoshën, përkatësinë etnike, orientimin seksual dhe aftësinë e kufizuar. </w:t>
              </w:r>
            </w:hyperlink>
          </w:p>
        </w:tc>
        <w:tc>
          <w:tcPr>
            <w:tcW w:w="567" w:type="dxa"/>
            <w:tcBorders>
              <w:top w:val="nil"/>
              <w:left w:val="single" w:sz="4" w:space="0" w:color="auto"/>
              <w:bottom w:val="single" w:sz="4" w:space="0" w:color="auto"/>
              <w:right w:val="single" w:sz="4" w:space="0" w:color="auto"/>
            </w:tcBorders>
            <w:noWrap/>
            <w:hideMark/>
          </w:tcPr>
          <w:p w14:paraId="642E4A27"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2028</w:t>
            </w:r>
          </w:p>
        </w:tc>
        <w:tc>
          <w:tcPr>
            <w:tcW w:w="567" w:type="dxa"/>
            <w:tcBorders>
              <w:top w:val="nil"/>
              <w:left w:val="nil"/>
              <w:bottom w:val="single" w:sz="4" w:space="0" w:color="auto"/>
              <w:right w:val="nil"/>
            </w:tcBorders>
            <w:noWrap/>
            <w:hideMark/>
          </w:tcPr>
          <w:p w14:paraId="5EDFA756"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 </w:t>
            </w:r>
          </w:p>
        </w:tc>
        <w:tc>
          <w:tcPr>
            <w:tcW w:w="1134" w:type="dxa"/>
            <w:tcBorders>
              <w:top w:val="nil"/>
              <w:left w:val="single" w:sz="4" w:space="0" w:color="auto"/>
              <w:bottom w:val="single" w:sz="4" w:space="0" w:color="auto"/>
              <w:right w:val="single" w:sz="4" w:space="0" w:color="auto"/>
            </w:tcBorders>
            <w:hideMark/>
          </w:tcPr>
          <w:p w14:paraId="45238108" w14:textId="6B3A1A3F"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MSHMS</w:t>
            </w:r>
            <w:r w:rsidR="007675EC" w:rsidRPr="00024D5A">
              <w:rPr>
                <w:rFonts w:ascii="Garamond" w:eastAsia="Times New Roman" w:hAnsi="Garamond"/>
                <w:sz w:val="6"/>
                <w:szCs w:val="16"/>
                <w:lang w:eastAsia="en-US"/>
              </w:rPr>
              <w:t>/</w:t>
            </w:r>
            <w:r w:rsidRPr="00024D5A">
              <w:rPr>
                <w:rFonts w:ascii="Garamond" w:eastAsia="Times New Roman" w:hAnsi="Garamond"/>
                <w:sz w:val="6"/>
                <w:szCs w:val="16"/>
                <w:lang w:eastAsia="en-US"/>
              </w:rPr>
              <w:t>INSTAT</w:t>
            </w:r>
          </w:p>
        </w:tc>
        <w:tc>
          <w:tcPr>
            <w:tcW w:w="1418" w:type="dxa"/>
            <w:tcBorders>
              <w:top w:val="nil"/>
              <w:left w:val="nil"/>
              <w:bottom w:val="single" w:sz="4" w:space="0" w:color="auto"/>
              <w:right w:val="single" w:sz="4" w:space="0" w:color="auto"/>
            </w:tcBorders>
            <w:hideMark/>
          </w:tcPr>
          <w:p w14:paraId="7E19F43B" w14:textId="74F7A279"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T</w:t>
            </w:r>
            <w:r w:rsidR="005A46ED">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gjitha institucionet</w:t>
            </w:r>
          </w:p>
        </w:tc>
        <w:tc>
          <w:tcPr>
            <w:tcW w:w="708" w:type="dxa"/>
            <w:tcBorders>
              <w:top w:val="nil"/>
              <w:left w:val="nil"/>
              <w:bottom w:val="single" w:sz="4" w:space="0" w:color="auto"/>
              <w:right w:val="single" w:sz="4" w:space="0" w:color="auto"/>
            </w:tcBorders>
            <w:hideMark/>
          </w:tcPr>
          <w:p w14:paraId="44BB83F4" w14:textId="5C47BE5E"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68C1FF88" w14:textId="24E1109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7574E0B7" w14:textId="6817367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1FDDC44B" w14:textId="43B2586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19C035CF" w14:textId="36F5180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57440BE0" w14:textId="77777777" w:rsidTr="002B321E">
        <w:trPr>
          <w:trHeight w:val="20"/>
        </w:trPr>
        <w:tc>
          <w:tcPr>
            <w:tcW w:w="4673" w:type="dxa"/>
            <w:tcBorders>
              <w:top w:val="single" w:sz="4" w:space="0" w:color="auto"/>
              <w:left w:val="single" w:sz="4" w:space="0" w:color="auto"/>
              <w:bottom w:val="single" w:sz="4" w:space="0" w:color="auto"/>
              <w:right w:val="single" w:sz="4" w:space="0" w:color="auto"/>
            </w:tcBorders>
            <w:shd w:val="clear" w:color="000000" w:fill="FDE9D9"/>
            <w:hideMark/>
          </w:tcPr>
          <w:p w14:paraId="228B4633" w14:textId="6F27C9E5"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Objektivi specifik 4</w:t>
            </w:r>
            <w:r w:rsidR="003526AF">
              <w:rPr>
                <w:rFonts w:ascii="Garamond" w:eastAsia="Times New Roman" w:hAnsi="Garamond"/>
                <w:b/>
                <w:bCs/>
                <w:sz w:val="6"/>
                <w:szCs w:val="16"/>
                <w:lang w:eastAsia="en-US"/>
              </w:rPr>
              <w:t>:</w:t>
            </w:r>
            <w:r w:rsidRPr="00024D5A">
              <w:rPr>
                <w:rFonts w:ascii="Garamond" w:eastAsia="Times New Roman" w:hAnsi="Garamond"/>
                <w:b/>
                <w:bCs/>
                <w:sz w:val="6"/>
                <w:szCs w:val="16"/>
                <w:lang w:eastAsia="en-US"/>
              </w:rPr>
              <w:t xml:space="preserve"> Nxitja e bashkëpunimit rajonal për zbatimin e KDPAK</w:t>
            </w:r>
            <w:r w:rsidR="005A46ED">
              <w:rPr>
                <w:rFonts w:ascii="Garamond" w:eastAsia="Times New Roman" w:hAnsi="Garamond"/>
                <w:b/>
                <w:bCs/>
                <w:sz w:val="6"/>
                <w:szCs w:val="16"/>
                <w:lang w:eastAsia="en-US"/>
              </w:rPr>
              <w:t>-së.</w:t>
            </w:r>
          </w:p>
        </w:tc>
        <w:tc>
          <w:tcPr>
            <w:tcW w:w="567" w:type="dxa"/>
            <w:tcBorders>
              <w:top w:val="nil"/>
              <w:left w:val="nil"/>
              <w:bottom w:val="single" w:sz="4" w:space="0" w:color="auto"/>
              <w:right w:val="single" w:sz="4" w:space="0" w:color="auto"/>
            </w:tcBorders>
            <w:shd w:val="clear" w:color="000000" w:fill="FDE9D9"/>
            <w:hideMark/>
          </w:tcPr>
          <w:p w14:paraId="5410E985"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nil"/>
            </w:tcBorders>
            <w:shd w:val="clear" w:color="000000" w:fill="FDE9D9"/>
            <w:hideMark/>
          </w:tcPr>
          <w:p w14:paraId="27DB68BD"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single" w:sz="4" w:space="0" w:color="auto"/>
              <w:bottom w:val="single" w:sz="4" w:space="0" w:color="auto"/>
              <w:right w:val="single" w:sz="4" w:space="0" w:color="auto"/>
            </w:tcBorders>
            <w:shd w:val="clear" w:color="000000" w:fill="FDE9D9"/>
            <w:hideMark/>
          </w:tcPr>
          <w:p w14:paraId="274DD0D6"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4" w:space="0" w:color="auto"/>
            </w:tcBorders>
            <w:shd w:val="clear" w:color="000000" w:fill="FDE9D9"/>
            <w:hideMark/>
          </w:tcPr>
          <w:p w14:paraId="6F5161BA" w14:textId="3382152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T</w:t>
            </w:r>
            <w:r w:rsidR="005A46ED">
              <w:rPr>
                <w:rFonts w:ascii="Garamond" w:eastAsia="Times New Roman" w:hAnsi="Garamond"/>
                <w:b/>
                <w:bCs/>
                <w:sz w:val="6"/>
                <w:szCs w:val="16"/>
                <w:lang w:eastAsia="en-US"/>
              </w:rPr>
              <w:t>ë</w:t>
            </w:r>
            <w:r w:rsidRPr="00024D5A">
              <w:rPr>
                <w:rFonts w:ascii="Garamond" w:eastAsia="Times New Roman" w:hAnsi="Garamond"/>
                <w:b/>
                <w:bCs/>
                <w:sz w:val="6"/>
                <w:szCs w:val="16"/>
                <w:lang w:eastAsia="en-US"/>
              </w:rPr>
              <w:t xml:space="preserve"> gjitha institucionet</w:t>
            </w:r>
          </w:p>
        </w:tc>
        <w:tc>
          <w:tcPr>
            <w:tcW w:w="708" w:type="dxa"/>
            <w:tcBorders>
              <w:top w:val="nil"/>
              <w:left w:val="nil"/>
              <w:bottom w:val="single" w:sz="4" w:space="0" w:color="auto"/>
              <w:right w:val="nil"/>
            </w:tcBorders>
            <w:shd w:val="clear" w:color="000000" w:fill="FDE9D9"/>
            <w:hideMark/>
          </w:tcPr>
          <w:p w14:paraId="201F216C" w14:textId="6E153AD9"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w:t>
            </w:r>
          </w:p>
        </w:tc>
        <w:tc>
          <w:tcPr>
            <w:tcW w:w="567" w:type="dxa"/>
            <w:tcBorders>
              <w:top w:val="nil"/>
              <w:left w:val="single" w:sz="4" w:space="0" w:color="auto"/>
              <w:bottom w:val="single" w:sz="4" w:space="0" w:color="auto"/>
              <w:right w:val="nil"/>
            </w:tcBorders>
            <w:shd w:val="clear" w:color="000000" w:fill="FDE9D9"/>
            <w:hideMark/>
          </w:tcPr>
          <w:p w14:paraId="6551E1A8" w14:textId="1B4557DE"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1,500</w:t>
            </w:r>
          </w:p>
        </w:tc>
        <w:tc>
          <w:tcPr>
            <w:tcW w:w="567" w:type="dxa"/>
            <w:tcBorders>
              <w:top w:val="nil"/>
              <w:left w:val="single" w:sz="4" w:space="0" w:color="auto"/>
              <w:bottom w:val="single" w:sz="4" w:space="0" w:color="auto"/>
              <w:right w:val="nil"/>
            </w:tcBorders>
            <w:shd w:val="clear" w:color="000000" w:fill="FDE9D9"/>
            <w:hideMark/>
          </w:tcPr>
          <w:p w14:paraId="114AD76E" w14:textId="513864AF"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1,500</w:t>
            </w:r>
          </w:p>
        </w:tc>
        <w:tc>
          <w:tcPr>
            <w:tcW w:w="1134" w:type="dxa"/>
            <w:tcBorders>
              <w:top w:val="nil"/>
              <w:left w:val="single" w:sz="4" w:space="0" w:color="auto"/>
              <w:bottom w:val="single" w:sz="4" w:space="0" w:color="auto"/>
              <w:right w:val="nil"/>
            </w:tcBorders>
            <w:shd w:val="clear" w:color="000000" w:fill="FDE9D9"/>
            <w:hideMark/>
          </w:tcPr>
          <w:p w14:paraId="7F3751ED" w14:textId="4A042A9E"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1,500</w:t>
            </w:r>
          </w:p>
        </w:tc>
        <w:tc>
          <w:tcPr>
            <w:tcW w:w="1615" w:type="dxa"/>
            <w:tcBorders>
              <w:top w:val="nil"/>
              <w:left w:val="single" w:sz="4" w:space="0" w:color="auto"/>
              <w:bottom w:val="single" w:sz="4" w:space="0" w:color="auto"/>
              <w:right w:val="nil"/>
            </w:tcBorders>
            <w:shd w:val="clear" w:color="000000" w:fill="FDE9D9"/>
            <w:hideMark/>
          </w:tcPr>
          <w:p w14:paraId="084EEF6E" w14:textId="6927C0C7"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w:t>
            </w:r>
          </w:p>
        </w:tc>
      </w:tr>
      <w:tr w:rsidR="00B807EE" w:rsidRPr="00024D5A" w14:paraId="6F440383" w14:textId="77777777" w:rsidTr="002B321E">
        <w:trPr>
          <w:trHeight w:val="20"/>
        </w:trPr>
        <w:tc>
          <w:tcPr>
            <w:tcW w:w="4673" w:type="dxa"/>
            <w:tcBorders>
              <w:top w:val="nil"/>
              <w:left w:val="single" w:sz="4" w:space="0" w:color="auto"/>
              <w:bottom w:val="single" w:sz="4" w:space="0" w:color="auto"/>
              <w:right w:val="single" w:sz="4" w:space="0" w:color="auto"/>
            </w:tcBorders>
            <w:shd w:val="clear" w:color="000000" w:fill="DCE6F1"/>
            <w:hideMark/>
          </w:tcPr>
          <w:p w14:paraId="68888410" w14:textId="26F8A566"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Masa prioritare 4.1</w:t>
            </w:r>
            <w:r w:rsidR="003526AF">
              <w:rPr>
                <w:rFonts w:ascii="Garamond" w:eastAsia="Times New Roman" w:hAnsi="Garamond"/>
                <w:b/>
                <w:bCs/>
                <w:sz w:val="6"/>
                <w:szCs w:val="16"/>
                <w:lang w:eastAsia="en-US"/>
              </w:rPr>
              <w:t xml:space="preserve">: </w:t>
            </w:r>
            <w:r w:rsidRPr="00024D5A">
              <w:rPr>
                <w:rFonts w:ascii="Garamond" w:eastAsia="Times New Roman" w:hAnsi="Garamond"/>
                <w:b/>
                <w:bCs/>
                <w:sz w:val="6"/>
                <w:szCs w:val="16"/>
                <w:lang w:eastAsia="en-US"/>
              </w:rPr>
              <w:t>Organizim dhe pjesëmarrje në aktivitete ndërkombëtare</w:t>
            </w:r>
            <w:r w:rsidR="005A46ED">
              <w:rPr>
                <w:rFonts w:ascii="Garamond" w:eastAsia="Times New Roman" w:hAnsi="Garamond"/>
                <w:b/>
                <w:bCs/>
                <w:sz w:val="6"/>
                <w:szCs w:val="16"/>
                <w:lang w:eastAsia="en-US"/>
              </w:rPr>
              <w:t>.</w:t>
            </w:r>
          </w:p>
        </w:tc>
        <w:tc>
          <w:tcPr>
            <w:tcW w:w="567" w:type="dxa"/>
            <w:tcBorders>
              <w:top w:val="nil"/>
              <w:left w:val="nil"/>
              <w:bottom w:val="single" w:sz="4" w:space="0" w:color="auto"/>
              <w:right w:val="single" w:sz="4" w:space="0" w:color="auto"/>
            </w:tcBorders>
            <w:shd w:val="clear" w:color="000000" w:fill="DCE6F1"/>
            <w:hideMark/>
          </w:tcPr>
          <w:p w14:paraId="583F4509"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2026</w:t>
            </w:r>
          </w:p>
        </w:tc>
        <w:tc>
          <w:tcPr>
            <w:tcW w:w="567" w:type="dxa"/>
            <w:tcBorders>
              <w:top w:val="nil"/>
              <w:left w:val="nil"/>
              <w:bottom w:val="single" w:sz="4" w:space="0" w:color="auto"/>
              <w:right w:val="nil"/>
            </w:tcBorders>
            <w:shd w:val="clear" w:color="000000" w:fill="DCE6F1"/>
            <w:hideMark/>
          </w:tcPr>
          <w:p w14:paraId="0E484157"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2030</w:t>
            </w:r>
          </w:p>
        </w:tc>
        <w:tc>
          <w:tcPr>
            <w:tcW w:w="1134" w:type="dxa"/>
            <w:tcBorders>
              <w:top w:val="nil"/>
              <w:left w:val="single" w:sz="4" w:space="0" w:color="auto"/>
              <w:bottom w:val="single" w:sz="4" w:space="0" w:color="auto"/>
              <w:right w:val="single" w:sz="4" w:space="0" w:color="auto"/>
            </w:tcBorders>
            <w:shd w:val="clear" w:color="000000" w:fill="DCE6F1"/>
            <w:hideMark/>
          </w:tcPr>
          <w:p w14:paraId="04FF5CA2" w14:textId="77777777"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MSHMS</w:t>
            </w:r>
          </w:p>
        </w:tc>
        <w:tc>
          <w:tcPr>
            <w:tcW w:w="1418" w:type="dxa"/>
            <w:tcBorders>
              <w:top w:val="nil"/>
              <w:left w:val="nil"/>
              <w:bottom w:val="single" w:sz="4" w:space="0" w:color="auto"/>
              <w:right w:val="single" w:sz="4" w:space="0" w:color="auto"/>
            </w:tcBorders>
            <w:shd w:val="clear" w:color="000000" w:fill="DCE6F1"/>
            <w:hideMark/>
          </w:tcPr>
          <w:p w14:paraId="539164E7" w14:textId="7B0B76B6" w:rsidR="00700D7D" w:rsidRPr="00024D5A" w:rsidRDefault="00700D7D" w:rsidP="00180DF3">
            <w:pPr>
              <w:jc w:val="both"/>
              <w:rPr>
                <w:rFonts w:ascii="Garamond" w:eastAsia="Times New Roman" w:hAnsi="Garamond"/>
                <w:b/>
                <w:bCs/>
                <w:sz w:val="6"/>
                <w:szCs w:val="16"/>
                <w:lang w:eastAsia="en-US"/>
              </w:rPr>
            </w:pPr>
            <w:r w:rsidRPr="00024D5A">
              <w:rPr>
                <w:rFonts w:ascii="Garamond" w:eastAsia="Times New Roman" w:hAnsi="Garamond"/>
                <w:b/>
                <w:bCs/>
                <w:sz w:val="6"/>
                <w:szCs w:val="16"/>
                <w:lang w:eastAsia="en-US"/>
              </w:rPr>
              <w:t>T</w:t>
            </w:r>
            <w:r w:rsidR="005A46ED">
              <w:rPr>
                <w:rFonts w:ascii="Garamond" w:eastAsia="Times New Roman" w:hAnsi="Garamond"/>
                <w:b/>
                <w:bCs/>
                <w:sz w:val="6"/>
                <w:szCs w:val="16"/>
                <w:lang w:eastAsia="en-US"/>
              </w:rPr>
              <w:t>ë</w:t>
            </w:r>
            <w:r w:rsidRPr="00024D5A">
              <w:rPr>
                <w:rFonts w:ascii="Garamond" w:eastAsia="Times New Roman" w:hAnsi="Garamond"/>
                <w:b/>
                <w:bCs/>
                <w:sz w:val="6"/>
                <w:szCs w:val="16"/>
                <w:lang w:eastAsia="en-US"/>
              </w:rPr>
              <w:t xml:space="preserve"> gjitha institucionet</w:t>
            </w:r>
          </w:p>
        </w:tc>
        <w:tc>
          <w:tcPr>
            <w:tcW w:w="708" w:type="dxa"/>
            <w:tcBorders>
              <w:top w:val="nil"/>
              <w:left w:val="nil"/>
              <w:bottom w:val="single" w:sz="4" w:space="0" w:color="auto"/>
              <w:right w:val="nil"/>
            </w:tcBorders>
            <w:shd w:val="clear" w:color="000000" w:fill="DCE6F1"/>
            <w:hideMark/>
          </w:tcPr>
          <w:p w14:paraId="0BD8D8A6" w14:textId="7D686876"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w:t>
            </w:r>
          </w:p>
        </w:tc>
        <w:tc>
          <w:tcPr>
            <w:tcW w:w="567" w:type="dxa"/>
            <w:tcBorders>
              <w:top w:val="nil"/>
              <w:left w:val="single" w:sz="4" w:space="0" w:color="auto"/>
              <w:bottom w:val="single" w:sz="4" w:space="0" w:color="auto"/>
              <w:right w:val="nil"/>
            </w:tcBorders>
            <w:shd w:val="clear" w:color="000000" w:fill="DCE6F1"/>
            <w:hideMark/>
          </w:tcPr>
          <w:p w14:paraId="18FC0CE8" w14:textId="261C08DC"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1,500</w:t>
            </w:r>
          </w:p>
        </w:tc>
        <w:tc>
          <w:tcPr>
            <w:tcW w:w="567" w:type="dxa"/>
            <w:tcBorders>
              <w:top w:val="nil"/>
              <w:left w:val="single" w:sz="4" w:space="0" w:color="auto"/>
              <w:bottom w:val="single" w:sz="4" w:space="0" w:color="auto"/>
              <w:right w:val="nil"/>
            </w:tcBorders>
            <w:shd w:val="clear" w:color="000000" w:fill="DCE6F1"/>
            <w:hideMark/>
          </w:tcPr>
          <w:p w14:paraId="1887E764" w14:textId="58AED9D6"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1,500</w:t>
            </w:r>
          </w:p>
        </w:tc>
        <w:tc>
          <w:tcPr>
            <w:tcW w:w="1134" w:type="dxa"/>
            <w:tcBorders>
              <w:top w:val="nil"/>
              <w:left w:val="single" w:sz="4" w:space="0" w:color="auto"/>
              <w:bottom w:val="single" w:sz="4" w:space="0" w:color="auto"/>
              <w:right w:val="nil"/>
            </w:tcBorders>
            <w:shd w:val="clear" w:color="000000" w:fill="DCE6F1"/>
            <w:hideMark/>
          </w:tcPr>
          <w:p w14:paraId="30C4A944" w14:textId="4654E8F6"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1,500</w:t>
            </w:r>
          </w:p>
        </w:tc>
        <w:tc>
          <w:tcPr>
            <w:tcW w:w="1615" w:type="dxa"/>
            <w:tcBorders>
              <w:top w:val="nil"/>
              <w:left w:val="single" w:sz="4" w:space="0" w:color="auto"/>
              <w:bottom w:val="single" w:sz="4" w:space="0" w:color="auto"/>
              <w:right w:val="nil"/>
            </w:tcBorders>
            <w:shd w:val="clear" w:color="000000" w:fill="DCE6F1"/>
            <w:hideMark/>
          </w:tcPr>
          <w:p w14:paraId="039E698D" w14:textId="5D7143BA" w:rsidR="00700D7D" w:rsidRPr="00024D5A" w:rsidRDefault="00700D7D" w:rsidP="00180DF3">
            <w:pPr>
              <w:jc w:val="center"/>
              <w:rPr>
                <w:rFonts w:ascii="Garamond" w:eastAsia="Times New Roman" w:hAnsi="Garamond"/>
                <w:b/>
                <w:bCs/>
                <w:sz w:val="6"/>
                <w:szCs w:val="16"/>
                <w:lang w:eastAsia="en-US"/>
              </w:rPr>
            </w:pPr>
            <w:r w:rsidRPr="00024D5A">
              <w:rPr>
                <w:rFonts w:ascii="Garamond" w:eastAsia="Times New Roman" w:hAnsi="Garamond"/>
                <w:b/>
                <w:bCs/>
                <w:sz w:val="6"/>
                <w:szCs w:val="16"/>
                <w:lang w:eastAsia="en-US"/>
              </w:rPr>
              <w:t>-</w:t>
            </w:r>
          </w:p>
        </w:tc>
      </w:tr>
      <w:tr w:rsidR="00B807EE" w:rsidRPr="00024D5A" w14:paraId="46A05A4C"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1F47A8C3" w14:textId="35903213"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4.1.1</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Organizimi</w:t>
            </w:r>
            <w:r w:rsidR="008F29FA" w:rsidRPr="00024D5A">
              <w:rPr>
                <w:rFonts w:ascii="Garamond" w:eastAsia="Times New Roman" w:hAnsi="Garamond"/>
                <w:sz w:val="6"/>
                <w:szCs w:val="16"/>
                <w:lang w:eastAsia="en-US"/>
              </w:rPr>
              <w:t xml:space="preserve"> </w:t>
            </w:r>
            <w:r w:rsidRPr="00024D5A">
              <w:rPr>
                <w:rFonts w:ascii="Garamond" w:eastAsia="Times New Roman" w:hAnsi="Garamond"/>
                <w:sz w:val="6"/>
                <w:szCs w:val="16"/>
                <w:lang w:eastAsia="en-US"/>
              </w:rPr>
              <w:t>i 1 konferencave rajonale për shkëmbimin e praktikave pozitive në trajtimin e fushave të reformave (d.m.th.</w:t>
            </w:r>
            <w:r w:rsidR="005A46ED">
              <w:rPr>
                <w:rFonts w:ascii="Garamond" w:eastAsia="Times New Roman" w:hAnsi="Garamond"/>
                <w:sz w:val="6"/>
                <w:szCs w:val="16"/>
                <w:lang w:eastAsia="en-US"/>
              </w:rPr>
              <w:t>.</w:t>
            </w:r>
            <w:r w:rsidRPr="00024D5A">
              <w:rPr>
                <w:rFonts w:ascii="Garamond" w:eastAsia="Times New Roman" w:hAnsi="Garamond"/>
                <w:sz w:val="6"/>
                <w:szCs w:val="16"/>
                <w:lang w:eastAsia="en-US"/>
              </w:rPr>
              <w:t xml:space="preserve"> vendimmarrja e mbështetur, përgatitja e shërbimeve komunitare, nxitja e sipërmarrjes sociale).</w:t>
            </w:r>
          </w:p>
        </w:tc>
        <w:tc>
          <w:tcPr>
            <w:tcW w:w="567" w:type="dxa"/>
            <w:tcBorders>
              <w:top w:val="nil"/>
              <w:left w:val="nil"/>
              <w:bottom w:val="single" w:sz="4" w:space="0" w:color="auto"/>
              <w:right w:val="single" w:sz="4" w:space="0" w:color="auto"/>
            </w:tcBorders>
            <w:noWrap/>
            <w:hideMark/>
          </w:tcPr>
          <w:p w14:paraId="1B21F12C"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2027</w:t>
            </w:r>
          </w:p>
        </w:tc>
        <w:tc>
          <w:tcPr>
            <w:tcW w:w="567" w:type="dxa"/>
            <w:tcBorders>
              <w:top w:val="nil"/>
              <w:left w:val="nil"/>
              <w:bottom w:val="single" w:sz="4" w:space="0" w:color="auto"/>
              <w:right w:val="nil"/>
            </w:tcBorders>
            <w:noWrap/>
            <w:hideMark/>
          </w:tcPr>
          <w:p w14:paraId="002DDE89"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2029</w:t>
            </w:r>
          </w:p>
        </w:tc>
        <w:tc>
          <w:tcPr>
            <w:tcW w:w="1134" w:type="dxa"/>
            <w:tcBorders>
              <w:top w:val="nil"/>
              <w:left w:val="single" w:sz="4" w:space="0" w:color="auto"/>
              <w:bottom w:val="single" w:sz="4" w:space="0" w:color="auto"/>
              <w:right w:val="single" w:sz="4" w:space="0" w:color="auto"/>
            </w:tcBorders>
            <w:noWrap/>
            <w:hideMark/>
          </w:tcPr>
          <w:p w14:paraId="7ABECE0F"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MSHMS</w:t>
            </w:r>
          </w:p>
        </w:tc>
        <w:tc>
          <w:tcPr>
            <w:tcW w:w="1418" w:type="dxa"/>
            <w:tcBorders>
              <w:top w:val="nil"/>
              <w:left w:val="nil"/>
              <w:bottom w:val="single" w:sz="4" w:space="0" w:color="auto"/>
              <w:right w:val="single" w:sz="4" w:space="0" w:color="auto"/>
            </w:tcBorders>
            <w:hideMark/>
          </w:tcPr>
          <w:p w14:paraId="04F420AC" w14:textId="646B6852"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T</w:t>
            </w:r>
            <w:r w:rsidR="005A46ED">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gjitha institucionet</w:t>
            </w:r>
          </w:p>
        </w:tc>
        <w:tc>
          <w:tcPr>
            <w:tcW w:w="708" w:type="dxa"/>
            <w:tcBorders>
              <w:top w:val="nil"/>
              <w:left w:val="nil"/>
              <w:bottom w:val="single" w:sz="4" w:space="0" w:color="auto"/>
              <w:right w:val="single" w:sz="4" w:space="0" w:color="auto"/>
            </w:tcBorders>
            <w:hideMark/>
          </w:tcPr>
          <w:p w14:paraId="249614B8" w14:textId="7EB0F31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2CA58D18" w14:textId="3988967B"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1,500</w:t>
            </w:r>
          </w:p>
        </w:tc>
        <w:tc>
          <w:tcPr>
            <w:tcW w:w="567" w:type="dxa"/>
            <w:tcBorders>
              <w:top w:val="nil"/>
              <w:left w:val="nil"/>
              <w:bottom w:val="single" w:sz="4" w:space="0" w:color="auto"/>
              <w:right w:val="single" w:sz="4" w:space="0" w:color="auto"/>
            </w:tcBorders>
            <w:hideMark/>
          </w:tcPr>
          <w:p w14:paraId="662298AD" w14:textId="073DF373"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1,500</w:t>
            </w:r>
          </w:p>
        </w:tc>
        <w:tc>
          <w:tcPr>
            <w:tcW w:w="1134" w:type="dxa"/>
            <w:tcBorders>
              <w:top w:val="nil"/>
              <w:left w:val="nil"/>
              <w:bottom w:val="single" w:sz="4" w:space="0" w:color="auto"/>
              <w:right w:val="single" w:sz="4" w:space="0" w:color="auto"/>
            </w:tcBorders>
            <w:hideMark/>
          </w:tcPr>
          <w:p w14:paraId="5847FF36" w14:textId="20D6FDA4"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1,500</w:t>
            </w:r>
          </w:p>
        </w:tc>
        <w:tc>
          <w:tcPr>
            <w:tcW w:w="1615" w:type="dxa"/>
            <w:tcBorders>
              <w:top w:val="nil"/>
              <w:left w:val="nil"/>
              <w:bottom w:val="single" w:sz="4" w:space="0" w:color="auto"/>
              <w:right w:val="single" w:sz="4" w:space="0" w:color="auto"/>
            </w:tcBorders>
            <w:hideMark/>
          </w:tcPr>
          <w:p w14:paraId="5D1696B4" w14:textId="44ADDB4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r w:rsidR="00B807EE" w:rsidRPr="00024D5A" w14:paraId="7759F144" w14:textId="77777777" w:rsidTr="002B321E">
        <w:trPr>
          <w:trHeight w:val="20"/>
        </w:trPr>
        <w:tc>
          <w:tcPr>
            <w:tcW w:w="4673" w:type="dxa"/>
            <w:tcBorders>
              <w:top w:val="nil"/>
              <w:left w:val="single" w:sz="4" w:space="0" w:color="auto"/>
              <w:bottom w:val="single" w:sz="4" w:space="0" w:color="auto"/>
              <w:right w:val="single" w:sz="4" w:space="0" w:color="auto"/>
            </w:tcBorders>
            <w:noWrap/>
            <w:hideMark/>
          </w:tcPr>
          <w:p w14:paraId="10B4E676" w14:textId="2EC65598"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4.1.2 Pjesëmarrje në konferenca rajonale në BE dhe rajonin e Ballkanit për grumbullimin e mësimeve të nxjerra dhe informacionit për praktika pozitive.</w:t>
            </w:r>
          </w:p>
        </w:tc>
        <w:tc>
          <w:tcPr>
            <w:tcW w:w="567" w:type="dxa"/>
            <w:tcBorders>
              <w:top w:val="nil"/>
              <w:left w:val="nil"/>
              <w:bottom w:val="single" w:sz="4" w:space="0" w:color="auto"/>
              <w:right w:val="single" w:sz="4" w:space="0" w:color="auto"/>
            </w:tcBorders>
            <w:noWrap/>
            <w:hideMark/>
          </w:tcPr>
          <w:p w14:paraId="06F9EFF9"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2026</w:t>
            </w:r>
          </w:p>
        </w:tc>
        <w:tc>
          <w:tcPr>
            <w:tcW w:w="567" w:type="dxa"/>
            <w:tcBorders>
              <w:top w:val="nil"/>
              <w:left w:val="nil"/>
              <w:bottom w:val="single" w:sz="4" w:space="0" w:color="auto"/>
              <w:right w:val="nil"/>
            </w:tcBorders>
            <w:noWrap/>
            <w:hideMark/>
          </w:tcPr>
          <w:p w14:paraId="3D77D24A"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2030</w:t>
            </w:r>
          </w:p>
        </w:tc>
        <w:tc>
          <w:tcPr>
            <w:tcW w:w="1134" w:type="dxa"/>
            <w:tcBorders>
              <w:top w:val="nil"/>
              <w:left w:val="single" w:sz="4" w:space="0" w:color="auto"/>
              <w:bottom w:val="single" w:sz="4" w:space="0" w:color="auto"/>
              <w:right w:val="single" w:sz="4" w:space="0" w:color="auto"/>
            </w:tcBorders>
            <w:noWrap/>
            <w:hideMark/>
          </w:tcPr>
          <w:p w14:paraId="38CB2884" w14:textId="7777777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MSHMS</w:t>
            </w:r>
          </w:p>
        </w:tc>
        <w:tc>
          <w:tcPr>
            <w:tcW w:w="1418" w:type="dxa"/>
            <w:tcBorders>
              <w:top w:val="nil"/>
              <w:left w:val="nil"/>
              <w:bottom w:val="single" w:sz="4" w:space="0" w:color="auto"/>
              <w:right w:val="single" w:sz="4" w:space="0" w:color="auto"/>
            </w:tcBorders>
            <w:hideMark/>
          </w:tcPr>
          <w:p w14:paraId="64DE1C4E" w14:textId="253E3CB7" w:rsidR="00700D7D" w:rsidRPr="00024D5A" w:rsidRDefault="00700D7D" w:rsidP="00180DF3">
            <w:pPr>
              <w:jc w:val="both"/>
              <w:rPr>
                <w:rFonts w:ascii="Garamond" w:eastAsia="Times New Roman" w:hAnsi="Garamond"/>
                <w:sz w:val="6"/>
                <w:szCs w:val="16"/>
                <w:lang w:eastAsia="en-US"/>
              </w:rPr>
            </w:pPr>
            <w:r w:rsidRPr="00024D5A">
              <w:rPr>
                <w:rFonts w:ascii="Garamond" w:eastAsia="Times New Roman" w:hAnsi="Garamond"/>
                <w:sz w:val="6"/>
                <w:szCs w:val="16"/>
                <w:lang w:eastAsia="en-US"/>
              </w:rPr>
              <w:t>T</w:t>
            </w:r>
            <w:r w:rsidR="005A46ED">
              <w:rPr>
                <w:rFonts w:ascii="Garamond" w:eastAsia="Times New Roman" w:hAnsi="Garamond"/>
                <w:sz w:val="6"/>
                <w:szCs w:val="16"/>
                <w:lang w:eastAsia="en-US"/>
              </w:rPr>
              <w:t>ë</w:t>
            </w:r>
            <w:r w:rsidRPr="00024D5A">
              <w:rPr>
                <w:rFonts w:ascii="Garamond" w:eastAsia="Times New Roman" w:hAnsi="Garamond"/>
                <w:sz w:val="6"/>
                <w:szCs w:val="16"/>
                <w:lang w:eastAsia="en-US"/>
              </w:rPr>
              <w:t xml:space="preserve"> gjitha institucionet</w:t>
            </w:r>
          </w:p>
        </w:tc>
        <w:tc>
          <w:tcPr>
            <w:tcW w:w="708" w:type="dxa"/>
            <w:tcBorders>
              <w:top w:val="nil"/>
              <w:left w:val="nil"/>
              <w:bottom w:val="single" w:sz="4" w:space="0" w:color="auto"/>
              <w:right w:val="single" w:sz="4" w:space="0" w:color="auto"/>
            </w:tcBorders>
            <w:hideMark/>
          </w:tcPr>
          <w:p w14:paraId="37F0B9B3" w14:textId="1812DB11"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2910C7F1" w14:textId="6A86AE56"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567" w:type="dxa"/>
            <w:tcBorders>
              <w:top w:val="nil"/>
              <w:left w:val="nil"/>
              <w:bottom w:val="single" w:sz="4" w:space="0" w:color="auto"/>
              <w:right w:val="single" w:sz="4" w:space="0" w:color="auto"/>
            </w:tcBorders>
            <w:hideMark/>
          </w:tcPr>
          <w:p w14:paraId="03D34012" w14:textId="2F5ABCDD"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134" w:type="dxa"/>
            <w:tcBorders>
              <w:top w:val="nil"/>
              <w:left w:val="nil"/>
              <w:bottom w:val="single" w:sz="4" w:space="0" w:color="auto"/>
              <w:right w:val="single" w:sz="4" w:space="0" w:color="auto"/>
            </w:tcBorders>
            <w:hideMark/>
          </w:tcPr>
          <w:p w14:paraId="5A4DAC02" w14:textId="3A81E99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c>
          <w:tcPr>
            <w:tcW w:w="1615" w:type="dxa"/>
            <w:tcBorders>
              <w:top w:val="nil"/>
              <w:left w:val="nil"/>
              <w:bottom w:val="single" w:sz="4" w:space="0" w:color="auto"/>
              <w:right w:val="single" w:sz="4" w:space="0" w:color="auto"/>
            </w:tcBorders>
            <w:hideMark/>
          </w:tcPr>
          <w:p w14:paraId="70CCAEC7" w14:textId="08F8AA1C" w:rsidR="00700D7D" w:rsidRPr="00024D5A" w:rsidRDefault="00700D7D" w:rsidP="00180DF3">
            <w:pPr>
              <w:jc w:val="center"/>
              <w:rPr>
                <w:rFonts w:ascii="Garamond" w:eastAsia="Times New Roman" w:hAnsi="Garamond"/>
                <w:i/>
                <w:iCs/>
                <w:sz w:val="6"/>
                <w:szCs w:val="16"/>
                <w:lang w:eastAsia="en-US"/>
              </w:rPr>
            </w:pPr>
            <w:r w:rsidRPr="00024D5A">
              <w:rPr>
                <w:rFonts w:ascii="Garamond" w:eastAsia="Times New Roman" w:hAnsi="Garamond"/>
                <w:i/>
                <w:iCs/>
                <w:sz w:val="6"/>
                <w:szCs w:val="16"/>
                <w:lang w:eastAsia="en-US"/>
              </w:rPr>
              <w:t>-</w:t>
            </w:r>
          </w:p>
        </w:tc>
      </w:tr>
    </w:tbl>
    <w:p w14:paraId="59CD2274" w14:textId="77777777" w:rsidR="00700D7D" w:rsidRPr="00024D5A" w:rsidRDefault="00700D7D" w:rsidP="00791B1A">
      <w:pPr>
        <w:rPr>
          <w:rFonts w:ascii="Garamond" w:hAnsi="Garamond"/>
        </w:rPr>
      </w:pPr>
    </w:p>
    <w:sectPr w:rsidR="00700D7D" w:rsidRPr="00024D5A" w:rsidSect="00180DF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05CE8D" w14:textId="77777777" w:rsidR="00CB1F64" w:rsidRDefault="00CB1F64">
      <w:r>
        <w:separator/>
      </w:r>
    </w:p>
  </w:endnote>
  <w:endnote w:type="continuationSeparator" w:id="0">
    <w:p w14:paraId="649ECC5F" w14:textId="77777777" w:rsidR="00CB1F64" w:rsidRDefault="00CB1F64">
      <w:r>
        <w:continuationSeparator/>
      </w:r>
    </w:p>
  </w:endnote>
  <w:endnote w:type="continuationNotice" w:id="1">
    <w:p w14:paraId="6D9BB48B" w14:textId="77777777" w:rsidR="00CB1F64" w:rsidRDefault="00CB1F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n-ea">
    <w:altName w:val="Segoe Print"/>
    <w:panose1 w:val="00000000000000000000"/>
    <w:charset w:val="00"/>
    <w:family w:val="roman"/>
    <w:notTrueType/>
    <w:pitch w:val="default"/>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9425598"/>
      <w:docPartObj>
        <w:docPartGallery w:val="Page Numbers (Bottom of Page)"/>
        <w:docPartUnique/>
      </w:docPartObj>
    </w:sdtPr>
    <w:sdtEndPr>
      <w:rPr>
        <w:noProof/>
      </w:rPr>
    </w:sdtEndPr>
    <w:sdtContent>
      <w:p w14:paraId="3F16E1B5" w14:textId="322608BD" w:rsidR="00CB1F64" w:rsidRDefault="00CB1F64">
        <w:pPr>
          <w:pStyle w:val="Footer"/>
          <w:jc w:val="right"/>
        </w:pPr>
        <w:r>
          <w:fldChar w:fldCharType="begin"/>
        </w:r>
        <w:r>
          <w:instrText xml:space="preserve"> PAGE   \* MERGEFORMAT </w:instrText>
        </w:r>
        <w:r>
          <w:fldChar w:fldCharType="separate"/>
        </w:r>
        <w:r w:rsidR="003E64DA">
          <w:rPr>
            <w:noProof/>
          </w:rPr>
          <w:t>102</w:t>
        </w:r>
        <w:r>
          <w:rPr>
            <w:noProof/>
          </w:rPr>
          <w:fldChar w:fldCharType="end"/>
        </w:r>
      </w:p>
    </w:sdtContent>
  </w:sdt>
  <w:p w14:paraId="3E390E1C" w14:textId="77777777" w:rsidR="00CB1F64" w:rsidRDefault="00CB1F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157F5C" w14:textId="77777777" w:rsidR="00CB1F64" w:rsidRDefault="00CB1F64">
      <w:r>
        <w:separator/>
      </w:r>
    </w:p>
  </w:footnote>
  <w:footnote w:type="continuationSeparator" w:id="0">
    <w:p w14:paraId="663A4063" w14:textId="77777777" w:rsidR="00CB1F64" w:rsidRDefault="00CB1F64">
      <w:r>
        <w:continuationSeparator/>
      </w:r>
    </w:p>
  </w:footnote>
  <w:footnote w:type="continuationNotice" w:id="1">
    <w:p w14:paraId="18F37830" w14:textId="77777777" w:rsidR="00CB1F64" w:rsidRDefault="00CB1F64"/>
  </w:footnote>
  <w:footnote w:id="2">
    <w:p w14:paraId="348E474A" w14:textId="7ED4548E" w:rsidR="00CB1F64" w:rsidRPr="00F54ECF" w:rsidRDefault="00CB1F64" w:rsidP="009B2661">
      <w:pPr>
        <w:pStyle w:val="NoSpacing"/>
        <w:tabs>
          <w:tab w:val="left" w:pos="180"/>
        </w:tabs>
        <w:adjustRightInd w:val="0"/>
        <w:snapToGrid w:val="0"/>
        <w:jc w:val="both"/>
        <w:rPr>
          <w:rFonts w:ascii="Garamond" w:hAnsi="Garamond"/>
          <w:sz w:val="20"/>
          <w:szCs w:val="20"/>
          <w:lang w:val="sq-AL"/>
        </w:rPr>
      </w:pPr>
      <w:r w:rsidRPr="00F54ECF">
        <w:rPr>
          <w:rStyle w:val="FootnoteReference"/>
          <w:rFonts w:ascii="Garamond" w:hAnsi="Garamond"/>
          <w:sz w:val="20"/>
          <w:szCs w:val="20"/>
          <w:lang w:val="sq-AL"/>
        </w:rPr>
        <w:footnoteRef/>
      </w:r>
      <w:r w:rsidRPr="00F54ECF">
        <w:rPr>
          <w:rFonts w:ascii="Garamond" w:hAnsi="Garamond"/>
          <w:sz w:val="20"/>
          <w:szCs w:val="20"/>
          <w:lang w:val="sq-AL"/>
        </w:rPr>
        <w:t xml:space="preserve"> Organizata e Kombeve të Bashkuara (2006). Konventa për të Drejtat e Personave me Aftësi të Kufizuara.</w:t>
      </w:r>
    </w:p>
  </w:footnote>
  <w:footnote w:id="3">
    <w:p w14:paraId="5151AB63" w14:textId="32BCB8C2" w:rsidR="00CB1F64" w:rsidRPr="00F54ECF" w:rsidRDefault="00CB1F64" w:rsidP="009B2661">
      <w:pPr>
        <w:pStyle w:val="NoSpacing"/>
        <w:tabs>
          <w:tab w:val="left" w:pos="180"/>
        </w:tabs>
        <w:adjustRightInd w:val="0"/>
        <w:snapToGrid w:val="0"/>
        <w:jc w:val="both"/>
        <w:rPr>
          <w:rFonts w:ascii="Garamond" w:hAnsi="Garamond"/>
          <w:sz w:val="20"/>
          <w:szCs w:val="20"/>
          <w:lang w:val="sq-AL"/>
        </w:rPr>
      </w:pPr>
      <w:r w:rsidRPr="00F54ECF">
        <w:rPr>
          <w:rStyle w:val="FootnoteReference"/>
          <w:rFonts w:ascii="Garamond" w:hAnsi="Garamond"/>
          <w:sz w:val="20"/>
          <w:szCs w:val="20"/>
          <w:lang w:val="sq-AL"/>
        </w:rPr>
        <w:footnoteRef/>
      </w:r>
      <w:r w:rsidRPr="00F54ECF">
        <w:rPr>
          <w:rFonts w:ascii="Garamond" w:hAnsi="Garamond"/>
          <w:sz w:val="20"/>
          <w:szCs w:val="20"/>
          <w:lang w:val="sq-AL"/>
        </w:rPr>
        <w:t xml:space="preserve"> Organizata e Kombeve të Bashkuara (2015). Transformimi i botës sonë: Agjenda 2030 për Zhvillimin e Qëndrueshëm. OKB.</w:t>
      </w:r>
    </w:p>
  </w:footnote>
  <w:footnote w:id="4">
    <w:p w14:paraId="4528D612" w14:textId="70F329DD" w:rsidR="00CB1F64" w:rsidRPr="00F54ECF" w:rsidRDefault="00CB1F64" w:rsidP="009B2661">
      <w:pPr>
        <w:pStyle w:val="NoSpacing"/>
        <w:tabs>
          <w:tab w:val="left" w:pos="180"/>
        </w:tabs>
        <w:adjustRightInd w:val="0"/>
        <w:snapToGrid w:val="0"/>
        <w:jc w:val="both"/>
        <w:rPr>
          <w:rFonts w:ascii="Garamond" w:hAnsi="Garamond"/>
          <w:sz w:val="20"/>
          <w:szCs w:val="20"/>
          <w:lang w:val="sq-AL"/>
        </w:rPr>
      </w:pPr>
      <w:r w:rsidRPr="00F54ECF">
        <w:rPr>
          <w:rStyle w:val="FootnoteReference"/>
          <w:rFonts w:ascii="Garamond" w:hAnsi="Garamond"/>
          <w:sz w:val="20"/>
          <w:szCs w:val="20"/>
          <w:lang w:val="sq-AL"/>
        </w:rPr>
        <w:footnoteRef/>
      </w:r>
      <w:r w:rsidRPr="00F54ECF">
        <w:rPr>
          <w:rFonts w:ascii="Garamond" w:hAnsi="Garamond"/>
          <w:sz w:val="20"/>
          <w:szCs w:val="20"/>
          <w:lang w:val="sq-AL"/>
        </w:rPr>
        <w:t xml:space="preserve"> Komisioni Evropian. (2021). Bashkimi i Barazisë: Strategjia për të Drejtat e Personave me Aftësi të Kufizuara 2021</w:t>
      </w:r>
      <w:r>
        <w:rPr>
          <w:rFonts w:ascii="Garamond" w:hAnsi="Garamond"/>
          <w:sz w:val="20"/>
          <w:szCs w:val="20"/>
          <w:lang w:val="sq-AL"/>
        </w:rPr>
        <w:t>–</w:t>
      </w:r>
      <w:r w:rsidRPr="00F54ECF">
        <w:rPr>
          <w:rFonts w:ascii="Garamond" w:hAnsi="Garamond"/>
          <w:sz w:val="20"/>
          <w:szCs w:val="20"/>
          <w:lang w:val="sq-AL"/>
        </w:rPr>
        <w:t>2030</w:t>
      </w:r>
      <w:r>
        <w:rPr>
          <w:rFonts w:ascii="Garamond" w:hAnsi="Garamond"/>
          <w:sz w:val="20"/>
          <w:szCs w:val="20"/>
          <w:lang w:val="sq-AL"/>
        </w:rPr>
        <w:t xml:space="preserve">, </w:t>
      </w:r>
      <w:r w:rsidRPr="00F54ECF">
        <w:rPr>
          <w:rFonts w:ascii="Garamond" w:hAnsi="Garamond"/>
          <w:sz w:val="20"/>
          <w:szCs w:val="20"/>
          <w:lang w:val="sq-AL"/>
        </w:rPr>
        <w:t>Komisioni Evropian.</w:t>
      </w:r>
    </w:p>
  </w:footnote>
  <w:footnote w:id="5">
    <w:p w14:paraId="4AA959F6" w14:textId="4B3B0D16" w:rsidR="00CB1F64" w:rsidRPr="00F54ECF" w:rsidRDefault="00CB1F64" w:rsidP="009B2661">
      <w:pPr>
        <w:pStyle w:val="NoSpacing"/>
        <w:tabs>
          <w:tab w:val="left" w:pos="180"/>
        </w:tabs>
        <w:adjustRightInd w:val="0"/>
        <w:snapToGrid w:val="0"/>
        <w:jc w:val="both"/>
        <w:rPr>
          <w:rFonts w:ascii="Garamond" w:hAnsi="Garamond"/>
          <w:sz w:val="20"/>
          <w:szCs w:val="20"/>
          <w:lang w:val="sq-AL"/>
        </w:rPr>
      </w:pPr>
      <w:r w:rsidRPr="00F54ECF">
        <w:rPr>
          <w:rStyle w:val="FootnoteReference"/>
          <w:rFonts w:ascii="Garamond" w:hAnsi="Garamond"/>
          <w:sz w:val="20"/>
          <w:szCs w:val="20"/>
          <w:lang w:val="sq-AL"/>
        </w:rPr>
        <w:footnoteRef/>
      </w:r>
      <w:r w:rsidRPr="00F54ECF">
        <w:rPr>
          <w:rFonts w:ascii="Garamond" w:hAnsi="Garamond"/>
          <w:sz w:val="20"/>
          <w:szCs w:val="20"/>
          <w:lang w:val="sq-AL"/>
        </w:rPr>
        <w:t xml:space="preserve"> Bashkimi Evropian (2019). Direktiva (BE) 2019/882 për kërkesat e aksesueshmërisë për produktet dhe shërbimet (Akti Evropian i Aksesueshmërisë)</w:t>
      </w:r>
      <w:r>
        <w:rPr>
          <w:rFonts w:ascii="Garamond" w:hAnsi="Garamond"/>
          <w:sz w:val="20"/>
          <w:szCs w:val="20"/>
          <w:lang w:val="sq-AL"/>
        </w:rPr>
        <w:t>,</w:t>
      </w:r>
      <w:r w:rsidRPr="00F54ECF">
        <w:rPr>
          <w:rFonts w:ascii="Garamond" w:hAnsi="Garamond"/>
          <w:sz w:val="20"/>
          <w:szCs w:val="20"/>
          <w:lang w:val="sq-AL"/>
        </w:rPr>
        <w:t xml:space="preserve"> Gazeta Zyrtare e Bashkimit Evropian.</w:t>
      </w:r>
    </w:p>
  </w:footnote>
  <w:footnote w:id="6">
    <w:p w14:paraId="5DED2202" w14:textId="45AB0B7E" w:rsidR="00CB1F64" w:rsidRPr="00F54ECF" w:rsidRDefault="00CB1F64" w:rsidP="009B2661">
      <w:pPr>
        <w:pStyle w:val="NoSpacing"/>
        <w:tabs>
          <w:tab w:val="left" w:pos="180"/>
        </w:tabs>
        <w:adjustRightInd w:val="0"/>
        <w:snapToGrid w:val="0"/>
        <w:jc w:val="both"/>
        <w:rPr>
          <w:rFonts w:ascii="Garamond" w:hAnsi="Garamond"/>
          <w:sz w:val="20"/>
          <w:szCs w:val="20"/>
          <w:lang w:val="sq-AL"/>
        </w:rPr>
      </w:pPr>
      <w:r w:rsidRPr="00F54ECF">
        <w:rPr>
          <w:rStyle w:val="FootnoteReference"/>
          <w:rFonts w:ascii="Garamond" w:hAnsi="Garamond"/>
          <w:sz w:val="20"/>
          <w:szCs w:val="20"/>
          <w:lang w:val="sq-AL"/>
        </w:rPr>
        <w:footnoteRef/>
      </w:r>
      <w:r w:rsidRPr="00F54ECF">
        <w:rPr>
          <w:rFonts w:ascii="Garamond" w:hAnsi="Garamond"/>
          <w:sz w:val="20"/>
          <w:szCs w:val="20"/>
          <w:lang w:val="sq-AL"/>
        </w:rPr>
        <w:t xml:space="preserve"> Komisioni Evropian</w:t>
      </w:r>
      <w:r>
        <w:rPr>
          <w:rFonts w:ascii="Garamond" w:hAnsi="Garamond"/>
          <w:sz w:val="20"/>
          <w:szCs w:val="20"/>
          <w:lang w:val="sq-AL"/>
        </w:rPr>
        <w:t xml:space="preserve"> </w:t>
      </w:r>
      <w:r w:rsidRPr="00F54ECF">
        <w:rPr>
          <w:rFonts w:ascii="Garamond" w:hAnsi="Garamond"/>
          <w:sz w:val="20"/>
          <w:szCs w:val="20"/>
          <w:lang w:val="sq-AL"/>
        </w:rPr>
        <w:t xml:space="preserve">(2022). </w:t>
      </w:r>
      <w:r w:rsidRPr="00F54ECF">
        <w:rPr>
          <w:rStyle w:val="Emphasis"/>
          <w:rFonts w:ascii="Garamond" w:hAnsi="Garamond"/>
          <w:sz w:val="20"/>
          <w:szCs w:val="20"/>
          <w:lang w:val="sq-AL"/>
        </w:rPr>
        <w:t>Udhëzues për jetesën e pavarur dhe përfshirjen në komunitet për personat me aftësi të kufizuara</w:t>
      </w:r>
      <w:r w:rsidRPr="00F54ECF">
        <w:rPr>
          <w:rFonts w:ascii="Garamond" w:hAnsi="Garamond"/>
          <w:sz w:val="20"/>
          <w:szCs w:val="20"/>
          <w:lang w:val="sq-AL"/>
        </w:rPr>
        <w:t>. Komisioni Evropian</w:t>
      </w:r>
      <w:r>
        <w:rPr>
          <w:rFonts w:ascii="Garamond" w:hAnsi="Garamond"/>
          <w:sz w:val="20"/>
          <w:szCs w:val="20"/>
          <w:lang w:val="sq-AL"/>
        </w:rPr>
        <w:t>.</w:t>
      </w:r>
    </w:p>
  </w:footnote>
  <w:footnote w:id="7">
    <w:p w14:paraId="6D3E994A" w14:textId="76F500F1" w:rsidR="00CB1F64" w:rsidRPr="00F54ECF" w:rsidRDefault="00CB1F64" w:rsidP="009B2661">
      <w:pPr>
        <w:pStyle w:val="NoSpacing"/>
        <w:tabs>
          <w:tab w:val="left" w:pos="180"/>
        </w:tabs>
        <w:adjustRightInd w:val="0"/>
        <w:snapToGrid w:val="0"/>
        <w:jc w:val="both"/>
        <w:rPr>
          <w:rFonts w:ascii="Garamond" w:hAnsi="Garamond"/>
          <w:sz w:val="20"/>
          <w:szCs w:val="20"/>
          <w:lang w:val="sq-AL"/>
        </w:rPr>
      </w:pPr>
      <w:r w:rsidRPr="00F54ECF">
        <w:rPr>
          <w:rStyle w:val="FootnoteReference"/>
          <w:rFonts w:ascii="Garamond" w:hAnsi="Garamond"/>
          <w:sz w:val="20"/>
          <w:szCs w:val="20"/>
          <w:lang w:val="sq-AL"/>
        </w:rPr>
        <w:footnoteRef/>
      </w:r>
      <w:r w:rsidRPr="00F54ECF">
        <w:rPr>
          <w:rFonts w:ascii="Garamond" w:hAnsi="Garamond"/>
          <w:sz w:val="20"/>
          <w:szCs w:val="20"/>
          <w:lang w:val="sq-AL"/>
        </w:rPr>
        <w:t xml:space="preserve"> Këshilli i Ministrave i Republikës së Shqipërisë (2022). </w:t>
      </w:r>
      <w:r w:rsidRPr="00F54ECF">
        <w:rPr>
          <w:rFonts w:ascii="Garamond" w:hAnsi="Garamond"/>
          <w:i/>
          <w:iCs/>
          <w:sz w:val="20"/>
          <w:szCs w:val="20"/>
          <w:lang w:val="sq-AL"/>
        </w:rPr>
        <w:t>Strategjia Kombëtare për Zhvillim dhe Integrim Evropian (SKZHIE)</w:t>
      </w:r>
      <w:r>
        <w:rPr>
          <w:rFonts w:ascii="Garamond" w:hAnsi="Garamond"/>
          <w:sz w:val="20"/>
          <w:szCs w:val="20"/>
          <w:lang w:val="sq-AL"/>
        </w:rPr>
        <w:t>,</w:t>
      </w:r>
      <w:r w:rsidRPr="00F54ECF">
        <w:rPr>
          <w:rFonts w:ascii="Garamond" w:hAnsi="Garamond"/>
          <w:sz w:val="20"/>
          <w:szCs w:val="20"/>
          <w:lang w:val="sq-AL"/>
        </w:rPr>
        <w:t xml:space="preserve"> Këshilli i Ministrave.</w:t>
      </w:r>
    </w:p>
  </w:footnote>
  <w:footnote w:id="8">
    <w:p w14:paraId="158BA1AC" w14:textId="55A18B02" w:rsidR="00CB1F64" w:rsidRPr="00F54ECF" w:rsidRDefault="00CB1F64" w:rsidP="009B2661">
      <w:pPr>
        <w:pStyle w:val="NoSpacing"/>
        <w:tabs>
          <w:tab w:val="left" w:pos="180"/>
        </w:tabs>
        <w:adjustRightInd w:val="0"/>
        <w:snapToGrid w:val="0"/>
        <w:jc w:val="both"/>
        <w:rPr>
          <w:rFonts w:ascii="Garamond" w:hAnsi="Garamond"/>
          <w:sz w:val="20"/>
          <w:szCs w:val="20"/>
          <w:lang w:val="sq-AL"/>
        </w:rPr>
      </w:pPr>
      <w:r w:rsidRPr="00F54ECF">
        <w:rPr>
          <w:rStyle w:val="FootnoteReference"/>
          <w:rFonts w:ascii="Garamond" w:hAnsi="Garamond"/>
          <w:sz w:val="20"/>
          <w:szCs w:val="20"/>
          <w:lang w:val="sq-AL"/>
        </w:rPr>
        <w:footnoteRef/>
      </w:r>
      <w:r w:rsidRPr="00F54ECF">
        <w:rPr>
          <w:rFonts w:ascii="Garamond" w:hAnsi="Garamond"/>
          <w:sz w:val="20"/>
          <w:szCs w:val="20"/>
          <w:lang w:val="sq-AL"/>
        </w:rPr>
        <w:t xml:space="preserve"> Këshilli i Ministrave i Republikës së Shqipërisë (2024). </w:t>
      </w:r>
      <w:r w:rsidRPr="00F54ECF">
        <w:rPr>
          <w:rFonts w:ascii="Garamond" w:hAnsi="Garamond"/>
          <w:i/>
          <w:iCs/>
          <w:sz w:val="20"/>
          <w:szCs w:val="20"/>
          <w:lang w:val="sq-AL"/>
        </w:rPr>
        <w:t>Strategjia Ndërsektoriale e Drejtësisë 2024-2030</w:t>
      </w:r>
      <w:r w:rsidRPr="00F54ECF">
        <w:rPr>
          <w:rFonts w:ascii="Garamond" w:hAnsi="Garamond"/>
          <w:sz w:val="20"/>
          <w:szCs w:val="20"/>
          <w:lang w:val="sq-AL"/>
        </w:rPr>
        <w:t xml:space="preserve">. Miratuar </w:t>
      </w:r>
      <w:r>
        <w:rPr>
          <w:rFonts w:ascii="Garamond" w:hAnsi="Garamond"/>
          <w:sz w:val="20"/>
          <w:szCs w:val="20"/>
          <w:lang w:val="sq-AL"/>
        </w:rPr>
        <w:t>me VKM-në nr.</w:t>
      </w:r>
      <w:r w:rsidRPr="00F54ECF">
        <w:rPr>
          <w:rFonts w:ascii="Garamond" w:hAnsi="Garamond"/>
          <w:sz w:val="20"/>
          <w:szCs w:val="20"/>
          <w:lang w:val="sq-AL"/>
        </w:rPr>
        <w:t xml:space="preserve"> 787, datë 18.12.2024.</w:t>
      </w:r>
    </w:p>
  </w:footnote>
  <w:footnote w:id="9">
    <w:p w14:paraId="28C60BA4" w14:textId="2B8F7F7B" w:rsidR="00CB1F64" w:rsidRPr="00F54ECF" w:rsidRDefault="00CB1F64" w:rsidP="009B2661">
      <w:pPr>
        <w:pStyle w:val="NoSpacing"/>
        <w:tabs>
          <w:tab w:val="left" w:pos="180"/>
        </w:tabs>
        <w:adjustRightInd w:val="0"/>
        <w:snapToGrid w:val="0"/>
        <w:jc w:val="both"/>
        <w:rPr>
          <w:rFonts w:ascii="Garamond" w:hAnsi="Garamond"/>
          <w:sz w:val="20"/>
          <w:szCs w:val="20"/>
          <w:lang w:val="sq-AL"/>
        </w:rPr>
      </w:pPr>
      <w:r w:rsidRPr="00F54ECF">
        <w:rPr>
          <w:rStyle w:val="FootnoteReference"/>
          <w:rFonts w:ascii="Garamond" w:hAnsi="Garamond"/>
          <w:sz w:val="20"/>
          <w:szCs w:val="20"/>
          <w:lang w:val="sq-AL"/>
        </w:rPr>
        <w:footnoteRef/>
      </w:r>
      <w:r w:rsidRPr="00F54ECF">
        <w:rPr>
          <w:rFonts w:ascii="Garamond" w:hAnsi="Garamond"/>
          <w:sz w:val="20"/>
          <w:szCs w:val="20"/>
          <w:lang w:val="sq-AL"/>
        </w:rPr>
        <w:t xml:space="preserve"> Këshilli i Ministrave i Republikës së Shqipërisë (2023). </w:t>
      </w:r>
      <w:r w:rsidRPr="00F54ECF">
        <w:rPr>
          <w:rFonts w:ascii="Garamond" w:hAnsi="Garamond"/>
          <w:i/>
          <w:iCs/>
          <w:sz w:val="20"/>
          <w:szCs w:val="20"/>
          <w:lang w:val="sq-AL"/>
        </w:rPr>
        <w:t>Strategjia Ndërsektoriale për Mbrojtjen e Viktimave të Krimit 2024</w:t>
      </w:r>
      <w:r>
        <w:rPr>
          <w:rFonts w:ascii="Garamond" w:hAnsi="Garamond"/>
          <w:i/>
          <w:iCs/>
          <w:sz w:val="20"/>
          <w:szCs w:val="20"/>
          <w:lang w:val="sq-AL"/>
        </w:rPr>
        <w:t>–</w:t>
      </w:r>
      <w:r w:rsidRPr="00F54ECF">
        <w:rPr>
          <w:rFonts w:ascii="Garamond" w:hAnsi="Garamond"/>
          <w:i/>
          <w:iCs/>
          <w:sz w:val="20"/>
          <w:szCs w:val="20"/>
          <w:lang w:val="sq-AL"/>
        </w:rPr>
        <w:t>2030</w:t>
      </w:r>
      <w:r w:rsidRPr="00F54ECF">
        <w:rPr>
          <w:rFonts w:ascii="Garamond" w:hAnsi="Garamond"/>
          <w:sz w:val="20"/>
          <w:szCs w:val="20"/>
          <w:lang w:val="sq-AL"/>
        </w:rPr>
        <w:t xml:space="preserve">. Miratuar </w:t>
      </w:r>
      <w:r>
        <w:rPr>
          <w:rFonts w:ascii="Garamond" w:hAnsi="Garamond"/>
          <w:sz w:val="20"/>
          <w:szCs w:val="20"/>
          <w:lang w:val="sq-AL"/>
        </w:rPr>
        <w:t>me VKM-në nr.</w:t>
      </w:r>
      <w:r w:rsidRPr="00F54ECF">
        <w:rPr>
          <w:rFonts w:ascii="Garamond" w:hAnsi="Garamond"/>
          <w:sz w:val="20"/>
          <w:szCs w:val="20"/>
          <w:lang w:val="sq-AL"/>
        </w:rPr>
        <w:t xml:space="preserve"> 729, datë 13.12.2023.</w:t>
      </w:r>
    </w:p>
  </w:footnote>
  <w:footnote w:id="10">
    <w:p w14:paraId="50B96958" w14:textId="273E13DA" w:rsidR="00CB1F64" w:rsidRPr="00F54ECF" w:rsidRDefault="00CB1F64" w:rsidP="009B2661">
      <w:pPr>
        <w:pStyle w:val="NoSpacing"/>
        <w:tabs>
          <w:tab w:val="left" w:pos="180"/>
        </w:tabs>
        <w:adjustRightInd w:val="0"/>
        <w:snapToGrid w:val="0"/>
        <w:jc w:val="both"/>
        <w:rPr>
          <w:rFonts w:ascii="Garamond" w:hAnsi="Garamond"/>
          <w:sz w:val="20"/>
          <w:szCs w:val="20"/>
          <w:lang w:val="sq-AL"/>
        </w:rPr>
      </w:pPr>
      <w:r w:rsidRPr="00F54ECF">
        <w:rPr>
          <w:rStyle w:val="FootnoteReference"/>
          <w:rFonts w:ascii="Garamond" w:hAnsi="Garamond"/>
          <w:sz w:val="20"/>
          <w:szCs w:val="20"/>
          <w:lang w:val="sq-AL"/>
        </w:rPr>
        <w:footnoteRef/>
      </w:r>
      <w:r w:rsidRPr="00F54ECF">
        <w:rPr>
          <w:rFonts w:ascii="Garamond" w:hAnsi="Garamond"/>
          <w:sz w:val="20"/>
          <w:szCs w:val="20"/>
          <w:lang w:val="sq-AL"/>
        </w:rPr>
        <w:t xml:space="preserve"> Këshilli i Ministrave i Republikës së Shqipërisë</w:t>
      </w:r>
      <w:r>
        <w:rPr>
          <w:rFonts w:ascii="Garamond" w:hAnsi="Garamond"/>
          <w:sz w:val="20"/>
          <w:szCs w:val="20"/>
          <w:lang w:val="sq-AL"/>
        </w:rPr>
        <w:t xml:space="preserve"> </w:t>
      </w:r>
      <w:r w:rsidRPr="00F54ECF">
        <w:rPr>
          <w:rFonts w:ascii="Garamond" w:hAnsi="Garamond"/>
          <w:sz w:val="20"/>
          <w:szCs w:val="20"/>
          <w:lang w:val="sq-AL"/>
        </w:rPr>
        <w:t xml:space="preserve">(2022). </w:t>
      </w:r>
      <w:r w:rsidRPr="00F54ECF">
        <w:rPr>
          <w:rFonts w:ascii="Garamond" w:hAnsi="Garamond"/>
          <w:i/>
          <w:iCs/>
          <w:sz w:val="20"/>
          <w:szCs w:val="20"/>
          <w:lang w:val="sq-AL"/>
        </w:rPr>
        <w:t>Strategjia Ndërsektoriale e Drejtësisë për të Mitur 2022</w:t>
      </w:r>
      <w:r>
        <w:rPr>
          <w:rFonts w:ascii="Garamond" w:hAnsi="Garamond"/>
          <w:i/>
          <w:iCs/>
          <w:sz w:val="20"/>
          <w:szCs w:val="20"/>
          <w:lang w:val="sq-AL"/>
        </w:rPr>
        <w:t>–</w:t>
      </w:r>
      <w:r w:rsidRPr="00F54ECF">
        <w:rPr>
          <w:rFonts w:ascii="Garamond" w:hAnsi="Garamond"/>
          <w:i/>
          <w:iCs/>
          <w:sz w:val="20"/>
          <w:szCs w:val="20"/>
          <w:lang w:val="sq-AL"/>
        </w:rPr>
        <w:t>2026</w:t>
      </w:r>
      <w:r w:rsidRPr="00F54ECF">
        <w:rPr>
          <w:rFonts w:ascii="Garamond" w:hAnsi="Garamond"/>
          <w:sz w:val="20"/>
          <w:szCs w:val="20"/>
          <w:lang w:val="sq-AL"/>
        </w:rPr>
        <w:t xml:space="preserve">. Miratuar </w:t>
      </w:r>
      <w:r>
        <w:rPr>
          <w:rFonts w:ascii="Garamond" w:hAnsi="Garamond"/>
          <w:sz w:val="20"/>
          <w:szCs w:val="20"/>
          <w:lang w:val="sq-AL"/>
        </w:rPr>
        <w:t>me VKM-në nr.</w:t>
      </w:r>
      <w:r w:rsidRPr="00F54ECF">
        <w:rPr>
          <w:rFonts w:ascii="Garamond" w:hAnsi="Garamond"/>
          <w:sz w:val="20"/>
          <w:szCs w:val="20"/>
          <w:lang w:val="sq-AL"/>
        </w:rPr>
        <w:t xml:space="preserve"> 892, datë 27.12.2022.</w:t>
      </w:r>
    </w:p>
  </w:footnote>
  <w:footnote w:id="11">
    <w:p w14:paraId="740B3BD8" w14:textId="0DB39086" w:rsidR="00CB1F64" w:rsidRPr="00F54ECF" w:rsidRDefault="00CB1F64" w:rsidP="009B2661">
      <w:pPr>
        <w:pStyle w:val="NoSpacing"/>
        <w:tabs>
          <w:tab w:val="left" w:pos="180"/>
        </w:tabs>
        <w:adjustRightInd w:val="0"/>
        <w:snapToGrid w:val="0"/>
        <w:jc w:val="both"/>
        <w:rPr>
          <w:rFonts w:ascii="Garamond" w:hAnsi="Garamond"/>
          <w:sz w:val="20"/>
          <w:szCs w:val="20"/>
          <w:lang w:val="sq-AL"/>
        </w:rPr>
      </w:pPr>
      <w:r w:rsidRPr="00F54ECF">
        <w:rPr>
          <w:rStyle w:val="FootnoteReference"/>
          <w:rFonts w:ascii="Garamond" w:hAnsi="Garamond"/>
          <w:sz w:val="20"/>
          <w:szCs w:val="20"/>
          <w:lang w:val="sq-AL"/>
        </w:rPr>
        <w:footnoteRef/>
      </w:r>
      <w:r w:rsidRPr="00F54ECF">
        <w:rPr>
          <w:rFonts w:ascii="Garamond" w:hAnsi="Garamond"/>
          <w:sz w:val="20"/>
          <w:szCs w:val="20"/>
          <w:lang w:val="sq-AL"/>
        </w:rPr>
        <w:t xml:space="preserve"> Ministria e Financave dhe Ekonomisë (2022). </w:t>
      </w:r>
      <w:r w:rsidRPr="00F54ECF">
        <w:rPr>
          <w:rFonts w:ascii="Garamond" w:hAnsi="Garamond"/>
          <w:i/>
          <w:iCs/>
          <w:sz w:val="20"/>
          <w:szCs w:val="20"/>
          <w:lang w:val="sq-AL"/>
        </w:rPr>
        <w:t>Strategjia Kombëtare e Punësimit dhe Aftësive 2023</w:t>
      </w:r>
      <w:r>
        <w:rPr>
          <w:rFonts w:ascii="Garamond" w:hAnsi="Garamond"/>
          <w:i/>
          <w:iCs/>
          <w:sz w:val="20"/>
          <w:szCs w:val="20"/>
          <w:lang w:val="sq-AL"/>
        </w:rPr>
        <w:t>–</w:t>
      </w:r>
      <w:r w:rsidRPr="00F54ECF">
        <w:rPr>
          <w:rFonts w:ascii="Garamond" w:hAnsi="Garamond"/>
          <w:i/>
          <w:iCs/>
          <w:sz w:val="20"/>
          <w:szCs w:val="20"/>
          <w:lang w:val="sq-AL"/>
        </w:rPr>
        <w:t>2030</w:t>
      </w:r>
      <w:r w:rsidRPr="00F54ECF">
        <w:rPr>
          <w:rFonts w:ascii="Garamond" w:hAnsi="Garamond"/>
          <w:sz w:val="20"/>
          <w:szCs w:val="20"/>
          <w:lang w:val="sq-AL"/>
        </w:rPr>
        <w:t>. Qeveria e Republikës së Shqipërisë.</w:t>
      </w:r>
    </w:p>
  </w:footnote>
  <w:footnote w:id="12">
    <w:p w14:paraId="6E03B65E" w14:textId="17367180" w:rsidR="00CB1F64" w:rsidRPr="00F54ECF" w:rsidRDefault="00CB1F64" w:rsidP="009B2661">
      <w:pPr>
        <w:pStyle w:val="NoSpacing"/>
        <w:tabs>
          <w:tab w:val="left" w:pos="180"/>
        </w:tabs>
        <w:adjustRightInd w:val="0"/>
        <w:snapToGrid w:val="0"/>
        <w:jc w:val="both"/>
        <w:rPr>
          <w:rFonts w:ascii="Garamond" w:hAnsi="Garamond"/>
          <w:sz w:val="20"/>
          <w:szCs w:val="20"/>
          <w:lang w:val="sq-AL"/>
        </w:rPr>
      </w:pPr>
      <w:r w:rsidRPr="00F54ECF">
        <w:rPr>
          <w:rStyle w:val="FootnoteReference"/>
          <w:rFonts w:ascii="Garamond" w:hAnsi="Garamond"/>
          <w:sz w:val="20"/>
          <w:szCs w:val="20"/>
          <w:lang w:val="sq-AL"/>
        </w:rPr>
        <w:footnoteRef/>
      </w:r>
      <w:r w:rsidRPr="00F54ECF">
        <w:rPr>
          <w:rFonts w:ascii="Garamond" w:hAnsi="Garamond"/>
          <w:sz w:val="20"/>
          <w:szCs w:val="20"/>
          <w:lang w:val="sq-AL"/>
        </w:rPr>
        <w:t xml:space="preserve"> Këshilli i Ministrave i Republikës së Shqipërisë (2021). </w:t>
      </w:r>
      <w:r w:rsidRPr="00F54ECF">
        <w:rPr>
          <w:rFonts w:ascii="Garamond" w:hAnsi="Garamond"/>
          <w:i/>
          <w:iCs/>
          <w:sz w:val="20"/>
          <w:szCs w:val="20"/>
          <w:lang w:val="sq-AL"/>
        </w:rPr>
        <w:t>Strategjia Kombëtare për Arsimin 2021</w:t>
      </w:r>
      <w:r>
        <w:rPr>
          <w:rFonts w:ascii="Garamond" w:hAnsi="Garamond"/>
          <w:i/>
          <w:iCs/>
          <w:sz w:val="20"/>
          <w:szCs w:val="20"/>
          <w:lang w:val="sq-AL"/>
        </w:rPr>
        <w:t>–</w:t>
      </w:r>
      <w:r w:rsidRPr="00F54ECF">
        <w:rPr>
          <w:rFonts w:ascii="Garamond" w:hAnsi="Garamond"/>
          <w:i/>
          <w:iCs/>
          <w:sz w:val="20"/>
          <w:szCs w:val="20"/>
          <w:lang w:val="sq-AL"/>
        </w:rPr>
        <w:t>2026</w:t>
      </w:r>
      <w:r w:rsidRPr="00F54ECF">
        <w:rPr>
          <w:rFonts w:ascii="Garamond" w:hAnsi="Garamond"/>
          <w:sz w:val="20"/>
          <w:szCs w:val="20"/>
          <w:lang w:val="sq-AL"/>
        </w:rPr>
        <w:t xml:space="preserve">. Miratuar </w:t>
      </w:r>
      <w:r>
        <w:rPr>
          <w:rFonts w:ascii="Garamond" w:hAnsi="Garamond"/>
          <w:sz w:val="20"/>
          <w:szCs w:val="20"/>
          <w:lang w:val="sq-AL"/>
        </w:rPr>
        <w:t>me VKM-në nr.</w:t>
      </w:r>
      <w:r w:rsidRPr="00F54ECF">
        <w:rPr>
          <w:rFonts w:ascii="Garamond" w:hAnsi="Garamond"/>
          <w:sz w:val="20"/>
          <w:szCs w:val="20"/>
          <w:lang w:val="sq-AL"/>
        </w:rPr>
        <w:t xml:space="preserve"> 621, datë 22.10.2021.</w:t>
      </w:r>
    </w:p>
  </w:footnote>
  <w:footnote w:id="13">
    <w:p w14:paraId="1F781961" w14:textId="0AF29478" w:rsidR="00CB1F64" w:rsidRPr="00F54ECF" w:rsidRDefault="00CB1F64" w:rsidP="009B2661">
      <w:pPr>
        <w:pStyle w:val="NoSpacing"/>
        <w:tabs>
          <w:tab w:val="left" w:pos="180"/>
        </w:tabs>
        <w:adjustRightInd w:val="0"/>
        <w:snapToGrid w:val="0"/>
        <w:jc w:val="both"/>
        <w:rPr>
          <w:rFonts w:ascii="Garamond" w:hAnsi="Garamond"/>
          <w:sz w:val="20"/>
          <w:szCs w:val="20"/>
          <w:lang w:val="sq-AL"/>
        </w:rPr>
      </w:pPr>
      <w:r w:rsidRPr="00F54ECF">
        <w:rPr>
          <w:rStyle w:val="FootnoteReference"/>
          <w:rFonts w:ascii="Garamond" w:hAnsi="Garamond"/>
          <w:sz w:val="20"/>
          <w:szCs w:val="20"/>
          <w:lang w:val="sq-AL"/>
        </w:rPr>
        <w:footnoteRef/>
      </w:r>
      <w:r w:rsidRPr="00F54ECF">
        <w:rPr>
          <w:rFonts w:ascii="Garamond" w:hAnsi="Garamond"/>
          <w:sz w:val="20"/>
          <w:szCs w:val="20"/>
          <w:lang w:val="sq-AL"/>
        </w:rPr>
        <w:t xml:space="preserve"> Ministria e Shëndetësisë dhe Mbrojtjes Sociale (2024). </w:t>
      </w:r>
      <w:r w:rsidRPr="00F54ECF">
        <w:rPr>
          <w:rFonts w:ascii="Garamond" w:hAnsi="Garamond"/>
          <w:i/>
          <w:iCs/>
          <w:sz w:val="20"/>
          <w:szCs w:val="20"/>
          <w:lang w:val="sq-AL"/>
        </w:rPr>
        <w:t>Strategjia Kombëtare për Mbrojtjen Sociale 2024</w:t>
      </w:r>
      <w:r>
        <w:rPr>
          <w:rFonts w:ascii="Garamond" w:hAnsi="Garamond"/>
          <w:i/>
          <w:iCs/>
          <w:sz w:val="20"/>
          <w:szCs w:val="20"/>
          <w:lang w:val="sq-AL"/>
        </w:rPr>
        <w:t>–</w:t>
      </w:r>
      <w:r w:rsidRPr="00F54ECF">
        <w:rPr>
          <w:rFonts w:ascii="Garamond" w:hAnsi="Garamond"/>
          <w:i/>
          <w:iCs/>
          <w:sz w:val="20"/>
          <w:szCs w:val="20"/>
          <w:lang w:val="sq-AL"/>
        </w:rPr>
        <w:t>2030 dhe plani i veprimit</w:t>
      </w:r>
      <w:r w:rsidRPr="00F54ECF">
        <w:rPr>
          <w:rFonts w:ascii="Garamond" w:hAnsi="Garamond"/>
          <w:sz w:val="20"/>
          <w:szCs w:val="20"/>
          <w:lang w:val="sq-AL"/>
        </w:rPr>
        <w:t>. Qeveria e Republikës së Shqipërisë.</w:t>
      </w:r>
    </w:p>
    <w:p w14:paraId="5D7260FF" w14:textId="66028D46" w:rsidR="00CB1F64" w:rsidRPr="00F54ECF" w:rsidRDefault="00CB1F64" w:rsidP="009B2661">
      <w:pPr>
        <w:pStyle w:val="NoSpacing"/>
        <w:tabs>
          <w:tab w:val="left" w:pos="180"/>
        </w:tabs>
        <w:adjustRightInd w:val="0"/>
        <w:snapToGrid w:val="0"/>
        <w:jc w:val="both"/>
        <w:rPr>
          <w:rFonts w:ascii="Garamond" w:hAnsi="Garamond"/>
          <w:sz w:val="20"/>
          <w:szCs w:val="20"/>
          <w:lang w:val="sq-AL"/>
        </w:rPr>
      </w:pPr>
      <w:r w:rsidRPr="00F54ECF">
        <w:rPr>
          <w:rFonts w:ascii="Garamond" w:hAnsi="Garamond"/>
          <w:sz w:val="20"/>
          <w:szCs w:val="20"/>
          <w:lang w:val="sq-AL"/>
        </w:rPr>
        <w:t xml:space="preserve"> Ministria e Shëndetësisë dhe Mbrojtjes Sociale (2024). </w:t>
      </w:r>
      <w:r w:rsidRPr="00F54ECF">
        <w:rPr>
          <w:rFonts w:ascii="Garamond" w:hAnsi="Garamond"/>
          <w:i/>
          <w:iCs/>
          <w:sz w:val="20"/>
          <w:szCs w:val="20"/>
          <w:lang w:val="sq-AL"/>
        </w:rPr>
        <w:t>Dokumenti i Politikave të Përfshirjes Sociale 2024</w:t>
      </w:r>
      <w:r>
        <w:rPr>
          <w:rFonts w:ascii="Garamond" w:hAnsi="Garamond"/>
          <w:i/>
          <w:iCs/>
          <w:sz w:val="20"/>
          <w:szCs w:val="20"/>
          <w:lang w:val="sq-AL"/>
        </w:rPr>
        <w:t>–</w:t>
      </w:r>
      <w:r w:rsidRPr="00F54ECF">
        <w:rPr>
          <w:rFonts w:ascii="Garamond" w:hAnsi="Garamond"/>
          <w:i/>
          <w:iCs/>
          <w:sz w:val="20"/>
          <w:szCs w:val="20"/>
          <w:lang w:val="sq-AL"/>
        </w:rPr>
        <w:t>2028</w:t>
      </w:r>
      <w:r w:rsidRPr="00F54ECF">
        <w:rPr>
          <w:rFonts w:ascii="Garamond" w:hAnsi="Garamond"/>
          <w:sz w:val="20"/>
          <w:szCs w:val="20"/>
          <w:lang w:val="sq-AL"/>
        </w:rPr>
        <w:t>. Qeveria e Republikës së Shqipërisë.</w:t>
      </w:r>
    </w:p>
  </w:footnote>
  <w:footnote w:id="14">
    <w:p w14:paraId="080010C6" w14:textId="6E4EF464" w:rsidR="00CB1F64" w:rsidRPr="00F54ECF" w:rsidRDefault="00CB1F64" w:rsidP="009B2661">
      <w:pPr>
        <w:pStyle w:val="NoSpacing"/>
        <w:tabs>
          <w:tab w:val="left" w:pos="180"/>
        </w:tabs>
        <w:adjustRightInd w:val="0"/>
        <w:snapToGrid w:val="0"/>
        <w:jc w:val="both"/>
        <w:rPr>
          <w:rFonts w:ascii="Garamond" w:hAnsi="Garamond"/>
          <w:sz w:val="20"/>
          <w:szCs w:val="20"/>
          <w:lang w:val="sq-AL"/>
        </w:rPr>
      </w:pPr>
      <w:r w:rsidRPr="00F54ECF">
        <w:rPr>
          <w:rStyle w:val="FootnoteReference"/>
          <w:rFonts w:ascii="Garamond" w:hAnsi="Garamond"/>
          <w:sz w:val="20"/>
          <w:szCs w:val="20"/>
          <w:lang w:val="sq-AL"/>
        </w:rPr>
        <w:footnoteRef/>
      </w:r>
      <w:r w:rsidRPr="00F54ECF">
        <w:rPr>
          <w:rFonts w:ascii="Garamond" w:hAnsi="Garamond"/>
          <w:sz w:val="20"/>
          <w:szCs w:val="20"/>
          <w:lang w:val="sq-AL"/>
        </w:rPr>
        <w:t xml:space="preserve"> Ministria e Shëndetësisë dhe Mbrojtjes Sociale (2021). </w:t>
      </w:r>
      <w:r w:rsidRPr="00F54ECF">
        <w:rPr>
          <w:rFonts w:ascii="Garamond" w:hAnsi="Garamond"/>
          <w:i/>
          <w:iCs/>
          <w:sz w:val="20"/>
          <w:szCs w:val="20"/>
          <w:lang w:val="sq-AL"/>
        </w:rPr>
        <w:t>Strategjia Kombëtare e Shëndetësisë 2021</w:t>
      </w:r>
      <w:r>
        <w:rPr>
          <w:rFonts w:ascii="Garamond" w:hAnsi="Garamond"/>
          <w:i/>
          <w:iCs/>
          <w:sz w:val="20"/>
          <w:szCs w:val="20"/>
          <w:lang w:val="sq-AL"/>
        </w:rPr>
        <w:t>–</w:t>
      </w:r>
      <w:r w:rsidRPr="00F54ECF">
        <w:rPr>
          <w:rFonts w:ascii="Garamond" w:hAnsi="Garamond"/>
          <w:i/>
          <w:iCs/>
          <w:sz w:val="20"/>
          <w:szCs w:val="20"/>
          <w:lang w:val="sq-AL"/>
        </w:rPr>
        <w:t>2030</w:t>
      </w:r>
      <w:r w:rsidRPr="00F54ECF">
        <w:rPr>
          <w:rFonts w:ascii="Garamond" w:hAnsi="Garamond"/>
          <w:sz w:val="20"/>
          <w:szCs w:val="20"/>
          <w:lang w:val="sq-AL"/>
        </w:rPr>
        <w:t>. Qeveria e Republikës së Shqipërisë.</w:t>
      </w:r>
    </w:p>
  </w:footnote>
  <w:footnote w:id="15">
    <w:p w14:paraId="05903242" w14:textId="6B30804D" w:rsidR="00CB1F64" w:rsidRPr="00F54ECF" w:rsidRDefault="00CB1F64" w:rsidP="009B2661">
      <w:pPr>
        <w:pStyle w:val="NoSpacing"/>
        <w:tabs>
          <w:tab w:val="left" w:pos="180"/>
        </w:tabs>
        <w:adjustRightInd w:val="0"/>
        <w:snapToGrid w:val="0"/>
        <w:jc w:val="both"/>
        <w:rPr>
          <w:rFonts w:ascii="Garamond" w:hAnsi="Garamond"/>
          <w:sz w:val="20"/>
          <w:szCs w:val="20"/>
          <w:lang w:val="sq-AL"/>
        </w:rPr>
      </w:pPr>
      <w:r w:rsidRPr="00F54ECF">
        <w:rPr>
          <w:rStyle w:val="FootnoteReference"/>
          <w:rFonts w:ascii="Garamond" w:hAnsi="Garamond"/>
          <w:sz w:val="20"/>
          <w:szCs w:val="20"/>
          <w:lang w:val="sq-AL"/>
        </w:rPr>
        <w:footnoteRef/>
      </w:r>
      <w:r w:rsidRPr="00F54ECF">
        <w:rPr>
          <w:rFonts w:ascii="Garamond" w:hAnsi="Garamond"/>
          <w:sz w:val="20"/>
          <w:szCs w:val="20"/>
          <w:lang w:val="sq-AL"/>
        </w:rPr>
        <w:t xml:space="preserve"> Këshilli i Ministrave i Republikës së Shqipërisë (2020). </w:t>
      </w:r>
      <w:r w:rsidRPr="00F54ECF">
        <w:rPr>
          <w:rFonts w:ascii="Garamond" w:hAnsi="Garamond"/>
          <w:i/>
          <w:iCs/>
          <w:sz w:val="20"/>
          <w:szCs w:val="20"/>
          <w:lang w:val="sq-AL"/>
        </w:rPr>
        <w:t>Strategjia e Zhvillimit të Shërbimeve të Kujdesit Shëndetësor Parësor në Shqipëri 2020</w:t>
      </w:r>
      <w:r>
        <w:rPr>
          <w:rFonts w:ascii="Garamond" w:hAnsi="Garamond"/>
          <w:i/>
          <w:iCs/>
          <w:sz w:val="20"/>
          <w:szCs w:val="20"/>
          <w:lang w:val="sq-AL"/>
        </w:rPr>
        <w:t>–</w:t>
      </w:r>
      <w:r w:rsidRPr="00F54ECF">
        <w:rPr>
          <w:rFonts w:ascii="Garamond" w:hAnsi="Garamond"/>
          <w:i/>
          <w:iCs/>
          <w:sz w:val="20"/>
          <w:szCs w:val="20"/>
          <w:lang w:val="sq-AL"/>
        </w:rPr>
        <w:t>2025</w:t>
      </w:r>
      <w:r w:rsidRPr="00F54ECF">
        <w:rPr>
          <w:rFonts w:ascii="Garamond" w:hAnsi="Garamond"/>
          <w:sz w:val="20"/>
          <w:szCs w:val="20"/>
          <w:lang w:val="sq-AL"/>
        </w:rPr>
        <w:t xml:space="preserve">. Miratuar </w:t>
      </w:r>
      <w:r>
        <w:rPr>
          <w:rFonts w:ascii="Garamond" w:hAnsi="Garamond"/>
          <w:sz w:val="20"/>
          <w:szCs w:val="20"/>
          <w:lang w:val="sq-AL"/>
        </w:rPr>
        <w:t>me VKM-në nr.</w:t>
      </w:r>
      <w:r w:rsidRPr="00F54ECF">
        <w:rPr>
          <w:rFonts w:ascii="Garamond" w:hAnsi="Garamond"/>
          <w:sz w:val="20"/>
          <w:szCs w:val="20"/>
          <w:lang w:val="sq-AL"/>
        </w:rPr>
        <w:t xml:space="preserve"> 405, datë 20.5.2020</w:t>
      </w:r>
    </w:p>
  </w:footnote>
  <w:footnote w:id="16">
    <w:p w14:paraId="07E4B58B" w14:textId="2F211781" w:rsidR="00CB1F64" w:rsidRPr="00F54ECF" w:rsidRDefault="00CB1F64" w:rsidP="009B2661">
      <w:pPr>
        <w:pStyle w:val="NoSpacing"/>
        <w:tabs>
          <w:tab w:val="left" w:pos="180"/>
        </w:tabs>
        <w:adjustRightInd w:val="0"/>
        <w:snapToGrid w:val="0"/>
        <w:jc w:val="both"/>
        <w:rPr>
          <w:rFonts w:ascii="Garamond" w:eastAsia="Times New Roman" w:hAnsi="Garamond"/>
          <w:sz w:val="20"/>
          <w:szCs w:val="20"/>
          <w:lang w:val="sq-AL"/>
        </w:rPr>
      </w:pPr>
      <w:r w:rsidRPr="00F54ECF">
        <w:rPr>
          <w:rStyle w:val="FootnoteReference"/>
          <w:rFonts w:ascii="Garamond" w:hAnsi="Garamond"/>
          <w:sz w:val="20"/>
          <w:szCs w:val="20"/>
          <w:lang w:val="sq-AL"/>
        </w:rPr>
        <w:footnoteRef/>
      </w:r>
      <w:r w:rsidRPr="00F54ECF">
        <w:rPr>
          <w:rFonts w:ascii="Garamond" w:hAnsi="Garamond"/>
          <w:sz w:val="20"/>
          <w:szCs w:val="20"/>
          <w:lang w:val="sq-AL"/>
        </w:rPr>
        <w:t xml:space="preserve"> </w:t>
      </w:r>
      <w:r w:rsidRPr="00F54ECF">
        <w:rPr>
          <w:rFonts w:ascii="Garamond" w:eastAsia="Times New Roman" w:hAnsi="Garamond"/>
          <w:sz w:val="20"/>
          <w:szCs w:val="20"/>
          <w:lang w:val="sq-AL"/>
        </w:rPr>
        <w:t>Ministria e Kulturës, Rinisë dhe Sportit</w:t>
      </w:r>
      <w:r>
        <w:rPr>
          <w:rFonts w:ascii="Garamond" w:eastAsia="Times New Roman" w:hAnsi="Garamond"/>
          <w:sz w:val="20"/>
          <w:szCs w:val="20"/>
          <w:lang w:val="sq-AL"/>
        </w:rPr>
        <w:t xml:space="preserve"> </w:t>
      </w:r>
      <w:r w:rsidRPr="00F54ECF">
        <w:rPr>
          <w:rFonts w:ascii="Garamond" w:eastAsia="Times New Roman" w:hAnsi="Garamond"/>
          <w:sz w:val="20"/>
          <w:szCs w:val="20"/>
          <w:lang w:val="sq-AL"/>
        </w:rPr>
        <w:t xml:space="preserve">(2019). </w:t>
      </w:r>
      <w:r w:rsidRPr="00F54ECF">
        <w:rPr>
          <w:rFonts w:ascii="Garamond" w:eastAsia="Times New Roman" w:hAnsi="Garamond"/>
          <w:i/>
          <w:iCs/>
          <w:sz w:val="20"/>
          <w:szCs w:val="20"/>
          <w:lang w:val="sq-AL"/>
        </w:rPr>
        <w:t>Strategjia Kombëtare për Kulturën 2019</w:t>
      </w:r>
      <w:r>
        <w:rPr>
          <w:rFonts w:ascii="Garamond" w:hAnsi="Garamond"/>
          <w:i/>
          <w:iCs/>
          <w:sz w:val="20"/>
          <w:szCs w:val="20"/>
          <w:lang w:val="sq-AL"/>
        </w:rPr>
        <w:t>–</w:t>
      </w:r>
      <w:r w:rsidRPr="00F54ECF">
        <w:rPr>
          <w:rFonts w:ascii="Garamond" w:eastAsia="Times New Roman" w:hAnsi="Garamond"/>
          <w:i/>
          <w:iCs/>
          <w:sz w:val="20"/>
          <w:szCs w:val="20"/>
          <w:lang w:val="sq-AL"/>
        </w:rPr>
        <w:t>2025</w:t>
      </w:r>
      <w:r w:rsidRPr="00F54ECF">
        <w:rPr>
          <w:rFonts w:ascii="Garamond" w:eastAsia="Times New Roman" w:hAnsi="Garamond"/>
          <w:sz w:val="20"/>
          <w:szCs w:val="20"/>
          <w:lang w:val="sq-AL"/>
        </w:rPr>
        <w:t xml:space="preserve">. Miratuar </w:t>
      </w:r>
      <w:r>
        <w:rPr>
          <w:rFonts w:ascii="Garamond" w:eastAsia="Times New Roman" w:hAnsi="Garamond"/>
          <w:sz w:val="20"/>
          <w:szCs w:val="20"/>
          <w:lang w:val="sq-AL"/>
        </w:rPr>
        <w:t>me VKM-në nr.</w:t>
      </w:r>
      <w:r w:rsidRPr="00F54ECF">
        <w:rPr>
          <w:rFonts w:ascii="Garamond" w:eastAsia="Times New Roman" w:hAnsi="Garamond"/>
          <w:sz w:val="20"/>
          <w:szCs w:val="20"/>
          <w:lang w:val="sq-AL"/>
        </w:rPr>
        <w:t xml:space="preserve"> 903, datë 24.12.2019.</w:t>
      </w:r>
    </w:p>
  </w:footnote>
  <w:footnote w:id="17">
    <w:p w14:paraId="6C15455F" w14:textId="12D8898A" w:rsidR="00CB1F64" w:rsidRPr="00F54ECF" w:rsidRDefault="00CB1F64" w:rsidP="009B2661">
      <w:pPr>
        <w:pStyle w:val="NoSpacing"/>
        <w:tabs>
          <w:tab w:val="left" w:pos="180"/>
        </w:tabs>
        <w:adjustRightInd w:val="0"/>
        <w:snapToGrid w:val="0"/>
        <w:jc w:val="both"/>
        <w:rPr>
          <w:rFonts w:ascii="Garamond" w:eastAsia="Times New Roman" w:hAnsi="Garamond"/>
          <w:sz w:val="20"/>
          <w:szCs w:val="20"/>
          <w:lang w:val="sq-AL"/>
        </w:rPr>
      </w:pPr>
      <w:r w:rsidRPr="00F54ECF">
        <w:rPr>
          <w:rStyle w:val="FootnoteReference"/>
          <w:rFonts w:ascii="Garamond" w:hAnsi="Garamond"/>
          <w:sz w:val="20"/>
          <w:szCs w:val="20"/>
          <w:lang w:val="sq-AL"/>
        </w:rPr>
        <w:footnoteRef/>
      </w:r>
      <w:r w:rsidRPr="00F54ECF">
        <w:rPr>
          <w:rFonts w:ascii="Garamond" w:hAnsi="Garamond"/>
          <w:sz w:val="20"/>
          <w:szCs w:val="20"/>
          <w:lang w:val="sq-AL"/>
        </w:rPr>
        <w:t xml:space="preserve"> </w:t>
      </w:r>
      <w:r w:rsidRPr="00F54ECF">
        <w:rPr>
          <w:rFonts w:ascii="Garamond" w:eastAsia="Times New Roman" w:hAnsi="Garamond"/>
          <w:sz w:val="20"/>
          <w:szCs w:val="20"/>
          <w:lang w:val="sq-AL"/>
        </w:rPr>
        <w:t xml:space="preserve">Këshilli i Ministrave i Republikës së Shqipërisë (2025). </w:t>
      </w:r>
      <w:r w:rsidRPr="00F54ECF">
        <w:rPr>
          <w:rFonts w:ascii="Garamond" w:eastAsia="Times New Roman" w:hAnsi="Garamond"/>
          <w:i/>
          <w:iCs/>
          <w:sz w:val="20"/>
          <w:szCs w:val="20"/>
          <w:lang w:val="sq-AL"/>
        </w:rPr>
        <w:t>Strategjia Kombëtare e Turizmit 2024</w:t>
      </w:r>
      <w:r>
        <w:rPr>
          <w:rFonts w:ascii="Garamond" w:hAnsi="Garamond"/>
          <w:i/>
          <w:iCs/>
          <w:sz w:val="20"/>
          <w:szCs w:val="20"/>
          <w:lang w:val="sq-AL"/>
        </w:rPr>
        <w:t>–</w:t>
      </w:r>
      <w:r w:rsidRPr="00F54ECF">
        <w:rPr>
          <w:rFonts w:ascii="Garamond" w:eastAsia="Times New Roman" w:hAnsi="Garamond"/>
          <w:i/>
          <w:iCs/>
          <w:sz w:val="20"/>
          <w:szCs w:val="20"/>
          <w:lang w:val="sq-AL"/>
        </w:rPr>
        <w:t>2030</w:t>
      </w:r>
      <w:r w:rsidRPr="00F54ECF">
        <w:rPr>
          <w:rFonts w:ascii="Garamond" w:eastAsia="Times New Roman" w:hAnsi="Garamond"/>
          <w:sz w:val="20"/>
          <w:szCs w:val="20"/>
          <w:lang w:val="sq-AL"/>
        </w:rPr>
        <w:t>. Qeveria e Republikës së Shqipërisë.</w:t>
      </w:r>
    </w:p>
  </w:footnote>
  <w:footnote w:id="18">
    <w:p w14:paraId="07135057" w14:textId="5A5891A7" w:rsidR="00CB1F64" w:rsidRPr="00F54ECF" w:rsidRDefault="00CB1F64" w:rsidP="009B2661">
      <w:pPr>
        <w:pStyle w:val="NoSpacing"/>
        <w:tabs>
          <w:tab w:val="left" w:pos="180"/>
        </w:tabs>
        <w:adjustRightInd w:val="0"/>
        <w:snapToGrid w:val="0"/>
        <w:jc w:val="both"/>
        <w:rPr>
          <w:rFonts w:ascii="Garamond" w:eastAsia="Times New Roman" w:hAnsi="Garamond"/>
          <w:sz w:val="20"/>
          <w:szCs w:val="20"/>
          <w:lang w:val="sq-AL"/>
        </w:rPr>
      </w:pPr>
      <w:r w:rsidRPr="00F54ECF">
        <w:rPr>
          <w:rStyle w:val="FootnoteReference"/>
          <w:rFonts w:ascii="Garamond" w:hAnsi="Garamond"/>
          <w:sz w:val="20"/>
          <w:szCs w:val="20"/>
          <w:lang w:val="sq-AL"/>
        </w:rPr>
        <w:footnoteRef/>
      </w:r>
      <w:r w:rsidRPr="00F54ECF">
        <w:rPr>
          <w:rFonts w:ascii="Garamond" w:hAnsi="Garamond"/>
          <w:sz w:val="20"/>
          <w:szCs w:val="20"/>
          <w:lang w:val="sq-AL"/>
        </w:rPr>
        <w:t xml:space="preserve"> </w:t>
      </w:r>
      <w:r w:rsidRPr="00F54ECF">
        <w:rPr>
          <w:rFonts w:ascii="Garamond" w:eastAsia="Times New Roman" w:hAnsi="Garamond"/>
          <w:sz w:val="20"/>
          <w:szCs w:val="20"/>
          <w:lang w:val="sq-AL"/>
        </w:rPr>
        <w:t xml:space="preserve">Ministria përgjegjëse për sportin, Republika e Shqipërisë (2025). </w:t>
      </w:r>
      <w:r w:rsidRPr="00F54ECF">
        <w:rPr>
          <w:rFonts w:ascii="Garamond" w:eastAsia="Times New Roman" w:hAnsi="Garamond"/>
          <w:i/>
          <w:iCs/>
          <w:sz w:val="20"/>
          <w:szCs w:val="20"/>
          <w:lang w:val="sq-AL"/>
        </w:rPr>
        <w:t>Strategjia Kombëtare për Sportin 2025</w:t>
      </w:r>
      <w:r>
        <w:rPr>
          <w:rFonts w:ascii="Garamond" w:hAnsi="Garamond"/>
          <w:i/>
          <w:iCs/>
          <w:sz w:val="20"/>
          <w:szCs w:val="20"/>
          <w:lang w:val="sq-AL"/>
        </w:rPr>
        <w:t>–</w:t>
      </w:r>
      <w:r w:rsidRPr="00F54ECF">
        <w:rPr>
          <w:rFonts w:ascii="Garamond" w:eastAsia="Times New Roman" w:hAnsi="Garamond"/>
          <w:i/>
          <w:iCs/>
          <w:sz w:val="20"/>
          <w:szCs w:val="20"/>
          <w:lang w:val="sq-AL"/>
        </w:rPr>
        <w:t>2030</w:t>
      </w:r>
      <w:r w:rsidRPr="00F54ECF">
        <w:rPr>
          <w:rFonts w:ascii="Garamond" w:eastAsia="Times New Roman" w:hAnsi="Garamond"/>
          <w:sz w:val="20"/>
          <w:szCs w:val="20"/>
          <w:lang w:val="sq-AL"/>
        </w:rPr>
        <w:t>. Qeveria e Republikës së Shqipërisë.</w:t>
      </w:r>
    </w:p>
  </w:footnote>
  <w:footnote w:id="19">
    <w:p w14:paraId="0AFDD2C8" w14:textId="20222E57" w:rsidR="00CB1F64" w:rsidRPr="00F54ECF" w:rsidRDefault="00CB1F64" w:rsidP="009B2661">
      <w:pPr>
        <w:pStyle w:val="FootnoteText"/>
        <w:tabs>
          <w:tab w:val="left" w:pos="180"/>
        </w:tabs>
        <w:adjustRightInd w:val="0"/>
        <w:snapToGrid w:val="0"/>
        <w:jc w:val="both"/>
        <w:rPr>
          <w:rFonts w:ascii="Garamond" w:hAnsi="Garamond"/>
        </w:rPr>
      </w:pPr>
      <w:r w:rsidRPr="00F54ECF">
        <w:rPr>
          <w:rStyle w:val="FootnoteReference"/>
          <w:rFonts w:ascii="Garamond" w:hAnsi="Garamond"/>
        </w:rPr>
        <w:footnoteRef/>
      </w:r>
      <w:r w:rsidRPr="00F54ECF">
        <w:rPr>
          <w:rFonts w:ascii="Garamond" w:hAnsi="Garamond"/>
        </w:rPr>
        <w:t xml:space="preserve"> Komisioni Evropian (2020). </w:t>
      </w:r>
      <w:r w:rsidRPr="00F54ECF">
        <w:rPr>
          <w:rStyle w:val="Emphasis"/>
          <w:rFonts w:ascii="Garamond" w:hAnsi="Garamond"/>
        </w:rPr>
        <w:t>Metodologjia e zgjerimit: Përmirësimi i procesit të anëtarësimit</w:t>
      </w:r>
      <w:r w:rsidRPr="00F54ECF">
        <w:rPr>
          <w:rFonts w:ascii="Garamond" w:hAnsi="Garamond"/>
        </w:rPr>
        <w:t>. Komisioni Evropian.</w:t>
      </w:r>
    </w:p>
  </w:footnote>
  <w:footnote w:id="20">
    <w:p w14:paraId="468BE679" w14:textId="6ABCD87F" w:rsidR="00CB1F64" w:rsidRPr="00F54ECF" w:rsidRDefault="00CB1F64" w:rsidP="009B2661">
      <w:pPr>
        <w:pStyle w:val="FootnoteText"/>
        <w:tabs>
          <w:tab w:val="left" w:pos="180"/>
        </w:tabs>
        <w:adjustRightInd w:val="0"/>
        <w:snapToGrid w:val="0"/>
        <w:jc w:val="both"/>
        <w:rPr>
          <w:rFonts w:ascii="Garamond" w:hAnsi="Garamond"/>
        </w:rPr>
      </w:pPr>
      <w:r w:rsidRPr="00F54ECF">
        <w:rPr>
          <w:rStyle w:val="FootnoteReference"/>
          <w:rFonts w:ascii="Garamond" w:hAnsi="Garamond"/>
        </w:rPr>
        <w:footnoteRef/>
      </w:r>
      <w:r>
        <w:rPr>
          <w:rFonts w:ascii="Garamond" w:hAnsi="Garamond"/>
        </w:rPr>
        <w:t xml:space="preserve"> “</w:t>
      </w:r>
      <w:r w:rsidRPr="00F54ECF">
        <w:rPr>
          <w:rFonts w:ascii="Garamond" w:hAnsi="Garamond"/>
        </w:rPr>
        <w:t>Për përfshirjen dhe aksesueshmërinë e personave me aftësi të kufizuara”</w:t>
      </w:r>
      <w:r>
        <w:rPr>
          <w:rFonts w:ascii="Garamond" w:hAnsi="Garamond"/>
        </w:rPr>
        <w:t>.</w:t>
      </w:r>
    </w:p>
  </w:footnote>
  <w:footnote w:id="21">
    <w:p w14:paraId="0015830F" w14:textId="77777777" w:rsidR="00CB1F64" w:rsidRPr="00F54ECF" w:rsidRDefault="00CB1F64" w:rsidP="009B2661">
      <w:pPr>
        <w:pStyle w:val="FootnoteText"/>
        <w:tabs>
          <w:tab w:val="left" w:pos="180"/>
        </w:tabs>
        <w:adjustRightInd w:val="0"/>
        <w:snapToGrid w:val="0"/>
        <w:jc w:val="both"/>
        <w:rPr>
          <w:rFonts w:ascii="Garamond" w:hAnsi="Garamond"/>
        </w:rPr>
      </w:pPr>
      <w:r w:rsidRPr="00F54ECF">
        <w:rPr>
          <w:rStyle w:val="FootnoteReference"/>
          <w:rFonts w:ascii="Garamond" w:hAnsi="Garamond"/>
        </w:rPr>
        <w:footnoteRef/>
      </w:r>
      <w:r w:rsidRPr="00F54ECF">
        <w:rPr>
          <w:rFonts w:ascii="Garamond" w:hAnsi="Garamond"/>
        </w:rPr>
        <w:t xml:space="preserve"> “Për përcaktimin e masave për mënjanimin e pengesave në komunikim dhe infrastrukturë në ofrimin e shërbimeve publike për personat me aftësi të kufizuara”.</w:t>
      </w:r>
    </w:p>
  </w:footnote>
  <w:footnote w:id="22">
    <w:p w14:paraId="5451746B" w14:textId="2618E5C9" w:rsidR="00CB1F64" w:rsidRPr="00F54ECF" w:rsidRDefault="00CB1F64" w:rsidP="009B2661">
      <w:pPr>
        <w:pStyle w:val="FootnoteText"/>
        <w:tabs>
          <w:tab w:val="left" w:pos="180"/>
        </w:tabs>
        <w:adjustRightInd w:val="0"/>
        <w:snapToGrid w:val="0"/>
        <w:jc w:val="both"/>
        <w:rPr>
          <w:rFonts w:ascii="Garamond" w:hAnsi="Garamond"/>
        </w:rPr>
      </w:pPr>
      <w:r w:rsidRPr="00F54ECF">
        <w:rPr>
          <w:rStyle w:val="FootnoteReference"/>
          <w:rFonts w:ascii="Garamond" w:hAnsi="Garamond"/>
        </w:rPr>
        <w:footnoteRef/>
      </w:r>
      <w:r w:rsidRPr="00F54ECF">
        <w:rPr>
          <w:rFonts w:ascii="Garamond" w:hAnsi="Garamond"/>
        </w:rPr>
        <w:t xml:space="preserve"> Raporti i Monitorimit të Zbatimit të PKVPAK, 2021</w:t>
      </w:r>
      <w:r>
        <w:rPr>
          <w:rFonts w:ascii="Garamond" w:hAnsi="Garamond"/>
        </w:rPr>
        <w:t>–</w:t>
      </w:r>
      <w:r w:rsidRPr="00F54ECF">
        <w:rPr>
          <w:rFonts w:ascii="Garamond" w:hAnsi="Garamond"/>
        </w:rPr>
        <w:t>2025</w:t>
      </w:r>
      <w:r>
        <w:rPr>
          <w:rFonts w:ascii="Garamond" w:hAnsi="Garamond"/>
        </w:rPr>
        <w:t>,</w:t>
      </w:r>
      <w:r w:rsidRPr="00F54ECF">
        <w:rPr>
          <w:rFonts w:ascii="Garamond" w:hAnsi="Garamond"/>
        </w:rPr>
        <w:t xml:space="preserve"> MSHMS</w:t>
      </w:r>
      <w:r>
        <w:rPr>
          <w:rFonts w:ascii="Garamond" w:hAnsi="Garamond"/>
        </w:rPr>
        <w:t>,</w:t>
      </w:r>
      <w:r w:rsidRPr="00F54ECF">
        <w:rPr>
          <w:rFonts w:ascii="Garamond" w:hAnsi="Garamond"/>
        </w:rPr>
        <w:t xml:space="preserve"> 2026.</w:t>
      </w:r>
    </w:p>
  </w:footnote>
  <w:footnote w:id="23">
    <w:p w14:paraId="53EC1FE3" w14:textId="40CEB98B" w:rsidR="00CB1F64" w:rsidRPr="00F54ECF" w:rsidRDefault="00CB1F64" w:rsidP="009B2661">
      <w:pPr>
        <w:pStyle w:val="NoSpacing"/>
        <w:tabs>
          <w:tab w:val="left" w:pos="180"/>
        </w:tabs>
        <w:adjustRightInd w:val="0"/>
        <w:snapToGrid w:val="0"/>
        <w:jc w:val="both"/>
        <w:rPr>
          <w:rFonts w:ascii="Garamond" w:hAnsi="Garamond"/>
          <w:sz w:val="20"/>
          <w:szCs w:val="20"/>
          <w:lang w:val="sq-AL"/>
        </w:rPr>
      </w:pPr>
      <w:r w:rsidRPr="00F54ECF">
        <w:rPr>
          <w:rStyle w:val="FootnoteReference"/>
          <w:rFonts w:ascii="Garamond" w:hAnsi="Garamond"/>
          <w:sz w:val="20"/>
          <w:szCs w:val="20"/>
          <w:lang w:val="sq-AL"/>
        </w:rPr>
        <w:footnoteRef/>
      </w:r>
      <w:r w:rsidRPr="00F54ECF">
        <w:rPr>
          <w:rFonts w:ascii="Garamond" w:hAnsi="Garamond"/>
          <w:sz w:val="20"/>
          <w:szCs w:val="20"/>
          <w:lang w:val="sq-AL"/>
        </w:rPr>
        <w:t xml:space="preserve"> Ligji nr. 108/2012</w:t>
      </w:r>
      <w:r>
        <w:rPr>
          <w:rFonts w:ascii="Garamond" w:hAnsi="Garamond"/>
          <w:sz w:val="20"/>
          <w:szCs w:val="20"/>
          <w:lang w:val="sq-AL"/>
        </w:rPr>
        <w:t>,</w:t>
      </w:r>
      <w:r w:rsidRPr="00F54ECF">
        <w:rPr>
          <w:rFonts w:ascii="Garamond" w:hAnsi="Garamond"/>
          <w:sz w:val="20"/>
          <w:szCs w:val="20"/>
          <w:lang w:val="sq-AL"/>
        </w:rPr>
        <w:t xml:space="preserve"> datë 15.11.2012</w:t>
      </w:r>
      <w:r>
        <w:rPr>
          <w:rFonts w:ascii="Garamond" w:hAnsi="Garamond"/>
          <w:sz w:val="20"/>
          <w:szCs w:val="20"/>
          <w:lang w:val="sq-AL"/>
        </w:rPr>
        <w:t>,</w:t>
      </w:r>
      <w:r w:rsidRPr="00F54ECF">
        <w:rPr>
          <w:rFonts w:ascii="Garamond" w:hAnsi="Garamond"/>
          <w:sz w:val="20"/>
          <w:szCs w:val="20"/>
          <w:lang w:val="sq-AL"/>
        </w:rPr>
        <w:t xml:space="preserve"> “Për ratifikimin e Konventës së OKB-së </w:t>
      </w:r>
      <w:r>
        <w:rPr>
          <w:rFonts w:ascii="Garamond" w:hAnsi="Garamond"/>
          <w:sz w:val="20"/>
          <w:szCs w:val="20"/>
          <w:lang w:val="sq-AL"/>
        </w:rPr>
        <w:t>‘</w:t>
      </w:r>
      <w:r w:rsidRPr="00F54ECF">
        <w:rPr>
          <w:rFonts w:ascii="Garamond" w:hAnsi="Garamond"/>
          <w:sz w:val="20"/>
          <w:szCs w:val="20"/>
          <w:lang w:val="sq-AL"/>
        </w:rPr>
        <w:t>Për të drejtat e personave me aftësi të kufizuara</w:t>
      </w:r>
      <w:r>
        <w:rPr>
          <w:rFonts w:ascii="Garamond" w:hAnsi="Garamond"/>
          <w:sz w:val="20"/>
          <w:szCs w:val="20"/>
          <w:lang w:val="sq-AL"/>
        </w:rPr>
        <w:t>’</w:t>
      </w:r>
      <w:r w:rsidRPr="00F54ECF">
        <w:rPr>
          <w:rFonts w:ascii="Garamond" w:hAnsi="Garamond"/>
          <w:sz w:val="20"/>
          <w:szCs w:val="20"/>
          <w:lang w:val="sq-AL"/>
        </w:rPr>
        <w:t>”</w:t>
      </w:r>
      <w:r>
        <w:rPr>
          <w:rFonts w:ascii="Garamond" w:hAnsi="Garamond"/>
          <w:sz w:val="20"/>
          <w:szCs w:val="20"/>
          <w:lang w:val="sq-AL"/>
        </w:rPr>
        <w:t>.</w:t>
      </w:r>
    </w:p>
  </w:footnote>
  <w:footnote w:id="24">
    <w:p w14:paraId="249027F9" w14:textId="26884390" w:rsidR="00CB1F64" w:rsidRPr="00F54ECF" w:rsidRDefault="00CB1F64" w:rsidP="009B2661">
      <w:pPr>
        <w:pStyle w:val="NoSpacing"/>
        <w:tabs>
          <w:tab w:val="left" w:pos="180"/>
        </w:tabs>
        <w:adjustRightInd w:val="0"/>
        <w:snapToGrid w:val="0"/>
        <w:jc w:val="both"/>
        <w:rPr>
          <w:rFonts w:ascii="Garamond" w:hAnsi="Garamond"/>
          <w:sz w:val="20"/>
          <w:szCs w:val="20"/>
          <w:lang w:val="sq-AL"/>
        </w:rPr>
      </w:pPr>
      <w:r w:rsidRPr="00F54ECF">
        <w:rPr>
          <w:rStyle w:val="FootnoteReference"/>
          <w:rFonts w:ascii="Garamond" w:hAnsi="Garamond"/>
          <w:sz w:val="20"/>
          <w:szCs w:val="20"/>
          <w:lang w:val="sq-AL"/>
        </w:rPr>
        <w:footnoteRef/>
      </w:r>
      <w:r w:rsidRPr="00F54ECF">
        <w:rPr>
          <w:rFonts w:ascii="Garamond" w:hAnsi="Garamond"/>
          <w:sz w:val="20"/>
          <w:szCs w:val="20"/>
          <w:lang w:val="sq-AL"/>
        </w:rPr>
        <w:t xml:space="preserve">  EU Disability Strategy 2021</w:t>
      </w:r>
      <w:r>
        <w:rPr>
          <w:rFonts w:ascii="Garamond" w:hAnsi="Garamond"/>
          <w:sz w:val="20"/>
          <w:szCs w:val="20"/>
          <w:lang w:val="sq-AL"/>
        </w:rPr>
        <w:t>–</w:t>
      </w:r>
      <w:r w:rsidRPr="00F54ECF">
        <w:rPr>
          <w:rFonts w:ascii="Garamond" w:hAnsi="Garamond"/>
          <w:sz w:val="20"/>
          <w:szCs w:val="20"/>
          <w:lang w:val="sq-AL"/>
        </w:rPr>
        <w:t>2030</w:t>
      </w:r>
      <w:r>
        <w:rPr>
          <w:rFonts w:ascii="Garamond" w:hAnsi="Garamond"/>
          <w:sz w:val="20"/>
          <w:szCs w:val="20"/>
          <w:lang w:val="sq-AL"/>
        </w:rPr>
        <w:t>.</w:t>
      </w:r>
    </w:p>
  </w:footnote>
  <w:footnote w:id="25">
    <w:p w14:paraId="495A537F" w14:textId="77777777" w:rsidR="00CB1F64" w:rsidRPr="00F54ECF" w:rsidRDefault="00CB1F64" w:rsidP="009B2661">
      <w:pPr>
        <w:pStyle w:val="NoSpacing"/>
        <w:tabs>
          <w:tab w:val="left" w:pos="180"/>
        </w:tabs>
        <w:adjustRightInd w:val="0"/>
        <w:snapToGrid w:val="0"/>
        <w:jc w:val="both"/>
        <w:rPr>
          <w:rFonts w:ascii="Garamond" w:hAnsi="Garamond"/>
          <w:sz w:val="20"/>
          <w:szCs w:val="20"/>
          <w:lang w:val="sq-AL"/>
        </w:rPr>
      </w:pPr>
      <w:r w:rsidRPr="00F54ECF">
        <w:rPr>
          <w:rStyle w:val="FootnoteReference"/>
          <w:rFonts w:ascii="Garamond" w:hAnsi="Garamond"/>
          <w:sz w:val="20"/>
          <w:szCs w:val="20"/>
          <w:lang w:val="sq-AL"/>
        </w:rPr>
        <w:footnoteRef/>
      </w:r>
      <w:r w:rsidRPr="00F54ECF">
        <w:rPr>
          <w:rFonts w:ascii="Garamond" w:hAnsi="Garamond"/>
          <w:sz w:val="20"/>
          <w:szCs w:val="20"/>
          <w:lang w:val="sq-AL"/>
        </w:rPr>
        <w:t xml:space="preserve"> </w:t>
      </w:r>
      <w:r w:rsidRPr="00F54ECF">
        <w:rPr>
          <w:rStyle w:val="Strong"/>
          <w:rFonts w:ascii="Garamond" w:hAnsi="Garamond"/>
          <w:b w:val="0"/>
          <w:bCs w:val="0"/>
          <w:sz w:val="20"/>
          <w:szCs w:val="20"/>
          <w:lang w:val="sq-AL"/>
        </w:rPr>
        <w:t>Directive (EU) 2019/882 of the European Parliament and of the Council on accessibility requirements for products and services.</w:t>
      </w:r>
    </w:p>
  </w:footnote>
  <w:footnote w:id="26">
    <w:p w14:paraId="29421963" w14:textId="66430A0B" w:rsidR="00CB1F64" w:rsidRPr="00F54ECF" w:rsidRDefault="00CB1F64" w:rsidP="009B2661">
      <w:pPr>
        <w:tabs>
          <w:tab w:val="left" w:pos="180"/>
        </w:tabs>
        <w:adjustRightInd w:val="0"/>
        <w:snapToGrid w:val="0"/>
        <w:jc w:val="both"/>
        <w:rPr>
          <w:rFonts w:ascii="Garamond" w:hAnsi="Garamond"/>
          <w:sz w:val="20"/>
          <w:szCs w:val="20"/>
        </w:rPr>
      </w:pPr>
      <w:r w:rsidRPr="00F54ECF">
        <w:rPr>
          <w:rFonts w:ascii="Garamond" w:hAnsi="Garamond"/>
          <w:sz w:val="20"/>
          <w:szCs w:val="20"/>
        </w:rPr>
        <w:tab/>
        <w:t>Ligji nr. 93/2014, datë 24.7.2014</w:t>
      </w:r>
      <w:r>
        <w:rPr>
          <w:rFonts w:ascii="Garamond" w:hAnsi="Garamond"/>
          <w:sz w:val="20"/>
          <w:szCs w:val="20"/>
        </w:rPr>
        <w:t>.</w:t>
      </w:r>
      <w:r w:rsidRPr="00F54ECF">
        <w:rPr>
          <w:rFonts w:ascii="Garamond" w:hAnsi="Garamond"/>
          <w:sz w:val="20"/>
          <w:szCs w:val="20"/>
        </w:rPr>
        <w:t xml:space="preserve"> “Për përfshirjen dhe aksesueshmërinë e personave me aftësi të kufizuara”</w:t>
      </w:r>
      <w:r>
        <w:rPr>
          <w:rFonts w:ascii="Garamond" w:hAnsi="Garamond"/>
          <w:sz w:val="20"/>
          <w:szCs w:val="20"/>
        </w:rPr>
        <w:t>.</w:t>
      </w:r>
    </w:p>
    <w:p w14:paraId="67D4B42B" w14:textId="77777777" w:rsidR="00CB1F64" w:rsidRPr="00F54ECF" w:rsidRDefault="00CB1F64" w:rsidP="009B2661">
      <w:pPr>
        <w:pStyle w:val="NoSpacing"/>
        <w:tabs>
          <w:tab w:val="left" w:pos="180"/>
        </w:tabs>
        <w:adjustRightInd w:val="0"/>
        <w:snapToGrid w:val="0"/>
        <w:jc w:val="both"/>
        <w:rPr>
          <w:rFonts w:ascii="Garamond" w:hAnsi="Garamond"/>
          <w:sz w:val="20"/>
          <w:szCs w:val="20"/>
          <w:lang w:val="sq-AL"/>
        </w:rPr>
      </w:pPr>
      <w:r w:rsidRPr="00F54ECF">
        <w:rPr>
          <w:rFonts w:ascii="Garamond" w:eastAsia="Times New Roman" w:hAnsi="Garamond"/>
          <w:sz w:val="20"/>
          <w:szCs w:val="20"/>
          <w:lang w:val="sq-AL"/>
        </w:rPr>
        <w:tab/>
        <w:t>Direktiva (BE) 2016/2102 për aksesueshmërinë e faqeve të internetit dhe aplikacioneve mobile të institucioneve publike.</w:t>
      </w:r>
    </w:p>
  </w:footnote>
  <w:footnote w:id="27">
    <w:p w14:paraId="6610C137" w14:textId="74524D7B" w:rsidR="00CB1F64" w:rsidRPr="00F54ECF" w:rsidRDefault="00CB1F64" w:rsidP="009B2661">
      <w:pPr>
        <w:pStyle w:val="NoSpacing"/>
        <w:tabs>
          <w:tab w:val="left" w:pos="180"/>
        </w:tabs>
        <w:adjustRightInd w:val="0"/>
        <w:snapToGrid w:val="0"/>
        <w:jc w:val="both"/>
        <w:rPr>
          <w:rFonts w:ascii="Garamond" w:hAnsi="Garamond"/>
          <w:sz w:val="20"/>
          <w:szCs w:val="20"/>
          <w:lang w:val="sq-AL"/>
        </w:rPr>
      </w:pPr>
      <w:r w:rsidRPr="00F54ECF">
        <w:rPr>
          <w:rStyle w:val="FootnoteReference"/>
          <w:rFonts w:ascii="Garamond" w:hAnsi="Garamond"/>
          <w:sz w:val="20"/>
          <w:szCs w:val="20"/>
          <w:lang w:val="sq-AL"/>
        </w:rPr>
        <w:footnoteRef/>
      </w:r>
      <w:r w:rsidRPr="00F54ECF">
        <w:rPr>
          <w:rFonts w:ascii="Garamond" w:hAnsi="Garamond"/>
          <w:sz w:val="20"/>
          <w:szCs w:val="20"/>
          <w:lang w:val="sq-AL"/>
        </w:rPr>
        <w:t xml:space="preserve"> Strategjia e Mbrojtjes Sociale/Strategjia e Punësimit, Strategjia e Arsimit</w:t>
      </w:r>
      <w:r>
        <w:rPr>
          <w:rFonts w:ascii="Garamond" w:hAnsi="Garamond"/>
          <w:sz w:val="20"/>
          <w:szCs w:val="20"/>
          <w:lang w:val="sq-AL"/>
        </w:rPr>
        <w:t>.</w:t>
      </w:r>
    </w:p>
  </w:footnote>
  <w:footnote w:id="28">
    <w:p w14:paraId="2BD154E4" w14:textId="558D5DC8" w:rsidR="00CB1F64" w:rsidRPr="00F54ECF" w:rsidRDefault="00CB1F64" w:rsidP="009B2661">
      <w:pPr>
        <w:tabs>
          <w:tab w:val="left" w:pos="180"/>
        </w:tabs>
        <w:adjustRightInd w:val="0"/>
        <w:snapToGrid w:val="0"/>
        <w:jc w:val="both"/>
        <w:rPr>
          <w:rFonts w:ascii="Garamond" w:hAnsi="Garamond"/>
          <w:sz w:val="20"/>
          <w:szCs w:val="20"/>
        </w:rPr>
      </w:pPr>
      <w:r w:rsidRPr="00F54ECF">
        <w:rPr>
          <w:rStyle w:val="FootnoteReference"/>
          <w:rFonts w:ascii="Garamond" w:hAnsi="Garamond"/>
          <w:sz w:val="20"/>
          <w:szCs w:val="20"/>
        </w:rPr>
        <w:footnoteRef/>
      </w:r>
      <w:r w:rsidRPr="00F54ECF">
        <w:rPr>
          <w:rFonts w:ascii="Garamond" w:hAnsi="Garamond"/>
          <w:sz w:val="20"/>
          <w:szCs w:val="20"/>
        </w:rPr>
        <w:t xml:space="preserve"> Ligjin nr. 27/2018</w:t>
      </w:r>
      <w:r>
        <w:rPr>
          <w:rFonts w:ascii="Garamond" w:hAnsi="Garamond"/>
          <w:sz w:val="20"/>
          <w:szCs w:val="20"/>
        </w:rPr>
        <w:t>,</w:t>
      </w:r>
      <w:r w:rsidRPr="00F54ECF">
        <w:rPr>
          <w:rFonts w:ascii="Garamond" w:hAnsi="Garamond"/>
          <w:sz w:val="20"/>
          <w:szCs w:val="20"/>
        </w:rPr>
        <w:t xml:space="preserve"> “Për trashëgiminë kulturore dhe muzetë”.</w:t>
      </w:r>
    </w:p>
    <w:p w14:paraId="18B2769D" w14:textId="77777777" w:rsidR="00CB1F64" w:rsidRPr="00F54ECF" w:rsidRDefault="00CB1F64" w:rsidP="009B2661">
      <w:pPr>
        <w:pStyle w:val="FootnoteText"/>
        <w:tabs>
          <w:tab w:val="left" w:pos="180"/>
        </w:tabs>
        <w:adjustRightInd w:val="0"/>
        <w:snapToGrid w:val="0"/>
        <w:jc w:val="both"/>
        <w:rPr>
          <w:rFonts w:ascii="Garamond" w:hAnsi="Garamond"/>
        </w:rPr>
      </w:pPr>
    </w:p>
  </w:footnote>
  <w:footnote w:id="29">
    <w:p w14:paraId="117D18F7" w14:textId="5E29C323" w:rsidR="00CB1F64" w:rsidRPr="00F54ECF" w:rsidRDefault="00CB1F64" w:rsidP="009B2661">
      <w:pPr>
        <w:pStyle w:val="FootnoteText"/>
        <w:tabs>
          <w:tab w:val="left" w:pos="180"/>
        </w:tabs>
        <w:adjustRightInd w:val="0"/>
        <w:snapToGrid w:val="0"/>
        <w:jc w:val="both"/>
        <w:rPr>
          <w:rFonts w:ascii="Garamond" w:hAnsi="Garamond"/>
        </w:rPr>
      </w:pPr>
      <w:r w:rsidRPr="00F54ECF">
        <w:rPr>
          <w:rStyle w:val="FootnoteReference"/>
          <w:rFonts w:ascii="Garamond" w:hAnsi="Garamond"/>
        </w:rPr>
        <w:footnoteRef/>
      </w:r>
      <w:r w:rsidRPr="00F54ECF">
        <w:rPr>
          <w:rFonts w:ascii="Garamond" w:hAnsi="Garamond"/>
        </w:rPr>
        <w:t xml:space="preserve"> European Union standards on the rights of passengers </w:t>
      </w:r>
      <w:r>
        <w:rPr>
          <w:rFonts w:ascii="Garamond" w:hAnsi="Garamond"/>
        </w:rPr>
        <w:t>w</w:t>
      </w:r>
      <w:r w:rsidRPr="00F54ECF">
        <w:rPr>
          <w:rFonts w:ascii="Garamond" w:hAnsi="Garamond"/>
        </w:rPr>
        <w:t>ith disabilities</w:t>
      </w:r>
      <w:r>
        <w:rPr>
          <w:rFonts w:ascii="Garamond" w:hAnsi="Garamond"/>
        </w:rPr>
        <w:t>.</w:t>
      </w:r>
    </w:p>
  </w:footnote>
  <w:footnote w:id="30">
    <w:p w14:paraId="07336A7D" w14:textId="3681099B" w:rsidR="00CB1F64" w:rsidRPr="00F54ECF" w:rsidRDefault="00CB1F64" w:rsidP="009B2661">
      <w:pPr>
        <w:pStyle w:val="NormalWeb"/>
        <w:tabs>
          <w:tab w:val="left" w:pos="180"/>
        </w:tabs>
        <w:adjustRightInd w:val="0"/>
        <w:snapToGrid w:val="0"/>
        <w:spacing w:before="0" w:beforeAutospacing="0" w:after="0" w:afterAutospacing="0"/>
        <w:jc w:val="both"/>
        <w:rPr>
          <w:rFonts w:ascii="Garamond" w:hAnsi="Garamond"/>
          <w:sz w:val="20"/>
          <w:szCs w:val="20"/>
          <w:lang w:val="sq-AL"/>
        </w:rPr>
      </w:pPr>
      <w:r w:rsidRPr="00F54ECF">
        <w:rPr>
          <w:rStyle w:val="FootnoteReference"/>
          <w:rFonts w:ascii="Garamond" w:hAnsi="Garamond"/>
          <w:sz w:val="20"/>
          <w:szCs w:val="20"/>
          <w:lang w:val="sq-AL"/>
        </w:rPr>
        <w:footnoteRef/>
      </w:r>
      <w:r w:rsidRPr="00F54ECF">
        <w:rPr>
          <w:rFonts w:ascii="Garamond" w:hAnsi="Garamond"/>
          <w:sz w:val="20"/>
          <w:szCs w:val="20"/>
          <w:lang w:val="sq-AL"/>
        </w:rPr>
        <w:t xml:space="preserve"> </w:t>
      </w:r>
      <w:r w:rsidRPr="00F54ECF">
        <w:rPr>
          <w:rStyle w:val="Strong"/>
          <w:rFonts w:ascii="Garamond" w:hAnsi="Garamond"/>
          <w:b w:val="0"/>
          <w:bCs w:val="0"/>
          <w:sz w:val="20"/>
          <w:szCs w:val="20"/>
          <w:lang w:val="sq-AL"/>
        </w:rPr>
        <w:t>International standards for ëeb accessibility</w:t>
      </w:r>
      <w:r>
        <w:rPr>
          <w:rStyle w:val="Strong"/>
          <w:rFonts w:ascii="Garamond" w:hAnsi="Garamond"/>
          <w:b w:val="0"/>
          <w:bCs w:val="0"/>
          <w:sz w:val="20"/>
          <w:szCs w:val="20"/>
          <w:lang w:val="sq-AL"/>
        </w:rPr>
        <w:t>/W</w:t>
      </w:r>
      <w:r w:rsidRPr="00F54ECF">
        <w:rPr>
          <w:rStyle w:val="Strong"/>
          <w:rFonts w:ascii="Garamond" w:hAnsi="Garamond"/>
          <w:b w:val="0"/>
          <w:bCs w:val="0"/>
          <w:sz w:val="20"/>
          <w:szCs w:val="20"/>
          <w:lang w:val="sq-AL"/>
        </w:rPr>
        <w:t>CAG (</w:t>
      </w:r>
      <w:r>
        <w:rPr>
          <w:rStyle w:val="Strong"/>
          <w:rFonts w:ascii="Garamond" w:hAnsi="Garamond"/>
          <w:b w:val="0"/>
          <w:bCs w:val="0"/>
          <w:sz w:val="20"/>
          <w:szCs w:val="20"/>
          <w:lang w:val="sq-AL"/>
        </w:rPr>
        <w:t>W</w:t>
      </w:r>
      <w:r w:rsidRPr="00F54ECF">
        <w:rPr>
          <w:rStyle w:val="Strong"/>
          <w:rFonts w:ascii="Garamond" w:hAnsi="Garamond"/>
          <w:b w:val="0"/>
          <w:bCs w:val="0"/>
          <w:sz w:val="20"/>
          <w:szCs w:val="20"/>
          <w:lang w:val="sq-AL"/>
        </w:rPr>
        <w:t>eb Content Accessibility Guidelines)</w:t>
      </w:r>
      <w:r>
        <w:rPr>
          <w:rStyle w:val="Strong"/>
          <w:rFonts w:ascii="Garamond" w:hAnsi="Garamond"/>
          <w:b w:val="0"/>
          <w:bCs w:val="0"/>
          <w:sz w:val="20"/>
          <w:szCs w:val="20"/>
          <w:lang w:val="sq-AL"/>
        </w:rPr>
        <w:t>.</w:t>
      </w:r>
      <w:r w:rsidRPr="00F54ECF">
        <w:rPr>
          <w:rFonts w:ascii="Garamond" w:hAnsi="Garamond"/>
          <w:sz w:val="20"/>
          <w:szCs w:val="20"/>
          <w:lang w:val="sq-AL"/>
        </w:rPr>
        <w:t xml:space="preserve"> </w:t>
      </w:r>
    </w:p>
    <w:p w14:paraId="5A88FE12" w14:textId="77777777" w:rsidR="00CB1F64" w:rsidRPr="00F54ECF" w:rsidRDefault="00CB1F64" w:rsidP="009B2661">
      <w:pPr>
        <w:pStyle w:val="FootnoteText"/>
        <w:tabs>
          <w:tab w:val="left" w:pos="180"/>
        </w:tabs>
        <w:adjustRightInd w:val="0"/>
        <w:snapToGrid w:val="0"/>
        <w:jc w:val="both"/>
        <w:rPr>
          <w:rFonts w:ascii="Garamond" w:hAnsi="Garamond"/>
        </w:rPr>
      </w:pPr>
    </w:p>
  </w:footnote>
  <w:footnote w:id="31">
    <w:p w14:paraId="5487EF60" w14:textId="2B2A4B44" w:rsidR="00CB1F64" w:rsidRPr="00F54ECF" w:rsidRDefault="00CB1F64" w:rsidP="009B2661">
      <w:pPr>
        <w:pStyle w:val="FootnoteText"/>
        <w:tabs>
          <w:tab w:val="left" w:pos="180"/>
        </w:tabs>
        <w:adjustRightInd w:val="0"/>
        <w:snapToGrid w:val="0"/>
        <w:jc w:val="both"/>
        <w:rPr>
          <w:rFonts w:ascii="Garamond" w:hAnsi="Garamond"/>
        </w:rPr>
      </w:pPr>
      <w:r w:rsidRPr="00F54ECF">
        <w:rPr>
          <w:rStyle w:val="FootnoteReference"/>
          <w:rFonts w:ascii="Garamond" w:hAnsi="Garamond"/>
        </w:rPr>
        <w:footnoteRef/>
      </w:r>
      <w:r w:rsidRPr="00F54ECF">
        <w:rPr>
          <w:rFonts w:ascii="Garamond" w:hAnsi="Garamond"/>
        </w:rPr>
        <w:t xml:space="preserve"> </w:t>
      </w:r>
      <w:r w:rsidRPr="00F54ECF">
        <w:rPr>
          <w:rStyle w:val="Strong"/>
          <w:rFonts w:ascii="Garamond" w:hAnsi="Garamond"/>
          <w:b w:val="0"/>
          <w:bCs w:val="0"/>
        </w:rPr>
        <w:t>Ligji nr. 108/2012</w:t>
      </w:r>
      <w:r w:rsidRPr="00F54ECF">
        <w:rPr>
          <w:rFonts w:ascii="Garamond" w:hAnsi="Garamond"/>
        </w:rPr>
        <w:t>, datë 15.11.2012</w:t>
      </w:r>
      <w:r>
        <w:rPr>
          <w:rFonts w:ascii="Garamond" w:hAnsi="Garamond"/>
        </w:rPr>
        <w:t>,</w:t>
      </w:r>
      <w:r w:rsidRPr="00F54ECF">
        <w:rPr>
          <w:rFonts w:ascii="Garamond" w:hAnsi="Garamond"/>
        </w:rPr>
        <w:t xml:space="preserve"> “Për ratifikimin e Konventës së Kombeve të Bashkuara për të Drejtat e Personave me Aftësi të Kufizuara”</w:t>
      </w:r>
      <w:r>
        <w:rPr>
          <w:rFonts w:ascii="Garamond" w:hAnsi="Garamond"/>
        </w:rPr>
        <w:t>.</w:t>
      </w:r>
    </w:p>
  </w:footnote>
  <w:footnote w:id="32">
    <w:p w14:paraId="39B8823E" w14:textId="77777777" w:rsidR="00CB1F64" w:rsidRPr="00F54ECF" w:rsidRDefault="00CB1F64" w:rsidP="009B2661">
      <w:pPr>
        <w:pStyle w:val="FootnoteText"/>
        <w:tabs>
          <w:tab w:val="left" w:pos="180"/>
        </w:tabs>
        <w:adjustRightInd w:val="0"/>
        <w:snapToGrid w:val="0"/>
        <w:jc w:val="both"/>
        <w:rPr>
          <w:rFonts w:ascii="Garamond" w:hAnsi="Garamond"/>
        </w:rPr>
      </w:pPr>
      <w:r w:rsidRPr="00F54ECF">
        <w:rPr>
          <w:rStyle w:val="FootnoteReference"/>
          <w:rFonts w:ascii="Garamond" w:hAnsi="Garamond"/>
        </w:rPr>
        <w:footnoteRef/>
      </w:r>
      <w:r w:rsidRPr="00F54ECF">
        <w:rPr>
          <w:rFonts w:ascii="Garamond" w:hAnsi="Garamond"/>
        </w:rPr>
        <w:t xml:space="preserve"> </w:t>
      </w:r>
      <w:r w:rsidRPr="00F54ECF">
        <w:rPr>
          <w:rFonts w:ascii="Garamond" w:hAnsi="Garamond"/>
          <w:shd w:val="clear" w:color="auto" w:fill="FFFFFF"/>
        </w:rPr>
        <w:t>Initial report submitted by Albania under article 35 of the Convention, due in 2014</w:t>
      </w:r>
      <w:r>
        <w:rPr>
          <w:rFonts w:ascii="Garamond" w:hAnsi="Garamond"/>
          <w:shd w:val="clear" w:color="auto" w:fill="FFFFFF"/>
        </w:rPr>
        <w:t>.</w:t>
      </w:r>
    </w:p>
  </w:footnote>
  <w:footnote w:id="33">
    <w:p w14:paraId="0A9B6BB9" w14:textId="3F07AEF2" w:rsidR="00CB1F64" w:rsidRPr="00F54ECF" w:rsidRDefault="00CB1F64" w:rsidP="009B2661">
      <w:pPr>
        <w:pStyle w:val="FootnoteText"/>
        <w:tabs>
          <w:tab w:val="left" w:pos="180"/>
        </w:tabs>
        <w:adjustRightInd w:val="0"/>
        <w:snapToGrid w:val="0"/>
        <w:jc w:val="both"/>
        <w:rPr>
          <w:rFonts w:ascii="Garamond" w:hAnsi="Garamond"/>
        </w:rPr>
      </w:pPr>
      <w:r w:rsidRPr="00F54ECF">
        <w:rPr>
          <w:rStyle w:val="FootnoteReference"/>
          <w:rFonts w:ascii="Garamond" w:hAnsi="Garamond"/>
        </w:rPr>
        <w:footnoteRef/>
      </w:r>
      <w:r w:rsidRPr="00F54ECF">
        <w:rPr>
          <w:rFonts w:ascii="Garamond" w:hAnsi="Garamond"/>
        </w:rPr>
        <w:t xml:space="preserve"> EU Strategy for the Rights of Persons ëith Disabilities 2021</w:t>
      </w:r>
      <w:r>
        <w:rPr>
          <w:rFonts w:ascii="Garamond" w:hAnsi="Garamond"/>
        </w:rPr>
        <w:t>–</w:t>
      </w:r>
      <w:r w:rsidRPr="00F54ECF">
        <w:rPr>
          <w:rFonts w:ascii="Garamond" w:hAnsi="Garamond"/>
        </w:rPr>
        <w:t>2030</w:t>
      </w:r>
      <w:r>
        <w:rPr>
          <w:rFonts w:ascii="Garamond" w:hAnsi="Garamond"/>
        </w:rPr>
        <w:t>.</w:t>
      </w:r>
    </w:p>
  </w:footnote>
  <w:footnote w:id="34">
    <w:p w14:paraId="07805DF8" w14:textId="24CF4DB0" w:rsidR="00CB1F64" w:rsidRPr="00F54ECF" w:rsidRDefault="00CB1F64" w:rsidP="009B2661">
      <w:pPr>
        <w:pStyle w:val="FootnoteText"/>
        <w:tabs>
          <w:tab w:val="left" w:pos="180"/>
        </w:tabs>
        <w:adjustRightInd w:val="0"/>
        <w:snapToGrid w:val="0"/>
        <w:jc w:val="both"/>
        <w:rPr>
          <w:rFonts w:ascii="Garamond" w:hAnsi="Garamond"/>
        </w:rPr>
      </w:pPr>
      <w:r w:rsidRPr="00F54ECF">
        <w:rPr>
          <w:rStyle w:val="FootnoteReference"/>
          <w:rFonts w:ascii="Garamond" w:hAnsi="Garamond"/>
        </w:rPr>
        <w:footnoteRef/>
      </w:r>
      <w:r w:rsidRPr="00F54ECF">
        <w:rPr>
          <w:rFonts w:ascii="Garamond" w:hAnsi="Garamond"/>
        </w:rPr>
        <w:t xml:space="preserve"> The </w:t>
      </w:r>
      <w:r w:rsidRPr="00F54ECF">
        <w:rPr>
          <w:rStyle w:val="Strong"/>
          <w:rFonts w:ascii="Garamond" w:hAnsi="Garamond"/>
          <w:b w:val="0"/>
          <w:bCs w:val="0"/>
        </w:rPr>
        <w:t>European Pillar of Social Rights (EPSR)</w:t>
      </w:r>
      <w:r>
        <w:rPr>
          <w:rStyle w:val="Strong"/>
          <w:rFonts w:ascii="Garamond" w:hAnsi="Garamond"/>
          <w:b w:val="0"/>
          <w:bCs w:val="0"/>
        </w:rPr>
        <w:t>.</w:t>
      </w:r>
      <w:r w:rsidRPr="00F54ECF">
        <w:rPr>
          <w:rFonts w:ascii="Garamond" w:hAnsi="Garamond"/>
        </w:rPr>
        <w:t xml:space="preserve"> </w:t>
      </w:r>
    </w:p>
  </w:footnote>
  <w:footnote w:id="35">
    <w:p w14:paraId="62A1AAB0" w14:textId="3FFF9440" w:rsidR="00CB1F64" w:rsidRPr="00F54ECF" w:rsidRDefault="00CB1F64" w:rsidP="009B2661">
      <w:pPr>
        <w:pStyle w:val="FootnoteText"/>
        <w:tabs>
          <w:tab w:val="left" w:pos="180"/>
        </w:tabs>
        <w:adjustRightInd w:val="0"/>
        <w:snapToGrid w:val="0"/>
        <w:jc w:val="both"/>
        <w:rPr>
          <w:rFonts w:ascii="Garamond" w:hAnsi="Garamond"/>
        </w:rPr>
      </w:pPr>
      <w:r w:rsidRPr="00F54ECF">
        <w:rPr>
          <w:rStyle w:val="FootnoteReference"/>
          <w:rFonts w:ascii="Garamond" w:hAnsi="Garamond"/>
        </w:rPr>
        <w:t>5</w:t>
      </w:r>
      <w:r w:rsidRPr="00F54ECF">
        <w:rPr>
          <w:rFonts w:ascii="Garamond" w:hAnsi="Garamond"/>
        </w:rPr>
        <w:t xml:space="preserve"> </w:t>
      </w:r>
      <w:r w:rsidRPr="00F54ECF">
        <w:rPr>
          <w:rStyle w:val="Strong"/>
          <w:rFonts w:ascii="Garamond" w:hAnsi="Garamond"/>
          <w:b w:val="0"/>
          <w:bCs w:val="0"/>
        </w:rPr>
        <w:t>VKM nr</w:t>
      </w:r>
      <w:r w:rsidRPr="00F54ECF">
        <w:rPr>
          <w:rStyle w:val="Strong"/>
          <w:rFonts w:ascii="Garamond" w:hAnsi="Garamond"/>
          <w:b w:val="0"/>
          <w:bCs w:val="0"/>
          <w:shd w:val="clear" w:color="auto" w:fill="FFFFFF"/>
        </w:rPr>
        <w:t>. 88/2023, datë 22.2.2023</w:t>
      </w:r>
      <w:r>
        <w:rPr>
          <w:rStyle w:val="Strong"/>
          <w:rFonts w:ascii="Garamond" w:hAnsi="Garamond"/>
          <w:b w:val="0"/>
          <w:bCs w:val="0"/>
          <w:shd w:val="clear" w:color="auto" w:fill="FFFFFF"/>
        </w:rPr>
        <w:t>,</w:t>
      </w:r>
      <w:r w:rsidRPr="00F54ECF">
        <w:rPr>
          <w:rStyle w:val="Strong"/>
          <w:rFonts w:ascii="Garamond" w:hAnsi="Garamond"/>
          <w:b w:val="0"/>
          <w:bCs w:val="0"/>
        </w:rPr>
        <w:t xml:space="preserve"> </w:t>
      </w:r>
      <w:r w:rsidRPr="00F54ECF">
        <w:rPr>
          <w:rFonts w:ascii="Garamond" w:hAnsi="Garamond"/>
        </w:rPr>
        <w:t>“Për miratimin e Strategjisë Kombëtare për Zhvillim dhe Integrim 2022</w:t>
      </w:r>
      <w:r>
        <w:rPr>
          <w:rFonts w:ascii="Garamond" w:hAnsi="Garamond"/>
        </w:rPr>
        <w:t>–</w:t>
      </w:r>
      <w:r w:rsidRPr="00F54ECF">
        <w:rPr>
          <w:rFonts w:ascii="Garamond" w:hAnsi="Garamond"/>
        </w:rPr>
        <w:t xml:space="preserve">2030” </w:t>
      </w:r>
      <w:hyperlink r:id="rId1" w:history="1">
        <w:r w:rsidRPr="00F54ECF">
          <w:rPr>
            <w:rStyle w:val="Hyperlink"/>
            <w:rFonts w:ascii="Garamond" w:hAnsi="Garamond"/>
            <w:shd w:val="clear" w:color="auto" w:fill="FFFFFF"/>
          </w:rPr>
          <w:t>https://www.kryeministria.al/strategjia-kombetare-per-zhvillim-dhe-integrim-evropian-skzhie/</w:t>
        </w:r>
      </w:hyperlink>
      <w:r w:rsidRPr="00F54ECF">
        <w:rPr>
          <w:rFonts w:ascii="Garamond" w:hAnsi="Garamond"/>
        </w:rPr>
        <w:t xml:space="preserve"> </w:t>
      </w:r>
    </w:p>
  </w:footnote>
  <w:footnote w:id="36">
    <w:p w14:paraId="6F1E1998" w14:textId="63EF11DA" w:rsidR="00CB1F64" w:rsidRPr="00F54ECF" w:rsidRDefault="00CB1F64" w:rsidP="009B2661">
      <w:pPr>
        <w:pStyle w:val="FootnoteText"/>
        <w:tabs>
          <w:tab w:val="left" w:pos="180"/>
        </w:tabs>
        <w:adjustRightInd w:val="0"/>
        <w:snapToGrid w:val="0"/>
        <w:jc w:val="both"/>
        <w:rPr>
          <w:rFonts w:ascii="Garamond" w:hAnsi="Garamond"/>
        </w:rPr>
      </w:pPr>
      <w:r w:rsidRPr="00F54ECF">
        <w:rPr>
          <w:rStyle w:val="FootnoteReference"/>
          <w:rFonts w:ascii="Garamond" w:hAnsi="Garamond"/>
        </w:rPr>
        <w:footnoteRef/>
      </w:r>
      <w:r w:rsidRPr="00F54ECF">
        <w:rPr>
          <w:rFonts w:ascii="Garamond" w:hAnsi="Garamond"/>
        </w:rPr>
        <w:t xml:space="preserve"> </w:t>
      </w:r>
      <w:r w:rsidRPr="00F54ECF">
        <w:rPr>
          <w:rStyle w:val="Strong"/>
          <w:rFonts w:ascii="Garamond" w:hAnsi="Garamond"/>
          <w:b w:val="0"/>
          <w:bCs w:val="0"/>
        </w:rPr>
        <w:t>VKM nr. 823, datë 24.12.2021,</w:t>
      </w:r>
      <w:r w:rsidRPr="00F54ECF">
        <w:rPr>
          <w:rFonts w:ascii="Garamond" w:hAnsi="Garamond"/>
        </w:rPr>
        <w:t xml:space="preserve"> “Për miratimin e Strategjisë Ndërsektoriale të Drejtësisë 2024</w:t>
      </w:r>
      <w:r>
        <w:rPr>
          <w:rFonts w:ascii="Garamond" w:hAnsi="Garamond"/>
        </w:rPr>
        <w:t>–</w:t>
      </w:r>
      <w:r w:rsidRPr="00F54ECF">
        <w:rPr>
          <w:rFonts w:ascii="Garamond" w:hAnsi="Garamond"/>
        </w:rPr>
        <w:t xml:space="preserve">2030 dhe Planit të Veprimit për zbatimin e saj” </w:t>
      </w:r>
      <w:hyperlink r:id="rId2" w:history="1">
        <w:r w:rsidRPr="00E4034B">
          <w:rPr>
            <w:rStyle w:val="Hyperlink"/>
            <w:rFonts w:ascii="Garamond" w:hAnsi="Garamond"/>
          </w:rPr>
          <w:t>https://www.drejtesia.gov.al/plani-i-veprimit-te-strategjise-ndersektoriale-te-drejtesise</w:t>
        </w:r>
      </w:hyperlink>
      <w:r>
        <w:rPr>
          <w:rStyle w:val="Hyperlink"/>
          <w:rFonts w:ascii="Garamond" w:hAnsi="Garamond"/>
          <w:color w:val="auto"/>
          <w:u w:val="none"/>
        </w:rPr>
        <w:t>/</w:t>
      </w:r>
      <w:r w:rsidRPr="00F54ECF">
        <w:rPr>
          <w:rStyle w:val="Hyperlink"/>
          <w:rFonts w:ascii="Garamond" w:hAnsi="Garamond"/>
          <w:color w:val="auto"/>
          <w:u w:val="none"/>
        </w:rPr>
        <w:t xml:space="preserve"> </w:t>
      </w:r>
      <w:r w:rsidRPr="00F54ECF">
        <w:rPr>
          <w:rStyle w:val="Strong"/>
          <w:rFonts w:ascii="Garamond" w:hAnsi="Garamond"/>
          <w:b w:val="0"/>
          <w:bCs w:val="0"/>
        </w:rPr>
        <w:t xml:space="preserve"> </w:t>
      </w:r>
    </w:p>
  </w:footnote>
  <w:footnote w:id="37">
    <w:p w14:paraId="70C8DF7E" w14:textId="74392F31" w:rsidR="00CB1F64" w:rsidRPr="00F54ECF" w:rsidRDefault="00CB1F64" w:rsidP="009B2661">
      <w:pPr>
        <w:pStyle w:val="FootnoteText"/>
        <w:tabs>
          <w:tab w:val="left" w:pos="180"/>
        </w:tabs>
        <w:adjustRightInd w:val="0"/>
        <w:snapToGrid w:val="0"/>
        <w:jc w:val="both"/>
        <w:rPr>
          <w:rFonts w:ascii="Garamond" w:hAnsi="Garamond"/>
        </w:rPr>
      </w:pPr>
      <w:r w:rsidRPr="00F54ECF">
        <w:rPr>
          <w:rStyle w:val="FootnoteReference"/>
          <w:rFonts w:ascii="Garamond" w:hAnsi="Garamond"/>
        </w:rPr>
        <w:footnoteRef/>
      </w:r>
      <w:r w:rsidRPr="00F54ECF">
        <w:rPr>
          <w:rFonts w:ascii="Garamond" w:hAnsi="Garamond"/>
        </w:rPr>
        <w:t xml:space="preserve"> </w:t>
      </w:r>
      <w:hyperlink r:id="rId3" w:history="1">
        <w:r w:rsidRPr="00E4034B">
          <w:rPr>
            <w:rStyle w:val="Hyperlink"/>
            <w:rFonts w:ascii="Garamond" w:hAnsi="Garamond"/>
          </w:rPr>
          <w:t>https://medialook.al/wp-content/uploads/2024/01/Plani-i-Veprimit-per-Shendetin-Mendor-2023-2026.pdf</w:t>
        </w:r>
      </w:hyperlink>
      <w:r w:rsidRPr="00F54ECF">
        <w:rPr>
          <w:rFonts w:ascii="Garamond" w:hAnsi="Garamond"/>
        </w:rPr>
        <w:t xml:space="preserve"> </w:t>
      </w:r>
    </w:p>
    <w:p w14:paraId="6532C79A" w14:textId="77777777" w:rsidR="00CB1F64" w:rsidRPr="00F54ECF" w:rsidRDefault="00CB1F64" w:rsidP="009B2661">
      <w:pPr>
        <w:pStyle w:val="FootnoteText"/>
        <w:tabs>
          <w:tab w:val="left" w:pos="180"/>
        </w:tabs>
        <w:adjustRightInd w:val="0"/>
        <w:snapToGrid w:val="0"/>
        <w:jc w:val="both"/>
        <w:rPr>
          <w:rFonts w:ascii="Garamond" w:hAnsi="Garamond"/>
        </w:rPr>
      </w:pPr>
    </w:p>
  </w:footnote>
  <w:footnote w:id="38">
    <w:p w14:paraId="68204F43" w14:textId="43CF574C" w:rsidR="00CB1F64" w:rsidRPr="00F54ECF" w:rsidRDefault="00CB1F64" w:rsidP="009B2661">
      <w:pPr>
        <w:pStyle w:val="FootnoteText"/>
        <w:tabs>
          <w:tab w:val="left" w:pos="180"/>
        </w:tabs>
        <w:adjustRightInd w:val="0"/>
        <w:snapToGrid w:val="0"/>
        <w:jc w:val="both"/>
        <w:rPr>
          <w:rFonts w:ascii="Garamond" w:hAnsi="Garamond"/>
        </w:rPr>
      </w:pPr>
      <w:r w:rsidRPr="00F54ECF">
        <w:rPr>
          <w:rStyle w:val="FootnoteReference"/>
          <w:rFonts w:ascii="Garamond" w:hAnsi="Garamond"/>
        </w:rPr>
        <w:footnoteRef/>
      </w:r>
      <w:r w:rsidRPr="00F54ECF">
        <w:rPr>
          <w:rFonts w:ascii="Garamond" w:hAnsi="Garamond"/>
        </w:rPr>
        <w:t xml:space="preserve"> </w:t>
      </w:r>
      <w:r w:rsidRPr="00F54ECF">
        <w:rPr>
          <w:rStyle w:val="Strong"/>
          <w:rFonts w:ascii="Garamond" w:hAnsi="Garamond"/>
          <w:b w:val="0"/>
          <w:bCs w:val="0"/>
        </w:rPr>
        <w:t>Ligji nr. 108/2012</w:t>
      </w:r>
      <w:r w:rsidRPr="00F54ECF">
        <w:rPr>
          <w:rFonts w:ascii="Garamond" w:hAnsi="Garamond"/>
        </w:rPr>
        <w:t>, datë 15.11.2012</w:t>
      </w:r>
      <w:r>
        <w:rPr>
          <w:rFonts w:ascii="Garamond" w:hAnsi="Garamond"/>
        </w:rPr>
        <w:t>,</w:t>
      </w:r>
      <w:r w:rsidRPr="00F54ECF">
        <w:rPr>
          <w:rFonts w:ascii="Garamond" w:hAnsi="Garamond"/>
        </w:rPr>
        <w:t xml:space="preserve"> “Për ratifikimin e Konventës së Kombeve të Bashkuara për të Drejtat e Personave me Aftësi të Kufizuara”</w:t>
      </w:r>
      <w:r>
        <w:rPr>
          <w:rFonts w:ascii="Garamond" w:hAnsi="Garamond"/>
        </w:rPr>
        <w:t>.</w:t>
      </w:r>
    </w:p>
  </w:footnote>
  <w:footnote w:id="39">
    <w:p w14:paraId="3A8DA1E5" w14:textId="1AF27BEE" w:rsidR="00CB1F64" w:rsidRPr="00F54ECF" w:rsidRDefault="00CB1F64" w:rsidP="009B2661">
      <w:pPr>
        <w:pStyle w:val="FootnoteText"/>
        <w:tabs>
          <w:tab w:val="left" w:pos="180"/>
        </w:tabs>
        <w:adjustRightInd w:val="0"/>
        <w:snapToGrid w:val="0"/>
        <w:jc w:val="both"/>
        <w:rPr>
          <w:rFonts w:ascii="Garamond" w:hAnsi="Garamond"/>
        </w:rPr>
      </w:pPr>
      <w:r w:rsidRPr="00F54ECF">
        <w:rPr>
          <w:rStyle w:val="FootnoteReference"/>
          <w:rFonts w:ascii="Garamond" w:hAnsi="Garamond"/>
        </w:rPr>
        <w:footnoteRef/>
      </w:r>
      <w:r w:rsidRPr="00F54ECF">
        <w:rPr>
          <w:rFonts w:ascii="Garamond" w:hAnsi="Garamond"/>
        </w:rPr>
        <w:t xml:space="preserve"> EU Strategy for the Rights of Persons with Disabilities 2021</w:t>
      </w:r>
      <w:r>
        <w:rPr>
          <w:rFonts w:ascii="Garamond" w:hAnsi="Garamond"/>
        </w:rPr>
        <w:t>–</w:t>
      </w:r>
      <w:r w:rsidRPr="00F54ECF">
        <w:rPr>
          <w:rFonts w:ascii="Garamond" w:hAnsi="Garamond"/>
        </w:rPr>
        <w:t>2030</w:t>
      </w:r>
      <w:r>
        <w:rPr>
          <w:rFonts w:ascii="Garamond" w:hAnsi="Garamond"/>
        </w:rPr>
        <w:t>.</w:t>
      </w:r>
    </w:p>
  </w:footnote>
  <w:footnote w:id="40">
    <w:p w14:paraId="66889EE3" w14:textId="43B8FFB4" w:rsidR="00CB1F64" w:rsidRPr="00F54ECF" w:rsidRDefault="00CB1F64" w:rsidP="009B2661">
      <w:pPr>
        <w:pStyle w:val="FootnoteText"/>
        <w:tabs>
          <w:tab w:val="left" w:pos="180"/>
        </w:tabs>
        <w:adjustRightInd w:val="0"/>
        <w:snapToGrid w:val="0"/>
        <w:jc w:val="both"/>
        <w:rPr>
          <w:rFonts w:ascii="Garamond" w:hAnsi="Garamond"/>
        </w:rPr>
      </w:pPr>
      <w:r w:rsidRPr="00F54ECF">
        <w:rPr>
          <w:rStyle w:val="FootnoteReference"/>
          <w:rFonts w:ascii="Garamond" w:hAnsi="Garamond"/>
        </w:rPr>
        <w:footnoteRef/>
      </w:r>
      <w:r w:rsidRPr="00F54ECF">
        <w:rPr>
          <w:rFonts w:ascii="Garamond" w:hAnsi="Garamond"/>
        </w:rPr>
        <w:t xml:space="preserve"> The </w:t>
      </w:r>
      <w:r w:rsidRPr="00F54ECF">
        <w:rPr>
          <w:rStyle w:val="Strong"/>
          <w:rFonts w:ascii="Garamond" w:hAnsi="Garamond"/>
          <w:b w:val="0"/>
          <w:bCs w:val="0"/>
        </w:rPr>
        <w:t>European Pillar of Social Rights (EPSR)</w:t>
      </w:r>
      <w:r>
        <w:rPr>
          <w:rStyle w:val="Strong"/>
          <w:rFonts w:ascii="Garamond" w:hAnsi="Garamond"/>
          <w:b w:val="0"/>
          <w:bCs w:val="0"/>
        </w:rPr>
        <w:t>.</w:t>
      </w:r>
    </w:p>
  </w:footnote>
  <w:footnote w:id="41">
    <w:p w14:paraId="22445C5C" w14:textId="2B366E5D" w:rsidR="00CB1F64" w:rsidRPr="00F54ECF" w:rsidRDefault="00CB1F64" w:rsidP="009B2661">
      <w:pPr>
        <w:pStyle w:val="FootnoteText"/>
        <w:tabs>
          <w:tab w:val="left" w:pos="180"/>
        </w:tabs>
        <w:adjustRightInd w:val="0"/>
        <w:snapToGrid w:val="0"/>
        <w:jc w:val="both"/>
        <w:rPr>
          <w:rFonts w:ascii="Garamond" w:hAnsi="Garamond"/>
        </w:rPr>
      </w:pPr>
      <w:r w:rsidRPr="00F54ECF">
        <w:rPr>
          <w:rStyle w:val="FootnoteReference"/>
          <w:rFonts w:ascii="Garamond" w:hAnsi="Garamond"/>
        </w:rPr>
        <w:footnoteRef/>
      </w:r>
      <w:r w:rsidRPr="00F54ECF">
        <w:rPr>
          <w:rFonts w:ascii="Garamond" w:hAnsi="Garamond"/>
        </w:rPr>
        <w:t xml:space="preserve"> EU </w:t>
      </w:r>
      <w:r w:rsidRPr="00F54ECF">
        <w:rPr>
          <w:rFonts w:ascii="Garamond" w:eastAsia="Times New Roman" w:hAnsi="Garamond"/>
        </w:rPr>
        <w:t>Disability Employment Package</w:t>
      </w:r>
      <w:r>
        <w:rPr>
          <w:rFonts w:ascii="Garamond" w:eastAsia="Times New Roman" w:hAnsi="Garamond"/>
        </w:rPr>
        <w:t>.</w:t>
      </w:r>
    </w:p>
  </w:footnote>
  <w:footnote w:id="42">
    <w:p w14:paraId="3397EC7F" w14:textId="6234B4AF" w:rsidR="00CB1F64" w:rsidRPr="00F54ECF" w:rsidRDefault="00CB1F64" w:rsidP="009B2661">
      <w:pPr>
        <w:pStyle w:val="FootnoteText"/>
        <w:tabs>
          <w:tab w:val="left" w:pos="180"/>
        </w:tabs>
        <w:adjustRightInd w:val="0"/>
        <w:snapToGrid w:val="0"/>
        <w:jc w:val="both"/>
        <w:rPr>
          <w:rFonts w:ascii="Garamond" w:hAnsi="Garamond"/>
        </w:rPr>
      </w:pPr>
      <w:r w:rsidRPr="00F54ECF">
        <w:rPr>
          <w:rStyle w:val="FootnoteReference"/>
          <w:rFonts w:ascii="Garamond" w:hAnsi="Garamond"/>
        </w:rPr>
        <w:footnoteRef/>
      </w:r>
      <w:r w:rsidRPr="00F54ECF">
        <w:rPr>
          <w:rFonts w:ascii="Garamond" w:hAnsi="Garamond"/>
        </w:rPr>
        <w:t xml:space="preserve"> The </w:t>
      </w:r>
      <w:r w:rsidRPr="00F54ECF">
        <w:rPr>
          <w:rStyle w:val="Strong"/>
          <w:rFonts w:ascii="Garamond" w:hAnsi="Garamond"/>
          <w:b w:val="0"/>
          <w:bCs w:val="0"/>
        </w:rPr>
        <w:t>Sustainable Development Goals (SDGs)</w:t>
      </w:r>
      <w:r>
        <w:rPr>
          <w:rStyle w:val="Strong"/>
          <w:rFonts w:ascii="Garamond" w:hAnsi="Garamond"/>
          <w:b w:val="0"/>
          <w:bCs w:val="0"/>
        </w:rPr>
        <w:t>.</w:t>
      </w:r>
    </w:p>
  </w:footnote>
  <w:footnote w:id="43">
    <w:p w14:paraId="66588B04" w14:textId="4CBCCEDE" w:rsidR="00CB1F64" w:rsidRPr="00F54ECF" w:rsidRDefault="00CB1F64" w:rsidP="009B2661">
      <w:pPr>
        <w:pStyle w:val="FootnoteText"/>
        <w:tabs>
          <w:tab w:val="left" w:pos="180"/>
        </w:tabs>
        <w:adjustRightInd w:val="0"/>
        <w:snapToGrid w:val="0"/>
        <w:jc w:val="both"/>
        <w:rPr>
          <w:rFonts w:ascii="Garamond" w:hAnsi="Garamond"/>
        </w:rPr>
      </w:pPr>
      <w:r w:rsidRPr="00F54ECF">
        <w:rPr>
          <w:rStyle w:val="FootnoteReference"/>
          <w:rFonts w:ascii="Garamond" w:hAnsi="Garamond"/>
        </w:rPr>
        <w:footnoteRef/>
      </w:r>
      <w:r w:rsidRPr="00F54ECF">
        <w:rPr>
          <w:rFonts w:ascii="Garamond" w:hAnsi="Garamond"/>
        </w:rPr>
        <w:t xml:space="preserve"> </w:t>
      </w:r>
      <w:r w:rsidRPr="00F54ECF">
        <w:rPr>
          <w:rFonts w:ascii="Garamond" w:eastAsia="Times New Roman" w:hAnsi="Garamond"/>
        </w:rPr>
        <w:t>Strategjinë Kombëtare të Punësimit dhe Aftësive 2023</w:t>
      </w:r>
      <w:r>
        <w:rPr>
          <w:rFonts w:ascii="Garamond" w:eastAsia="Times New Roman" w:hAnsi="Garamond"/>
        </w:rPr>
        <w:t>–</w:t>
      </w:r>
      <w:r w:rsidRPr="00F54ECF">
        <w:rPr>
          <w:rFonts w:ascii="Garamond" w:eastAsia="Times New Roman" w:hAnsi="Garamond"/>
        </w:rPr>
        <w:t>2030</w:t>
      </w:r>
      <w:r>
        <w:rPr>
          <w:rFonts w:ascii="Garamond" w:eastAsia="Times New Roman" w:hAnsi="Garamond"/>
        </w:rPr>
        <w:t>.</w:t>
      </w:r>
    </w:p>
  </w:footnote>
  <w:footnote w:id="44">
    <w:p w14:paraId="6DDA1236" w14:textId="0FBA7DD2" w:rsidR="00CB1F64" w:rsidRPr="00F54ECF" w:rsidRDefault="00CB1F64" w:rsidP="009B2661">
      <w:pPr>
        <w:pStyle w:val="FootnoteText"/>
        <w:tabs>
          <w:tab w:val="left" w:pos="180"/>
        </w:tabs>
        <w:adjustRightInd w:val="0"/>
        <w:snapToGrid w:val="0"/>
        <w:jc w:val="both"/>
        <w:rPr>
          <w:rFonts w:ascii="Garamond" w:hAnsi="Garamond"/>
        </w:rPr>
      </w:pPr>
      <w:r w:rsidRPr="00F54ECF">
        <w:rPr>
          <w:rStyle w:val="FootnoteReference"/>
          <w:rFonts w:ascii="Garamond" w:hAnsi="Garamond"/>
        </w:rPr>
        <w:footnoteRef/>
      </w:r>
      <w:r w:rsidRPr="00F54ECF">
        <w:rPr>
          <w:rFonts w:ascii="Garamond" w:hAnsi="Garamond"/>
        </w:rPr>
        <w:t xml:space="preserve"> </w:t>
      </w:r>
      <w:r w:rsidRPr="00F54ECF">
        <w:rPr>
          <w:rFonts w:ascii="Garamond" w:eastAsia="Times New Roman" w:hAnsi="Garamond"/>
        </w:rPr>
        <w:t>Strategjinë Kombëtare për Mbrojtjen Sociale 2024</w:t>
      </w:r>
      <w:r>
        <w:rPr>
          <w:rFonts w:ascii="Garamond" w:eastAsia="Times New Roman" w:hAnsi="Garamond"/>
        </w:rPr>
        <w:t>–</w:t>
      </w:r>
      <w:r w:rsidRPr="00F54ECF">
        <w:rPr>
          <w:rFonts w:ascii="Garamond" w:eastAsia="Times New Roman" w:hAnsi="Garamond"/>
        </w:rPr>
        <w:t>2030</w:t>
      </w:r>
      <w:r>
        <w:rPr>
          <w:rFonts w:ascii="Garamond" w:eastAsia="Times New Roman" w:hAnsi="Garamond"/>
        </w:rPr>
        <w:t>.</w:t>
      </w:r>
    </w:p>
  </w:footnote>
  <w:footnote w:id="45">
    <w:p w14:paraId="61F981D3" w14:textId="06443C20" w:rsidR="00CB1F64" w:rsidRPr="00F54ECF" w:rsidRDefault="00CB1F64" w:rsidP="009B2661">
      <w:pPr>
        <w:pStyle w:val="FootnoteText"/>
        <w:tabs>
          <w:tab w:val="left" w:pos="180"/>
        </w:tabs>
        <w:adjustRightInd w:val="0"/>
        <w:snapToGrid w:val="0"/>
        <w:jc w:val="both"/>
        <w:rPr>
          <w:rFonts w:ascii="Garamond" w:hAnsi="Garamond"/>
        </w:rPr>
      </w:pPr>
      <w:r w:rsidRPr="00F54ECF">
        <w:rPr>
          <w:rStyle w:val="FootnoteReference"/>
          <w:rFonts w:ascii="Garamond" w:hAnsi="Garamond"/>
        </w:rPr>
        <w:footnoteRef/>
      </w:r>
      <w:r w:rsidRPr="00F54ECF">
        <w:rPr>
          <w:rFonts w:ascii="Garamond" w:hAnsi="Garamond"/>
        </w:rPr>
        <w:t xml:space="preserve"> </w:t>
      </w:r>
      <w:r w:rsidRPr="00F54ECF">
        <w:rPr>
          <w:rFonts w:ascii="Garamond" w:eastAsia="Times New Roman" w:hAnsi="Garamond"/>
        </w:rPr>
        <w:t xml:space="preserve">Plani i Zbatimit të Garancisë Rinore, </w:t>
      </w:r>
      <w:r w:rsidRPr="00F54ECF">
        <w:rPr>
          <w:rFonts w:ascii="Garamond" w:hAnsi="Garamond"/>
        </w:rPr>
        <w:t>VKM nr. 201, datë 3.4.2019</w:t>
      </w:r>
      <w:r>
        <w:rPr>
          <w:rFonts w:ascii="Garamond" w:hAnsi="Garamond"/>
        </w:rPr>
        <w:t>.</w:t>
      </w:r>
    </w:p>
  </w:footnote>
  <w:footnote w:id="46">
    <w:p w14:paraId="3BF65E2F" w14:textId="70774499" w:rsidR="00CB1F64" w:rsidRPr="00F54ECF" w:rsidRDefault="00CB1F64" w:rsidP="009B2661">
      <w:pPr>
        <w:pStyle w:val="FootnoteText"/>
        <w:tabs>
          <w:tab w:val="left" w:pos="180"/>
        </w:tabs>
        <w:adjustRightInd w:val="0"/>
        <w:snapToGrid w:val="0"/>
        <w:jc w:val="both"/>
        <w:rPr>
          <w:rFonts w:ascii="Garamond" w:hAnsi="Garamond"/>
        </w:rPr>
      </w:pPr>
      <w:r w:rsidRPr="00F54ECF">
        <w:rPr>
          <w:rStyle w:val="FootnoteReference"/>
          <w:rFonts w:ascii="Garamond" w:hAnsi="Garamond"/>
        </w:rPr>
        <w:footnoteRef/>
      </w:r>
      <w:r w:rsidRPr="00F54ECF">
        <w:rPr>
          <w:rFonts w:ascii="Garamond" w:hAnsi="Garamond"/>
        </w:rPr>
        <w:t xml:space="preserve"> </w:t>
      </w:r>
      <w:r w:rsidRPr="00F54ECF">
        <w:rPr>
          <w:rFonts w:ascii="Garamond" w:eastAsia="Times New Roman" w:hAnsi="Garamond"/>
        </w:rPr>
        <w:t>Strategjia Kombëtare për Zhvillim dhe Integrim 2022</w:t>
      </w:r>
      <w:r>
        <w:rPr>
          <w:rFonts w:ascii="Garamond" w:eastAsia="Times New Roman" w:hAnsi="Garamond"/>
        </w:rPr>
        <w:t>–</w:t>
      </w:r>
      <w:r w:rsidRPr="00F54ECF">
        <w:rPr>
          <w:rFonts w:ascii="Garamond" w:eastAsia="Times New Roman" w:hAnsi="Garamond"/>
        </w:rPr>
        <w:t>2030</w:t>
      </w:r>
      <w:r>
        <w:rPr>
          <w:rFonts w:ascii="Garamond" w:eastAsia="Times New Roman" w:hAnsi="Garamond"/>
        </w:rPr>
        <w:t>.</w:t>
      </w:r>
    </w:p>
  </w:footnote>
  <w:footnote w:id="47">
    <w:p w14:paraId="75880571" w14:textId="64AC98B4" w:rsidR="00CB1F64" w:rsidRPr="00F54ECF" w:rsidRDefault="00CB1F64" w:rsidP="009B2661">
      <w:pPr>
        <w:pStyle w:val="FootnoteText"/>
        <w:tabs>
          <w:tab w:val="left" w:pos="180"/>
        </w:tabs>
        <w:adjustRightInd w:val="0"/>
        <w:snapToGrid w:val="0"/>
        <w:jc w:val="both"/>
        <w:rPr>
          <w:rFonts w:ascii="Garamond" w:hAnsi="Garamond"/>
        </w:rPr>
      </w:pPr>
      <w:r w:rsidRPr="00F54ECF">
        <w:rPr>
          <w:rStyle w:val="FootnoteReference"/>
          <w:rFonts w:ascii="Garamond" w:hAnsi="Garamond"/>
        </w:rPr>
        <w:footnoteRef/>
      </w:r>
      <w:r w:rsidRPr="00F54ECF">
        <w:rPr>
          <w:rFonts w:ascii="Garamond" w:hAnsi="Garamond"/>
        </w:rPr>
        <w:t xml:space="preserve"> </w:t>
      </w:r>
      <w:r w:rsidRPr="00F54ECF">
        <w:rPr>
          <w:rStyle w:val="Strong"/>
          <w:rFonts w:ascii="Garamond" w:hAnsi="Garamond"/>
          <w:b w:val="0"/>
          <w:bCs w:val="0"/>
        </w:rPr>
        <w:t>Ligji nr. 108/2012</w:t>
      </w:r>
      <w:r w:rsidRPr="00F54ECF">
        <w:rPr>
          <w:rFonts w:ascii="Garamond" w:hAnsi="Garamond"/>
        </w:rPr>
        <w:t>, datë 15.11.2012</w:t>
      </w:r>
      <w:r>
        <w:rPr>
          <w:rFonts w:ascii="Garamond" w:hAnsi="Garamond"/>
        </w:rPr>
        <w:t>,</w:t>
      </w:r>
      <w:r w:rsidRPr="00F54ECF">
        <w:rPr>
          <w:rFonts w:ascii="Garamond" w:hAnsi="Garamond"/>
        </w:rPr>
        <w:t xml:space="preserve"> “Për ratifikimin e Konventës së Kombeve të Bashkuara për të Drejtat e Personave me Aftësi të Kufizuara”</w:t>
      </w:r>
    </w:p>
  </w:footnote>
  <w:footnote w:id="48">
    <w:p w14:paraId="7E45AE1E" w14:textId="34E541B0" w:rsidR="00CB1F64" w:rsidRPr="00F54ECF" w:rsidRDefault="00CB1F64" w:rsidP="009B2661">
      <w:pPr>
        <w:pStyle w:val="FootnoteText"/>
        <w:tabs>
          <w:tab w:val="left" w:pos="180"/>
        </w:tabs>
        <w:adjustRightInd w:val="0"/>
        <w:snapToGrid w:val="0"/>
        <w:jc w:val="both"/>
        <w:rPr>
          <w:rFonts w:ascii="Garamond" w:hAnsi="Garamond"/>
        </w:rPr>
      </w:pPr>
      <w:r w:rsidRPr="00F54ECF">
        <w:rPr>
          <w:rStyle w:val="FootnoteReference"/>
          <w:rFonts w:ascii="Garamond" w:hAnsi="Garamond"/>
        </w:rPr>
        <w:footnoteRef/>
      </w:r>
      <w:r w:rsidRPr="00F54ECF">
        <w:rPr>
          <w:rFonts w:ascii="Garamond" w:hAnsi="Garamond"/>
        </w:rPr>
        <w:t xml:space="preserve"> </w:t>
      </w:r>
      <w:r w:rsidRPr="00F54ECF">
        <w:rPr>
          <w:rFonts w:ascii="Garamond" w:hAnsi="Garamond"/>
          <w:shd w:val="clear" w:color="auto" w:fill="FFFFFF"/>
        </w:rPr>
        <w:t>Initial report submitted by Albania under article 35 of the Convention, due in 2014</w:t>
      </w:r>
      <w:r>
        <w:rPr>
          <w:rFonts w:ascii="Garamond" w:hAnsi="Garamond"/>
          <w:shd w:val="clear" w:color="auto" w:fill="FFFFFF"/>
        </w:rPr>
        <w:t>.</w:t>
      </w:r>
    </w:p>
  </w:footnote>
  <w:footnote w:id="49">
    <w:p w14:paraId="5235AEA8" w14:textId="7F3A80EB" w:rsidR="00CB1F64" w:rsidRPr="00F54ECF" w:rsidRDefault="00CB1F64" w:rsidP="009B2661">
      <w:pPr>
        <w:pStyle w:val="FootnoteText"/>
        <w:tabs>
          <w:tab w:val="left" w:pos="180"/>
        </w:tabs>
        <w:adjustRightInd w:val="0"/>
        <w:snapToGrid w:val="0"/>
        <w:jc w:val="both"/>
        <w:rPr>
          <w:rFonts w:ascii="Garamond" w:hAnsi="Garamond"/>
        </w:rPr>
      </w:pPr>
      <w:r w:rsidRPr="00F54ECF">
        <w:rPr>
          <w:rStyle w:val="FootnoteReference"/>
          <w:rFonts w:ascii="Garamond" w:hAnsi="Garamond"/>
        </w:rPr>
        <w:footnoteRef/>
      </w:r>
      <w:r w:rsidRPr="00F54ECF">
        <w:rPr>
          <w:rFonts w:ascii="Garamond" w:hAnsi="Garamond"/>
        </w:rPr>
        <w:t xml:space="preserve"> EU Strategy for the Rights of Persons ëith Disabilities 2021</w:t>
      </w:r>
      <w:r>
        <w:rPr>
          <w:rFonts w:ascii="Garamond" w:hAnsi="Garamond"/>
        </w:rPr>
        <w:t>–</w:t>
      </w:r>
      <w:r w:rsidRPr="00F54ECF">
        <w:rPr>
          <w:rFonts w:ascii="Garamond" w:hAnsi="Garamond"/>
        </w:rPr>
        <w:t>2030</w:t>
      </w:r>
      <w:r>
        <w:rPr>
          <w:rFonts w:ascii="Garamond" w:hAnsi="Garamond"/>
        </w:rPr>
        <w:t>.</w:t>
      </w:r>
    </w:p>
  </w:footnote>
  <w:footnote w:id="50">
    <w:p w14:paraId="707A4350" w14:textId="3F0695B4" w:rsidR="00CB1F64" w:rsidRPr="00F54ECF" w:rsidRDefault="00CB1F64" w:rsidP="009B2661">
      <w:pPr>
        <w:pStyle w:val="FootnoteText"/>
        <w:tabs>
          <w:tab w:val="left" w:pos="180"/>
        </w:tabs>
        <w:adjustRightInd w:val="0"/>
        <w:snapToGrid w:val="0"/>
        <w:jc w:val="both"/>
        <w:rPr>
          <w:rFonts w:ascii="Garamond" w:hAnsi="Garamond"/>
        </w:rPr>
      </w:pPr>
      <w:r w:rsidRPr="00F54ECF">
        <w:rPr>
          <w:rStyle w:val="FootnoteReference"/>
          <w:rFonts w:ascii="Garamond" w:hAnsi="Garamond"/>
        </w:rPr>
        <w:footnoteRef/>
      </w:r>
      <w:r w:rsidRPr="00F54ECF">
        <w:rPr>
          <w:rFonts w:ascii="Garamond" w:hAnsi="Garamond"/>
        </w:rPr>
        <w:t xml:space="preserve"> </w:t>
      </w:r>
      <w:r w:rsidRPr="00F54ECF">
        <w:rPr>
          <w:rStyle w:val="Strong"/>
          <w:rFonts w:ascii="Garamond" w:hAnsi="Garamond"/>
          <w:b w:val="0"/>
          <w:bCs w:val="0"/>
        </w:rPr>
        <w:t>VKM nr. 1037, datë 23.12.2020</w:t>
      </w:r>
      <w:r>
        <w:rPr>
          <w:rStyle w:val="Strong"/>
          <w:rFonts w:ascii="Garamond" w:hAnsi="Garamond"/>
          <w:b w:val="0"/>
          <w:bCs w:val="0"/>
        </w:rPr>
        <w:t>,</w:t>
      </w:r>
      <w:r w:rsidRPr="00F54ECF">
        <w:rPr>
          <w:rStyle w:val="Strong"/>
          <w:rFonts w:ascii="Garamond" w:hAnsi="Garamond"/>
          <w:b w:val="0"/>
          <w:bCs w:val="0"/>
        </w:rPr>
        <w:t xml:space="preserve"> </w:t>
      </w:r>
      <w:r w:rsidRPr="00F54ECF">
        <w:rPr>
          <w:rFonts w:ascii="Garamond" w:hAnsi="Garamond"/>
        </w:rPr>
        <w:t>“Për miratimin e Strategjisë Kombëtare për Arsimin 2021</w:t>
      </w:r>
      <w:r>
        <w:rPr>
          <w:rFonts w:ascii="Garamond" w:hAnsi="Garamond"/>
        </w:rPr>
        <w:t>–</w:t>
      </w:r>
      <w:r w:rsidRPr="00F54ECF">
        <w:rPr>
          <w:rFonts w:ascii="Garamond" w:hAnsi="Garamond"/>
        </w:rPr>
        <w:t>2030 dhe Planin e Veprimit për zbatimin e saj”.</w:t>
      </w:r>
    </w:p>
  </w:footnote>
  <w:footnote w:id="51">
    <w:p w14:paraId="1D753D90" w14:textId="39A60506" w:rsidR="00CB1F64" w:rsidRPr="00F54ECF" w:rsidRDefault="00CB1F64" w:rsidP="009B2661">
      <w:pPr>
        <w:pStyle w:val="FootnoteText"/>
        <w:tabs>
          <w:tab w:val="left" w:pos="180"/>
        </w:tabs>
        <w:adjustRightInd w:val="0"/>
        <w:snapToGrid w:val="0"/>
        <w:jc w:val="both"/>
        <w:rPr>
          <w:rFonts w:ascii="Garamond" w:hAnsi="Garamond"/>
        </w:rPr>
      </w:pPr>
      <w:r w:rsidRPr="00F54ECF">
        <w:rPr>
          <w:rStyle w:val="FootnoteReference"/>
          <w:rFonts w:ascii="Garamond" w:hAnsi="Garamond"/>
        </w:rPr>
        <w:footnoteRef/>
      </w:r>
      <w:r w:rsidRPr="00F54ECF">
        <w:rPr>
          <w:rFonts w:ascii="Garamond" w:hAnsi="Garamond"/>
        </w:rPr>
        <w:t xml:space="preserve"> </w:t>
      </w:r>
      <w:r w:rsidRPr="00F54ECF">
        <w:rPr>
          <w:rFonts w:ascii="Garamond" w:eastAsia="Times New Roman" w:hAnsi="Garamond"/>
        </w:rPr>
        <w:t>Strategjia Kombëtare për Zhvillim dhe Integrim 2022</w:t>
      </w:r>
      <w:r>
        <w:rPr>
          <w:rFonts w:ascii="Garamond" w:hAnsi="Garamond"/>
        </w:rPr>
        <w:t>–</w:t>
      </w:r>
      <w:r w:rsidRPr="00F54ECF">
        <w:rPr>
          <w:rFonts w:ascii="Garamond" w:eastAsia="Times New Roman" w:hAnsi="Garamond"/>
        </w:rPr>
        <w:t>2030</w:t>
      </w:r>
      <w:r>
        <w:rPr>
          <w:rFonts w:ascii="Garamond" w:eastAsia="Times New Roman" w:hAnsi="Garamond"/>
        </w:rPr>
        <w:t>.</w:t>
      </w:r>
    </w:p>
  </w:footnote>
  <w:footnote w:id="52">
    <w:p w14:paraId="35C78D90" w14:textId="301CB85F" w:rsidR="00CB1F64" w:rsidRPr="00F54ECF" w:rsidRDefault="00CB1F64" w:rsidP="009B2661">
      <w:pPr>
        <w:pStyle w:val="FootnoteText"/>
        <w:tabs>
          <w:tab w:val="left" w:pos="180"/>
        </w:tabs>
        <w:adjustRightInd w:val="0"/>
        <w:snapToGrid w:val="0"/>
        <w:jc w:val="both"/>
        <w:rPr>
          <w:rFonts w:ascii="Garamond" w:hAnsi="Garamond"/>
        </w:rPr>
      </w:pPr>
      <w:r w:rsidRPr="00F54ECF">
        <w:rPr>
          <w:rStyle w:val="FootnoteReference"/>
          <w:rFonts w:ascii="Garamond" w:hAnsi="Garamond"/>
        </w:rPr>
        <w:footnoteRef/>
      </w:r>
      <w:r w:rsidRPr="00F54ECF">
        <w:rPr>
          <w:rFonts w:ascii="Garamond" w:hAnsi="Garamond"/>
        </w:rPr>
        <w:t xml:space="preserve"> Reforms Agenda 2024</w:t>
      </w:r>
      <w:r>
        <w:rPr>
          <w:rFonts w:ascii="Garamond" w:hAnsi="Garamond"/>
        </w:rPr>
        <w:t>–</w:t>
      </w:r>
      <w:r w:rsidRPr="00F54ECF">
        <w:rPr>
          <w:rFonts w:ascii="Garamond" w:hAnsi="Garamond"/>
        </w:rPr>
        <w:t xml:space="preserve">2027 </w:t>
      </w:r>
      <w:r>
        <w:rPr>
          <w:rFonts w:ascii="Garamond" w:hAnsi="Garamond"/>
        </w:rPr>
        <w:t>w</w:t>
      </w:r>
      <w:r w:rsidRPr="00F54ECF">
        <w:rPr>
          <w:rFonts w:ascii="Garamond" w:hAnsi="Garamond"/>
        </w:rPr>
        <w:t>ithin the Frame</w:t>
      </w:r>
      <w:r>
        <w:rPr>
          <w:rFonts w:ascii="Garamond" w:hAnsi="Garamond"/>
        </w:rPr>
        <w:t>w</w:t>
      </w:r>
      <w:r w:rsidRPr="00F54ECF">
        <w:rPr>
          <w:rFonts w:ascii="Garamond" w:hAnsi="Garamond"/>
        </w:rPr>
        <w:t>ork of Reforms and Gro</w:t>
      </w:r>
      <w:r>
        <w:rPr>
          <w:rFonts w:ascii="Garamond" w:hAnsi="Garamond"/>
        </w:rPr>
        <w:t>w</w:t>
      </w:r>
      <w:r w:rsidRPr="00F54ECF">
        <w:rPr>
          <w:rFonts w:ascii="Garamond" w:hAnsi="Garamond"/>
        </w:rPr>
        <w:t xml:space="preserve">th Facilitation for the </w:t>
      </w:r>
      <w:r>
        <w:rPr>
          <w:rFonts w:ascii="Garamond" w:hAnsi="Garamond"/>
        </w:rPr>
        <w:t>W</w:t>
      </w:r>
      <w:r w:rsidRPr="00F54ECF">
        <w:rPr>
          <w:rFonts w:ascii="Garamond" w:hAnsi="Garamond"/>
        </w:rPr>
        <w:t>estern Balkans</w:t>
      </w:r>
      <w:r>
        <w:rPr>
          <w:rFonts w:ascii="Garamond" w:hAnsi="Garamond"/>
        </w:rPr>
        <w:t>.</w:t>
      </w:r>
    </w:p>
  </w:footnote>
  <w:footnote w:id="53">
    <w:p w14:paraId="438E9565" w14:textId="58D9F23F" w:rsidR="00CB1F64" w:rsidRPr="00F54ECF" w:rsidRDefault="00CB1F64" w:rsidP="009B2661">
      <w:pPr>
        <w:pStyle w:val="FootnoteText"/>
        <w:tabs>
          <w:tab w:val="left" w:pos="180"/>
        </w:tabs>
        <w:adjustRightInd w:val="0"/>
        <w:snapToGrid w:val="0"/>
        <w:jc w:val="both"/>
        <w:rPr>
          <w:rFonts w:ascii="Garamond" w:hAnsi="Garamond"/>
        </w:rPr>
      </w:pPr>
      <w:r w:rsidRPr="00F54ECF">
        <w:rPr>
          <w:rStyle w:val="FootnoteReference"/>
          <w:rFonts w:ascii="Garamond" w:hAnsi="Garamond"/>
        </w:rPr>
        <w:footnoteRef/>
      </w:r>
      <w:r w:rsidRPr="00F54ECF">
        <w:rPr>
          <w:rFonts w:ascii="Garamond" w:hAnsi="Garamond"/>
        </w:rPr>
        <w:t xml:space="preserve"> European Accessibility Act (Directive (EU) 2019/882)</w:t>
      </w:r>
      <w:r>
        <w:rPr>
          <w:rFonts w:ascii="Garamond" w:hAnsi="Garamond"/>
        </w:rPr>
        <w:t>.</w:t>
      </w:r>
    </w:p>
  </w:footnote>
  <w:footnote w:id="54">
    <w:p w14:paraId="5006137D" w14:textId="3C2F3DA5" w:rsidR="00CB1F64" w:rsidRPr="00F54ECF" w:rsidRDefault="00CB1F64" w:rsidP="009B2661">
      <w:pPr>
        <w:pStyle w:val="FootnoteText"/>
        <w:tabs>
          <w:tab w:val="left" w:pos="180"/>
        </w:tabs>
        <w:adjustRightInd w:val="0"/>
        <w:snapToGrid w:val="0"/>
        <w:jc w:val="both"/>
        <w:rPr>
          <w:rFonts w:ascii="Garamond" w:hAnsi="Garamond"/>
        </w:rPr>
      </w:pPr>
      <w:r w:rsidRPr="00F54ECF">
        <w:rPr>
          <w:rStyle w:val="FootnoteReference"/>
          <w:rFonts w:ascii="Garamond" w:hAnsi="Garamond"/>
        </w:rPr>
        <w:footnoteRef/>
      </w:r>
      <w:r w:rsidRPr="00F54ECF">
        <w:rPr>
          <w:rStyle w:val="Strong"/>
          <w:rFonts w:ascii="Garamond" w:hAnsi="Garamond"/>
          <w:b w:val="0"/>
          <w:bCs w:val="0"/>
        </w:rPr>
        <w:t xml:space="preserve"> VKM nr. 765, datë 16.10.2019</w:t>
      </w:r>
      <w:r>
        <w:rPr>
          <w:rStyle w:val="Strong"/>
          <w:rFonts w:ascii="Garamond" w:hAnsi="Garamond"/>
          <w:b w:val="0"/>
          <w:bCs w:val="0"/>
        </w:rPr>
        <w:t>,</w:t>
      </w:r>
      <w:r w:rsidRPr="00F54ECF">
        <w:rPr>
          <w:rStyle w:val="Strong"/>
          <w:rFonts w:ascii="Garamond" w:hAnsi="Garamond"/>
          <w:b w:val="0"/>
          <w:bCs w:val="0"/>
        </w:rPr>
        <w:t xml:space="preserve"> </w:t>
      </w:r>
      <w:r w:rsidRPr="00F54ECF">
        <w:rPr>
          <w:rFonts w:ascii="Garamond" w:hAnsi="Garamond"/>
        </w:rPr>
        <w:t>“Për miratimin e Kornizës Kombëtare të Zhvillimit Profesional të Mësuesve dhe Stafit Arsimor në arsimin parauniversitar”</w:t>
      </w:r>
      <w:r>
        <w:rPr>
          <w:rFonts w:ascii="Garamond" w:hAnsi="Garamond"/>
        </w:rPr>
        <w:t>.</w:t>
      </w:r>
    </w:p>
  </w:footnote>
  <w:footnote w:id="55">
    <w:p w14:paraId="14268D69" w14:textId="69C63432" w:rsidR="00CB1F64" w:rsidRPr="00F54ECF" w:rsidRDefault="00CB1F64" w:rsidP="009B2661">
      <w:pPr>
        <w:pStyle w:val="FootnoteText"/>
        <w:tabs>
          <w:tab w:val="left" w:pos="180"/>
        </w:tabs>
        <w:adjustRightInd w:val="0"/>
        <w:snapToGrid w:val="0"/>
        <w:jc w:val="both"/>
        <w:rPr>
          <w:rFonts w:ascii="Garamond" w:hAnsi="Garamond"/>
        </w:rPr>
      </w:pPr>
      <w:r w:rsidRPr="00F54ECF">
        <w:rPr>
          <w:rStyle w:val="FootnoteReference"/>
          <w:rFonts w:ascii="Garamond" w:hAnsi="Garamond"/>
        </w:rPr>
        <w:footnoteRef/>
      </w:r>
      <w:r w:rsidRPr="00F54ECF">
        <w:rPr>
          <w:rStyle w:val="Strong"/>
          <w:rFonts w:ascii="Garamond" w:hAnsi="Garamond"/>
          <w:b w:val="0"/>
          <w:bCs w:val="0"/>
        </w:rPr>
        <w:t xml:space="preserve"> Ligji nr. 108/2012</w:t>
      </w:r>
      <w:r w:rsidRPr="00F54ECF">
        <w:rPr>
          <w:rFonts w:ascii="Garamond" w:hAnsi="Garamond"/>
        </w:rPr>
        <w:t>, datë 15.11.2012</w:t>
      </w:r>
      <w:r>
        <w:rPr>
          <w:rFonts w:ascii="Garamond" w:hAnsi="Garamond"/>
        </w:rPr>
        <w:t>,</w:t>
      </w:r>
      <w:r w:rsidRPr="00F54ECF">
        <w:rPr>
          <w:rFonts w:ascii="Garamond" w:hAnsi="Garamond"/>
        </w:rPr>
        <w:t xml:space="preserve"> “Për ratifikimin e Konventës së Kombeve të Bashkuara për të Drejtat e Personave me Aftësi të Kufizuara”</w:t>
      </w:r>
      <w:r>
        <w:rPr>
          <w:rFonts w:ascii="Garamond" w:hAnsi="Garamond"/>
        </w:rPr>
        <w:t>.</w:t>
      </w:r>
    </w:p>
  </w:footnote>
  <w:footnote w:id="56">
    <w:p w14:paraId="260BB74F" w14:textId="77777777" w:rsidR="00CB1F64" w:rsidRPr="00047B59" w:rsidRDefault="00CB1F64" w:rsidP="009B2661">
      <w:pPr>
        <w:pStyle w:val="FootnoteText"/>
        <w:tabs>
          <w:tab w:val="left" w:pos="180"/>
        </w:tabs>
        <w:adjustRightInd w:val="0"/>
        <w:snapToGrid w:val="0"/>
        <w:jc w:val="both"/>
        <w:rPr>
          <w:rFonts w:ascii="Garamond" w:hAnsi="Garamond"/>
          <w:lang w:val="en-US"/>
        </w:rPr>
      </w:pPr>
      <w:r w:rsidRPr="00047B59">
        <w:rPr>
          <w:rStyle w:val="FootnoteReference"/>
          <w:rFonts w:ascii="Garamond" w:hAnsi="Garamond"/>
          <w:lang w:val="en-US"/>
        </w:rPr>
        <w:footnoteRef/>
      </w:r>
      <w:r w:rsidRPr="00047B59">
        <w:rPr>
          <w:rFonts w:ascii="Garamond" w:hAnsi="Garamond"/>
          <w:lang w:val="en-US"/>
        </w:rPr>
        <w:t xml:space="preserve"> </w:t>
      </w:r>
      <w:r w:rsidRPr="00047B59">
        <w:rPr>
          <w:rStyle w:val="Strong"/>
          <w:rFonts w:ascii="Garamond" w:hAnsi="Garamond"/>
          <w:b w:val="0"/>
          <w:bCs w:val="0"/>
          <w:lang w:val="en-US"/>
        </w:rPr>
        <w:t>CRPD Committee</w:t>
      </w:r>
      <w:r w:rsidRPr="00047B59">
        <w:rPr>
          <w:rFonts w:ascii="Garamond" w:hAnsi="Garamond"/>
          <w:lang w:val="en-US"/>
        </w:rPr>
        <w:t xml:space="preserve">, </w:t>
      </w:r>
      <w:r w:rsidRPr="00047B59">
        <w:rPr>
          <w:rStyle w:val="Emphasis"/>
          <w:rFonts w:ascii="Garamond" w:hAnsi="Garamond"/>
          <w:lang w:val="en-US"/>
        </w:rPr>
        <w:t>General Comment No. 5 (2017) on Article 19 - Living independently and being included in the community</w:t>
      </w:r>
      <w:r w:rsidRPr="00047B59">
        <w:rPr>
          <w:rFonts w:ascii="Garamond" w:hAnsi="Garamond"/>
          <w:lang w:val="en-US"/>
        </w:rPr>
        <w:t xml:space="preserve">, CRPD/C/GC/5, 27 October 2017, paras. 16-23, 28, 30-32. </w:t>
      </w:r>
    </w:p>
    <w:p w14:paraId="2A841416" w14:textId="77777777" w:rsidR="00CB1F64" w:rsidRPr="00047B59" w:rsidRDefault="00CB1F64" w:rsidP="009B2661">
      <w:pPr>
        <w:pStyle w:val="FootnoteText"/>
        <w:tabs>
          <w:tab w:val="left" w:pos="180"/>
        </w:tabs>
        <w:adjustRightInd w:val="0"/>
        <w:snapToGrid w:val="0"/>
        <w:jc w:val="both"/>
        <w:rPr>
          <w:rFonts w:ascii="Garamond" w:hAnsi="Garamond"/>
          <w:lang w:val="en-US"/>
        </w:rPr>
      </w:pPr>
      <w:r w:rsidRPr="00047B59">
        <w:rPr>
          <w:rStyle w:val="Strong"/>
          <w:rFonts w:ascii="Garamond" w:hAnsi="Garamond"/>
          <w:b w:val="0"/>
          <w:bCs w:val="0"/>
          <w:lang w:val="en-US"/>
        </w:rPr>
        <w:tab/>
        <w:t>CRPD Committee</w:t>
      </w:r>
      <w:r w:rsidRPr="00047B59">
        <w:rPr>
          <w:rFonts w:ascii="Garamond" w:hAnsi="Garamond"/>
          <w:lang w:val="en-US"/>
        </w:rPr>
        <w:t xml:space="preserve">, </w:t>
      </w:r>
      <w:r w:rsidRPr="00047B59">
        <w:rPr>
          <w:rStyle w:val="Emphasis"/>
          <w:rFonts w:ascii="Garamond" w:hAnsi="Garamond"/>
          <w:lang w:val="en-US"/>
        </w:rPr>
        <w:t>General Comment No. 1 (2014) on Article 12 - Equal recognition before the la</w:t>
      </w:r>
      <w:r w:rsidRPr="00047B59">
        <w:rPr>
          <w:rFonts w:ascii="Garamond" w:hAnsi="Garamond"/>
          <w:lang w:val="en-US"/>
        </w:rPr>
        <w:t>, CRPD/C/GC/1, 19 May 2014, paras. 26-29, 40</w:t>
      </w:r>
    </w:p>
  </w:footnote>
  <w:footnote w:id="57">
    <w:p w14:paraId="28036749" w14:textId="6763B374" w:rsidR="00CB1F64" w:rsidRPr="00047B59" w:rsidRDefault="00CB1F64" w:rsidP="009B2661">
      <w:pPr>
        <w:pStyle w:val="FootnoteText"/>
        <w:tabs>
          <w:tab w:val="left" w:pos="180"/>
        </w:tabs>
        <w:adjustRightInd w:val="0"/>
        <w:snapToGrid w:val="0"/>
        <w:jc w:val="both"/>
        <w:rPr>
          <w:rFonts w:ascii="Garamond" w:hAnsi="Garamond"/>
          <w:lang w:val="en-US"/>
        </w:rPr>
      </w:pPr>
      <w:r w:rsidRPr="00047B59">
        <w:rPr>
          <w:rStyle w:val="FootnoteReference"/>
          <w:rFonts w:ascii="Garamond" w:hAnsi="Garamond"/>
          <w:lang w:val="en-US"/>
        </w:rPr>
        <w:footnoteRef/>
      </w:r>
      <w:r w:rsidRPr="00047B59">
        <w:rPr>
          <w:rFonts w:ascii="Garamond" w:hAnsi="Garamond"/>
          <w:lang w:val="en-US"/>
        </w:rPr>
        <w:t xml:space="preserve"> </w:t>
      </w:r>
      <w:r w:rsidRPr="00047B59">
        <w:rPr>
          <w:rStyle w:val="Strong"/>
          <w:rFonts w:ascii="Garamond" w:hAnsi="Garamond"/>
          <w:b w:val="0"/>
          <w:bCs w:val="0"/>
          <w:lang w:val="en-US"/>
        </w:rPr>
        <w:t>European Commission</w:t>
      </w:r>
      <w:r w:rsidRPr="00047B59">
        <w:rPr>
          <w:rFonts w:ascii="Garamond" w:hAnsi="Garamond"/>
          <w:lang w:val="en-US"/>
        </w:rPr>
        <w:t xml:space="preserve">, </w:t>
      </w:r>
      <w:r w:rsidRPr="00047B59">
        <w:rPr>
          <w:rStyle w:val="Emphasis"/>
          <w:rFonts w:ascii="Garamond" w:hAnsi="Garamond"/>
          <w:lang w:val="en-US"/>
        </w:rPr>
        <w:t xml:space="preserve">Union of Equality: Strategy for the Rights of Persons </w:t>
      </w:r>
      <w:r>
        <w:rPr>
          <w:rStyle w:val="Emphasis"/>
          <w:rFonts w:ascii="Garamond" w:hAnsi="Garamond"/>
          <w:lang w:val="en-US"/>
        </w:rPr>
        <w:t>w</w:t>
      </w:r>
      <w:r w:rsidRPr="00047B59">
        <w:rPr>
          <w:rStyle w:val="Emphasis"/>
          <w:rFonts w:ascii="Garamond" w:hAnsi="Garamond"/>
          <w:lang w:val="en-US"/>
        </w:rPr>
        <w:t>ith Disabilities 2021-2030</w:t>
      </w:r>
      <w:r w:rsidRPr="00047B59">
        <w:rPr>
          <w:rFonts w:ascii="Garamond" w:hAnsi="Garamond"/>
          <w:lang w:val="en-US"/>
        </w:rPr>
        <w:t>, COM</w:t>
      </w:r>
      <w:r>
        <w:rPr>
          <w:rFonts w:ascii="Garamond" w:hAnsi="Garamond"/>
          <w:lang w:val="en-US"/>
        </w:rPr>
        <w:t xml:space="preserve"> </w:t>
      </w:r>
      <w:r w:rsidRPr="00047B59">
        <w:rPr>
          <w:rFonts w:ascii="Garamond" w:hAnsi="Garamond"/>
          <w:lang w:val="en-US"/>
        </w:rPr>
        <w:t>(2021) 101 final, Brussels, 3 March 2021, pp. 5-9, 13-16.</w:t>
      </w:r>
    </w:p>
  </w:footnote>
  <w:footnote w:id="58">
    <w:p w14:paraId="259E2673" w14:textId="4A46E75C" w:rsidR="00CB1F64" w:rsidRPr="00047B59" w:rsidRDefault="00CB1F64" w:rsidP="009B2661">
      <w:pPr>
        <w:pStyle w:val="FootnoteText"/>
        <w:tabs>
          <w:tab w:val="left" w:pos="180"/>
        </w:tabs>
        <w:adjustRightInd w:val="0"/>
        <w:snapToGrid w:val="0"/>
        <w:jc w:val="both"/>
        <w:rPr>
          <w:rFonts w:ascii="Garamond" w:hAnsi="Garamond"/>
          <w:lang w:val="en-US"/>
        </w:rPr>
      </w:pPr>
      <w:r w:rsidRPr="00047B59">
        <w:rPr>
          <w:rStyle w:val="FootnoteReference"/>
          <w:rFonts w:ascii="Garamond" w:hAnsi="Garamond"/>
          <w:lang w:val="en-US"/>
        </w:rPr>
        <w:footnoteRef/>
      </w:r>
      <w:r w:rsidRPr="00047B59">
        <w:rPr>
          <w:rFonts w:ascii="Garamond" w:hAnsi="Garamond"/>
          <w:lang w:val="en-US"/>
        </w:rPr>
        <w:t xml:space="preserve"> </w:t>
      </w:r>
      <w:r w:rsidRPr="00047B59">
        <w:rPr>
          <w:rStyle w:val="Strong"/>
          <w:rFonts w:ascii="Garamond" w:hAnsi="Garamond"/>
          <w:b w:val="0"/>
          <w:bCs w:val="0"/>
          <w:lang w:val="en-US"/>
        </w:rPr>
        <w:t>European Pillar of Social Rights</w:t>
      </w:r>
      <w:r w:rsidRPr="00047B59">
        <w:rPr>
          <w:rFonts w:ascii="Garamond" w:hAnsi="Garamond"/>
          <w:lang w:val="en-US"/>
        </w:rPr>
        <w:t xml:space="preserve">, Proclamation by the European Parliament, the Council and the European Commission, Gothenburg, 17 November 2017, Principle 17 (Inclusion of persons </w:t>
      </w:r>
      <w:r>
        <w:rPr>
          <w:rFonts w:ascii="Garamond" w:hAnsi="Garamond"/>
          <w:lang w:val="en-US"/>
        </w:rPr>
        <w:t>w</w:t>
      </w:r>
      <w:r w:rsidRPr="00047B59">
        <w:rPr>
          <w:rFonts w:ascii="Garamond" w:hAnsi="Garamond"/>
          <w:lang w:val="en-US"/>
        </w:rPr>
        <w:t>ith disabilities) and Principle 18 (Long-term care).</w:t>
      </w:r>
    </w:p>
  </w:footnote>
  <w:footnote w:id="59">
    <w:p w14:paraId="3F35D5D4" w14:textId="77777777" w:rsidR="00CB1F64" w:rsidRPr="00047B59" w:rsidRDefault="00CB1F64" w:rsidP="009B2661">
      <w:pPr>
        <w:pStyle w:val="FootnoteText"/>
        <w:tabs>
          <w:tab w:val="left" w:pos="180"/>
        </w:tabs>
        <w:adjustRightInd w:val="0"/>
        <w:snapToGrid w:val="0"/>
        <w:jc w:val="both"/>
        <w:rPr>
          <w:rFonts w:ascii="Garamond" w:hAnsi="Garamond"/>
          <w:lang w:val="en-US"/>
        </w:rPr>
      </w:pPr>
      <w:r w:rsidRPr="00047B59">
        <w:rPr>
          <w:rStyle w:val="FootnoteReference"/>
          <w:rFonts w:ascii="Garamond" w:hAnsi="Garamond"/>
          <w:lang w:val="en-US"/>
        </w:rPr>
        <w:footnoteRef/>
      </w:r>
      <w:r w:rsidRPr="00047B59">
        <w:rPr>
          <w:rFonts w:ascii="Garamond" w:hAnsi="Garamond"/>
          <w:lang w:val="en-US"/>
        </w:rPr>
        <w:t xml:space="preserve"> </w:t>
      </w:r>
      <w:r w:rsidRPr="00047B59">
        <w:rPr>
          <w:rStyle w:val="Strong"/>
          <w:rFonts w:ascii="Garamond" w:hAnsi="Garamond"/>
          <w:b w:val="0"/>
          <w:bCs w:val="0"/>
          <w:lang w:val="en-US"/>
        </w:rPr>
        <w:t>European Expert Group on the Transition from Institutional to Community-based Care (EEG)</w:t>
      </w:r>
      <w:r w:rsidRPr="00047B59">
        <w:rPr>
          <w:rFonts w:ascii="Garamond" w:hAnsi="Garamond"/>
          <w:lang w:val="en-US"/>
        </w:rPr>
        <w:t xml:space="preserve">, </w:t>
      </w:r>
      <w:r w:rsidRPr="00047B59">
        <w:rPr>
          <w:rStyle w:val="Emphasis"/>
          <w:rFonts w:ascii="Garamond" w:hAnsi="Garamond"/>
          <w:lang w:val="en-US"/>
        </w:rPr>
        <w:t>Common European Guidelines on the Transition from Institutional to Community-based Care</w:t>
      </w:r>
      <w:r w:rsidRPr="00047B59">
        <w:rPr>
          <w:rFonts w:ascii="Garamond" w:hAnsi="Garamond"/>
          <w:lang w:val="en-US"/>
        </w:rPr>
        <w:t xml:space="preserve">, Brussels, 2012. </w:t>
      </w:r>
    </w:p>
    <w:p w14:paraId="0F590DDF" w14:textId="77777777" w:rsidR="00CB1F64" w:rsidRPr="00047B59" w:rsidRDefault="00CB1F64" w:rsidP="009B2661">
      <w:pPr>
        <w:pStyle w:val="FootnoteText"/>
        <w:tabs>
          <w:tab w:val="left" w:pos="180"/>
        </w:tabs>
        <w:adjustRightInd w:val="0"/>
        <w:snapToGrid w:val="0"/>
        <w:jc w:val="both"/>
        <w:rPr>
          <w:rFonts w:ascii="Garamond" w:hAnsi="Garamond"/>
          <w:lang w:val="en-US"/>
        </w:rPr>
      </w:pPr>
      <w:r w:rsidRPr="00047B59">
        <w:rPr>
          <w:rStyle w:val="Strong"/>
          <w:rFonts w:ascii="Garamond" w:hAnsi="Garamond"/>
          <w:b w:val="0"/>
          <w:bCs w:val="0"/>
          <w:lang w:val="en-US"/>
        </w:rPr>
        <w:tab/>
        <w:t>European Commission</w:t>
      </w:r>
      <w:r w:rsidRPr="00047B59">
        <w:rPr>
          <w:rFonts w:ascii="Garamond" w:hAnsi="Garamond"/>
          <w:lang w:val="en-US"/>
        </w:rPr>
        <w:t xml:space="preserve">, </w:t>
      </w:r>
      <w:r w:rsidRPr="00047B59">
        <w:rPr>
          <w:rStyle w:val="Emphasis"/>
          <w:rFonts w:ascii="Garamond" w:hAnsi="Garamond"/>
          <w:lang w:val="en-US"/>
        </w:rPr>
        <w:t>Guidance on the use of European Structural and Investment Funds in the transition from institutional to community-based care</w:t>
      </w:r>
      <w:r w:rsidRPr="00047B59">
        <w:rPr>
          <w:rFonts w:ascii="Garamond" w:hAnsi="Garamond"/>
          <w:lang w:val="en-US"/>
        </w:rPr>
        <w:t>, Brussels, 2014.</w:t>
      </w:r>
    </w:p>
  </w:footnote>
  <w:footnote w:id="60">
    <w:p w14:paraId="6675CE0B" w14:textId="07EE4C6D" w:rsidR="00CB1F64" w:rsidRPr="00047B59" w:rsidRDefault="00CB1F64" w:rsidP="009B2661">
      <w:pPr>
        <w:pStyle w:val="FootnoteText"/>
        <w:tabs>
          <w:tab w:val="left" w:pos="180"/>
        </w:tabs>
        <w:adjustRightInd w:val="0"/>
        <w:snapToGrid w:val="0"/>
        <w:jc w:val="both"/>
        <w:rPr>
          <w:rFonts w:ascii="Garamond" w:hAnsi="Garamond"/>
          <w:lang w:val="en-US"/>
        </w:rPr>
      </w:pPr>
      <w:r w:rsidRPr="00047B59">
        <w:rPr>
          <w:rStyle w:val="FootnoteReference"/>
          <w:rFonts w:ascii="Garamond" w:hAnsi="Garamond"/>
          <w:lang w:val="en-US"/>
        </w:rPr>
        <w:footnoteRef/>
      </w:r>
      <w:r w:rsidRPr="00047B59">
        <w:rPr>
          <w:rFonts w:ascii="Garamond" w:hAnsi="Garamond"/>
          <w:lang w:val="en-US"/>
        </w:rPr>
        <w:t xml:space="preserve"> </w:t>
      </w:r>
      <w:r w:rsidRPr="00047B59">
        <w:rPr>
          <w:rStyle w:val="Strong"/>
          <w:rFonts w:ascii="Garamond" w:hAnsi="Garamond"/>
          <w:b w:val="0"/>
          <w:bCs w:val="0"/>
          <w:lang w:val="en-US"/>
        </w:rPr>
        <w:t>United Nations</w:t>
      </w:r>
      <w:r w:rsidRPr="00047B59">
        <w:rPr>
          <w:rFonts w:ascii="Garamond" w:hAnsi="Garamond"/>
          <w:lang w:val="en-US"/>
        </w:rPr>
        <w:t xml:space="preserve">, </w:t>
      </w:r>
      <w:r w:rsidRPr="00047B59">
        <w:rPr>
          <w:rStyle w:val="Emphasis"/>
          <w:rFonts w:ascii="Garamond" w:hAnsi="Garamond"/>
          <w:lang w:val="en-US"/>
        </w:rPr>
        <w:t xml:space="preserve">Convention on the Elimination of All Forms of Discrimination against </w:t>
      </w:r>
      <w:r>
        <w:rPr>
          <w:rStyle w:val="Emphasis"/>
          <w:rFonts w:ascii="Garamond" w:hAnsi="Garamond"/>
          <w:lang w:val="en-US"/>
        </w:rPr>
        <w:t>W</w:t>
      </w:r>
      <w:r w:rsidRPr="00047B59">
        <w:rPr>
          <w:rStyle w:val="Emphasis"/>
          <w:rFonts w:ascii="Garamond" w:hAnsi="Garamond"/>
          <w:lang w:val="en-US"/>
        </w:rPr>
        <w:t>omen (CEDAË)</w:t>
      </w:r>
      <w:r w:rsidRPr="00047B59">
        <w:rPr>
          <w:rFonts w:ascii="Garamond" w:hAnsi="Garamond"/>
          <w:lang w:val="en-US"/>
        </w:rPr>
        <w:t xml:space="preserve">, 18 December 1979, Articles 2, 12 and 14. </w:t>
      </w:r>
    </w:p>
    <w:p w14:paraId="506E7860" w14:textId="25864CE3" w:rsidR="00CB1F64" w:rsidRPr="00047B59" w:rsidRDefault="00CB1F64" w:rsidP="009B2661">
      <w:pPr>
        <w:pStyle w:val="FootnoteText"/>
        <w:tabs>
          <w:tab w:val="left" w:pos="180"/>
        </w:tabs>
        <w:adjustRightInd w:val="0"/>
        <w:snapToGrid w:val="0"/>
        <w:jc w:val="both"/>
        <w:rPr>
          <w:rFonts w:ascii="Garamond" w:hAnsi="Garamond"/>
          <w:lang w:val="en-US"/>
        </w:rPr>
      </w:pPr>
      <w:r w:rsidRPr="00047B59">
        <w:rPr>
          <w:rStyle w:val="Strong"/>
          <w:rFonts w:ascii="Garamond" w:hAnsi="Garamond"/>
          <w:b w:val="0"/>
          <w:bCs w:val="0"/>
          <w:lang w:val="en-US"/>
        </w:rPr>
        <w:tab/>
        <w:t>CEDAW Committee</w:t>
      </w:r>
      <w:r w:rsidRPr="00047B59">
        <w:rPr>
          <w:rFonts w:ascii="Garamond" w:hAnsi="Garamond"/>
          <w:lang w:val="en-US"/>
        </w:rPr>
        <w:t xml:space="preserve">, </w:t>
      </w:r>
      <w:r w:rsidRPr="00047B59">
        <w:rPr>
          <w:rStyle w:val="Emphasis"/>
          <w:rFonts w:ascii="Garamond" w:hAnsi="Garamond"/>
          <w:lang w:val="en-US"/>
        </w:rPr>
        <w:t>General Recommendation No. 18: Disabled Women</w:t>
      </w:r>
      <w:r w:rsidRPr="00047B59">
        <w:rPr>
          <w:rFonts w:ascii="Garamond" w:hAnsi="Garamond"/>
          <w:lang w:val="en-US"/>
        </w:rPr>
        <w:t>, 1991;</w:t>
      </w:r>
    </w:p>
  </w:footnote>
  <w:footnote w:id="61">
    <w:p w14:paraId="390CE8CC" w14:textId="77777777" w:rsidR="00CB1F64" w:rsidRPr="00047B59" w:rsidRDefault="00CB1F64" w:rsidP="009B2661">
      <w:pPr>
        <w:pStyle w:val="FootnoteText"/>
        <w:tabs>
          <w:tab w:val="left" w:pos="180"/>
        </w:tabs>
        <w:adjustRightInd w:val="0"/>
        <w:snapToGrid w:val="0"/>
        <w:jc w:val="both"/>
        <w:rPr>
          <w:rFonts w:ascii="Garamond" w:hAnsi="Garamond"/>
          <w:lang w:val="en-US"/>
        </w:rPr>
      </w:pPr>
      <w:r w:rsidRPr="00047B59">
        <w:rPr>
          <w:rStyle w:val="FootnoteReference"/>
          <w:rFonts w:ascii="Garamond" w:hAnsi="Garamond"/>
          <w:lang w:val="en-US"/>
        </w:rPr>
        <w:footnoteRef/>
      </w:r>
      <w:r w:rsidRPr="00047B59">
        <w:rPr>
          <w:rFonts w:ascii="Garamond" w:hAnsi="Garamond"/>
          <w:lang w:val="en-US"/>
        </w:rPr>
        <w:t xml:space="preserve"> </w:t>
      </w:r>
      <w:r w:rsidRPr="00047B59">
        <w:rPr>
          <w:rStyle w:val="Strong"/>
          <w:rFonts w:ascii="Garamond" w:hAnsi="Garamond"/>
          <w:b w:val="0"/>
          <w:bCs w:val="0"/>
          <w:lang w:val="en-US"/>
        </w:rPr>
        <w:t>United Nations</w:t>
      </w:r>
      <w:r w:rsidRPr="00047B59">
        <w:rPr>
          <w:rFonts w:ascii="Garamond" w:hAnsi="Garamond"/>
          <w:lang w:val="en-US"/>
        </w:rPr>
        <w:t xml:space="preserve">, </w:t>
      </w:r>
      <w:r w:rsidRPr="00047B59">
        <w:rPr>
          <w:rStyle w:val="Emphasis"/>
          <w:rFonts w:ascii="Garamond" w:hAnsi="Garamond"/>
          <w:lang w:val="en-US"/>
        </w:rPr>
        <w:t>Convention on the Rights of the Child</w:t>
      </w:r>
      <w:r w:rsidRPr="00047B59">
        <w:rPr>
          <w:rFonts w:ascii="Garamond" w:hAnsi="Garamond"/>
          <w:lang w:val="en-US"/>
        </w:rPr>
        <w:t xml:space="preserve">, 20 November 1989, Articles 2, 19 and 23. </w:t>
      </w:r>
    </w:p>
    <w:p w14:paraId="3F4B9F7E" w14:textId="6C23A6E3" w:rsidR="00CB1F64" w:rsidRPr="00047B59" w:rsidRDefault="00CB1F64" w:rsidP="009B2661">
      <w:pPr>
        <w:pStyle w:val="FootnoteText"/>
        <w:tabs>
          <w:tab w:val="left" w:pos="180"/>
        </w:tabs>
        <w:adjustRightInd w:val="0"/>
        <w:snapToGrid w:val="0"/>
        <w:jc w:val="both"/>
        <w:rPr>
          <w:rFonts w:ascii="Garamond" w:hAnsi="Garamond"/>
          <w:lang w:val="en-US"/>
        </w:rPr>
      </w:pPr>
      <w:r w:rsidRPr="00047B59">
        <w:rPr>
          <w:rFonts w:ascii="Garamond" w:hAnsi="Garamond"/>
          <w:lang w:val="en-US"/>
        </w:rPr>
        <w:tab/>
        <w:t>C</w:t>
      </w:r>
      <w:r w:rsidRPr="00047B59">
        <w:rPr>
          <w:rStyle w:val="Strong"/>
          <w:rFonts w:ascii="Garamond" w:hAnsi="Garamond"/>
          <w:b w:val="0"/>
          <w:bCs w:val="0"/>
          <w:lang w:val="en-US"/>
        </w:rPr>
        <w:t>ommittee on the Rights of the Child</w:t>
      </w:r>
      <w:r w:rsidRPr="00047B59">
        <w:rPr>
          <w:rFonts w:ascii="Garamond" w:hAnsi="Garamond"/>
          <w:lang w:val="en-US"/>
        </w:rPr>
        <w:t xml:space="preserve">, </w:t>
      </w:r>
      <w:r w:rsidRPr="00047B59">
        <w:rPr>
          <w:rStyle w:val="Emphasis"/>
          <w:rFonts w:ascii="Garamond" w:hAnsi="Garamond"/>
          <w:lang w:val="en-US"/>
        </w:rPr>
        <w:t xml:space="preserve">General Comment No. 9 (2006): The rights of children </w:t>
      </w:r>
      <w:r>
        <w:rPr>
          <w:rStyle w:val="Emphasis"/>
          <w:rFonts w:ascii="Garamond" w:hAnsi="Garamond"/>
          <w:lang w:val="en-US"/>
        </w:rPr>
        <w:t>w</w:t>
      </w:r>
      <w:r w:rsidRPr="00047B59">
        <w:rPr>
          <w:rStyle w:val="Emphasis"/>
          <w:rFonts w:ascii="Garamond" w:hAnsi="Garamond"/>
          <w:lang w:val="en-US"/>
        </w:rPr>
        <w:t>ith disabilities</w:t>
      </w:r>
      <w:r w:rsidRPr="00047B59">
        <w:rPr>
          <w:rFonts w:ascii="Garamond" w:hAnsi="Garamond"/>
          <w:lang w:val="en-US"/>
        </w:rPr>
        <w:t>, CRC/C/GC/9, 27 February 2007, paras. 8, 13, 39-42, 66.</w:t>
      </w:r>
    </w:p>
  </w:footnote>
  <w:footnote w:id="62">
    <w:p w14:paraId="53328641" w14:textId="1FB1C0E1" w:rsidR="00CB1F64" w:rsidRPr="00047B59" w:rsidRDefault="00CB1F64" w:rsidP="009B2661">
      <w:pPr>
        <w:pStyle w:val="FootnoteText"/>
        <w:tabs>
          <w:tab w:val="left" w:pos="180"/>
        </w:tabs>
        <w:adjustRightInd w:val="0"/>
        <w:snapToGrid w:val="0"/>
        <w:jc w:val="both"/>
        <w:rPr>
          <w:rFonts w:ascii="Garamond" w:hAnsi="Garamond"/>
          <w:lang w:val="en-US"/>
        </w:rPr>
      </w:pPr>
      <w:r w:rsidRPr="00047B59">
        <w:rPr>
          <w:rStyle w:val="FootnoteReference"/>
          <w:rFonts w:ascii="Garamond" w:hAnsi="Garamond"/>
          <w:lang w:val="en-US"/>
        </w:rPr>
        <w:footnoteRef/>
      </w:r>
      <w:r w:rsidRPr="00047B59">
        <w:rPr>
          <w:rFonts w:ascii="Garamond" w:hAnsi="Garamond"/>
          <w:lang w:val="en-US"/>
        </w:rPr>
        <w:t xml:space="preserve"> </w:t>
      </w:r>
      <w:r w:rsidRPr="00047B59">
        <w:rPr>
          <w:rStyle w:val="Strong"/>
          <w:rFonts w:ascii="Garamond" w:hAnsi="Garamond"/>
          <w:b w:val="0"/>
          <w:bCs w:val="0"/>
          <w:lang w:val="en-US"/>
        </w:rPr>
        <w:t>Council of Europe</w:t>
      </w:r>
      <w:r w:rsidRPr="00047B59">
        <w:rPr>
          <w:rFonts w:ascii="Garamond" w:hAnsi="Garamond"/>
          <w:lang w:val="en-US"/>
        </w:rPr>
        <w:t xml:space="preserve">, </w:t>
      </w:r>
      <w:r w:rsidRPr="00047B59">
        <w:rPr>
          <w:rStyle w:val="Emphasis"/>
          <w:rFonts w:ascii="Garamond" w:hAnsi="Garamond"/>
          <w:lang w:val="en-US"/>
        </w:rPr>
        <w:t xml:space="preserve">Convention on Preventing and Combating Violence against </w:t>
      </w:r>
      <w:r>
        <w:rPr>
          <w:rStyle w:val="Emphasis"/>
          <w:rFonts w:ascii="Garamond" w:hAnsi="Garamond"/>
          <w:lang w:val="en-US"/>
        </w:rPr>
        <w:t>W</w:t>
      </w:r>
      <w:r w:rsidRPr="00047B59">
        <w:rPr>
          <w:rStyle w:val="Emphasis"/>
          <w:rFonts w:ascii="Garamond" w:hAnsi="Garamond"/>
          <w:lang w:val="en-US"/>
        </w:rPr>
        <w:t>omen and Domestic Violence (Istanbul Convention)</w:t>
      </w:r>
      <w:r w:rsidRPr="00047B59">
        <w:rPr>
          <w:rFonts w:ascii="Garamond" w:hAnsi="Garamond"/>
          <w:lang w:val="en-US"/>
        </w:rPr>
        <w:t>, CETS No. 210, Istanbul, 11 May 2011, Articles 18(3), 20, 22, 23 and 25.</w:t>
      </w:r>
    </w:p>
  </w:footnote>
  <w:footnote w:id="63">
    <w:p w14:paraId="54555184" w14:textId="77777777" w:rsidR="00CB1F64" w:rsidRPr="0054033B" w:rsidRDefault="00CB1F64" w:rsidP="009B2661">
      <w:pPr>
        <w:pStyle w:val="FootnoteText"/>
        <w:tabs>
          <w:tab w:val="left" w:pos="180"/>
        </w:tabs>
        <w:adjustRightInd w:val="0"/>
        <w:snapToGrid w:val="0"/>
        <w:jc w:val="both"/>
        <w:rPr>
          <w:rFonts w:ascii="Garamond" w:hAnsi="Garamond"/>
          <w:lang w:val="en-US"/>
        </w:rPr>
      </w:pPr>
      <w:r w:rsidRPr="0054033B">
        <w:rPr>
          <w:rStyle w:val="FootnoteReference"/>
          <w:rFonts w:ascii="Garamond" w:hAnsi="Garamond"/>
          <w:lang w:val="en-US"/>
        </w:rPr>
        <w:footnoteRef/>
      </w:r>
      <w:r w:rsidRPr="0054033B">
        <w:rPr>
          <w:rFonts w:ascii="Garamond" w:hAnsi="Garamond"/>
          <w:lang w:val="en-US"/>
        </w:rPr>
        <w:t xml:space="preserve"> </w:t>
      </w:r>
      <w:r w:rsidRPr="0054033B">
        <w:rPr>
          <w:rStyle w:val="Strong"/>
          <w:rFonts w:ascii="Garamond" w:hAnsi="Garamond"/>
          <w:b w:val="0"/>
          <w:bCs w:val="0"/>
          <w:lang w:val="en-US"/>
        </w:rPr>
        <w:t>United Nations General Assembly</w:t>
      </w:r>
      <w:r w:rsidRPr="0054033B">
        <w:rPr>
          <w:rFonts w:ascii="Garamond" w:hAnsi="Garamond"/>
          <w:lang w:val="en-US"/>
        </w:rPr>
        <w:t xml:space="preserve">, </w:t>
      </w:r>
      <w:r w:rsidRPr="0054033B">
        <w:rPr>
          <w:rStyle w:val="Emphasis"/>
          <w:rFonts w:ascii="Garamond" w:hAnsi="Garamond"/>
          <w:lang w:val="en-US"/>
        </w:rPr>
        <w:t>Guidelines for the Alternative Care of Children</w:t>
      </w:r>
      <w:r w:rsidRPr="0054033B">
        <w:rPr>
          <w:rFonts w:ascii="Garamond" w:hAnsi="Garamond"/>
          <w:lang w:val="en-US"/>
        </w:rPr>
        <w:t>, A/RES/64/142, 24 February 2010.</w:t>
      </w:r>
    </w:p>
  </w:footnote>
  <w:footnote w:id="64">
    <w:p w14:paraId="68250FFD" w14:textId="7EDE7633" w:rsidR="00CB1F64" w:rsidRPr="0054033B" w:rsidRDefault="00CB1F64" w:rsidP="009B2661">
      <w:pPr>
        <w:pStyle w:val="FootnoteText"/>
        <w:tabs>
          <w:tab w:val="left" w:pos="180"/>
        </w:tabs>
        <w:adjustRightInd w:val="0"/>
        <w:snapToGrid w:val="0"/>
        <w:jc w:val="both"/>
        <w:rPr>
          <w:rFonts w:ascii="Garamond" w:hAnsi="Garamond"/>
          <w:lang w:val="en-US"/>
        </w:rPr>
      </w:pPr>
      <w:r w:rsidRPr="0054033B">
        <w:rPr>
          <w:rStyle w:val="FootnoteReference"/>
          <w:rFonts w:ascii="Garamond" w:hAnsi="Garamond"/>
          <w:lang w:val="en-US"/>
        </w:rPr>
        <w:footnoteRef/>
      </w:r>
      <w:r w:rsidRPr="0054033B">
        <w:rPr>
          <w:rFonts w:ascii="Garamond" w:hAnsi="Garamond"/>
          <w:lang w:val="en-US"/>
        </w:rPr>
        <w:t xml:space="preserve"> </w:t>
      </w:r>
      <w:r w:rsidRPr="0054033B">
        <w:rPr>
          <w:rStyle w:val="Strong"/>
          <w:rFonts w:ascii="Garamond" w:hAnsi="Garamond"/>
          <w:b w:val="0"/>
          <w:bCs w:val="0"/>
          <w:lang w:val="en-US"/>
        </w:rPr>
        <w:t>Committee on the Rights of the Child</w:t>
      </w:r>
      <w:r w:rsidRPr="0054033B">
        <w:rPr>
          <w:rFonts w:ascii="Garamond" w:hAnsi="Garamond"/>
          <w:lang w:val="en-US"/>
        </w:rPr>
        <w:t xml:space="preserve">, </w:t>
      </w:r>
      <w:r w:rsidRPr="0054033B">
        <w:rPr>
          <w:rStyle w:val="Emphasis"/>
          <w:rFonts w:ascii="Garamond" w:hAnsi="Garamond"/>
          <w:lang w:val="en-US"/>
        </w:rPr>
        <w:t xml:space="preserve">General Comment No. 9 (2006): The rights of children </w:t>
      </w:r>
      <w:r>
        <w:rPr>
          <w:rStyle w:val="Emphasis"/>
          <w:rFonts w:ascii="Garamond" w:hAnsi="Garamond"/>
          <w:lang w:val="en-US"/>
        </w:rPr>
        <w:t>w</w:t>
      </w:r>
      <w:r w:rsidRPr="0054033B">
        <w:rPr>
          <w:rStyle w:val="Emphasis"/>
          <w:rFonts w:ascii="Garamond" w:hAnsi="Garamond"/>
          <w:lang w:val="en-US"/>
        </w:rPr>
        <w:t>ith disabilities</w:t>
      </w:r>
      <w:r w:rsidRPr="0054033B">
        <w:rPr>
          <w:rFonts w:ascii="Garamond" w:hAnsi="Garamond"/>
          <w:lang w:val="en-US"/>
        </w:rPr>
        <w:t xml:space="preserve">, CRC/C/GC/9, 27 February 2007. </w:t>
      </w:r>
    </w:p>
    <w:p w14:paraId="70E35159" w14:textId="77777777" w:rsidR="00CB1F64" w:rsidRPr="0054033B" w:rsidRDefault="00CB1F64" w:rsidP="009B2661">
      <w:pPr>
        <w:pStyle w:val="FootnoteText"/>
        <w:tabs>
          <w:tab w:val="left" w:pos="180"/>
        </w:tabs>
        <w:adjustRightInd w:val="0"/>
        <w:snapToGrid w:val="0"/>
        <w:jc w:val="both"/>
        <w:rPr>
          <w:rFonts w:ascii="Garamond" w:hAnsi="Garamond"/>
          <w:lang w:val="en-US"/>
        </w:rPr>
      </w:pPr>
      <w:r w:rsidRPr="0054033B">
        <w:rPr>
          <w:rStyle w:val="Strong"/>
          <w:rFonts w:ascii="Garamond" w:hAnsi="Garamond"/>
          <w:b w:val="0"/>
          <w:bCs w:val="0"/>
          <w:lang w:val="en-US"/>
        </w:rPr>
        <w:tab/>
        <w:t>European Commission Recommendation (EU) 2021/1004</w:t>
      </w:r>
      <w:r w:rsidRPr="0054033B">
        <w:rPr>
          <w:rFonts w:ascii="Garamond" w:hAnsi="Garamond"/>
          <w:lang w:val="en-US"/>
        </w:rPr>
        <w:t xml:space="preserve">, </w:t>
      </w:r>
      <w:r w:rsidRPr="0054033B">
        <w:rPr>
          <w:rStyle w:val="Emphasis"/>
          <w:rFonts w:ascii="Garamond" w:hAnsi="Garamond"/>
          <w:lang w:val="en-US"/>
        </w:rPr>
        <w:t>Establishing a European Child Guarantee</w:t>
      </w:r>
      <w:r w:rsidRPr="0054033B">
        <w:rPr>
          <w:rFonts w:ascii="Garamond" w:hAnsi="Garamond"/>
          <w:lang w:val="en-US"/>
        </w:rPr>
        <w:t>, 14 June 2021</w:t>
      </w:r>
    </w:p>
  </w:footnote>
  <w:footnote w:id="65">
    <w:p w14:paraId="5BB4A783" w14:textId="6D2BE846" w:rsidR="00CB1F64" w:rsidRPr="0054033B" w:rsidRDefault="00CB1F64" w:rsidP="009B2661">
      <w:pPr>
        <w:pStyle w:val="FootnoteText"/>
        <w:tabs>
          <w:tab w:val="left" w:pos="180"/>
        </w:tabs>
        <w:adjustRightInd w:val="0"/>
        <w:snapToGrid w:val="0"/>
        <w:jc w:val="both"/>
        <w:rPr>
          <w:rFonts w:ascii="Garamond" w:hAnsi="Garamond"/>
          <w:lang w:val="en-US"/>
        </w:rPr>
      </w:pPr>
      <w:r w:rsidRPr="0054033B">
        <w:rPr>
          <w:rStyle w:val="FootnoteReference"/>
          <w:rFonts w:ascii="Garamond" w:hAnsi="Garamond"/>
          <w:lang w:val="en-US"/>
        </w:rPr>
        <w:footnoteRef/>
      </w:r>
      <w:r w:rsidRPr="0054033B">
        <w:rPr>
          <w:rFonts w:ascii="Garamond" w:hAnsi="Garamond"/>
          <w:lang w:val="en-US"/>
        </w:rPr>
        <w:t xml:space="preserve"> United Nations Office for Disaster Risk Reduction (2015). </w:t>
      </w:r>
      <w:r w:rsidRPr="0054033B">
        <w:rPr>
          <w:rStyle w:val="Emphasis"/>
          <w:rFonts w:ascii="Garamond" w:hAnsi="Garamond"/>
          <w:lang w:val="en-US"/>
        </w:rPr>
        <w:t>Sendai Frame</w:t>
      </w:r>
      <w:r>
        <w:rPr>
          <w:rStyle w:val="Emphasis"/>
          <w:rFonts w:ascii="Garamond" w:hAnsi="Garamond"/>
          <w:lang w:val="en-US"/>
        </w:rPr>
        <w:t>w</w:t>
      </w:r>
      <w:r w:rsidRPr="0054033B">
        <w:rPr>
          <w:rStyle w:val="Emphasis"/>
          <w:rFonts w:ascii="Garamond" w:hAnsi="Garamond"/>
          <w:lang w:val="en-US"/>
        </w:rPr>
        <w:t>ork for Disaster Risk Reduction 2015</w:t>
      </w:r>
      <w:r>
        <w:rPr>
          <w:rStyle w:val="Emphasis"/>
          <w:rFonts w:ascii="Garamond" w:hAnsi="Garamond"/>
          <w:lang w:val="en-US"/>
        </w:rPr>
        <w:t>–</w:t>
      </w:r>
      <w:r w:rsidRPr="0054033B">
        <w:rPr>
          <w:rStyle w:val="Emphasis"/>
          <w:rFonts w:ascii="Garamond" w:hAnsi="Garamond"/>
          <w:lang w:val="en-US"/>
        </w:rPr>
        <w:t>2030</w:t>
      </w:r>
      <w:r w:rsidRPr="0054033B">
        <w:rPr>
          <w:rFonts w:ascii="Garamond" w:hAnsi="Garamond"/>
          <w:lang w:val="en-US"/>
        </w:rPr>
        <w:t>. United Nations</w:t>
      </w:r>
      <w:r>
        <w:rPr>
          <w:rFonts w:ascii="Garamond" w:hAnsi="Garamond"/>
          <w:lang w:val="en-US"/>
        </w:rPr>
        <w:t>.</w:t>
      </w:r>
    </w:p>
  </w:footnote>
  <w:footnote w:id="66">
    <w:p w14:paraId="3C8B20E2" w14:textId="3D1AB7BB" w:rsidR="00CB1F64" w:rsidRPr="00F54ECF" w:rsidRDefault="00CB1F64" w:rsidP="009B2661">
      <w:pPr>
        <w:pStyle w:val="FootnoteText"/>
        <w:tabs>
          <w:tab w:val="left" w:pos="180"/>
        </w:tabs>
        <w:adjustRightInd w:val="0"/>
        <w:snapToGrid w:val="0"/>
        <w:jc w:val="both"/>
        <w:rPr>
          <w:rFonts w:ascii="Garamond" w:hAnsi="Garamond"/>
        </w:rPr>
      </w:pPr>
      <w:r w:rsidRPr="00F54ECF">
        <w:rPr>
          <w:rStyle w:val="FootnoteReference"/>
          <w:rFonts w:ascii="Garamond" w:hAnsi="Garamond"/>
        </w:rPr>
        <w:footnoteRef/>
      </w:r>
      <w:r w:rsidRPr="00F54ECF">
        <w:rPr>
          <w:rFonts w:ascii="Garamond" w:hAnsi="Garamond"/>
        </w:rPr>
        <w:t xml:space="preserve"> Vendimi nr. 152, datë 13.3.2024, </w:t>
      </w:r>
      <w:r w:rsidRPr="0054033B">
        <w:rPr>
          <w:rFonts w:ascii="Garamond" w:hAnsi="Garamond"/>
          <w:i/>
          <w:iCs/>
        </w:rPr>
        <w:t>“</w:t>
      </w:r>
      <w:r w:rsidRPr="00F54ECF">
        <w:rPr>
          <w:rStyle w:val="Emphasis"/>
          <w:rFonts w:ascii="Garamond" w:hAnsi="Garamond"/>
        </w:rPr>
        <w:t>Për miratimin e Strategjisë Kombëtare të Mbrojtjes Sociale 2024</w:t>
      </w:r>
      <w:r>
        <w:rPr>
          <w:rStyle w:val="Emphasis"/>
          <w:rFonts w:ascii="Garamond" w:hAnsi="Garamond"/>
          <w:lang w:val="en-US"/>
        </w:rPr>
        <w:t>–</w:t>
      </w:r>
      <w:r w:rsidRPr="00F54ECF">
        <w:rPr>
          <w:rStyle w:val="Emphasis"/>
          <w:rFonts w:ascii="Garamond" w:hAnsi="Garamond"/>
        </w:rPr>
        <w:t>2030 dhe të planit të veprimit në zbatim të saj</w:t>
      </w:r>
      <w:r>
        <w:rPr>
          <w:rStyle w:val="Emphasis"/>
          <w:rFonts w:ascii="Garamond" w:hAnsi="Garamond"/>
        </w:rPr>
        <w:t>”</w:t>
      </w:r>
      <w:r w:rsidRPr="00F54ECF">
        <w:rPr>
          <w:rFonts w:ascii="Garamond" w:hAnsi="Garamond"/>
        </w:rPr>
        <w:t>, Këshilli i Ministrave, Fletore Zyrtare.</w:t>
      </w:r>
    </w:p>
  </w:footnote>
  <w:footnote w:id="67">
    <w:p w14:paraId="40796534" w14:textId="7CF429E8" w:rsidR="00CB1F64" w:rsidRPr="00F54ECF" w:rsidRDefault="00CB1F64" w:rsidP="009B2661">
      <w:pPr>
        <w:pStyle w:val="FootnoteText"/>
        <w:tabs>
          <w:tab w:val="left" w:pos="180"/>
        </w:tabs>
        <w:adjustRightInd w:val="0"/>
        <w:snapToGrid w:val="0"/>
        <w:jc w:val="both"/>
        <w:rPr>
          <w:rFonts w:ascii="Garamond" w:hAnsi="Garamond"/>
        </w:rPr>
      </w:pPr>
      <w:r w:rsidRPr="00F54ECF">
        <w:rPr>
          <w:rStyle w:val="FootnoteReference"/>
          <w:rFonts w:ascii="Garamond" w:hAnsi="Garamond"/>
        </w:rPr>
        <w:footnoteRef/>
      </w:r>
      <w:r w:rsidRPr="00F54ECF">
        <w:rPr>
          <w:rFonts w:ascii="Garamond" w:hAnsi="Garamond"/>
        </w:rPr>
        <w:t xml:space="preserve"> </w:t>
      </w:r>
      <w:r w:rsidRPr="00F54ECF">
        <w:rPr>
          <w:rStyle w:val="Strong"/>
          <w:rFonts w:ascii="Garamond" w:hAnsi="Garamond"/>
          <w:b w:val="0"/>
          <w:bCs w:val="0"/>
        </w:rPr>
        <w:t>Strategjia Kombëtare për Zhvillim dhe Integrim Evropian 2022</w:t>
      </w:r>
      <w:r>
        <w:rPr>
          <w:rStyle w:val="Emphasis"/>
          <w:rFonts w:ascii="Garamond" w:hAnsi="Garamond"/>
          <w:lang w:val="en-US"/>
        </w:rPr>
        <w:t>–</w:t>
      </w:r>
      <w:r w:rsidRPr="00F54ECF">
        <w:rPr>
          <w:rStyle w:val="Strong"/>
          <w:rFonts w:ascii="Garamond" w:hAnsi="Garamond"/>
          <w:b w:val="0"/>
          <w:bCs w:val="0"/>
        </w:rPr>
        <w:t>2030</w:t>
      </w:r>
      <w:r w:rsidRPr="00F54ECF">
        <w:rPr>
          <w:rFonts w:ascii="Garamond" w:hAnsi="Garamond"/>
        </w:rPr>
        <w:t xml:space="preserve">, e miratuar me </w:t>
      </w:r>
      <w:r w:rsidRPr="00F54ECF">
        <w:rPr>
          <w:rStyle w:val="Strong"/>
          <w:rFonts w:ascii="Garamond" w:hAnsi="Garamond"/>
          <w:b w:val="0"/>
          <w:bCs w:val="0"/>
        </w:rPr>
        <w:t>vendimin e Këshillit të Ministrave nr. 88, datë 22 shkurt 2023</w:t>
      </w:r>
      <w:r w:rsidRPr="00F54ECF">
        <w:rPr>
          <w:rFonts w:ascii="Garamond" w:hAnsi="Garamond"/>
        </w:rPr>
        <w:t xml:space="preserve">, botuar në </w:t>
      </w:r>
      <w:r w:rsidRPr="00F54ECF">
        <w:rPr>
          <w:rStyle w:val="Emphasis"/>
          <w:rFonts w:ascii="Garamond" w:hAnsi="Garamond"/>
        </w:rPr>
        <w:t>Fletoren Zyrtare nr. 31</w:t>
      </w:r>
      <w:r>
        <w:rPr>
          <w:rStyle w:val="Emphasis"/>
          <w:rFonts w:ascii="Garamond" w:hAnsi="Garamond"/>
        </w:rPr>
        <w:t>.</w:t>
      </w:r>
    </w:p>
  </w:footnote>
  <w:footnote w:id="68">
    <w:p w14:paraId="0C2C5356" w14:textId="52A709B3" w:rsidR="00CB1F64" w:rsidRPr="00F54ECF" w:rsidRDefault="00CB1F64" w:rsidP="009B2661">
      <w:pPr>
        <w:pStyle w:val="FootnoteText"/>
        <w:tabs>
          <w:tab w:val="left" w:pos="180"/>
        </w:tabs>
        <w:adjustRightInd w:val="0"/>
        <w:snapToGrid w:val="0"/>
        <w:jc w:val="both"/>
        <w:rPr>
          <w:rFonts w:ascii="Garamond" w:hAnsi="Garamond"/>
        </w:rPr>
      </w:pPr>
      <w:r w:rsidRPr="00F54ECF">
        <w:rPr>
          <w:rStyle w:val="FootnoteReference"/>
          <w:rFonts w:ascii="Garamond" w:hAnsi="Garamond"/>
        </w:rPr>
        <w:footnoteRef/>
      </w:r>
      <w:r w:rsidRPr="00F54ECF">
        <w:rPr>
          <w:rFonts w:ascii="Garamond" w:hAnsi="Garamond"/>
        </w:rPr>
        <w:t xml:space="preserve"> </w:t>
      </w:r>
      <w:r w:rsidRPr="00F54ECF">
        <w:rPr>
          <w:rStyle w:val="Strong"/>
          <w:rFonts w:ascii="Garamond" w:hAnsi="Garamond"/>
          <w:b w:val="0"/>
          <w:bCs w:val="0"/>
        </w:rPr>
        <w:t>Strategjia Kombëtare për Barazinë Gjinore 2021</w:t>
      </w:r>
      <w:r>
        <w:rPr>
          <w:rStyle w:val="Emphasis"/>
          <w:rFonts w:ascii="Garamond" w:hAnsi="Garamond"/>
          <w:lang w:val="en-US"/>
        </w:rPr>
        <w:t>–</w:t>
      </w:r>
      <w:r w:rsidRPr="00F54ECF">
        <w:rPr>
          <w:rStyle w:val="Strong"/>
          <w:rFonts w:ascii="Garamond" w:hAnsi="Garamond"/>
          <w:b w:val="0"/>
          <w:bCs w:val="0"/>
        </w:rPr>
        <w:t>2030</w:t>
      </w:r>
      <w:r w:rsidRPr="00F54ECF">
        <w:rPr>
          <w:rFonts w:ascii="Garamond" w:hAnsi="Garamond"/>
        </w:rPr>
        <w:t xml:space="preserve">, miratuar me </w:t>
      </w:r>
      <w:r w:rsidRPr="00F54ECF">
        <w:rPr>
          <w:rStyle w:val="Strong"/>
          <w:rFonts w:ascii="Garamond" w:hAnsi="Garamond"/>
          <w:b w:val="0"/>
          <w:bCs w:val="0"/>
        </w:rPr>
        <w:t>vendimin e Këshillit të Ministrave nr. 400, datë 30 qershor 2021</w:t>
      </w:r>
      <w:r>
        <w:rPr>
          <w:rFonts w:ascii="Garamond" w:hAnsi="Garamond"/>
        </w:rPr>
        <w:t>.</w:t>
      </w:r>
    </w:p>
  </w:footnote>
  <w:footnote w:id="69">
    <w:p w14:paraId="1B85BCBF" w14:textId="02AADA43" w:rsidR="00CB1F64" w:rsidRPr="00F54ECF" w:rsidRDefault="00CB1F64" w:rsidP="009B2661">
      <w:pPr>
        <w:pStyle w:val="FootnoteText"/>
        <w:tabs>
          <w:tab w:val="left" w:pos="180"/>
        </w:tabs>
        <w:adjustRightInd w:val="0"/>
        <w:snapToGrid w:val="0"/>
        <w:jc w:val="both"/>
        <w:rPr>
          <w:rFonts w:ascii="Garamond" w:hAnsi="Garamond"/>
        </w:rPr>
      </w:pPr>
      <w:r w:rsidRPr="00F54ECF">
        <w:rPr>
          <w:rStyle w:val="FootnoteReference"/>
          <w:rFonts w:ascii="Garamond" w:hAnsi="Garamond"/>
        </w:rPr>
        <w:footnoteRef/>
      </w:r>
      <w:r w:rsidRPr="00F54ECF">
        <w:rPr>
          <w:rFonts w:ascii="Garamond" w:hAnsi="Garamond"/>
        </w:rPr>
        <w:t xml:space="preserve"> Ministria e Shëndetësisë dhe Mbrojtjes Sociale (2021). </w:t>
      </w:r>
      <w:r w:rsidRPr="00F54ECF">
        <w:rPr>
          <w:rStyle w:val="Emphasis"/>
          <w:rFonts w:ascii="Garamond" w:hAnsi="Garamond"/>
        </w:rPr>
        <w:t>Agjenda kombëtare për të drejtat e fëmijëve 2021</w:t>
      </w:r>
      <w:r>
        <w:rPr>
          <w:rStyle w:val="Emphasis"/>
          <w:rFonts w:ascii="Garamond" w:hAnsi="Garamond"/>
          <w:lang w:val="en-US"/>
        </w:rPr>
        <w:t>–</w:t>
      </w:r>
      <w:r w:rsidRPr="00F54ECF">
        <w:rPr>
          <w:rStyle w:val="Emphasis"/>
          <w:rFonts w:ascii="Garamond" w:hAnsi="Garamond"/>
        </w:rPr>
        <w:t>2026</w:t>
      </w:r>
      <w:r w:rsidRPr="00F54ECF">
        <w:rPr>
          <w:rFonts w:ascii="Garamond" w:hAnsi="Garamond"/>
        </w:rPr>
        <w:t>. Qeveria e Republikës së Shqipërisë.</w:t>
      </w:r>
    </w:p>
  </w:footnote>
  <w:footnote w:id="70">
    <w:p w14:paraId="74A6AF32" w14:textId="053098E7" w:rsidR="00CB1F64" w:rsidRPr="00F54ECF" w:rsidRDefault="00CB1F64" w:rsidP="009B2661">
      <w:pPr>
        <w:pStyle w:val="FootnoteText"/>
        <w:tabs>
          <w:tab w:val="left" w:pos="180"/>
        </w:tabs>
        <w:adjustRightInd w:val="0"/>
        <w:snapToGrid w:val="0"/>
        <w:jc w:val="both"/>
        <w:rPr>
          <w:rFonts w:ascii="Garamond" w:hAnsi="Garamond"/>
        </w:rPr>
      </w:pPr>
      <w:r w:rsidRPr="00F54ECF">
        <w:rPr>
          <w:rStyle w:val="FootnoteReference"/>
          <w:rFonts w:ascii="Garamond" w:hAnsi="Garamond"/>
        </w:rPr>
        <w:footnoteRef/>
      </w:r>
      <w:r w:rsidRPr="00F54ECF">
        <w:rPr>
          <w:rFonts w:ascii="Garamond" w:hAnsi="Garamond"/>
        </w:rPr>
        <w:t xml:space="preserve"> Ministria e Mbrojtjes (2023). </w:t>
      </w:r>
      <w:r w:rsidRPr="00F54ECF">
        <w:rPr>
          <w:rStyle w:val="Emphasis"/>
          <w:rFonts w:ascii="Garamond" w:hAnsi="Garamond"/>
        </w:rPr>
        <w:t>Strategjia kombëtare për zvogëlimin e riskut nga fatkeqësitë 2023</w:t>
      </w:r>
      <w:r>
        <w:rPr>
          <w:rStyle w:val="Emphasis"/>
          <w:rFonts w:ascii="Garamond" w:hAnsi="Garamond"/>
          <w:lang w:val="en-US"/>
        </w:rPr>
        <w:t>–</w:t>
      </w:r>
      <w:r w:rsidRPr="00F54ECF">
        <w:rPr>
          <w:rStyle w:val="Emphasis"/>
          <w:rFonts w:ascii="Garamond" w:hAnsi="Garamond"/>
        </w:rPr>
        <w:t>2030 dhe plani i veprimit</w:t>
      </w:r>
      <w:r w:rsidRPr="00F54ECF">
        <w:rPr>
          <w:rFonts w:ascii="Garamond" w:hAnsi="Garamond"/>
        </w:rPr>
        <w:t>. Qeveria e Republikës së Shqipërisë.</w:t>
      </w:r>
    </w:p>
  </w:footnote>
  <w:footnote w:id="71">
    <w:p w14:paraId="399BF9C4" w14:textId="313E1180" w:rsidR="00CB1F64" w:rsidRPr="0054033B" w:rsidRDefault="00CB1F64" w:rsidP="009B2661">
      <w:pPr>
        <w:pStyle w:val="FootnoteText"/>
        <w:tabs>
          <w:tab w:val="left" w:pos="180"/>
        </w:tabs>
        <w:adjustRightInd w:val="0"/>
        <w:snapToGrid w:val="0"/>
        <w:jc w:val="both"/>
        <w:rPr>
          <w:rFonts w:ascii="Garamond" w:hAnsi="Garamond"/>
          <w:lang w:val="en-US"/>
        </w:rPr>
      </w:pPr>
      <w:r w:rsidRPr="0054033B">
        <w:rPr>
          <w:rStyle w:val="FootnoteReference"/>
          <w:rFonts w:ascii="Garamond" w:hAnsi="Garamond"/>
          <w:lang w:val="en-US"/>
        </w:rPr>
        <w:footnoteRef/>
      </w:r>
      <w:r w:rsidRPr="0054033B">
        <w:rPr>
          <w:rFonts w:ascii="Garamond" w:hAnsi="Garamond"/>
          <w:lang w:val="en-US"/>
        </w:rPr>
        <w:t xml:space="preserve"> </w:t>
      </w:r>
      <w:r w:rsidRPr="0054033B">
        <w:rPr>
          <w:rStyle w:val="whitespace-normal"/>
          <w:rFonts w:ascii="Garamond" w:hAnsi="Garamond"/>
          <w:lang w:val="en-US"/>
        </w:rPr>
        <w:t>European Commission</w:t>
      </w:r>
      <w:r w:rsidRPr="0054033B">
        <w:rPr>
          <w:rFonts w:ascii="Garamond" w:hAnsi="Garamond"/>
          <w:lang w:val="en-US"/>
        </w:rPr>
        <w:t xml:space="preserve"> (2023). </w:t>
      </w:r>
      <w:r w:rsidRPr="0054033B">
        <w:rPr>
          <w:rStyle w:val="Emphasis"/>
          <w:rFonts w:ascii="Garamond" w:hAnsi="Garamond"/>
          <w:lang w:val="en-US"/>
        </w:rPr>
        <w:t>Albania 2023 report</w:t>
      </w:r>
      <w:r w:rsidRPr="0054033B">
        <w:rPr>
          <w:rFonts w:ascii="Garamond" w:hAnsi="Garamond"/>
          <w:lang w:val="en-US"/>
        </w:rPr>
        <w:t>. European Union.</w:t>
      </w:r>
    </w:p>
    <w:p w14:paraId="2FC99D8F" w14:textId="353232CB" w:rsidR="00CB1F64" w:rsidRPr="0054033B" w:rsidRDefault="00CB1F64" w:rsidP="009B2661">
      <w:pPr>
        <w:pStyle w:val="FootnoteText"/>
        <w:tabs>
          <w:tab w:val="left" w:pos="180"/>
        </w:tabs>
        <w:adjustRightInd w:val="0"/>
        <w:snapToGrid w:val="0"/>
        <w:jc w:val="both"/>
        <w:rPr>
          <w:rFonts w:ascii="Garamond" w:hAnsi="Garamond"/>
          <w:lang w:val="en-US"/>
        </w:rPr>
      </w:pPr>
      <w:r w:rsidRPr="0054033B">
        <w:rPr>
          <w:rStyle w:val="whitespace-normal"/>
          <w:rFonts w:ascii="Garamond" w:hAnsi="Garamond"/>
          <w:lang w:val="en-US"/>
        </w:rPr>
        <w:tab/>
        <w:t>European Union</w:t>
      </w:r>
      <w:r w:rsidRPr="0054033B">
        <w:rPr>
          <w:rFonts w:ascii="Garamond" w:hAnsi="Garamond"/>
          <w:lang w:val="en-US"/>
        </w:rPr>
        <w:t xml:space="preserve"> (2016). </w:t>
      </w:r>
      <w:r w:rsidRPr="0054033B">
        <w:rPr>
          <w:rStyle w:val="Emphasis"/>
          <w:rFonts w:ascii="Garamond" w:hAnsi="Garamond"/>
          <w:lang w:val="en-US"/>
        </w:rPr>
        <w:t>EU acquis and negotiation chapters</w:t>
      </w:r>
      <w:r w:rsidRPr="0054033B">
        <w:rPr>
          <w:rFonts w:ascii="Garamond" w:hAnsi="Garamond"/>
          <w:lang w:val="en-US"/>
        </w:rPr>
        <w:t>. Publications Office of the European Union.</w:t>
      </w:r>
    </w:p>
  </w:footnote>
  <w:footnote w:id="72">
    <w:p w14:paraId="64AE4A1E" w14:textId="78CF9554" w:rsidR="00CB1F64" w:rsidRPr="008B0E54" w:rsidRDefault="00CB1F64" w:rsidP="009B2661">
      <w:pPr>
        <w:pStyle w:val="FootnoteText"/>
        <w:tabs>
          <w:tab w:val="left" w:pos="180"/>
        </w:tabs>
        <w:adjustRightInd w:val="0"/>
        <w:snapToGrid w:val="0"/>
        <w:jc w:val="both"/>
        <w:rPr>
          <w:rFonts w:ascii="Garamond" w:hAnsi="Garamond"/>
          <w:lang w:val="en-US"/>
        </w:rPr>
      </w:pPr>
      <w:r w:rsidRPr="008B0E54">
        <w:rPr>
          <w:rStyle w:val="FootnoteReference"/>
          <w:rFonts w:ascii="Garamond" w:hAnsi="Garamond"/>
          <w:lang w:val="en-US"/>
        </w:rPr>
        <w:footnoteRef/>
      </w:r>
      <w:r w:rsidRPr="008B0E54">
        <w:rPr>
          <w:rFonts w:ascii="Garamond" w:hAnsi="Garamond"/>
          <w:lang w:val="en-US"/>
        </w:rPr>
        <w:t xml:space="preserve"> United Nations, Convention on the Rights of Persons </w:t>
      </w:r>
      <w:r>
        <w:rPr>
          <w:rFonts w:ascii="Garamond" w:hAnsi="Garamond"/>
          <w:lang w:val="en-US"/>
        </w:rPr>
        <w:t>w</w:t>
      </w:r>
      <w:r w:rsidRPr="008B0E54">
        <w:rPr>
          <w:rFonts w:ascii="Garamond" w:hAnsi="Garamond"/>
          <w:lang w:val="en-US"/>
        </w:rPr>
        <w:t>ith Disabilities (CRPD), United Nations Treaty Series, 2515, 3 (2006), https://www.un.org/development/desa/disabilities/convention-on-the-rights-of-persons-with-disabilities.html</w:t>
      </w:r>
    </w:p>
  </w:footnote>
  <w:footnote w:id="73">
    <w:p w14:paraId="0D5E5291" w14:textId="48F51DE1" w:rsidR="00CB1F64" w:rsidRPr="008B0E54" w:rsidRDefault="00CB1F64" w:rsidP="009B2661">
      <w:pPr>
        <w:pStyle w:val="FootnoteText"/>
        <w:tabs>
          <w:tab w:val="left" w:pos="180"/>
        </w:tabs>
        <w:adjustRightInd w:val="0"/>
        <w:snapToGrid w:val="0"/>
        <w:jc w:val="both"/>
        <w:rPr>
          <w:rFonts w:ascii="Garamond" w:hAnsi="Garamond"/>
          <w:lang w:val="en-US"/>
        </w:rPr>
      </w:pPr>
      <w:r w:rsidRPr="008B0E54">
        <w:rPr>
          <w:rStyle w:val="FootnoteReference"/>
          <w:rFonts w:ascii="Garamond" w:hAnsi="Garamond"/>
          <w:lang w:val="en-US"/>
        </w:rPr>
        <w:footnoteRef/>
      </w:r>
      <w:r w:rsidRPr="008B0E54">
        <w:rPr>
          <w:rFonts w:ascii="Garamond" w:hAnsi="Garamond"/>
          <w:lang w:val="en-US"/>
        </w:rPr>
        <w:t xml:space="preserve"> United Nations Committee on the Rights of Persons </w:t>
      </w:r>
      <w:r>
        <w:rPr>
          <w:rFonts w:ascii="Garamond" w:hAnsi="Garamond"/>
          <w:lang w:val="en-US"/>
        </w:rPr>
        <w:t>w</w:t>
      </w:r>
      <w:r w:rsidRPr="008B0E54">
        <w:rPr>
          <w:rFonts w:ascii="Garamond" w:hAnsi="Garamond"/>
          <w:lang w:val="en-US"/>
        </w:rPr>
        <w:t xml:space="preserve">ith Disabilities, </w:t>
      </w:r>
      <w:r w:rsidRPr="008B0E54">
        <w:rPr>
          <w:rStyle w:val="Emphasis"/>
          <w:rFonts w:ascii="Garamond" w:hAnsi="Garamond"/>
          <w:lang w:val="en-US"/>
        </w:rPr>
        <w:t>Concluding observations on the initial report of Albania</w:t>
      </w:r>
      <w:r w:rsidRPr="008B0E54">
        <w:rPr>
          <w:rFonts w:ascii="Garamond" w:hAnsi="Garamond"/>
          <w:lang w:val="en-US"/>
        </w:rPr>
        <w:t xml:space="preserve"> (CRPD/C/ALB/1) (2018)</w:t>
      </w:r>
      <w:r>
        <w:rPr>
          <w:rFonts w:ascii="Garamond" w:hAnsi="Garamond"/>
          <w:lang w:val="en-US"/>
        </w:rPr>
        <w:t xml:space="preserve">: </w:t>
      </w:r>
      <w:r w:rsidRPr="008B0E54">
        <w:rPr>
          <w:rFonts w:ascii="Garamond" w:hAnsi="Garamond"/>
          <w:lang w:val="en-US"/>
        </w:rPr>
        <w:t>https://tbinternet.ohchr.org/_layouts/15/treatybodyexternal/Doënload.aspx?symbolno=CRPD/C/ALB/CO/1&amp;Lang=En</w:t>
      </w:r>
      <w:r>
        <w:rPr>
          <w:rFonts w:ascii="Garamond" w:hAnsi="Garamond"/>
          <w:lang w:val="en-US"/>
        </w:rPr>
        <w:t>.</w:t>
      </w:r>
    </w:p>
  </w:footnote>
  <w:footnote w:id="74">
    <w:p w14:paraId="76924D34" w14:textId="44C9E473" w:rsidR="00CB1F64" w:rsidRPr="008B0E54" w:rsidRDefault="00CB1F64" w:rsidP="009B2661">
      <w:pPr>
        <w:pStyle w:val="FootnoteText"/>
        <w:tabs>
          <w:tab w:val="left" w:pos="180"/>
        </w:tabs>
        <w:adjustRightInd w:val="0"/>
        <w:snapToGrid w:val="0"/>
        <w:jc w:val="both"/>
        <w:rPr>
          <w:rFonts w:ascii="Garamond" w:hAnsi="Garamond"/>
          <w:lang w:val="en-US"/>
        </w:rPr>
      </w:pPr>
      <w:r w:rsidRPr="008B0E54">
        <w:rPr>
          <w:rStyle w:val="FootnoteReference"/>
          <w:rFonts w:ascii="Garamond" w:hAnsi="Garamond"/>
          <w:lang w:val="en-US"/>
        </w:rPr>
        <w:footnoteRef/>
      </w:r>
      <w:r w:rsidRPr="008B0E54">
        <w:rPr>
          <w:rFonts w:ascii="Garamond" w:hAnsi="Garamond"/>
          <w:lang w:val="en-US"/>
        </w:rPr>
        <w:t xml:space="preserve"> European Commission, </w:t>
      </w:r>
      <w:r w:rsidRPr="008B0E54">
        <w:rPr>
          <w:rStyle w:val="Emphasis"/>
          <w:rFonts w:ascii="Garamond" w:hAnsi="Garamond"/>
          <w:lang w:val="en-US"/>
        </w:rPr>
        <w:t xml:space="preserve">EU strategy for the rights of persons </w:t>
      </w:r>
      <w:r>
        <w:rPr>
          <w:rStyle w:val="Emphasis"/>
          <w:rFonts w:ascii="Garamond" w:hAnsi="Garamond"/>
          <w:lang w:val="en-US"/>
        </w:rPr>
        <w:t>w</w:t>
      </w:r>
      <w:r w:rsidRPr="008B0E54">
        <w:rPr>
          <w:rStyle w:val="Emphasis"/>
          <w:rFonts w:ascii="Garamond" w:hAnsi="Garamond"/>
          <w:lang w:val="en-US"/>
        </w:rPr>
        <w:t>ith disabilities 2021</w:t>
      </w:r>
      <w:r>
        <w:rPr>
          <w:rStyle w:val="Emphasis"/>
          <w:rFonts w:ascii="Garamond" w:hAnsi="Garamond"/>
          <w:lang w:val="en-US"/>
        </w:rPr>
        <w:t>–</w:t>
      </w:r>
      <w:r w:rsidRPr="008B0E54">
        <w:rPr>
          <w:rStyle w:val="Emphasis"/>
          <w:rFonts w:ascii="Garamond" w:hAnsi="Garamond"/>
          <w:lang w:val="en-US"/>
        </w:rPr>
        <w:t>2030</w:t>
      </w:r>
      <w:r w:rsidRPr="008B0E54">
        <w:rPr>
          <w:rFonts w:ascii="Garamond" w:hAnsi="Garamond"/>
          <w:lang w:val="en-US"/>
        </w:rPr>
        <w:t xml:space="preserve"> (Publications Office of the European Union, 2021), https://commission.europa.eu/publications/eu-strategy-rights-persons-disabilities-2021-2030_en</w:t>
      </w:r>
      <w:r>
        <w:rPr>
          <w:rFonts w:ascii="Garamond" w:hAnsi="Garamond"/>
          <w:lang w:val="en-US"/>
        </w:rPr>
        <w:t>).</w:t>
      </w:r>
    </w:p>
  </w:footnote>
  <w:footnote w:id="75">
    <w:p w14:paraId="65A8BD7F" w14:textId="2E8AF9B9" w:rsidR="00CB1F64" w:rsidRPr="0017154C" w:rsidRDefault="00CB1F64" w:rsidP="009B2661">
      <w:pPr>
        <w:pStyle w:val="FootnoteText"/>
        <w:tabs>
          <w:tab w:val="left" w:pos="180"/>
        </w:tabs>
        <w:adjustRightInd w:val="0"/>
        <w:snapToGrid w:val="0"/>
        <w:jc w:val="both"/>
        <w:rPr>
          <w:rFonts w:ascii="Garamond" w:hAnsi="Garamond"/>
          <w:lang w:val="en-US"/>
        </w:rPr>
      </w:pPr>
      <w:r w:rsidRPr="0017154C">
        <w:rPr>
          <w:rStyle w:val="FootnoteReference"/>
          <w:rFonts w:ascii="Garamond" w:hAnsi="Garamond"/>
          <w:lang w:val="en-US"/>
        </w:rPr>
        <w:footnoteRef/>
      </w:r>
      <w:r w:rsidRPr="0017154C">
        <w:rPr>
          <w:rFonts w:ascii="Garamond" w:hAnsi="Garamond"/>
          <w:lang w:val="en-US"/>
        </w:rPr>
        <w:t xml:space="preserve"> United Nations, </w:t>
      </w:r>
      <w:r w:rsidRPr="0017154C">
        <w:rPr>
          <w:rFonts w:ascii="Garamond" w:hAnsi="Garamond"/>
          <w:i/>
          <w:iCs/>
          <w:lang w:val="en-US"/>
        </w:rPr>
        <w:t>Transforming our world: The 2030 agenda for sustainable development</w:t>
      </w:r>
      <w:r w:rsidRPr="0017154C">
        <w:rPr>
          <w:rFonts w:ascii="Garamond" w:hAnsi="Garamond"/>
          <w:lang w:val="en-US"/>
        </w:rPr>
        <w:t xml:space="preserve"> (2015), OZHQ 3 &amp; OZHQ 10, </w:t>
      </w:r>
      <w:hyperlink r:id="rId4" w:history="1">
        <w:r w:rsidRPr="0017154C">
          <w:rPr>
            <w:rFonts w:ascii="Garamond" w:hAnsi="Garamond"/>
            <w:lang w:val="en-US"/>
          </w:rPr>
          <w:t>https://OZHQs.un.org/2030agenda</w:t>
        </w:r>
      </w:hyperlink>
      <w:r w:rsidRPr="0017154C">
        <w:rPr>
          <w:rFonts w:ascii="Garamond" w:hAnsi="Garamond"/>
          <w:lang w:val="en-US"/>
        </w:rPr>
        <w:t>.</w:t>
      </w:r>
    </w:p>
  </w:footnote>
  <w:footnote w:id="76">
    <w:p w14:paraId="157AA9D9" w14:textId="21DC44D5" w:rsidR="00CB1F64" w:rsidRPr="00F54ECF" w:rsidRDefault="00CB1F64" w:rsidP="009B2661">
      <w:pPr>
        <w:pStyle w:val="FootnoteText"/>
        <w:tabs>
          <w:tab w:val="left" w:pos="180"/>
        </w:tabs>
        <w:adjustRightInd w:val="0"/>
        <w:snapToGrid w:val="0"/>
        <w:jc w:val="both"/>
        <w:rPr>
          <w:rFonts w:ascii="Garamond" w:hAnsi="Garamond"/>
        </w:rPr>
      </w:pPr>
      <w:r w:rsidRPr="00F54ECF">
        <w:rPr>
          <w:rStyle w:val="FootnoteReference"/>
          <w:rFonts w:ascii="Garamond" w:hAnsi="Garamond"/>
        </w:rPr>
        <w:footnoteRef/>
      </w:r>
      <w:r w:rsidRPr="00F54ECF">
        <w:rPr>
          <w:rFonts w:ascii="Garamond" w:hAnsi="Garamond"/>
        </w:rPr>
        <w:t xml:space="preserve"> Republika e Shqipërisë (2022). </w:t>
      </w:r>
      <w:r w:rsidRPr="00F54ECF">
        <w:rPr>
          <w:rStyle w:val="Emphasis"/>
          <w:rFonts w:ascii="Garamond" w:hAnsi="Garamond"/>
        </w:rPr>
        <w:t>Strategjia Kombëtare për Zhvillim dhe Integrim 2022</w:t>
      </w:r>
      <w:r>
        <w:rPr>
          <w:rStyle w:val="Emphasis"/>
          <w:rFonts w:ascii="Garamond" w:hAnsi="Garamond"/>
        </w:rPr>
        <w:t>–2</w:t>
      </w:r>
      <w:r w:rsidRPr="00F54ECF">
        <w:rPr>
          <w:rStyle w:val="Emphasis"/>
          <w:rFonts w:ascii="Garamond" w:hAnsi="Garamond"/>
        </w:rPr>
        <w:t>030</w:t>
      </w:r>
      <w:r w:rsidRPr="00F54ECF">
        <w:rPr>
          <w:rFonts w:ascii="Garamond" w:hAnsi="Garamond"/>
        </w:rPr>
        <w:t>. Qeveria e Republikës së Shqipërisë.</w:t>
      </w:r>
    </w:p>
  </w:footnote>
  <w:footnote w:id="77">
    <w:p w14:paraId="1DD2B536" w14:textId="14BD092E" w:rsidR="00CB1F64" w:rsidRPr="00F54ECF" w:rsidRDefault="00CB1F64" w:rsidP="009B2661">
      <w:pPr>
        <w:pStyle w:val="FootnoteText"/>
        <w:tabs>
          <w:tab w:val="left" w:pos="180"/>
        </w:tabs>
        <w:adjustRightInd w:val="0"/>
        <w:snapToGrid w:val="0"/>
        <w:jc w:val="both"/>
        <w:rPr>
          <w:rFonts w:ascii="Garamond" w:hAnsi="Garamond"/>
        </w:rPr>
      </w:pPr>
      <w:r w:rsidRPr="00F54ECF">
        <w:rPr>
          <w:rStyle w:val="FootnoteReference"/>
          <w:rFonts w:ascii="Garamond" w:hAnsi="Garamond"/>
        </w:rPr>
        <w:footnoteRef/>
      </w:r>
      <w:r w:rsidRPr="00F54ECF">
        <w:rPr>
          <w:rFonts w:ascii="Garamond" w:hAnsi="Garamond"/>
        </w:rPr>
        <w:t xml:space="preserve"> Republika e Shqipërisë, Ministria e Shëndetësisë dhe Mbrojtjes Sociale (2021). </w:t>
      </w:r>
      <w:r w:rsidRPr="00F54ECF">
        <w:rPr>
          <w:rStyle w:val="Emphasis"/>
          <w:rFonts w:ascii="Garamond" w:hAnsi="Garamond"/>
        </w:rPr>
        <w:t>Strategjia Kombëtare e Shëndetësisë 2021</w:t>
      </w:r>
      <w:r>
        <w:rPr>
          <w:rStyle w:val="Emphasis"/>
          <w:rFonts w:ascii="Garamond" w:hAnsi="Garamond"/>
        </w:rPr>
        <w:t>–</w:t>
      </w:r>
      <w:r w:rsidRPr="00F54ECF">
        <w:rPr>
          <w:rStyle w:val="Emphasis"/>
          <w:rFonts w:ascii="Garamond" w:hAnsi="Garamond"/>
        </w:rPr>
        <w:t>2030</w:t>
      </w:r>
      <w:r w:rsidRPr="00F54ECF">
        <w:rPr>
          <w:rFonts w:ascii="Garamond" w:hAnsi="Garamond"/>
        </w:rPr>
        <w:t>. Qeveria e Republikës së Shqipërisë.</w:t>
      </w:r>
    </w:p>
  </w:footnote>
  <w:footnote w:id="78">
    <w:p w14:paraId="377EA81E" w14:textId="7C20679C" w:rsidR="00CB1F64" w:rsidRPr="00F54ECF" w:rsidRDefault="00CB1F64" w:rsidP="009B2661">
      <w:pPr>
        <w:pStyle w:val="FootnoteText"/>
        <w:tabs>
          <w:tab w:val="left" w:pos="180"/>
        </w:tabs>
        <w:adjustRightInd w:val="0"/>
        <w:snapToGrid w:val="0"/>
        <w:jc w:val="both"/>
        <w:rPr>
          <w:rFonts w:ascii="Garamond" w:hAnsi="Garamond"/>
        </w:rPr>
      </w:pPr>
      <w:r w:rsidRPr="00F54ECF">
        <w:rPr>
          <w:rStyle w:val="FootnoteReference"/>
          <w:rFonts w:ascii="Garamond" w:hAnsi="Garamond"/>
        </w:rPr>
        <w:footnoteRef/>
      </w:r>
      <w:r w:rsidRPr="00F54ECF">
        <w:rPr>
          <w:rFonts w:ascii="Garamond" w:hAnsi="Garamond"/>
        </w:rPr>
        <w:t xml:space="preserve"> Republika e Shqipërisë, Ministria e Shëndetësisë dhe Mbrojtjes Sociale (2021). </w:t>
      </w:r>
      <w:r w:rsidRPr="00F54ECF">
        <w:rPr>
          <w:rStyle w:val="Emphasis"/>
          <w:rFonts w:ascii="Garamond" w:hAnsi="Garamond"/>
        </w:rPr>
        <w:t>Strategjia Kombëtare e Shëndetësisë 2021</w:t>
      </w:r>
      <w:r>
        <w:rPr>
          <w:rStyle w:val="Emphasis"/>
          <w:rFonts w:ascii="Garamond" w:hAnsi="Garamond"/>
        </w:rPr>
        <w:t>–</w:t>
      </w:r>
      <w:r w:rsidRPr="00F54ECF">
        <w:rPr>
          <w:rStyle w:val="Emphasis"/>
          <w:rFonts w:ascii="Garamond" w:hAnsi="Garamond"/>
        </w:rPr>
        <w:t>2030</w:t>
      </w:r>
      <w:r w:rsidRPr="00F54ECF">
        <w:rPr>
          <w:rFonts w:ascii="Garamond" w:hAnsi="Garamond"/>
        </w:rPr>
        <w:t>. Qeveria e Republikës së Shqipërisë.</w:t>
      </w:r>
    </w:p>
  </w:footnote>
  <w:footnote w:id="79">
    <w:p w14:paraId="11045607" w14:textId="71213662" w:rsidR="00CB1F64" w:rsidRPr="00F54ECF" w:rsidRDefault="00CB1F64" w:rsidP="009B2661">
      <w:pPr>
        <w:pStyle w:val="FootnoteText"/>
        <w:tabs>
          <w:tab w:val="left" w:pos="180"/>
        </w:tabs>
        <w:adjustRightInd w:val="0"/>
        <w:snapToGrid w:val="0"/>
        <w:jc w:val="both"/>
        <w:rPr>
          <w:rFonts w:ascii="Garamond" w:hAnsi="Garamond"/>
        </w:rPr>
      </w:pPr>
      <w:r w:rsidRPr="00F54ECF">
        <w:rPr>
          <w:rStyle w:val="FootnoteReference"/>
          <w:rFonts w:ascii="Garamond" w:hAnsi="Garamond"/>
        </w:rPr>
        <w:footnoteRef/>
      </w:r>
      <w:r w:rsidRPr="00F54ECF">
        <w:rPr>
          <w:rFonts w:ascii="Garamond" w:hAnsi="Garamond"/>
        </w:rPr>
        <w:t xml:space="preserve"> </w:t>
      </w:r>
      <w:r w:rsidRPr="00F54ECF">
        <w:rPr>
          <w:rStyle w:val="Strong"/>
          <w:rFonts w:ascii="Garamond" w:hAnsi="Garamond"/>
          <w:b w:val="0"/>
          <w:bCs w:val="0"/>
        </w:rPr>
        <w:t>Ligji nr. 108/2012</w:t>
      </w:r>
      <w:r w:rsidRPr="00F54ECF">
        <w:rPr>
          <w:rFonts w:ascii="Garamond" w:hAnsi="Garamond"/>
        </w:rPr>
        <w:t>, datë 15.11.2012</w:t>
      </w:r>
      <w:r>
        <w:rPr>
          <w:rFonts w:ascii="Garamond" w:hAnsi="Garamond"/>
        </w:rPr>
        <w:t>,</w:t>
      </w:r>
      <w:r w:rsidRPr="00F54ECF">
        <w:rPr>
          <w:rFonts w:ascii="Garamond" w:hAnsi="Garamond"/>
        </w:rPr>
        <w:t xml:space="preserve"> “Për ratifikimin e Konventës së Kombeve të Bashkuara për të Drejtat e Personave me Aftësi të Kufizuara”</w:t>
      </w:r>
      <w:r>
        <w:rPr>
          <w:rFonts w:ascii="Garamond" w:hAnsi="Garamond"/>
        </w:rPr>
        <w:t>.</w:t>
      </w:r>
    </w:p>
  </w:footnote>
  <w:footnote w:id="80">
    <w:p w14:paraId="6E64F6D3" w14:textId="223039F3" w:rsidR="00CB1F64" w:rsidRPr="00F54ECF" w:rsidRDefault="00CB1F64" w:rsidP="009B2661">
      <w:pPr>
        <w:pStyle w:val="FootnoteText"/>
        <w:tabs>
          <w:tab w:val="left" w:pos="180"/>
        </w:tabs>
        <w:adjustRightInd w:val="0"/>
        <w:snapToGrid w:val="0"/>
        <w:jc w:val="both"/>
        <w:rPr>
          <w:rFonts w:ascii="Garamond" w:hAnsi="Garamond"/>
        </w:rPr>
      </w:pPr>
      <w:r w:rsidRPr="00F54ECF">
        <w:rPr>
          <w:rStyle w:val="FootnoteReference"/>
          <w:rFonts w:ascii="Garamond" w:hAnsi="Garamond"/>
        </w:rPr>
        <w:footnoteRef/>
      </w:r>
      <w:r w:rsidRPr="00F54ECF">
        <w:rPr>
          <w:rFonts w:ascii="Garamond" w:hAnsi="Garamond"/>
        </w:rPr>
        <w:t xml:space="preserve"> EU Strategy for the Rights of Persons </w:t>
      </w:r>
      <w:r>
        <w:rPr>
          <w:rFonts w:ascii="Garamond" w:hAnsi="Garamond"/>
        </w:rPr>
        <w:t>w</w:t>
      </w:r>
      <w:r w:rsidRPr="00F54ECF">
        <w:rPr>
          <w:rFonts w:ascii="Garamond" w:hAnsi="Garamond"/>
        </w:rPr>
        <w:t>ith Disabilities 2021</w:t>
      </w:r>
      <w:r>
        <w:rPr>
          <w:rFonts w:ascii="Garamond" w:eastAsia="Times New Roman" w:hAnsi="Garamond"/>
          <w:lang w:eastAsia="en-US"/>
        </w:rPr>
        <w:t>–</w:t>
      </w:r>
      <w:r w:rsidRPr="00F54ECF">
        <w:rPr>
          <w:rFonts w:ascii="Garamond" w:hAnsi="Garamond"/>
        </w:rPr>
        <w:t>2030</w:t>
      </w:r>
      <w:r>
        <w:rPr>
          <w:rFonts w:ascii="Garamond" w:hAnsi="Garamond"/>
        </w:rPr>
        <w:t>.</w:t>
      </w:r>
    </w:p>
  </w:footnote>
  <w:footnote w:id="81">
    <w:p w14:paraId="325DE3E8" w14:textId="3CED3956" w:rsidR="00CB1F64" w:rsidRPr="00F54ECF" w:rsidRDefault="00CB1F64" w:rsidP="009B2661">
      <w:pPr>
        <w:pStyle w:val="FootnoteText"/>
        <w:tabs>
          <w:tab w:val="left" w:pos="180"/>
        </w:tabs>
        <w:adjustRightInd w:val="0"/>
        <w:snapToGrid w:val="0"/>
        <w:jc w:val="both"/>
        <w:rPr>
          <w:rFonts w:ascii="Garamond" w:hAnsi="Garamond"/>
        </w:rPr>
      </w:pPr>
      <w:r w:rsidRPr="00F54ECF">
        <w:rPr>
          <w:rStyle w:val="FootnoteReference"/>
          <w:rFonts w:ascii="Garamond" w:hAnsi="Garamond"/>
        </w:rPr>
        <w:footnoteRef/>
      </w:r>
      <w:r w:rsidRPr="00F54ECF">
        <w:rPr>
          <w:rFonts w:ascii="Garamond" w:hAnsi="Garamond"/>
        </w:rPr>
        <w:t xml:space="preserve"> </w:t>
      </w:r>
      <w:r w:rsidRPr="00F54ECF">
        <w:rPr>
          <w:rStyle w:val="Strong"/>
          <w:rFonts w:ascii="Garamond" w:hAnsi="Garamond"/>
          <w:b w:val="0"/>
          <w:bCs w:val="0"/>
        </w:rPr>
        <w:t>VKM nr. 107, datë 17.2.2021</w:t>
      </w:r>
      <w:r>
        <w:rPr>
          <w:rStyle w:val="Strong"/>
          <w:rFonts w:ascii="Garamond" w:hAnsi="Garamond"/>
          <w:b w:val="0"/>
          <w:bCs w:val="0"/>
        </w:rPr>
        <w:t>,</w:t>
      </w:r>
      <w:r w:rsidRPr="00F54ECF">
        <w:rPr>
          <w:rStyle w:val="Strong"/>
          <w:rFonts w:ascii="Garamond" w:hAnsi="Garamond"/>
          <w:b w:val="0"/>
          <w:bCs w:val="0"/>
        </w:rPr>
        <w:t xml:space="preserve"> </w:t>
      </w:r>
      <w:r w:rsidRPr="00F54ECF">
        <w:rPr>
          <w:rFonts w:ascii="Garamond" w:hAnsi="Garamond"/>
        </w:rPr>
        <w:t>“Për miratimin e Strategjisë Kombëtare për Kulturën 2021</w:t>
      </w:r>
      <w:r>
        <w:rPr>
          <w:rFonts w:ascii="Garamond" w:eastAsia="Times New Roman" w:hAnsi="Garamond"/>
          <w:lang w:eastAsia="en-US"/>
        </w:rPr>
        <w:t>–</w:t>
      </w:r>
      <w:r w:rsidRPr="00F54ECF">
        <w:rPr>
          <w:rFonts w:ascii="Garamond" w:hAnsi="Garamond"/>
        </w:rPr>
        <w:t>2025 dhe Planit të Veprimit për zbatimin e saj”</w:t>
      </w:r>
      <w:r>
        <w:rPr>
          <w:rFonts w:ascii="Garamond" w:hAnsi="Garamond"/>
        </w:rPr>
        <w:t>.</w:t>
      </w:r>
    </w:p>
  </w:footnote>
  <w:footnote w:id="82">
    <w:p w14:paraId="56FCFA72" w14:textId="73BD7813" w:rsidR="00CB1F64" w:rsidRPr="00F54ECF" w:rsidRDefault="00CB1F64" w:rsidP="009B2661">
      <w:pPr>
        <w:pStyle w:val="FootnoteText"/>
        <w:tabs>
          <w:tab w:val="left" w:pos="180"/>
        </w:tabs>
        <w:adjustRightInd w:val="0"/>
        <w:snapToGrid w:val="0"/>
        <w:jc w:val="both"/>
        <w:rPr>
          <w:rFonts w:ascii="Garamond" w:hAnsi="Garamond"/>
        </w:rPr>
      </w:pPr>
      <w:r w:rsidRPr="00F54ECF">
        <w:rPr>
          <w:rStyle w:val="FootnoteReference"/>
          <w:rFonts w:ascii="Garamond" w:hAnsi="Garamond"/>
        </w:rPr>
        <w:footnoteRef/>
      </w:r>
      <w:r w:rsidRPr="00F54ECF">
        <w:rPr>
          <w:rFonts w:ascii="Garamond" w:hAnsi="Garamond"/>
        </w:rPr>
        <w:t xml:space="preserve"> </w:t>
      </w:r>
      <w:r w:rsidRPr="00F54ECF">
        <w:rPr>
          <w:rStyle w:val="Strong"/>
          <w:rFonts w:ascii="Garamond" w:hAnsi="Garamond"/>
          <w:b w:val="0"/>
          <w:bCs w:val="0"/>
        </w:rPr>
        <w:t>VKM nr. 448, datë 26.7.2018</w:t>
      </w:r>
      <w:r>
        <w:rPr>
          <w:rStyle w:val="Strong"/>
          <w:rFonts w:ascii="Garamond" w:hAnsi="Garamond"/>
          <w:b w:val="0"/>
          <w:bCs w:val="0"/>
        </w:rPr>
        <w:t>,</w:t>
      </w:r>
      <w:r w:rsidRPr="00F54ECF">
        <w:rPr>
          <w:rStyle w:val="Strong"/>
          <w:rFonts w:ascii="Garamond" w:hAnsi="Garamond"/>
          <w:b w:val="0"/>
          <w:bCs w:val="0"/>
        </w:rPr>
        <w:t xml:space="preserve"> </w:t>
      </w:r>
      <w:r w:rsidRPr="00F54ECF">
        <w:rPr>
          <w:rFonts w:ascii="Garamond" w:hAnsi="Garamond"/>
        </w:rPr>
        <w:t>“Për miratimin e Planit Kombëtar për Trashëgiminë Kulturore dhe Arsimin Artistik”</w:t>
      </w:r>
      <w:r>
        <w:rPr>
          <w:rFonts w:ascii="Garamond" w:hAnsi="Garamond"/>
        </w:rPr>
        <w:t>.</w:t>
      </w:r>
    </w:p>
  </w:footnote>
  <w:footnote w:id="83">
    <w:p w14:paraId="4220C5F9" w14:textId="46B456F4" w:rsidR="00CB1F64" w:rsidRPr="00F54ECF" w:rsidRDefault="00CB1F64" w:rsidP="009B2661">
      <w:pPr>
        <w:pStyle w:val="FootnoteText"/>
        <w:tabs>
          <w:tab w:val="left" w:pos="180"/>
        </w:tabs>
        <w:adjustRightInd w:val="0"/>
        <w:snapToGrid w:val="0"/>
        <w:jc w:val="both"/>
        <w:rPr>
          <w:rFonts w:ascii="Garamond" w:hAnsi="Garamond"/>
        </w:rPr>
      </w:pPr>
      <w:r w:rsidRPr="00F54ECF">
        <w:rPr>
          <w:rStyle w:val="FootnoteReference"/>
          <w:rFonts w:ascii="Garamond" w:hAnsi="Garamond"/>
        </w:rPr>
        <w:footnoteRef/>
      </w:r>
      <w:r w:rsidRPr="00F54ECF">
        <w:rPr>
          <w:rFonts w:ascii="Garamond" w:hAnsi="Garamond"/>
        </w:rPr>
        <w:t xml:space="preserve"> </w:t>
      </w:r>
      <w:r w:rsidRPr="00F54ECF">
        <w:rPr>
          <w:rStyle w:val="Strong"/>
          <w:rFonts w:ascii="Garamond" w:hAnsi="Garamond"/>
          <w:b w:val="0"/>
          <w:bCs w:val="0"/>
        </w:rPr>
        <w:t>VKM nr. 715, datë 24.11.2021</w:t>
      </w:r>
      <w:r>
        <w:rPr>
          <w:rStyle w:val="Strong"/>
          <w:rFonts w:ascii="Garamond" w:hAnsi="Garamond"/>
          <w:b w:val="0"/>
          <w:bCs w:val="0"/>
        </w:rPr>
        <w:t>,</w:t>
      </w:r>
      <w:r w:rsidRPr="00F54ECF">
        <w:rPr>
          <w:rStyle w:val="Strong"/>
          <w:rFonts w:ascii="Garamond" w:hAnsi="Garamond"/>
          <w:b w:val="0"/>
          <w:bCs w:val="0"/>
        </w:rPr>
        <w:t xml:space="preserve"> </w:t>
      </w:r>
      <w:r w:rsidRPr="00F54ECF">
        <w:rPr>
          <w:rFonts w:ascii="Garamond" w:hAnsi="Garamond"/>
        </w:rPr>
        <w:t>“Për miratimin e Strategjisë Kombëtare të Sportit 2021</w:t>
      </w:r>
      <w:r>
        <w:rPr>
          <w:rFonts w:ascii="Garamond" w:eastAsia="Times New Roman" w:hAnsi="Garamond"/>
          <w:lang w:eastAsia="en-US"/>
        </w:rPr>
        <w:t>–</w:t>
      </w:r>
      <w:r w:rsidRPr="00F54ECF">
        <w:rPr>
          <w:rFonts w:ascii="Garamond" w:hAnsi="Garamond"/>
        </w:rPr>
        <w:t>2025 dhe Planit të Veprimit për zbatimin e saj”</w:t>
      </w:r>
      <w:r>
        <w:rPr>
          <w:rFonts w:ascii="Garamond" w:hAnsi="Garamond"/>
        </w:rPr>
        <w:t>.</w:t>
      </w:r>
    </w:p>
  </w:footnote>
  <w:footnote w:id="84">
    <w:p w14:paraId="7E57C422" w14:textId="5AF3EB9D" w:rsidR="00CB1F64" w:rsidRPr="00F54ECF" w:rsidRDefault="00CB1F64" w:rsidP="009B2661">
      <w:pPr>
        <w:tabs>
          <w:tab w:val="left" w:pos="180"/>
        </w:tabs>
        <w:adjustRightInd w:val="0"/>
        <w:snapToGrid w:val="0"/>
        <w:jc w:val="both"/>
        <w:rPr>
          <w:rFonts w:ascii="Garamond" w:hAnsi="Garamond"/>
          <w:sz w:val="20"/>
          <w:szCs w:val="20"/>
        </w:rPr>
      </w:pPr>
      <w:r w:rsidRPr="00F54ECF">
        <w:rPr>
          <w:rStyle w:val="FootnoteReference"/>
          <w:rFonts w:ascii="Garamond" w:hAnsi="Garamond"/>
          <w:sz w:val="20"/>
          <w:szCs w:val="20"/>
        </w:rPr>
        <w:footnoteRef/>
      </w:r>
      <w:r w:rsidRPr="00F54ECF">
        <w:rPr>
          <w:rFonts w:ascii="Garamond" w:hAnsi="Garamond"/>
          <w:sz w:val="20"/>
          <w:szCs w:val="20"/>
        </w:rPr>
        <w:t xml:space="preserve"> Ligji nr. 108/2012</w:t>
      </w:r>
      <w:r>
        <w:rPr>
          <w:rFonts w:ascii="Garamond" w:hAnsi="Garamond"/>
          <w:sz w:val="20"/>
          <w:szCs w:val="20"/>
        </w:rPr>
        <w:t>,</w:t>
      </w:r>
      <w:r w:rsidRPr="00F54ECF">
        <w:rPr>
          <w:rFonts w:ascii="Garamond" w:hAnsi="Garamond"/>
          <w:sz w:val="20"/>
          <w:szCs w:val="20"/>
        </w:rPr>
        <w:t xml:space="preserve"> datë 15.11.2012</w:t>
      </w:r>
      <w:r>
        <w:rPr>
          <w:rFonts w:ascii="Garamond" w:hAnsi="Garamond"/>
          <w:sz w:val="20"/>
          <w:szCs w:val="20"/>
        </w:rPr>
        <w:t>,</w:t>
      </w:r>
      <w:r w:rsidRPr="00F54ECF">
        <w:rPr>
          <w:rFonts w:ascii="Garamond" w:hAnsi="Garamond"/>
          <w:sz w:val="20"/>
          <w:szCs w:val="20"/>
        </w:rPr>
        <w:t xml:space="preserve"> “Për ratifikimin e Konventës së OKB-së </w:t>
      </w:r>
      <w:r>
        <w:rPr>
          <w:rFonts w:ascii="Garamond" w:hAnsi="Garamond"/>
          <w:sz w:val="20"/>
          <w:szCs w:val="20"/>
        </w:rPr>
        <w:t>‘</w:t>
      </w:r>
      <w:r w:rsidRPr="00F54ECF">
        <w:rPr>
          <w:rFonts w:ascii="Garamond" w:hAnsi="Garamond"/>
          <w:sz w:val="20"/>
          <w:szCs w:val="20"/>
        </w:rPr>
        <w:t>Për të drejtat e personave me aftësi të kufizuara</w:t>
      </w:r>
      <w:r>
        <w:rPr>
          <w:rFonts w:ascii="Garamond" w:hAnsi="Garamond"/>
          <w:sz w:val="20"/>
          <w:szCs w:val="20"/>
        </w:rPr>
        <w:t>’</w:t>
      </w:r>
      <w:r w:rsidRPr="00F54ECF">
        <w:rPr>
          <w:rFonts w:ascii="Garamond" w:hAnsi="Garamond"/>
          <w:sz w:val="20"/>
          <w:szCs w:val="20"/>
        </w:rPr>
        <w:t>”</w:t>
      </w:r>
      <w:r>
        <w:rPr>
          <w:rFonts w:ascii="Garamond" w:hAnsi="Garamond"/>
          <w:sz w:val="20"/>
          <w:szCs w:val="20"/>
        </w:rPr>
        <w:t>.</w:t>
      </w:r>
    </w:p>
  </w:footnote>
  <w:footnote w:id="85">
    <w:p w14:paraId="080C5506" w14:textId="35587A28" w:rsidR="00CB1F64" w:rsidRPr="001466C2" w:rsidRDefault="00CB1F64" w:rsidP="009B2661">
      <w:pPr>
        <w:pStyle w:val="FootnoteText"/>
        <w:tabs>
          <w:tab w:val="left" w:pos="180"/>
        </w:tabs>
        <w:adjustRightInd w:val="0"/>
        <w:snapToGrid w:val="0"/>
        <w:jc w:val="both"/>
        <w:rPr>
          <w:rFonts w:ascii="Garamond" w:hAnsi="Garamond"/>
          <w:lang w:val="en-US"/>
        </w:rPr>
      </w:pPr>
      <w:r w:rsidRPr="001466C2">
        <w:rPr>
          <w:rStyle w:val="FootnoteReference"/>
          <w:rFonts w:ascii="Garamond" w:hAnsi="Garamond"/>
          <w:lang w:val="en-US"/>
        </w:rPr>
        <w:footnoteRef/>
      </w:r>
      <w:r w:rsidRPr="001466C2">
        <w:rPr>
          <w:rFonts w:ascii="Garamond" w:hAnsi="Garamond"/>
          <w:lang w:val="en-US"/>
        </w:rPr>
        <w:t xml:space="preserve"> EU Strategy for the Rights of Persons </w:t>
      </w:r>
      <w:r>
        <w:rPr>
          <w:rFonts w:ascii="Garamond" w:hAnsi="Garamond"/>
          <w:lang w:val="en-US"/>
        </w:rPr>
        <w:t>w</w:t>
      </w:r>
      <w:r w:rsidRPr="001466C2">
        <w:rPr>
          <w:rFonts w:ascii="Garamond" w:hAnsi="Garamond"/>
          <w:lang w:val="en-US"/>
        </w:rPr>
        <w:t>ith Disabilities 2021–2030.</w:t>
      </w:r>
    </w:p>
  </w:footnote>
  <w:footnote w:id="86">
    <w:p w14:paraId="5C2686A4" w14:textId="29C59AC1" w:rsidR="00CB1F64" w:rsidRPr="007C0500" w:rsidRDefault="00CB1F64" w:rsidP="009B2661">
      <w:pPr>
        <w:pStyle w:val="FootnoteText"/>
        <w:tabs>
          <w:tab w:val="left" w:pos="180"/>
        </w:tabs>
        <w:adjustRightInd w:val="0"/>
        <w:snapToGrid w:val="0"/>
        <w:jc w:val="both"/>
        <w:rPr>
          <w:rStyle w:val="Strong"/>
          <w:rFonts w:ascii="Garamond" w:hAnsi="Garamond"/>
          <w:b w:val="0"/>
          <w:bCs w:val="0"/>
        </w:rPr>
      </w:pPr>
      <w:r w:rsidRPr="007C0500">
        <w:rPr>
          <w:rFonts w:ascii="Garamond" w:hAnsi="Garamond"/>
        </w:rPr>
        <w:t xml:space="preserve">4 The </w:t>
      </w:r>
      <w:r w:rsidRPr="007C0500">
        <w:rPr>
          <w:rStyle w:val="Strong"/>
          <w:rFonts w:ascii="Garamond" w:hAnsi="Garamond"/>
          <w:b w:val="0"/>
          <w:bCs w:val="0"/>
        </w:rPr>
        <w:t>European Pillar of Social Rights (EPSR).</w:t>
      </w:r>
    </w:p>
    <w:p w14:paraId="4D083C03" w14:textId="1CCE9CC1" w:rsidR="00CB1F64" w:rsidRPr="00F54ECF" w:rsidRDefault="00CB1F64" w:rsidP="009B2661">
      <w:pPr>
        <w:pStyle w:val="FootnoteText"/>
        <w:tabs>
          <w:tab w:val="left" w:pos="180"/>
        </w:tabs>
        <w:adjustRightInd w:val="0"/>
        <w:snapToGrid w:val="0"/>
        <w:jc w:val="both"/>
        <w:rPr>
          <w:rFonts w:ascii="Garamond" w:hAnsi="Garamond"/>
        </w:rPr>
      </w:pPr>
      <w:r w:rsidRPr="007C0500">
        <w:rPr>
          <w:rFonts w:ascii="Garamond" w:hAnsi="Garamond"/>
        </w:rPr>
        <w:t xml:space="preserve">5 </w:t>
      </w:r>
      <w:r w:rsidRPr="00F54ECF">
        <w:rPr>
          <w:rFonts w:ascii="Garamond" w:hAnsi="Garamond"/>
        </w:rPr>
        <w:t xml:space="preserve">The </w:t>
      </w:r>
      <w:r w:rsidRPr="00F54ECF">
        <w:rPr>
          <w:rStyle w:val="Strong"/>
          <w:rFonts w:ascii="Garamond" w:hAnsi="Garamond"/>
          <w:b w:val="0"/>
          <w:bCs w:val="0"/>
        </w:rPr>
        <w:t>Sustainable Development Goals (OZHQs)</w:t>
      </w:r>
      <w:r>
        <w:rPr>
          <w:rStyle w:val="Strong"/>
          <w:rFonts w:ascii="Garamond" w:hAnsi="Garamond"/>
          <w:b w:val="0"/>
          <w:bCs w:val="0"/>
        </w:rPr>
        <w:t>.</w:t>
      </w:r>
    </w:p>
  </w:footnote>
  <w:footnote w:id="87">
    <w:p w14:paraId="4FF31149" w14:textId="3D606C42" w:rsidR="00CB1F64" w:rsidRPr="00F54ECF" w:rsidRDefault="00CB1F64" w:rsidP="009B2661">
      <w:pPr>
        <w:pStyle w:val="FootnoteText"/>
        <w:tabs>
          <w:tab w:val="left" w:pos="180"/>
        </w:tabs>
        <w:adjustRightInd w:val="0"/>
        <w:snapToGrid w:val="0"/>
        <w:jc w:val="both"/>
        <w:rPr>
          <w:rFonts w:ascii="Garamond" w:hAnsi="Garamond"/>
        </w:rPr>
      </w:pPr>
      <w:r w:rsidRPr="00F54ECF">
        <w:rPr>
          <w:rStyle w:val="FootnoteReference"/>
          <w:rFonts w:ascii="Garamond" w:hAnsi="Garamond"/>
        </w:rPr>
        <w:footnoteRef/>
      </w:r>
      <w:r w:rsidRPr="00F54ECF">
        <w:rPr>
          <w:rFonts w:ascii="Garamond" w:hAnsi="Garamond"/>
        </w:rPr>
        <w:t xml:space="preserve"> </w:t>
      </w:r>
      <w:r w:rsidRPr="00F54ECF">
        <w:rPr>
          <w:rFonts w:ascii="Garamond" w:eastAsia="Times New Roman" w:hAnsi="Garamond"/>
        </w:rPr>
        <w:t>Strategjia Kombëtare për Zhvillim dhe Integrim 2022</w:t>
      </w:r>
      <w:r>
        <w:rPr>
          <w:rFonts w:ascii="Garamond" w:hAnsi="Garamond"/>
        </w:rPr>
        <w:t>–</w:t>
      </w:r>
      <w:r w:rsidRPr="00F54ECF">
        <w:rPr>
          <w:rFonts w:ascii="Garamond" w:eastAsia="Times New Roman" w:hAnsi="Garamond"/>
        </w:rPr>
        <w:t>2030</w:t>
      </w:r>
      <w:r>
        <w:rPr>
          <w:rFonts w:ascii="Garamond" w:eastAsia="Times New Roman" w:hAnsi="Garamond"/>
        </w:rPr>
        <w:t>.</w:t>
      </w:r>
    </w:p>
  </w:footnote>
  <w:footnote w:id="88">
    <w:p w14:paraId="3AEB0153" w14:textId="3725F924" w:rsidR="00CB1F64" w:rsidRPr="00F54ECF" w:rsidRDefault="00CB1F64" w:rsidP="009B2661">
      <w:pPr>
        <w:pStyle w:val="FootnoteText"/>
        <w:tabs>
          <w:tab w:val="left" w:pos="180"/>
        </w:tabs>
        <w:adjustRightInd w:val="0"/>
        <w:snapToGrid w:val="0"/>
        <w:jc w:val="both"/>
        <w:rPr>
          <w:rFonts w:ascii="Garamond" w:hAnsi="Garamond"/>
        </w:rPr>
      </w:pPr>
      <w:r w:rsidRPr="00F54ECF">
        <w:rPr>
          <w:rStyle w:val="FootnoteReference"/>
          <w:rFonts w:ascii="Garamond" w:hAnsi="Garamond"/>
        </w:rPr>
        <w:footnoteRef/>
      </w:r>
      <w:r w:rsidRPr="00F54ECF">
        <w:rPr>
          <w:rFonts w:ascii="Garamond" w:hAnsi="Garamond"/>
        </w:rPr>
        <w:t xml:space="preserve"> Dokumenti Politik për Përfshirjen Sociale 2016</w:t>
      </w:r>
      <w:r>
        <w:rPr>
          <w:rFonts w:ascii="Garamond" w:hAnsi="Garamond"/>
        </w:rPr>
        <w:t>–</w:t>
      </w:r>
      <w:r w:rsidRPr="00F54ECF">
        <w:rPr>
          <w:rFonts w:ascii="Garamond" w:hAnsi="Garamond"/>
        </w:rPr>
        <w:t>2020, VKM</w:t>
      </w:r>
      <w:r>
        <w:rPr>
          <w:rFonts w:ascii="Garamond" w:hAnsi="Garamond"/>
        </w:rPr>
        <w:t>.</w:t>
      </w:r>
    </w:p>
  </w:footnote>
  <w:footnote w:id="89">
    <w:p w14:paraId="649EA4E4" w14:textId="53C423DA" w:rsidR="00CB1F64" w:rsidRPr="00F54ECF" w:rsidRDefault="00CB1F64" w:rsidP="009B2661">
      <w:pPr>
        <w:tabs>
          <w:tab w:val="left" w:pos="180"/>
        </w:tabs>
        <w:adjustRightInd w:val="0"/>
        <w:snapToGrid w:val="0"/>
        <w:jc w:val="both"/>
        <w:rPr>
          <w:rFonts w:ascii="Garamond" w:hAnsi="Garamond"/>
          <w:sz w:val="20"/>
          <w:szCs w:val="20"/>
        </w:rPr>
      </w:pPr>
      <w:r w:rsidRPr="00F54ECF">
        <w:rPr>
          <w:rStyle w:val="FootnoteReference"/>
          <w:rFonts w:ascii="Garamond" w:hAnsi="Garamond"/>
          <w:sz w:val="20"/>
          <w:szCs w:val="20"/>
        </w:rPr>
        <w:footnoteRef/>
      </w:r>
      <w:r w:rsidRPr="00F54ECF">
        <w:rPr>
          <w:rFonts w:ascii="Garamond" w:hAnsi="Garamond"/>
          <w:sz w:val="20"/>
          <w:szCs w:val="20"/>
        </w:rPr>
        <w:t xml:space="preserve"> VKM nr. 48, datë 21.1.2015, të Këshillit të Ministrave, “Për miratimin e rregullores për funksionimin e Këshillit Kombëtar për Aftësinë e Kufizuar” (i ndryshuar)</w:t>
      </w:r>
      <w:r>
        <w:rPr>
          <w:rFonts w:ascii="Garamond" w:hAnsi="Garamond"/>
          <w:sz w:val="20"/>
          <w:szCs w:val="20"/>
        </w:rPr>
        <w:t>.</w:t>
      </w:r>
      <w:r w:rsidRPr="00F54ECF">
        <w:rPr>
          <w:rFonts w:ascii="Garamond" w:hAnsi="Garamond"/>
          <w:sz w:val="20"/>
          <w:szCs w:val="20"/>
        </w:rPr>
        <w:t xml:space="preserve"> </w:t>
      </w:r>
    </w:p>
  </w:footnote>
  <w:footnote w:id="90">
    <w:p w14:paraId="3528B391" w14:textId="77777777" w:rsidR="00CB1F64" w:rsidRPr="00F54ECF" w:rsidRDefault="00CB1F64" w:rsidP="009B2661">
      <w:pPr>
        <w:pStyle w:val="NoSpacing"/>
        <w:tabs>
          <w:tab w:val="left" w:pos="180"/>
        </w:tabs>
        <w:adjustRightInd w:val="0"/>
        <w:snapToGrid w:val="0"/>
        <w:jc w:val="both"/>
        <w:rPr>
          <w:rFonts w:ascii="Garamond" w:hAnsi="Garamond"/>
          <w:sz w:val="20"/>
          <w:szCs w:val="20"/>
          <w:lang w:val="sq-AL"/>
        </w:rPr>
      </w:pPr>
      <w:r w:rsidRPr="00F54ECF">
        <w:rPr>
          <w:rStyle w:val="FootnoteReference"/>
          <w:rFonts w:ascii="Garamond" w:hAnsi="Garamond"/>
          <w:sz w:val="20"/>
          <w:szCs w:val="20"/>
          <w:lang w:val="sq-AL"/>
        </w:rPr>
        <w:footnoteRef/>
      </w:r>
      <w:r w:rsidRPr="00F54ECF">
        <w:rPr>
          <w:rFonts w:ascii="Garamond" w:hAnsi="Garamond"/>
          <w:sz w:val="20"/>
          <w:szCs w:val="20"/>
          <w:lang w:val="sq-AL"/>
        </w:rPr>
        <w:t xml:space="preserve"> </w:t>
      </w:r>
      <w:r w:rsidRPr="00F54ECF">
        <w:rPr>
          <w:rFonts w:ascii="Garamond" w:eastAsia="Times New Roman" w:hAnsi="Garamond"/>
          <w:sz w:val="20"/>
          <w:szCs w:val="20"/>
          <w:lang w:val="sq-AL"/>
        </w:rPr>
        <w:t>Direktiva (BE) 2016/2102 për aksesueshmërinë e faqeve të internetit dhe aplikacioneve mobile të institucioneve publike.</w:t>
      </w:r>
    </w:p>
    <w:p w14:paraId="757D9B5D" w14:textId="77777777" w:rsidR="00CB1F64" w:rsidRPr="00F54ECF" w:rsidRDefault="00CB1F64" w:rsidP="009B2661">
      <w:pPr>
        <w:pStyle w:val="FootnoteText"/>
        <w:tabs>
          <w:tab w:val="left" w:pos="180"/>
        </w:tabs>
        <w:adjustRightInd w:val="0"/>
        <w:snapToGrid w:val="0"/>
        <w:jc w:val="both"/>
        <w:rPr>
          <w:rFonts w:ascii="Garamond" w:hAnsi="Garamond"/>
        </w:rPr>
      </w:pPr>
    </w:p>
  </w:footnote>
  <w:footnote w:id="91">
    <w:p w14:paraId="28478830" w14:textId="79B005A4" w:rsidR="00CB1F64" w:rsidRPr="00F54ECF" w:rsidRDefault="00CB1F64" w:rsidP="009B2661">
      <w:pPr>
        <w:pStyle w:val="FootnoteText"/>
        <w:jc w:val="both"/>
        <w:rPr>
          <w:rFonts w:ascii="Garamond" w:hAnsi="Garamond"/>
        </w:rPr>
      </w:pPr>
      <w:r w:rsidRPr="00F54ECF">
        <w:rPr>
          <w:rStyle w:val="FootnoteReference"/>
          <w:rFonts w:ascii="Garamond" w:hAnsi="Garamond"/>
        </w:rPr>
        <w:footnoteRef/>
      </w:r>
      <w:r w:rsidRPr="00F54ECF">
        <w:rPr>
          <w:rFonts w:ascii="Garamond" w:hAnsi="Garamond"/>
        </w:rPr>
        <w:t xml:space="preserve"> </w:t>
      </w:r>
      <w:r w:rsidRPr="00F54ECF">
        <w:rPr>
          <w:rFonts w:ascii="Garamond" w:hAnsi="Garamond"/>
          <w:color w:val="000000"/>
          <w:lang w:eastAsia="en-US"/>
        </w:rPr>
        <w:t>Në rastet ku ka pa</w:t>
      </w:r>
      <w:r>
        <w:rPr>
          <w:rFonts w:ascii="Garamond" w:hAnsi="Garamond"/>
          <w:color w:val="000000"/>
          <w:lang w:eastAsia="en-US"/>
        </w:rPr>
        <w:t>s</w:t>
      </w:r>
      <w:r w:rsidRPr="00F54ECF">
        <w:rPr>
          <w:rFonts w:ascii="Garamond" w:hAnsi="Garamond"/>
          <w:color w:val="000000"/>
          <w:lang w:eastAsia="en-US"/>
        </w:rPr>
        <w:t>ur hapësirë dhe shkojnë në një linjë me produktet e buxhetore, janë vendosur edhe produktet në tabelat e detajuara</w:t>
      </w:r>
      <w:r>
        <w:rPr>
          <w:rFonts w:ascii="Garamond" w:hAnsi="Garamond"/>
          <w:color w:val="000000"/>
          <w:lang w:eastAsia="en-US"/>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468F7"/>
    <w:multiLevelType w:val="multilevel"/>
    <w:tmpl w:val="026468F7"/>
    <w:lvl w:ilvl="0">
      <w:start w:val="1"/>
      <w:numFmt w:val="decimal"/>
      <w:lvlText w:val="2.%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7C36AF2"/>
    <w:multiLevelType w:val="multilevel"/>
    <w:tmpl w:val="07C36AF2"/>
    <w:lvl w:ilvl="0">
      <w:start w:val="1"/>
      <w:numFmt w:val="decimal"/>
      <w:lvlText w:val="1.%1"/>
      <w:lvlJc w:val="left"/>
      <w:pPr>
        <w:ind w:left="720" w:hanging="360"/>
      </w:pPr>
      <w:rPr>
        <w:rFonts w:hint="default"/>
      </w:rPr>
    </w:lvl>
    <w:lvl w:ilvl="1">
      <w:start w:val="1"/>
      <w:numFmt w:val="decimal"/>
      <w:lvlText w:val="1.%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C415337"/>
    <w:multiLevelType w:val="multilevel"/>
    <w:tmpl w:val="0C415337"/>
    <w:lvl w:ilvl="0">
      <w:start w:val="3"/>
      <w:numFmt w:val="decimal"/>
      <w:lvlText w:val="%1"/>
      <w:lvlJc w:val="left"/>
      <w:pPr>
        <w:ind w:left="360" w:hanging="360"/>
      </w:pPr>
      <w:rPr>
        <w:rFonts w:hint="default"/>
        <w:b/>
      </w:rPr>
    </w:lvl>
    <w:lvl w:ilvl="1">
      <w:start w:val="3"/>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3" w15:restartNumberingAfterBreak="0">
    <w:nsid w:val="1063610D"/>
    <w:multiLevelType w:val="multilevel"/>
    <w:tmpl w:val="1063610D"/>
    <w:lvl w:ilvl="0">
      <w:start w:val="1"/>
      <w:numFmt w:val="decimal"/>
      <w:lvlText w:val="1.%1"/>
      <w:lvlJc w:val="left"/>
      <w:pPr>
        <w:ind w:left="720" w:hanging="360"/>
      </w:pPr>
      <w:rPr>
        <w:rFonts w:hint="default"/>
      </w:rPr>
    </w:lvl>
    <w:lvl w:ilvl="1">
      <w:start w:val="1"/>
      <w:numFmt w:val="decimal"/>
      <w:lvlText w:val="1.%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24B7CC0"/>
    <w:multiLevelType w:val="multilevel"/>
    <w:tmpl w:val="124B7CC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31411AE"/>
    <w:multiLevelType w:val="hybridMultilevel"/>
    <w:tmpl w:val="E1041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8C6829"/>
    <w:multiLevelType w:val="multilevel"/>
    <w:tmpl w:val="13B0CAD8"/>
    <w:lvl w:ilvl="0">
      <w:start w:val="1"/>
      <w:numFmt w:val="decimal"/>
      <w:lvlText w:val="%1."/>
      <w:lvlJc w:val="left"/>
      <w:pPr>
        <w:ind w:left="360" w:hanging="360"/>
      </w:pPr>
    </w:lvl>
    <w:lvl w:ilvl="1">
      <w:start w:val="1"/>
      <w:numFmt w:val="decimal"/>
      <w:isLgl/>
      <w:lvlText w:val="%1.%2"/>
      <w:lvlJc w:val="left"/>
      <w:pPr>
        <w:ind w:left="45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7" w15:restartNumberingAfterBreak="0">
    <w:nsid w:val="18204187"/>
    <w:multiLevelType w:val="multilevel"/>
    <w:tmpl w:val="18204187"/>
    <w:lvl w:ilvl="0">
      <w:start w:val="1"/>
      <w:numFmt w:val="decimal"/>
      <w:lvlText w:val="3.%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9F46ED3"/>
    <w:multiLevelType w:val="multilevel"/>
    <w:tmpl w:val="19F46ED3"/>
    <w:lvl w:ilvl="0">
      <w:start w:val="1"/>
      <w:numFmt w:val="decimal"/>
      <w:lvlText w:val="4.%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A36339B"/>
    <w:multiLevelType w:val="multilevel"/>
    <w:tmpl w:val="1A36339B"/>
    <w:lvl w:ilvl="0">
      <w:start w:val="1"/>
      <w:numFmt w:val="decimal"/>
      <w:lvlText w:val="2.%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60A7893"/>
    <w:multiLevelType w:val="hybridMultilevel"/>
    <w:tmpl w:val="EE76EE2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302ACB"/>
    <w:multiLevelType w:val="multilevel"/>
    <w:tmpl w:val="2A302ACB"/>
    <w:lvl w:ilvl="0">
      <w:start w:val="1"/>
      <w:numFmt w:val="decimal"/>
      <w:lvlText w:val="1.%1"/>
      <w:lvlJc w:val="left"/>
      <w:pPr>
        <w:ind w:left="720" w:hanging="360"/>
      </w:pPr>
      <w:rPr>
        <w:rFonts w:hint="default"/>
      </w:rPr>
    </w:lvl>
    <w:lvl w:ilvl="1">
      <w:start w:val="1"/>
      <w:numFmt w:val="decimal"/>
      <w:lvlText w:val="1.%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B5E7690"/>
    <w:multiLevelType w:val="multilevel"/>
    <w:tmpl w:val="2B5E7690"/>
    <w:lvl w:ilvl="0">
      <w:start w:val="1"/>
      <w:numFmt w:val="decimal"/>
      <w:lvlText w:val="3.%1"/>
      <w:lvlJc w:val="left"/>
      <w:pPr>
        <w:ind w:left="720" w:hanging="360"/>
      </w:pPr>
      <w:rPr>
        <w:rFonts w:hint="default"/>
      </w:rPr>
    </w:lvl>
    <w:lvl w:ilvl="1">
      <w:start w:val="1"/>
      <w:numFmt w:val="decimal"/>
      <w:lvlText w:val="3.%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BF807A3"/>
    <w:multiLevelType w:val="multilevel"/>
    <w:tmpl w:val="2BF807A3"/>
    <w:lvl w:ilvl="0">
      <w:start w:val="1"/>
      <w:numFmt w:val="decimal"/>
      <w:lvlText w:val="2.%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E693353"/>
    <w:multiLevelType w:val="multilevel"/>
    <w:tmpl w:val="2E693353"/>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317E734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21210F5"/>
    <w:multiLevelType w:val="multilevel"/>
    <w:tmpl w:val="321210F5"/>
    <w:lvl w:ilvl="0">
      <w:start w:val="1"/>
      <w:numFmt w:val="decimal"/>
      <w:lvlText w:val="4.%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2DE3484"/>
    <w:multiLevelType w:val="multilevel"/>
    <w:tmpl w:val="7B2CC6A8"/>
    <w:lvl w:ilvl="0">
      <w:start w:val="3"/>
      <w:numFmt w:val="decimal"/>
      <w:lvlText w:val="%1"/>
      <w:lvlJc w:val="left"/>
      <w:pPr>
        <w:ind w:left="360" w:hanging="360"/>
      </w:pPr>
      <w:rPr>
        <w:rFonts w:hint="default"/>
        <w:b/>
      </w:rPr>
    </w:lvl>
    <w:lvl w:ilvl="1">
      <w:start w:val="3"/>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8" w15:restartNumberingAfterBreak="0">
    <w:nsid w:val="3F7070A1"/>
    <w:multiLevelType w:val="hybridMultilevel"/>
    <w:tmpl w:val="3E34E48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9C3E5F"/>
    <w:multiLevelType w:val="multilevel"/>
    <w:tmpl w:val="489C3E5F"/>
    <w:lvl w:ilvl="0">
      <w:start w:val="1"/>
      <w:numFmt w:val="decimal"/>
      <w:lvlText w:val="3.%1"/>
      <w:lvlJc w:val="left"/>
      <w:pPr>
        <w:ind w:left="720" w:hanging="360"/>
      </w:pPr>
      <w:rPr>
        <w:rFonts w:hint="default"/>
      </w:rPr>
    </w:lvl>
    <w:lvl w:ilvl="1">
      <w:start w:val="1"/>
      <w:numFmt w:val="decimal"/>
      <w:lvlText w:val="3.%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9ED5CA7"/>
    <w:multiLevelType w:val="multilevel"/>
    <w:tmpl w:val="49ED5CA7"/>
    <w:lvl w:ilvl="0">
      <w:start w:val="1"/>
      <w:numFmt w:val="decimal"/>
      <w:lvlText w:val="1.%1"/>
      <w:lvlJc w:val="left"/>
      <w:pPr>
        <w:ind w:left="720" w:hanging="360"/>
      </w:pPr>
      <w:rPr>
        <w:rFonts w:hint="default"/>
      </w:rPr>
    </w:lvl>
    <w:lvl w:ilvl="1">
      <w:start w:val="1"/>
      <w:numFmt w:val="decimal"/>
      <w:lvlText w:val="1.%2"/>
      <w:lvlJc w:val="left"/>
      <w:pPr>
        <w:ind w:left="1440" w:hanging="360"/>
      </w:pPr>
      <w:rPr>
        <w:rFonts w:hint="default"/>
        <w:sz w:val="24"/>
        <w:szCs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FAE0049"/>
    <w:multiLevelType w:val="multilevel"/>
    <w:tmpl w:val="4FAE0049"/>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2" w15:restartNumberingAfterBreak="0">
    <w:nsid w:val="53855F38"/>
    <w:multiLevelType w:val="multilevel"/>
    <w:tmpl w:val="53855F38"/>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78A1538"/>
    <w:multiLevelType w:val="multilevel"/>
    <w:tmpl w:val="578A1538"/>
    <w:lvl w:ilvl="0">
      <w:start w:val="1"/>
      <w:numFmt w:val="decimal"/>
      <w:lvlText w:val="3.%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7952803"/>
    <w:multiLevelType w:val="multilevel"/>
    <w:tmpl w:val="57952803"/>
    <w:lvl w:ilvl="0">
      <w:start w:val="1"/>
      <w:numFmt w:val="decimal"/>
      <w:lvlText w:val="1.%1"/>
      <w:lvlJc w:val="left"/>
      <w:pPr>
        <w:ind w:left="720" w:hanging="360"/>
      </w:pPr>
      <w:rPr>
        <w:rFonts w:hint="default"/>
      </w:rPr>
    </w:lvl>
    <w:lvl w:ilvl="1">
      <w:start w:val="1"/>
      <w:numFmt w:val="decimal"/>
      <w:lvlText w:val="1.%2"/>
      <w:lvlJc w:val="left"/>
      <w:pPr>
        <w:ind w:left="72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DBA0397"/>
    <w:multiLevelType w:val="multilevel"/>
    <w:tmpl w:val="5DBA0397"/>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FA059C0"/>
    <w:multiLevelType w:val="multilevel"/>
    <w:tmpl w:val="5FA059C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1E422B1"/>
    <w:multiLevelType w:val="hybridMultilevel"/>
    <w:tmpl w:val="FDA4205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2936094"/>
    <w:multiLevelType w:val="multilevel"/>
    <w:tmpl w:val="9DBA50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720" w:hanging="720"/>
      </w:pPr>
      <w:rPr>
        <w:rFonts w:hint="default"/>
      </w:rPr>
    </w:lvl>
    <w:lvl w:ilvl="7">
      <w:start w:val="1"/>
      <w:numFmt w:val="decimal"/>
      <w:lvlText w:val="%1.%2.%3.%4.%5.%6.%7.%8."/>
      <w:lvlJc w:val="left"/>
      <w:pPr>
        <w:ind w:left="720" w:hanging="720"/>
      </w:pPr>
      <w:rPr>
        <w:rFonts w:hint="default"/>
      </w:rPr>
    </w:lvl>
    <w:lvl w:ilvl="8">
      <w:start w:val="1"/>
      <w:numFmt w:val="decimal"/>
      <w:lvlText w:val="%1.%2.%3.%4.%5.%6.%7.%8.%9."/>
      <w:lvlJc w:val="left"/>
      <w:pPr>
        <w:ind w:left="720" w:hanging="720"/>
      </w:pPr>
      <w:rPr>
        <w:rFonts w:hint="default"/>
      </w:rPr>
    </w:lvl>
  </w:abstractNum>
  <w:abstractNum w:abstractNumId="29" w15:restartNumberingAfterBreak="0">
    <w:nsid w:val="63590DF7"/>
    <w:multiLevelType w:val="hybridMultilevel"/>
    <w:tmpl w:val="EBBA01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0A0903"/>
    <w:multiLevelType w:val="multilevel"/>
    <w:tmpl w:val="650A090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68084402"/>
    <w:multiLevelType w:val="multilevel"/>
    <w:tmpl w:val="68084402"/>
    <w:lvl w:ilvl="0">
      <w:start w:val="1"/>
      <w:numFmt w:val="decimal"/>
      <w:lvlText w:val="6.%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EE06983"/>
    <w:multiLevelType w:val="multilevel"/>
    <w:tmpl w:val="6EE06983"/>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F321528"/>
    <w:multiLevelType w:val="multilevel"/>
    <w:tmpl w:val="6F321528"/>
    <w:lvl w:ilvl="0">
      <w:start w:val="1"/>
      <w:numFmt w:val="decimal"/>
      <w:lvlText w:val="2.%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7D91FFB"/>
    <w:multiLevelType w:val="multilevel"/>
    <w:tmpl w:val="77D91FFB"/>
    <w:lvl w:ilvl="0">
      <w:start w:val="1"/>
      <w:numFmt w:val="decimal"/>
      <w:lvlText w:val="4.%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88A1CE5"/>
    <w:multiLevelType w:val="multilevel"/>
    <w:tmpl w:val="788A1CE5"/>
    <w:lvl w:ilvl="0">
      <w:start w:val="1"/>
      <w:numFmt w:val="decimal"/>
      <w:lvlText w:val="5.%1"/>
      <w:lvlJc w:val="left"/>
      <w:pPr>
        <w:ind w:left="540" w:hanging="360"/>
      </w:pPr>
      <w:rPr>
        <w:rFonts w:hint="default"/>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36" w15:restartNumberingAfterBreak="0">
    <w:nsid w:val="7FB52011"/>
    <w:multiLevelType w:val="multilevel"/>
    <w:tmpl w:val="7FB52011"/>
    <w:lvl w:ilvl="0">
      <w:start w:val="1"/>
      <w:numFmt w:val="decimal"/>
      <w:lvlText w:val="2.%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2"/>
  </w:num>
  <w:num w:numId="2">
    <w:abstractNumId w:val="32"/>
  </w:num>
  <w:num w:numId="3">
    <w:abstractNumId w:val="2"/>
  </w:num>
  <w:num w:numId="4">
    <w:abstractNumId w:val="3"/>
  </w:num>
  <w:num w:numId="5">
    <w:abstractNumId w:val="33"/>
  </w:num>
  <w:num w:numId="6">
    <w:abstractNumId w:val="1"/>
  </w:num>
  <w:num w:numId="7">
    <w:abstractNumId w:val="9"/>
  </w:num>
  <w:num w:numId="8">
    <w:abstractNumId w:val="19"/>
  </w:num>
  <w:num w:numId="9">
    <w:abstractNumId w:val="34"/>
  </w:num>
  <w:num w:numId="10">
    <w:abstractNumId w:val="20"/>
  </w:num>
  <w:num w:numId="11">
    <w:abstractNumId w:val="36"/>
  </w:num>
  <w:num w:numId="12">
    <w:abstractNumId w:val="12"/>
  </w:num>
  <w:num w:numId="13">
    <w:abstractNumId w:val="8"/>
  </w:num>
  <w:num w:numId="14">
    <w:abstractNumId w:val="35"/>
  </w:num>
  <w:num w:numId="15">
    <w:abstractNumId w:val="31"/>
  </w:num>
  <w:num w:numId="16">
    <w:abstractNumId w:val="26"/>
  </w:num>
  <w:num w:numId="17">
    <w:abstractNumId w:val="13"/>
  </w:num>
  <w:num w:numId="18">
    <w:abstractNumId w:val="23"/>
  </w:num>
  <w:num w:numId="19">
    <w:abstractNumId w:val="11"/>
  </w:num>
  <w:num w:numId="20">
    <w:abstractNumId w:val="25"/>
  </w:num>
  <w:num w:numId="21">
    <w:abstractNumId w:val="24"/>
  </w:num>
  <w:num w:numId="22">
    <w:abstractNumId w:val="0"/>
  </w:num>
  <w:num w:numId="23">
    <w:abstractNumId w:val="7"/>
  </w:num>
  <w:num w:numId="24">
    <w:abstractNumId w:val="16"/>
  </w:num>
  <w:num w:numId="25">
    <w:abstractNumId w:val="4"/>
  </w:num>
  <w:num w:numId="26">
    <w:abstractNumId w:val="30"/>
  </w:num>
  <w:num w:numId="27">
    <w:abstractNumId w:val="14"/>
  </w:num>
  <w:num w:numId="28">
    <w:abstractNumId w:val="21"/>
  </w:num>
  <w:num w:numId="29">
    <w:abstractNumId w:val="10"/>
  </w:num>
  <w:num w:numId="30">
    <w:abstractNumId w:val="18"/>
  </w:num>
  <w:num w:numId="31">
    <w:abstractNumId w:val="6"/>
  </w:num>
  <w:num w:numId="32">
    <w:abstractNumId w:val="29"/>
  </w:num>
  <w:num w:numId="33">
    <w:abstractNumId w:val="15"/>
  </w:num>
  <w:num w:numId="34">
    <w:abstractNumId w:val="17"/>
  </w:num>
  <w:num w:numId="35">
    <w:abstractNumId w:val="27"/>
  </w:num>
  <w:num w:numId="36">
    <w:abstractNumId w:val="5"/>
  </w:num>
  <w:num w:numId="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6"/>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7DB"/>
    <w:rsid w:val="00001371"/>
    <w:rsid w:val="000036D4"/>
    <w:rsid w:val="00003727"/>
    <w:rsid w:val="000047ED"/>
    <w:rsid w:val="00013955"/>
    <w:rsid w:val="00013ABD"/>
    <w:rsid w:val="00015096"/>
    <w:rsid w:val="000151BA"/>
    <w:rsid w:val="00017BF3"/>
    <w:rsid w:val="00020504"/>
    <w:rsid w:val="00020B9F"/>
    <w:rsid w:val="0002249E"/>
    <w:rsid w:val="00023579"/>
    <w:rsid w:val="0002433B"/>
    <w:rsid w:val="00024D5A"/>
    <w:rsid w:val="00025BBB"/>
    <w:rsid w:val="00026CE4"/>
    <w:rsid w:val="00026FA5"/>
    <w:rsid w:val="00042FC1"/>
    <w:rsid w:val="00043F56"/>
    <w:rsid w:val="000447A0"/>
    <w:rsid w:val="00044869"/>
    <w:rsid w:val="00045869"/>
    <w:rsid w:val="00045BCC"/>
    <w:rsid w:val="0004614F"/>
    <w:rsid w:val="00047B59"/>
    <w:rsid w:val="00050AF8"/>
    <w:rsid w:val="00050AFB"/>
    <w:rsid w:val="00054849"/>
    <w:rsid w:val="00055A6B"/>
    <w:rsid w:val="0006183E"/>
    <w:rsid w:val="000626E8"/>
    <w:rsid w:val="00062E20"/>
    <w:rsid w:val="000648C9"/>
    <w:rsid w:val="0006568C"/>
    <w:rsid w:val="00065C73"/>
    <w:rsid w:val="0006644D"/>
    <w:rsid w:val="00066584"/>
    <w:rsid w:val="00070BC1"/>
    <w:rsid w:val="00070D26"/>
    <w:rsid w:val="000717B9"/>
    <w:rsid w:val="0007249E"/>
    <w:rsid w:val="000726DB"/>
    <w:rsid w:val="00074FD9"/>
    <w:rsid w:val="00077C09"/>
    <w:rsid w:val="00080000"/>
    <w:rsid w:val="00083AE1"/>
    <w:rsid w:val="000856CC"/>
    <w:rsid w:val="000866C5"/>
    <w:rsid w:val="00086892"/>
    <w:rsid w:val="00086AB5"/>
    <w:rsid w:val="000913A3"/>
    <w:rsid w:val="00095144"/>
    <w:rsid w:val="000954A3"/>
    <w:rsid w:val="00095673"/>
    <w:rsid w:val="000976E5"/>
    <w:rsid w:val="000A3216"/>
    <w:rsid w:val="000A4452"/>
    <w:rsid w:val="000A5633"/>
    <w:rsid w:val="000A632A"/>
    <w:rsid w:val="000A7DC8"/>
    <w:rsid w:val="000B2295"/>
    <w:rsid w:val="000B27F5"/>
    <w:rsid w:val="000B31BB"/>
    <w:rsid w:val="000B403A"/>
    <w:rsid w:val="000B5FB1"/>
    <w:rsid w:val="000B62E4"/>
    <w:rsid w:val="000C2181"/>
    <w:rsid w:val="000C2D3A"/>
    <w:rsid w:val="000D3458"/>
    <w:rsid w:val="000D5711"/>
    <w:rsid w:val="000D5DF3"/>
    <w:rsid w:val="000D7236"/>
    <w:rsid w:val="000D73B8"/>
    <w:rsid w:val="000E011B"/>
    <w:rsid w:val="000E07F0"/>
    <w:rsid w:val="000E1775"/>
    <w:rsid w:val="000E1C9F"/>
    <w:rsid w:val="000E3330"/>
    <w:rsid w:val="000E405C"/>
    <w:rsid w:val="000E4CCE"/>
    <w:rsid w:val="000E56EB"/>
    <w:rsid w:val="000E6121"/>
    <w:rsid w:val="000E7431"/>
    <w:rsid w:val="000F0583"/>
    <w:rsid w:val="000F1F1E"/>
    <w:rsid w:val="000F30A4"/>
    <w:rsid w:val="000F73AA"/>
    <w:rsid w:val="001003EF"/>
    <w:rsid w:val="00101050"/>
    <w:rsid w:val="00102372"/>
    <w:rsid w:val="001045C2"/>
    <w:rsid w:val="00104871"/>
    <w:rsid w:val="001049A4"/>
    <w:rsid w:val="00105102"/>
    <w:rsid w:val="001058CD"/>
    <w:rsid w:val="00105F9E"/>
    <w:rsid w:val="00110C9A"/>
    <w:rsid w:val="00110D32"/>
    <w:rsid w:val="00111771"/>
    <w:rsid w:val="001127B9"/>
    <w:rsid w:val="00113A18"/>
    <w:rsid w:val="0011579E"/>
    <w:rsid w:val="0011650E"/>
    <w:rsid w:val="001174D2"/>
    <w:rsid w:val="00117BF5"/>
    <w:rsid w:val="00117EC6"/>
    <w:rsid w:val="0012096D"/>
    <w:rsid w:val="001214CB"/>
    <w:rsid w:val="001240FB"/>
    <w:rsid w:val="00124C8D"/>
    <w:rsid w:val="00126489"/>
    <w:rsid w:val="00130A81"/>
    <w:rsid w:val="00130C0A"/>
    <w:rsid w:val="00131027"/>
    <w:rsid w:val="00131A12"/>
    <w:rsid w:val="00132253"/>
    <w:rsid w:val="00132C9A"/>
    <w:rsid w:val="00137017"/>
    <w:rsid w:val="0013721F"/>
    <w:rsid w:val="00141BEE"/>
    <w:rsid w:val="0014426B"/>
    <w:rsid w:val="001464FD"/>
    <w:rsid w:val="001466C2"/>
    <w:rsid w:val="00147213"/>
    <w:rsid w:val="0015207B"/>
    <w:rsid w:val="00152BC8"/>
    <w:rsid w:val="001548EC"/>
    <w:rsid w:val="00154F34"/>
    <w:rsid w:val="00155756"/>
    <w:rsid w:val="00155A1F"/>
    <w:rsid w:val="00156D38"/>
    <w:rsid w:val="00156EA9"/>
    <w:rsid w:val="0016192E"/>
    <w:rsid w:val="00163964"/>
    <w:rsid w:val="00165462"/>
    <w:rsid w:val="001673BE"/>
    <w:rsid w:val="00170447"/>
    <w:rsid w:val="0017154C"/>
    <w:rsid w:val="00171F62"/>
    <w:rsid w:val="00172185"/>
    <w:rsid w:val="00176B38"/>
    <w:rsid w:val="001771D3"/>
    <w:rsid w:val="0018012B"/>
    <w:rsid w:val="00180CD5"/>
    <w:rsid w:val="00180DF3"/>
    <w:rsid w:val="00181064"/>
    <w:rsid w:val="00182D1A"/>
    <w:rsid w:val="00182FB2"/>
    <w:rsid w:val="00183A53"/>
    <w:rsid w:val="00183F5B"/>
    <w:rsid w:val="00184AFC"/>
    <w:rsid w:val="00187549"/>
    <w:rsid w:val="00187560"/>
    <w:rsid w:val="001900C5"/>
    <w:rsid w:val="00191840"/>
    <w:rsid w:val="0019326D"/>
    <w:rsid w:val="00194286"/>
    <w:rsid w:val="001A28F5"/>
    <w:rsid w:val="001A582C"/>
    <w:rsid w:val="001A705C"/>
    <w:rsid w:val="001B1899"/>
    <w:rsid w:val="001B341F"/>
    <w:rsid w:val="001B7748"/>
    <w:rsid w:val="001B7F35"/>
    <w:rsid w:val="001C2582"/>
    <w:rsid w:val="001C3A58"/>
    <w:rsid w:val="001C56AE"/>
    <w:rsid w:val="001C65F5"/>
    <w:rsid w:val="001D1AA8"/>
    <w:rsid w:val="001D1B1C"/>
    <w:rsid w:val="001D1C21"/>
    <w:rsid w:val="001D6785"/>
    <w:rsid w:val="001D7230"/>
    <w:rsid w:val="001E3531"/>
    <w:rsid w:val="001E75FE"/>
    <w:rsid w:val="001E7D65"/>
    <w:rsid w:val="001F2BD2"/>
    <w:rsid w:val="001F3300"/>
    <w:rsid w:val="001F7A75"/>
    <w:rsid w:val="0020345A"/>
    <w:rsid w:val="0020771A"/>
    <w:rsid w:val="00210B99"/>
    <w:rsid w:val="0022309D"/>
    <w:rsid w:val="00224BA7"/>
    <w:rsid w:val="00225ABC"/>
    <w:rsid w:val="002260D8"/>
    <w:rsid w:val="00226C39"/>
    <w:rsid w:val="00226D2C"/>
    <w:rsid w:val="00233931"/>
    <w:rsid w:val="00234FBC"/>
    <w:rsid w:val="00241049"/>
    <w:rsid w:val="002410FE"/>
    <w:rsid w:val="00243E2E"/>
    <w:rsid w:val="002447A2"/>
    <w:rsid w:val="00245864"/>
    <w:rsid w:val="002459D7"/>
    <w:rsid w:val="0025581C"/>
    <w:rsid w:val="00256171"/>
    <w:rsid w:val="00257A05"/>
    <w:rsid w:val="00263F75"/>
    <w:rsid w:val="00267DB7"/>
    <w:rsid w:val="00273A97"/>
    <w:rsid w:val="002768CE"/>
    <w:rsid w:val="0027721B"/>
    <w:rsid w:val="00277A49"/>
    <w:rsid w:val="00280B64"/>
    <w:rsid w:val="00282E08"/>
    <w:rsid w:val="002837A3"/>
    <w:rsid w:val="00283FD9"/>
    <w:rsid w:val="002869D3"/>
    <w:rsid w:val="00291631"/>
    <w:rsid w:val="0029799F"/>
    <w:rsid w:val="002A0D52"/>
    <w:rsid w:val="002A141F"/>
    <w:rsid w:val="002A2A2E"/>
    <w:rsid w:val="002A5997"/>
    <w:rsid w:val="002A5B1B"/>
    <w:rsid w:val="002B1438"/>
    <w:rsid w:val="002B2CE7"/>
    <w:rsid w:val="002B321E"/>
    <w:rsid w:val="002B3406"/>
    <w:rsid w:val="002B62EA"/>
    <w:rsid w:val="002B6674"/>
    <w:rsid w:val="002B6C32"/>
    <w:rsid w:val="002B6C8E"/>
    <w:rsid w:val="002C0D29"/>
    <w:rsid w:val="002C160E"/>
    <w:rsid w:val="002C3F0C"/>
    <w:rsid w:val="002C53D9"/>
    <w:rsid w:val="002C7F70"/>
    <w:rsid w:val="002D1B66"/>
    <w:rsid w:val="002D284A"/>
    <w:rsid w:val="002D2DE0"/>
    <w:rsid w:val="002D3049"/>
    <w:rsid w:val="002D40E2"/>
    <w:rsid w:val="002D4649"/>
    <w:rsid w:val="002D4B1D"/>
    <w:rsid w:val="002D5F33"/>
    <w:rsid w:val="002E0B04"/>
    <w:rsid w:val="002E0F64"/>
    <w:rsid w:val="002E1CAF"/>
    <w:rsid w:val="002E2CBA"/>
    <w:rsid w:val="002E49F7"/>
    <w:rsid w:val="002E4C88"/>
    <w:rsid w:val="002E605D"/>
    <w:rsid w:val="002E7889"/>
    <w:rsid w:val="002F00F4"/>
    <w:rsid w:val="002F0C3F"/>
    <w:rsid w:val="002F3B08"/>
    <w:rsid w:val="002F5CCC"/>
    <w:rsid w:val="002F714A"/>
    <w:rsid w:val="002F7E42"/>
    <w:rsid w:val="00301203"/>
    <w:rsid w:val="0030165D"/>
    <w:rsid w:val="0030621C"/>
    <w:rsid w:val="00306C24"/>
    <w:rsid w:val="00307609"/>
    <w:rsid w:val="003137E0"/>
    <w:rsid w:val="0031688D"/>
    <w:rsid w:val="00322E8F"/>
    <w:rsid w:val="00323457"/>
    <w:rsid w:val="003245E7"/>
    <w:rsid w:val="0032466F"/>
    <w:rsid w:val="00325568"/>
    <w:rsid w:val="0032587C"/>
    <w:rsid w:val="003267CF"/>
    <w:rsid w:val="00331A55"/>
    <w:rsid w:val="00331B8C"/>
    <w:rsid w:val="00332042"/>
    <w:rsid w:val="00333E2A"/>
    <w:rsid w:val="0034379A"/>
    <w:rsid w:val="003443E2"/>
    <w:rsid w:val="00344482"/>
    <w:rsid w:val="00347704"/>
    <w:rsid w:val="0034776F"/>
    <w:rsid w:val="00347FA8"/>
    <w:rsid w:val="003509EA"/>
    <w:rsid w:val="00352176"/>
    <w:rsid w:val="003526AF"/>
    <w:rsid w:val="00352DAC"/>
    <w:rsid w:val="00353986"/>
    <w:rsid w:val="00356930"/>
    <w:rsid w:val="00356E65"/>
    <w:rsid w:val="00357384"/>
    <w:rsid w:val="003631E6"/>
    <w:rsid w:val="00370AA6"/>
    <w:rsid w:val="003715F4"/>
    <w:rsid w:val="00380F75"/>
    <w:rsid w:val="00381415"/>
    <w:rsid w:val="003818FA"/>
    <w:rsid w:val="0038204A"/>
    <w:rsid w:val="00382508"/>
    <w:rsid w:val="00385385"/>
    <w:rsid w:val="00385503"/>
    <w:rsid w:val="00387E5A"/>
    <w:rsid w:val="0039439A"/>
    <w:rsid w:val="00395681"/>
    <w:rsid w:val="00395C87"/>
    <w:rsid w:val="00396B4E"/>
    <w:rsid w:val="00397C0E"/>
    <w:rsid w:val="003A0045"/>
    <w:rsid w:val="003A0569"/>
    <w:rsid w:val="003A3087"/>
    <w:rsid w:val="003A420D"/>
    <w:rsid w:val="003A52F2"/>
    <w:rsid w:val="003A67E5"/>
    <w:rsid w:val="003A7AC6"/>
    <w:rsid w:val="003B07DC"/>
    <w:rsid w:val="003B2972"/>
    <w:rsid w:val="003B34C2"/>
    <w:rsid w:val="003B43D4"/>
    <w:rsid w:val="003B6AAE"/>
    <w:rsid w:val="003B7F6C"/>
    <w:rsid w:val="003C1F35"/>
    <w:rsid w:val="003C6608"/>
    <w:rsid w:val="003D08F5"/>
    <w:rsid w:val="003D2B7A"/>
    <w:rsid w:val="003D3A2B"/>
    <w:rsid w:val="003D61A6"/>
    <w:rsid w:val="003D6F4F"/>
    <w:rsid w:val="003D73E8"/>
    <w:rsid w:val="003E0053"/>
    <w:rsid w:val="003E161C"/>
    <w:rsid w:val="003E1630"/>
    <w:rsid w:val="003E4CA9"/>
    <w:rsid w:val="003E64DA"/>
    <w:rsid w:val="003E6F90"/>
    <w:rsid w:val="003F0522"/>
    <w:rsid w:val="003F1E3A"/>
    <w:rsid w:val="003F2F02"/>
    <w:rsid w:val="003F4045"/>
    <w:rsid w:val="003F582F"/>
    <w:rsid w:val="00401482"/>
    <w:rsid w:val="00401571"/>
    <w:rsid w:val="00401CC1"/>
    <w:rsid w:val="004056FF"/>
    <w:rsid w:val="00405855"/>
    <w:rsid w:val="00406FBB"/>
    <w:rsid w:val="00407F9E"/>
    <w:rsid w:val="004110C7"/>
    <w:rsid w:val="00412713"/>
    <w:rsid w:val="004127A6"/>
    <w:rsid w:val="0041401A"/>
    <w:rsid w:val="004151CF"/>
    <w:rsid w:val="00416E45"/>
    <w:rsid w:val="004201E6"/>
    <w:rsid w:val="00420468"/>
    <w:rsid w:val="00420E74"/>
    <w:rsid w:val="00422907"/>
    <w:rsid w:val="00422FC4"/>
    <w:rsid w:val="0042370A"/>
    <w:rsid w:val="00425774"/>
    <w:rsid w:val="00425781"/>
    <w:rsid w:val="00427262"/>
    <w:rsid w:val="004312FB"/>
    <w:rsid w:val="00435B05"/>
    <w:rsid w:val="00435E2A"/>
    <w:rsid w:val="00436127"/>
    <w:rsid w:val="0043644B"/>
    <w:rsid w:val="00436B22"/>
    <w:rsid w:val="00436DB2"/>
    <w:rsid w:val="00443E58"/>
    <w:rsid w:val="0044449E"/>
    <w:rsid w:val="00453803"/>
    <w:rsid w:val="004602D5"/>
    <w:rsid w:val="004606F8"/>
    <w:rsid w:val="00461450"/>
    <w:rsid w:val="00466028"/>
    <w:rsid w:val="004668EE"/>
    <w:rsid w:val="0046698D"/>
    <w:rsid w:val="00467799"/>
    <w:rsid w:val="0047308B"/>
    <w:rsid w:val="004766E8"/>
    <w:rsid w:val="00483352"/>
    <w:rsid w:val="00485D36"/>
    <w:rsid w:val="0048716F"/>
    <w:rsid w:val="004872C9"/>
    <w:rsid w:val="00487E3E"/>
    <w:rsid w:val="00491BA0"/>
    <w:rsid w:val="004928DD"/>
    <w:rsid w:val="004A25B6"/>
    <w:rsid w:val="004A279B"/>
    <w:rsid w:val="004A3881"/>
    <w:rsid w:val="004A7C75"/>
    <w:rsid w:val="004B03EF"/>
    <w:rsid w:val="004B2BE3"/>
    <w:rsid w:val="004B31D6"/>
    <w:rsid w:val="004B3A18"/>
    <w:rsid w:val="004B3A4E"/>
    <w:rsid w:val="004B62E1"/>
    <w:rsid w:val="004B71D9"/>
    <w:rsid w:val="004B7F63"/>
    <w:rsid w:val="004C2882"/>
    <w:rsid w:val="004C2E82"/>
    <w:rsid w:val="004C31C8"/>
    <w:rsid w:val="004C76F0"/>
    <w:rsid w:val="004C792E"/>
    <w:rsid w:val="004D0677"/>
    <w:rsid w:val="004D0AF9"/>
    <w:rsid w:val="004D1E39"/>
    <w:rsid w:val="004D2BF5"/>
    <w:rsid w:val="004D2C7F"/>
    <w:rsid w:val="004D36F3"/>
    <w:rsid w:val="004D6747"/>
    <w:rsid w:val="004D73D3"/>
    <w:rsid w:val="004E22FE"/>
    <w:rsid w:val="004E2D67"/>
    <w:rsid w:val="004E4604"/>
    <w:rsid w:val="004E7378"/>
    <w:rsid w:val="004F162A"/>
    <w:rsid w:val="004F1BDB"/>
    <w:rsid w:val="004F421B"/>
    <w:rsid w:val="004F6BE2"/>
    <w:rsid w:val="005006E5"/>
    <w:rsid w:val="005016FE"/>
    <w:rsid w:val="0050221F"/>
    <w:rsid w:val="00505C21"/>
    <w:rsid w:val="00513644"/>
    <w:rsid w:val="00514F7C"/>
    <w:rsid w:val="00516221"/>
    <w:rsid w:val="00521728"/>
    <w:rsid w:val="00522644"/>
    <w:rsid w:val="00522FF0"/>
    <w:rsid w:val="005267CC"/>
    <w:rsid w:val="005306F3"/>
    <w:rsid w:val="005327E2"/>
    <w:rsid w:val="00533D9C"/>
    <w:rsid w:val="0054033B"/>
    <w:rsid w:val="005411F8"/>
    <w:rsid w:val="00542440"/>
    <w:rsid w:val="005435F6"/>
    <w:rsid w:val="00544401"/>
    <w:rsid w:val="00545810"/>
    <w:rsid w:val="005506AF"/>
    <w:rsid w:val="00554768"/>
    <w:rsid w:val="00555FC0"/>
    <w:rsid w:val="00560456"/>
    <w:rsid w:val="00562245"/>
    <w:rsid w:val="005636AB"/>
    <w:rsid w:val="00566494"/>
    <w:rsid w:val="00570186"/>
    <w:rsid w:val="005709DB"/>
    <w:rsid w:val="00570B8F"/>
    <w:rsid w:val="00572542"/>
    <w:rsid w:val="00572EF4"/>
    <w:rsid w:val="00573561"/>
    <w:rsid w:val="005743A8"/>
    <w:rsid w:val="00577ACC"/>
    <w:rsid w:val="00577CD7"/>
    <w:rsid w:val="00581BAD"/>
    <w:rsid w:val="0058284A"/>
    <w:rsid w:val="00582B12"/>
    <w:rsid w:val="0058320F"/>
    <w:rsid w:val="0058487E"/>
    <w:rsid w:val="00586085"/>
    <w:rsid w:val="00587780"/>
    <w:rsid w:val="00587BB1"/>
    <w:rsid w:val="00587DE2"/>
    <w:rsid w:val="0059189E"/>
    <w:rsid w:val="005923D9"/>
    <w:rsid w:val="00592A13"/>
    <w:rsid w:val="00597574"/>
    <w:rsid w:val="00597AD8"/>
    <w:rsid w:val="005A0033"/>
    <w:rsid w:val="005A4334"/>
    <w:rsid w:val="005A4372"/>
    <w:rsid w:val="005A46ED"/>
    <w:rsid w:val="005A7093"/>
    <w:rsid w:val="005A797A"/>
    <w:rsid w:val="005B0625"/>
    <w:rsid w:val="005B1601"/>
    <w:rsid w:val="005B751C"/>
    <w:rsid w:val="005B77E1"/>
    <w:rsid w:val="005C0876"/>
    <w:rsid w:val="005C0FF5"/>
    <w:rsid w:val="005C30FC"/>
    <w:rsid w:val="005C345B"/>
    <w:rsid w:val="005C44F8"/>
    <w:rsid w:val="005C5445"/>
    <w:rsid w:val="005D0B87"/>
    <w:rsid w:val="005D0E25"/>
    <w:rsid w:val="005D191A"/>
    <w:rsid w:val="005D38AD"/>
    <w:rsid w:val="005D6929"/>
    <w:rsid w:val="005D724F"/>
    <w:rsid w:val="005E0AE6"/>
    <w:rsid w:val="005E1AF7"/>
    <w:rsid w:val="005E3EA4"/>
    <w:rsid w:val="005E4EAE"/>
    <w:rsid w:val="005E7A46"/>
    <w:rsid w:val="005F3E6F"/>
    <w:rsid w:val="005F4DB7"/>
    <w:rsid w:val="005F67F7"/>
    <w:rsid w:val="005F69EE"/>
    <w:rsid w:val="005F733C"/>
    <w:rsid w:val="00601932"/>
    <w:rsid w:val="00602449"/>
    <w:rsid w:val="006031EE"/>
    <w:rsid w:val="006053FD"/>
    <w:rsid w:val="0060677F"/>
    <w:rsid w:val="006071EE"/>
    <w:rsid w:val="00610EB4"/>
    <w:rsid w:val="00613340"/>
    <w:rsid w:val="006157B1"/>
    <w:rsid w:val="00617482"/>
    <w:rsid w:val="006217A3"/>
    <w:rsid w:val="00622172"/>
    <w:rsid w:val="00622478"/>
    <w:rsid w:val="006233F4"/>
    <w:rsid w:val="00626215"/>
    <w:rsid w:val="00627044"/>
    <w:rsid w:val="00630349"/>
    <w:rsid w:val="00631904"/>
    <w:rsid w:val="00633D6B"/>
    <w:rsid w:val="006348B1"/>
    <w:rsid w:val="006372FE"/>
    <w:rsid w:val="0063FC54"/>
    <w:rsid w:val="00645AF0"/>
    <w:rsid w:val="00647079"/>
    <w:rsid w:val="00647586"/>
    <w:rsid w:val="00647601"/>
    <w:rsid w:val="00647FD3"/>
    <w:rsid w:val="006510EF"/>
    <w:rsid w:val="00651A5D"/>
    <w:rsid w:val="006527F4"/>
    <w:rsid w:val="00655D34"/>
    <w:rsid w:val="00655D3E"/>
    <w:rsid w:val="00656D21"/>
    <w:rsid w:val="00657405"/>
    <w:rsid w:val="00660253"/>
    <w:rsid w:val="0066282F"/>
    <w:rsid w:val="00662ECD"/>
    <w:rsid w:val="006636AB"/>
    <w:rsid w:val="006637B6"/>
    <w:rsid w:val="0066467C"/>
    <w:rsid w:val="006647B8"/>
    <w:rsid w:val="006760D7"/>
    <w:rsid w:val="00682777"/>
    <w:rsid w:val="0068377D"/>
    <w:rsid w:val="00686FE4"/>
    <w:rsid w:val="0069081C"/>
    <w:rsid w:val="0069655D"/>
    <w:rsid w:val="006A0FEC"/>
    <w:rsid w:val="006A17B9"/>
    <w:rsid w:val="006A4794"/>
    <w:rsid w:val="006A49A1"/>
    <w:rsid w:val="006A553C"/>
    <w:rsid w:val="006A61F4"/>
    <w:rsid w:val="006B03F5"/>
    <w:rsid w:val="006B056A"/>
    <w:rsid w:val="006B2585"/>
    <w:rsid w:val="006B2BEF"/>
    <w:rsid w:val="006B46C0"/>
    <w:rsid w:val="006B47D1"/>
    <w:rsid w:val="006B62FF"/>
    <w:rsid w:val="006B7B62"/>
    <w:rsid w:val="006C287E"/>
    <w:rsid w:val="006C3BD6"/>
    <w:rsid w:val="006C5440"/>
    <w:rsid w:val="006C59B3"/>
    <w:rsid w:val="006C7A0A"/>
    <w:rsid w:val="006D05FD"/>
    <w:rsid w:val="006D19E4"/>
    <w:rsid w:val="006D216B"/>
    <w:rsid w:val="006D3832"/>
    <w:rsid w:val="006D699B"/>
    <w:rsid w:val="006D6A21"/>
    <w:rsid w:val="006D7EAD"/>
    <w:rsid w:val="006E0D07"/>
    <w:rsid w:val="006E175C"/>
    <w:rsid w:val="006E424B"/>
    <w:rsid w:val="006E53E5"/>
    <w:rsid w:val="006E615A"/>
    <w:rsid w:val="006E67D8"/>
    <w:rsid w:val="006E7152"/>
    <w:rsid w:val="006F3995"/>
    <w:rsid w:val="006F40E9"/>
    <w:rsid w:val="006F5202"/>
    <w:rsid w:val="006F6B5B"/>
    <w:rsid w:val="006F6C77"/>
    <w:rsid w:val="00700D7D"/>
    <w:rsid w:val="007010AF"/>
    <w:rsid w:val="007027D0"/>
    <w:rsid w:val="00702A5B"/>
    <w:rsid w:val="00702C00"/>
    <w:rsid w:val="007053C8"/>
    <w:rsid w:val="00705900"/>
    <w:rsid w:val="0070598F"/>
    <w:rsid w:val="007075B1"/>
    <w:rsid w:val="00711EA8"/>
    <w:rsid w:val="00714B41"/>
    <w:rsid w:val="00715F8F"/>
    <w:rsid w:val="00717342"/>
    <w:rsid w:val="007203C8"/>
    <w:rsid w:val="0072242A"/>
    <w:rsid w:val="0072289D"/>
    <w:rsid w:val="007247B2"/>
    <w:rsid w:val="00724EFC"/>
    <w:rsid w:val="00726D54"/>
    <w:rsid w:val="0073002C"/>
    <w:rsid w:val="00730C06"/>
    <w:rsid w:val="00732B97"/>
    <w:rsid w:val="00733BE5"/>
    <w:rsid w:val="007345E8"/>
    <w:rsid w:val="00734682"/>
    <w:rsid w:val="00736097"/>
    <w:rsid w:val="00741054"/>
    <w:rsid w:val="00742C7C"/>
    <w:rsid w:val="00746D0F"/>
    <w:rsid w:val="00753AA8"/>
    <w:rsid w:val="00753C46"/>
    <w:rsid w:val="00753F52"/>
    <w:rsid w:val="00754C10"/>
    <w:rsid w:val="0076223D"/>
    <w:rsid w:val="0076236F"/>
    <w:rsid w:val="00764F0D"/>
    <w:rsid w:val="00765D06"/>
    <w:rsid w:val="00766587"/>
    <w:rsid w:val="007674A9"/>
    <w:rsid w:val="007675EC"/>
    <w:rsid w:val="00772D75"/>
    <w:rsid w:val="00774D9B"/>
    <w:rsid w:val="00776816"/>
    <w:rsid w:val="007773C6"/>
    <w:rsid w:val="00777508"/>
    <w:rsid w:val="00777868"/>
    <w:rsid w:val="0078022D"/>
    <w:rsid w:val="0078161D"/>
    <w:rsid w:val="00781AF5"/>
    <w:rsid w:val="00782644"/>
    <w:rsid w:val="007827F3"/>
    <w:rsid w:val="00791869"/>
    <w:rsid w:val="00791B1A"/>
    <w:rsid w:val="00791F88"/>
    <w:rsid w:val="007931AD"/>
    <w:rsid w:val="00794191"/>
    <w:rsid w:val="0079499F"/>
    <w:rsid w:val="007952D3"/>
    <w:rsid w:val="00796B2A"/>
    <w:rsid w:val="007A0295"/>
    <w:rsid w:val="007A3317"/>
    <w:rsid w:val="007A38FA"/>
    <w:rsid w:val="007A4FBD"/>
    <w:rsid w:val="007A5656"/>
    <w:rsid w:val="007A6C8B"/>
    <w:rsid w:val="007A6DF8"/>
    <w:rsid w:val="007B3320"/>
    <w:rsid w:val="007B3761"/>
    <w:rsid w:val="007B4C5D"/>
    <w:rsid w:val="007B6E97"/>
    <w:rsid w:val="007C0500"/>
    <w:rsid w:val="007C142F"/>
    <w:rsid w:val="007C28D2"/>
    <w:rsid w:val="007C3052"/>
    <w:rsid w:val="007C3CF2"/>
    <w:rsid w:val="007C48BE"/>
    <w:rsid w:val="007C4C30"/>
    <w:rsid w:val="007C6F93"/>
    <w:rsid w:val="007D17F9"/>
    <w:rsid w:val="007D3DDD"/>
    <w:rsid w:val="007D6152"/>
    <w:rsid w:val="007D728E"/>
    <w:rsid w:val="007E3BB2"/>
    <w:rsid w:val="007E5B6B"/>
    <w:rsid w:val="007E76F4"/>
    <w:rsid w:val="007E7BEC"/>
    <w:rsid w:val="007F0C53"/>
    <w:rsid w:val="007F334E"/>
    <w:rsid w:val="007F4E6F"/>
    <w:rsid w:val="007F5351"/>
    <w:rsid w:val="007F563D"/>
    <w:rsid w:val="00800646"/>
    <w:rsid w:val="00802B8E"/>
    <w:rsid w:val="008030EF"/>
    <w:rsid w:val="00805CE4"/>
    <w:rsid w:val="008061BB"/>
    <w:rsid w:val="0080739E"/>
    <w:rsid w:val="008078E9"/>
    <w:rsid w:val="00807F1C"/>
    <w:rsid w:val="0080D2BD"/>
    <w:rsid w:val="00811BC0"/>
    <w:rsid w:val="00813CB9"/>
    <w:rsid w:val="00814337"/>
    <w:rsid w:val="0081514F"/>
    <w:rsid w:val="00815775"/>
    <w:rsid w:val="0081652F"/>
    <w:rsid w:val="00817FC2"/>
    <w:rsid w:val="00820C60"/>
    <w:rsid w:val="008236C7"/>
    <w:rsid w:val="00823A45"/>
    <w:rsid w:val="008246DD"/>
    <w:rsid w:val="0082725B"/>
    <w:rsid w:val="00830E31"/>
    <w:rsid w:val="00831189"/>
    <w:rsid w:val="00831EF9"/>
    <w:rsid w:val="008408A7"/>
    <w:rsid w:val="00845528"/>
    <w:rsid w:val="008514FC"/>
    <w:rsid w:val="00854B03"/>
    <w:rsid w:val="00860EDE"/>
    <w:rsid w:val="00862676"/>
    <w:rsid w:val="008639A0"/>
    <w:rsid w:val="008639DB"/>
    <w:rsid w:val="00865AED"/>
    <w:rsid w:val="00867C0E"/>
    <w:rsid w:val="00870EC7"/>
    <w:rsid w:val="00871FC0"/>
    <w:rsid w:val="00874C2A"/>
    <w:rsid w:val="008776DC"/>
    <w:rsid w:val="00880138"/>
    <w:rsid w:val="00884F52"/>
    <w:rsid w:val="00886978"/>
    <w:rsid w:val="008926C2"/>
    <w:rsid w:val="0089320C"/>
    <w:rsid w:val="00893456"/>
    <w:rsid w:val="00893A85"/>
    <w:rsid w:val="0089502A"/>
    <w:rsid w:val="00896A86"/>
    <w:rsid w:val="00896D86"/>
    <w:rsid w:val="00896F31"/>
    <w:rsid w:val="008973C3"/>
    <w:rsid w:val="008A0694"/>
    <w:rsid w:val="008A14FC"/>
    <w:rsid w:val="008A2939"/>
    <w:rsid w:val="008A4968"/>
    <w:rsid w:val="008A7985"/>
    <w:rsid w:val="008B0681"/>
    <w:rsid w:val="008B0E54"/>
    <w:rsid w:val="008B153A"/>
    <w:rsid w:val="008B5B1F"/>
    <w:rsid w:val="008B6112"/>
    <w:rsid w:val="008B64F5"/>
    <w:rsid w:val="008B7B51"/>
    <w:rsid w:val="008C23DB"/>
    <w:rsid w:val="008C4B01"/>
    <w:rsid w:val="008C5C68"/>
    <w:rsid w:val="008C69CC"/>
    <w:rsid w:val="008D0A0D"/>
    <w:rsid w:val="008D2A3F"/>
    <w:rsid w:val="008D4370"/>
    <w:rsid w:val="008E1CBD"/>
    <w:rsid w:val="008E7F52"/>
    <w:rsid w:val="008F1424"/>
    <w:rsid w:val="008F29FA"/>
    <w:rsid w:val="008F33EA"/>
    <w:rsid w:val="008F4C1A"/>
    <w:rsid w:val="008F5958"/>
    <w:rsid w:val="008F7608"/>
    <w:rsid w:val="008F761F"/>
    <w:rsid w:val="008F7CFE"/>
    <w:rsid w:val="009042AE"/>
    <w:rsid w:val="009044F1"/>
    <w:rsid w:val="00905BB7"/>
    <w:rsid w:val="00906A9E"/>
    <w:rsid w:val="00906AD8"/>
    <w:rsid w:val="00906D6C"/>
    <w:rsid w:val="00914016"/>
    <w:rsid w:val="00916690"/>
    <w:rsid w:val="00920D39"/>
    <w:rsid w:val="00923C0E"/>
    <w:rsid w:val="00924331"/>
    <w:rsid w:val="00930B6C"/>
    <w:rsid w:val="0093247B"/>
    <w:rsid w:val="009357AD"/>
    <w:rsid w:val="00937F20"/>
    <w:rsid w:val="009406B6"/>
    <w:rsid w:val="00941F99"/>
    <w:rsid w:val="00944636"/>
    <w:rsid w:val="0094477B"/>
    <w:rsid w:val="00944DFD"/>
    <w:rsid w:val="00945655"/>
    <w:rsid w:val="0094615F"/>
    <w:rsid w:val="00950844"/>
    <w:rsid w:val="009524D7"/>
    <w:rsid w:val="00957B2B"/>
    <w:rsid w:val="00964D84"/>
    <w:rsid w:val="009656D0"/>
    <w:rsid w:val="00973AA1"/>
    <w:rsid w:val="00974638"/>
    <w:rsid w:val="00974727"/>
    <w:rsid w:val="00980AA2"/>
    <w:rsid w:val="009810CC"/>
    <w:rsid w:val="009826D5"/>
    <w:rsid w:val="00984E7C"/>
    <w:rsid w:val="00984FDC"/>
    <w:rsid w:val="00987374"/>
    <w:rsid w:val="00987DE9"/>
    <w:rsid w:val="009902A3"/>
    <w:rsid w:val="00991C50"/>
    <w:rsid w:val="00994FA9"/>
    <w:rsid w:val="00995623"/>
    <w:rsid w:val="00996B80"/>
    <w:rsid w:val="00997362"/>
    <w:rsid w:val="009973E4"/>
    <w:rsid w:val="009A2119"/>
    <w:rsid w:val="009A3AB2"/>
    <w:rsid w:val="009B005F"/>
    <w:rsid w:val="009B2661"/>
    <w:rsid w:val="009B3EC8"/>
    <w:rsid w:val="009B4544"/>
    <w:rsid w:val="009B4C74"/>
    <w:rsid w:val="009B7032"/>
    <w:rsid w:val="009C0458"/>
    <w:rsid w:val="009C0682"/>
    <w:rsid w:val="009C0D60"/>
    <w:rsid w:val="009C20F4"/>
    <w:rsid w:val="009C3CEC"/>
    <w:rsid w:val="009C4E16"/>
    <w:rsid w:val="009D07F9"/>
    <w:rsid w:val="009D40D6"/>
    <w:rsid w:val="009D433B"/>
    <w:rsid w:val="009D441C"/>
    <w:rsid w:val="009D5CA8"/>
    <w:rsid w:val="009D6FA5"/>
    <w:rsid w:val="009D7004"/>
    <w:rsid w:val="009D74E2"/>
    <w:rsid w:val="009E2724"/>
    <w:rsid w:val="009E662C"/>
    <w:rsid w:val="009F12B2"/>
    <w:rsid w:val="009F3290"/>
    <w:rsid w:val="009F335D"/>
    <w:rsid w:val="009F5ABB"/>
    <w:rsid w:val="009F7A50"/>
    <w:rsid w:val="00A02853"/>
    <w:rsid w:val="00A03364"/>
    <w:rsid w:val="00A12B54"/>
    <w:rsid w:val="00A142C3"/>
    <w:rsid w:val="00A16625"/>
    <w:rsid w:val="00A2057C"/>
    <w:rsid w:val="00A22FE3"/>
    <w:rsid w:val="00A2457E"/>
    <w:rsid w:val="00A25F94"/>
    <w:rsid w:val="00A316C6"/>
    <w:rsid w:val="00A32C29"/>
    <w:rsid w:val="00A331D2"/>
    <w:rsid w:val="00A3504B"/>
    <w:rsid w:val="00A36C34"/>
    <w:rsid w:val="00A43FB6"/>
    <w:rsid w:val="00A446E1"/>
    <w:rsid w:val="00A469DB"/>
    <w:rsid w:val="00A503ED"/>
    <w:rsid w:val="00A50738"/>
    <w:rsid w:val="00A51002"/>
    <w:rsid w:val="00A510C7"/>
    <w:rsid w:val="00A523E3"/>
    <w:rsid w:val="00A52D6D"/>
    <w:rsid w:val="00A5421F"/>
    <w:rsid w:val="00A55896"/>
    <w:rsid w:val="00A55D78"/>
    <w:rsid w:val="00A5641F"/>
    <w:rsid w:val="00A5796E"/>
    <w:rsid w:val="00A57B9B"/>
    <w:rsid w:val="00A57CAF"/>
    <w:rsid w:val="00A736F9"/>
    <w:rsid w:val="00A73FBD"/>
    <w:rsid w:val="00A74194"/>
    <w:rsid w:val="00A80D92"/>
    <w:rsid w:val="00A853D5"/>
    <w:rsid w:val="00A87FDD"/>
    <w:rsid w:val="00A910BB"/>
    <w:rsid w:val="00A91197"/>
    <w:rsid w:val="00A9182C"/>
    <w:rsid w:val="00A92F2B"/>
    <w:rsid w:val="00A97E36"/>
    <w:rsid w:val="00AA0A6B"/>
    <w:rsid w:val="00AA5183"/>
    <w:rsid w:val="00AA53AC"/>
    <w:rsid w:val="00AA55DC"/>
    <w:rsid w:val="00AA67DB"/>
    <w:rsid w:val="00AA6CCF"/>
    <w:rsid w:val="00AA7099"/>
    <w:rsid w:val="00AA74DA"/>
    <w:rsid w:val="00AB01FD"/>
    <w:rsid w:val="00AB071B"/>
    <w:rsid w:val="00AB2A59"/>
    <w:rsid w:val="00AB2E31"/>
    <w:rsid w:val="00AB3FD5"/>
    <w:rsid w:val="00AB4EBA"/>
    <w:rsid w:val="00AB5084"/>
    <w:rsid w:val="00AB60B8"/>
    <w:rsid w:val="00AB6E45"/>
    <w:rsid w:val="00AC028D"/>
    <w:rsid w:val="00AC04D6"/>
    <w:rsid w:val="00AC0E2D"/>
    <w:rsid w:val="00AC22C3"/>
    <w:rsid w:val="00AC32A3"/>
    <w:rsid w:val="00AC5DA9"/>
    <w:rsid w:val="00AC6792"/>
    <w:rsid w:val="00AC6CE7"/>
    <w:rsid w:val="00AC74A0"/>
    <w:rsid w:val="00AD15A2"/>
    <w:rsid w:val="00AD1D65"/>
    <w:rsid w:val="00AD26A3"/>
    <w:rsid w:val="00AD55F0"/>
    <w:rsid w:val="00AD5EEB"/>
    <w:rsid w:val="00AD63D0"/>
    <w:rsid w:val="00AD6FD8"/>
    <w:rsid w:val="00AE3ED6"/>
    <w:rsid w:val="00AF029A"/>
    <w:rsid w:val="00AF1B00"/>
    <w:rsid w:val="00AF1EBE"/>
    <w:rsid w:val="00AF3EB5"/>
    <w:rsid w:val="00AF4582"/>
    <w:rsid w:val="00B035FD"/>
    <w:rsid w:val="00B06476"/>
    <w:rsid w:val="00B07AA6"/>
    <w:rsid w:val="00B10925"/>
    <w:rsid w:val="00B1106C"/>
    <w:rsid w:val="00B11107"/>
    <w:rsid w:val="00B11DB3"/>
    <w:rsid w:val="00B11F91"/>
    <w:rsid w:val="00B1316C"/>
    <w:rsid w:val="00B1341D"/>
    <w:rsid w:val="00B204E0"/>
    <w:rsid w:val="00B20920"/>
    <w:rsid w:val="00B216D2"/>
    <w:rsid w:val="00B21A2E"/>
    <w:rsid w:val="00B24025"/>
    <w:rsid w:val="00B25124"/>
    <w:rsid w:val="00B26D12"/>
    <w:rsid w:val="00B27B08"/>
    <w:rsid w:val="00B30A67"/>
    <w:rsid w:val="00B3594B"/>
    <w:rsid w:val="00B36C3B"/>
    <w:rsid w:val="00B42316"/>
    <w:rsid w:val="00B42F92"/>
    <w:rsid w:val="00B43FAF"/>
    <w:rsid w:val="00B44594"/>
    <w:rsid w:val="00B47620"/>
    <w:rsid w:val="00B50124"/>
    <w:rsid w:val="00B50CC0"/>
    <w:rsid w:val="00B5213C"/>
    <w:rsid w:val="00B535B6"/>
    <w:rsid w:val="00B53D41"/>
    <w:rsid w:val="00B5775E"/>
    <w:rsid w:val="00B5788D"/>
    <w:rsid w:val="00B579DE"/>
    <w:rsid w:val="00B64235"/>
    <w:rsid w:val="00B65846"/>
    <w:rsid w:val="00B6590C"/>
    <w:rsid w:val="00B669BD"/>
    <w:rsid w:val="00B678F1"/>
    <w:rsid w:val="00B704C6"/>
    <w:rsid w:val="00B71EFF"/>
    <w:rsid w:val="00B73A9F"/>
    <w:rsid w:val="00B807EE"/>
    <w:rsid w:val="00B81733"/>
    <w:rsid w:val="00B823FC"/>
    <w:rsid w:val="00B82DEC"/>
    <w:rsid w:val="00B839C3"/>
    <w:rsid w:val="00B866CA"/>
    <w:rsid w:val="00B86C7D"/>
    <w:rsid w:val="00B87DB0"/>
    <w:rsid w:val="00B901A7"/>
    <w:rsid w:val="00B90620"/>
    <w:rsid w:val="00B93028"/>
    <w:rsid w:val="00B93E3B"/>
    <w:rsid w:val="00B96C8C"/>
    <w:rsid w:val="00BA2546"/>
    <w:rsid w:val="00BA2B1D"/>
    <w:rsid w:val="00BA4F73"/>
    <w:rsid w:val="00BB0B47"/>
    <w:rsid w:val="00BB175C"/>
    <w:rsid w:val="00BB3430"/>
    <w:rsid w:val="00BB6DFF"/>
    <w:rsid w:val="00BC07C4"/>
    <w:rsid w:val="00BC1BD3"/>
    <w:rsid w:val="00BC2B69"/>
    <w:rsid w:val="00BC51F8"/>
    <w:rsid w:val="00BD0663"/>
    <w:rsid w:val="00BD2A4E"/>
    <w:rsid w:val="00BD4644"/>
    <w:rsid w:val="00BD55C6"/>
    <w:rsid w:val="00BE330D"/>
    <w:rsid w:val="00BE38B7"/>
    <w:rsid w:val="00BE3AD4"/>
    <w:rsid w:val="00BE405C"/>
    <w:rsid w:val="00BE64EF"/>
    <w:rsid w:val="00BE7474"/>
    <w:rsid w:val="00BF043F"/>
    <w:rsid w:val="00BF2B76"/>
    <w:rsid w:val="00BF4FA2"/>
    <w:rsid w:val="00BF5BDD"/>
    <w:rsid w:val="00BF5BEE"/>
    <w:rsid w:val="00BF6CB7"/>
    <w:rsid w:val="00C04535"/>
    <w:rsid w:val="00C07F10"/>
    <w:rsid w:val="00C109A7"/>
    <w:rsid w:val="00C11581"/>
    <w:rsid w:val="00C11AC9"/>
    <w:rsid w:val="00C12C2B"/>
    <w:rsid w:val="00C12D9D"/>
    <w:rsid w:val="00C133A6"/>
    <w:rsid w:val="00C140EA"/>
    <w:rsid w:val="00C167E8"/>
    <w:rsid w:val="00C16801"/>
    <w:rsid w:val="00C200FF"/>
    <w:rsid w:val="00C23BA9"/>
    <w:rsid w:val="00C276BB"/>
    <w:rsid w:val="00C30299"/>
    <w:rsid w:val="00C32361"/>
    <w:rsid w:val="00C33027"/>
    <w:rsid w:val="00C35DED"/>
    <w:rsid w:val="00C36864"/>
    <w:rsid w:val="00C36AB0"/>
    <w:rsid w:val="00C36DF9"/>
    <w:rsid w:val="00C37922"/>
    <w:rsid w:val="00C41261"/>
    <w:rsid w:val="00C44CFF"/>
    <w:rsid w:val="00C45862"/>
    <w:rsid w:val="00C46FE6"/>
    <w:rsid w:val="00C54ABE"/>
    <w:rsid w:val="00C56790"/>
    <w:rsid w:val="00C61248"/>
    <w:rsid w:val="00C62D77"/>
    <w:rsid w:val="00C63DB2"/>
    <w:rsid w:val="00C702E7"/>
    <w:rsid w:val="00C712B0"/>
    <w:rsid w:val="00C7473E"/>
    <w:rsid w:val="00C752D3"/>
    <w:rsid w:val="00C759E0"/>
    <w:rsid w:val="00C77488"/>
    <w:rsid w:val="00C8053E"/>
    <w:rsid w:val="00C83069"/>
    <w:rsid w:val="00C86A62"/>
    <w:rsid w:val="00C927DA"/>
    <w:rsid w:val="00C92E6D"/>
    <w:rsid w:val="00C94250"/>
    <w:rsid w:val="00C94593"/>
    <w:rsid w:val="00CA1164"/>
    <w:rsid w:val="00CA2005"/>
    <w:rsid w:val="00CA23FF"/>
    <w:rsid w:val="00CA2CD1"/>
    <w:rsid w:val="00CA38F6"/>
    <w:rsid w:val="00CA4F34"/>
    <w:rsid w:val="00CA57DB"/>
    <w:rsid w:val="00CAB750"/>
    <w:rsid w:val="00CB13F7"/>
    <w:rsid w:val="00CB14BC"/>
    <w:rsid w:val="00CB17C2"/>
    <w:rsid w:val="00CB1F64"/>
    <w:rsid w:val="00CC193B"/>
    <w:rsid w:val="00CC3C6A"/>
    <w:rsid w:val="00CC6312"/>
    <w:rsid w:val="00CD09AF"/>
    <w:rsid w:val="00CD1DE8"/>
    <w:rsid w:val="00CD468C"/>
    <w:rsid w:val="00CD7884"/>
    <w:rsid w:val="00CE01F8"/>
    <w:rsid w:val="00CE09DF"/>
    <w:rsid w:val="00CE0A90"/>
    <w:rsid w:val="00CE3EAE"/>
    <w:rsid w:val="00CE506F"/>
    <w:rsid w:val="00CE6B66"/>
    <w:rsid w:val="00CF1FD6"/>
    <w:rsid w:val="00CF2CCF"/>
    <w:rsid w:val="00CF370B"/>
    <w:rsid w:val="00CF3AA0"/>
    <w:rsid w:val="00CF4D15"/>
    <w:rsid w:val="00CF5828"/>
    <w:rsid w:val="00D00D22"/>
    <w:rsid w:val="00D02CF3"/>
    <w:rsid w:val="00D02F4E"/>
    <w:rsid w:val="00D03694"/>
    <w:rsid w:val="00D05F1B"/>
    <w:rsid w:val="00D06851"/>
    <w:rsid w:val="00D1402C"/>
    <w:rsid w:val="00D16083"/>
    <w:rsid w:val="00D16779"/>
    <w:rsid w:val="00D22A00"/>
    <w:rsid w:val="00D24B54"/>
    <w:rsid w:val="00D24B79"/>
    <w:rsid w:val="00D27E69"/>
    <w:rsid w:val="00D33768"/>
    <w:rsid w:val="00D33A22"/>
    <w:rsid w:val="00D33C97"/>
    <w:rsid w:val="00D34D51"/>
    <w:rsid w:val="00D354DA"/>
    <w:rsid w:val="00D35AF9"/>
    <w:rsid w:val="00D408EE"/>
    <w:rsid w:val="00D43656"/>
    <w:rsid w:val="00D43BBC"/>
    <w:rsid w:val="00D43C08"/>
    <w:rsid w:val="00D45BF7"/>
    <w:rsid w:val="00D46725"/>
    <w:rsid w:val="00D479A5"/>
    <w:rsid w:val="00D506B9"/>
    <w:rsid w:val="00D514C9"/>
    <w:rsid w:val="00D5368A"/>
    <w:rsid w:val="00D53CDC"/>
    <w:rsid w:val="00D5614C"/>
    <w:rsid w:val="00D57691"/>
    <w:rsid w:val="00D57CB6"/>
    <w:rsid w:val="00D60394"/>
    <w:rsid w:val="00D6085B"/>
    <w:rsid w:val="00D616AE"/>
    <w:rsid w:val="00D62552"/>
    <w:rsid w:val="00D62E93"/>
    <w:rsid w:val="00D6588F"/>
    <w:rsid w:val="00D677EF"/>
    <w:rsid w:val="00D7652D"/>
    <w:rsid w:val="00D84A8A"/>
    <w:rsid w:val="00D86700"/>
    <w:rsid w:val="00D90D80"/>
    <w:rsid w:val="00D964AC"/>
    <w:rsid w:val="00DA18BD"/>
    <w:rsid w:val="00DA2152"/>
    <w:rsid w:val="00DA295E"/>
    <w:rsid w:val="00DB0A27"/>
    <w:rsid w:val="00DB1A3E"/>
    <w:rsid w:val="00DB2DB5"/>
    <w:rsid w:val="00DB350C"/>
    <w:rsid w:val="00DB3C2A"/>
    <w:rsid w:val="00DB4CA0"/>
    <w:rsid w:val="00DB530C"/>
    <w:rsid w:val="00DB6B4F"/>
    <w:rsid w:val="00DC0102"/>
    <w:rsid w:val="00DC01C0"/>
    <w:rsid w:val="00DD0457"/>
    <w:rsid w:val="00DD0C1A"/>
    <w:rsid w:val="00DD14C0"/>
    <w:rsid w:val="00DD1956"/>
    <w:rsid w:val="00DD1ABD"/>
    <w:rsid w:val="00DD7CA4"/>
    <w:rsid w:val="00DE0EF1"/>
    <w:rsid w:val="00DE0FF7"/>
    <w:rsid w:val="00DE4840"/>
    <w:rsid w:val="00DE49E5"/>
    <w:rsid w:val="00DE4FCB"/>
    <w:rsid w:val="00DE5620"/>
    <w:rsid w:val="00DE62E7"/>
    <w:rsid w:val="00DE67AE"/>
    <w:rsid w:val="00DE6AA0"/>
    <w:rsid w:val="00DF6B12"/>
    <w:rsid w:val="00DF78A4"/>
    <w:rsid w:val="00E0118B"/>
    <w:rsid w:val="00E03913"/>
    <w:rsid w:val="00E04065"/>
    <w:rsid w:val="00E06175"/>
    <w:rsid w:val="00E061A3"/>
    <w:rsid w:val="00E2051F"/>
    <w:rsid w:val="00E32FBB"/>
    <w:rsid w:val="00E3592F"/>
    <w:rsid w:val="00E36742"/>
    <w:rsid w:val="00E430AE"/>
    <w:rsid w:val="00E4350C"/>
    <w:rsid w:val="00E46505"/>
    <w:rsid w:val="00E503FB"/>
    <w:rsid w:val="00E504E4"/>
    <w:rsid w:val="00E51640"/>
    <w:rsid w:val="00E54DF3"/>
    <w:rsid w:val="00E60B2A"/>
    <w:rsid w:val="00E6439A"/>
    <w:rsid w:val="00E66747"/>
    <w:rsid w:val="00E724C7"/>
    <w:rsid w:val="00E7371B"/>
    <w:rsid w:val="00E73E52"/>
    <w:rsid w:val="00E74DDC"/>
    <w:rsid w:val="00E7506F"/>
    <w:rsid w:val="00E755A6"/>
    <w:rsid w:val="00E77046"/>
    <w:rsid w:val="00E805C7"/>
    <w:rsid w:val="00E81CB8"/>
    <w:rsid w:val="00E8496D"/>
    <w:rsid w:val="00E84DF4"/>
    <w:rsid w:val="00E87FBC"/>
    <w:rsid w:val="00E90A3B"/>
    <w:rsid w:val="00E97066"/>
    <w:rsid w:val="00E97133"/>
    <w:rsid w:val="00EA1342"/>
    <w:rsid w:val="00EA1BC5"/>
    <w:rsid w:val="00EA251C"/>
    <w:rsid w:val="00EA3B63"/>
    <w:rsid w:val="00EA4FBC"/>
    <w:rsid w:val="00EA5154"/>
    <w:rsid w:val="00EB61C0"/>
    <w:rsid w:val="00EC0960"/>
    <w:rsid w:val="00EC22E7"/>
    <w:rsid w:val="00EC2609"/>
    <w:rsid w:val="00EC3CDE"/>
    <w:rsid w:val="00EC6D6E"/>
    <w:rsid w:val="00ED0A8E"/>
    <w:rsid w:val="00ED34FC"/>
    <w:rsid w:val="00ED646A"/>
    <w:rsid w:val="00ED68E1"/>
    <w:rsid w:val="00ED742E"/>
    <w:rsid w:val="00EE0000"/>
    <w:rsid w:val="00EE2753"/>
    <w:rsid w:val="00EE2ED2"/>
    <w:rsid w:val="00EE4304"/>
    <w:rsid w:val="00EE63A9"/>
    <w:rsid w:val="00EE65F4"/>
    <w:rsid w:val="00EF2105"/>
    <w:rsid w:val="00EF478B"/>
    <w:rsid w:val="00EF4BBB"/>
    <w:rsid w:val="00EF4F94"/>
    <w:rsid w:val="00EF5825"/>
    <w:rsid w:val="00EF69D7"/>
    <w:rsid w:val="00F006C3"/>
    <w:rsid w:val="00F00D71"/>
    <w:rsid w:val="00F014B3"/>
    <w:rsid w:val="00F0150E"/>
    <w:rsid w:val="00F0185D"/>
    <w:rsid w:val="00F03215"/>
    <w:rsid w:val="00F03D39"/>
    <w:rsid w:val="00F064BD"/>
    <w:rsid w:val="00F1289D"/>
    <w:rsid w:val="00F13680"/>
    <w:rsid w:val="00F1501E"/>
    <w:rsid w:val="00F16C54"/>
    <w:rsid w:val="00F17511"/>
    <w:rsid w:val="00F20C18"/>
    <w:rsid w:val="00F233B1"/>
    <w:rsid w:val="00F26F54"/>
    <w:rsid w:val="00F31573"/>
    <w:rsid w:val="00F34824"/>
    <w:rsid w:val="00F36C5C"/>
    <w:rsid w:val="00F411E1"/>
    <w:rsid w:val="00F427D5"/>
    <w:rsid w:val="00F430D3"/>
    <w:rsid w:val="00F46D2F"/>
    <w:rsid w:val="00F5183F"/>
    <w:rsid w:val="00F51A27"/>
    <w:rsid w:val="00F5325C"/>
    <w:rsid w:val="00F536EA"/>
    <w:rsid w:val="00F54ECF"/>
    <w:rsid w:val="00F54FFB"/>
    <w:rsid w:val="00F5590F"/>
    <w:rsid w:val="00F60FE2"/>
    <w:rsid w:val="00F61066"/>
    <w:rsid w:val="00F6420A"/>
    <w:rsid w:val="00F646B4"/>
    <w:rsid w:val="00F6517F"/>
    <w:rsid w:val="00F66E40"/>
    <w:rsid w:val="00F71DC7"/>
    <w:rsid w:val="00F726C0"/>
    <w:rsid w:val="00F7423F"/>
    <w:rsid w:val="00F75AC5"/>
    <w:rsid w:val="00F75D8A"/>
    <w:rsid w:val="00F75FCF"/>
    <w:rsid w:val="00F779B5"/>
    <w:rsid w:val="00F81346"/>
    <w:rsid w:val="00F81568"/>
    <w:rsid w:val="00F83486"/>
    <w:rsid w:val="00F841B7"/>
    <w:rsid w:val="00F850C9"/>
    <w:rsid w:val="00F87FBE"/>
    <w:rsid w:val="00F900D2"/>
    <w:rsid w:val="00F903C6"/>
    <w:rsid w:val="00F91DBD"/>
    <w:rsid w:val="00F93776"/>
    <w:rsid w:val="00F958F2"/>
    <w:rsid w:val="00F95DB9"/>
    <w:rsid w:val="00FA0A5E"/>
    <w:rsid w:val="00FA0CB9"/>
    <w:rsid w:val="00FA26F7"/>
    <w:rsid w:val="00FA475B"/>
    <w:rsid w:val="00FA5183"/>
    <w:rsid w:val="00FA534D"/>
    <w:rsid w:val="00FA6869"/>
    <w:rsid w:val="00FA7794"/>
    <w:rsid w:val="00FB2ABF"/>
    <w:rsid w:val="00FB599E"/>
    <w:rsid w:val="00FB5E92"/>
    <w:rsid w:val="00FB5F21"/>
    <w:rsid w:val="00FB735A"/>
    <w:rsid w:val="00FC10BE"/>
    <w:rsid w:val="00FC45C7"/>
    <w:rsid w:val="00FC5900"/>
    <w:rsid w:val="00FC5CEA"/>
    <w:rsid w:val="00FC5E18"/>
    <w:rsid w:val="00FD2E93"/>
    <w:rsid w:val="00FD57CB"/>
    <w:rsid w:val="00FD6ED2"/>
    <w:rsid w:val="00FE05F4"/>
    <w:rsid w:val="00FE0EBF"/>
    <w:rsid w:val="00FE4411"/>
    <w:rsid w:val="00FE56A2"/>
    <w:rsid w:val="00FE6A3E"/>
    <w:rsid w:val="00FE6B18"/>
    <w:rsid w:val="00FF0D55"/>
    <w:rsid w:val="00FF0E54"/>
    <w:rsid w:val="012435E8"/>
    <w:rsid w:val="012B6E81"/>
    <w:rsid w:val="012E034A"/>
    <w:rsid w:val="0146F117"/>
    <w:rsid w:val="0149A118"/>
    <w:rsid w:val="0176644F"/>
    <w:rsid w:val="0192888F"/>
    <w:rsid w:val="01E0E703"/>
    <w:rsid w:val="01E2061A"/>
    <w:rsid w:val="01E3934F"/>
    <w:rsid w:val="02664492"/>
    <w:rsid w:val="0273864D"/>
    <w:rsid w:val="029FBA20"/>
    <w:rsid w:val="02D60D26"/>
    <w:rsid w:val="02DA3ED9"/>
    <w:rsid w:val="02E476B6"/>
    <w:rsid w:val="02F7DC8F"/>
    <w:rsid w:val="0354E2E3"/>
    <w:rsid w:val="036560A6"/>
    <w:rsid w:val="03C424BA"/>
    <w:rsid w:val="03CDB2B0"/>
    <w:rsid w:val="03EED094"/>
    <w:rsid w:val="03FF50EA"/>
    <w:rsid w:val="0411F8C3"/>
    <w:rsid w:val="041726E3"/>
    <w:rsid w:val="041ABD8F"/>
    <w:rsid w:val="0437DBB1"/>
    <w:rsid w:val="04451EE7"/>
    <w:rsid w:val="047D9ADE"/>
    <w:rsid w:val="04FAB924"/>
    <w:rsid w:val="0517D664"/>
    <w:rsid w:val="052A70F4"/>
    <w:rsid w:val="056E0E8B"/>
    <w:rsid w:val="05813C8D"/>
    <w:rsid w:val="059149E4"/>
    <w:rsid w:val="05BE2C12"/>
    <w:rsid w:val="064893B9"/>
    <w:rsid w:val="065FB9A2"/>
    <w:rsid w:val="0665BE49"/>
    <w:rsid w:val="06A85250"/>
    <w:rsid w:val="06B71BD6"/>
    <w:rsid w:val="0705DBC7"/>
    <w:rsid w:val="0706894F"/>
    <w:rsid w:val="071FFB00"/>
    <w:rsid w:val="073EB361"/>
    <w:rsid w:val="0790561E"/>
    <w:rsid w:val="07F8E45F"/>
    <w:rsid w:val="081AA1A9"/>
    <w:rsid w:val="0837BB8B"/>
    <w:rsid w:val="0849B9B3"/>
    <w:rsid w:val="0851743E"/>
    <w:rsid w:val="085877CE"/>
    <w:rsid w:val="086BE428"/>
    <w:rsid w:val="086D80DD"/>
    <w:rsid w:val="087EECD9"/>
    <w:rsid w:val="088CA9CE"/>
    <w:rsid w:val="08FE9C09"/>
    <w:rsid w:val="0938FF3F"/>
    <w:rsid w:val="09424B1A"/>
    <w:rsid w:val="094CF2DF"/>
    <w:rsid w:val="0983D012"/>
    <w:rsid w:val="09957C21"/>
    <w:rsid w:val="09D2A26E"/>
    <w:rsid w:val="0A0CC94E"/>
    <w:rsid w:val="0A6EC681"/>
    <w:rsid w:val="0A80B225"/>
    <w:rsid w:val="0AD90E06"/>
    <w:rsid w:val="0B0B9203"/>
    <w:rsid w:val="0B2FA6B0"/>
    <w:rsid w:val="0B77264D"/>
    <w:rsid w:val="0B9A0556"/>
    <w:rsid w:val="0BA2C06C"/>
    <w:rsid w:val="0BA8D1FD"/>
    <w:rsid w:val="0BD558E0"/>
    <w:rsid w:val="0C21F46E"/>
    <w:rsid w:val="0C2741DF"/>
    <w:rsid w:val="0C5A0A07"/>
    <w:rsid w:val="0C5B1CB2"/>
    <w:rsid w:val="0C603B5F"/>
    <w:rsid w:val="0C9CE39A"/>
    <w:rsid w:val="0CA6DBF8"/>
    <w:rsid w:val="0CA99CFA"/>
    <w:rsid w:val="0CC36E97"/>
    <w:rsid w:val="0CD71A1D"/>
    <w:rsid w:val="0D855615"/>
    <w:rsid w:val="0DA6941C"/>
    <w:rsid w:val="0DE07885"/>
    <w:rsid w:val="0DF3BCE4"/>
    <w:rsid w:val="0E1653C3"/>
    <w:rsid w:val="0E1A7F80"/>
    <w:rsid w:val="0E746ADF"/>
    <w:rsid w:val="0EF866DC"/>
    <w:rsid w:val="0F54EE07"/>
    <w:rsid w:val="0F8C7F42"/>
    <w:rsid w:val="0F8D6098"/>
    <w:rsid w:val="0F9C4D04"/>
    <w:rsid w:val="0FAB6290"/>
    <w:rsid w:val="0FEE0275"/>
    <w:rsid w:val="10561E7E"/>
    <w:rsid w:val="10865C82"/>
    <w:rsid w:val="109D0D4D"/>
    <w:rsid w:val="10A7D79D"/>
    <w:rsid w:val="10ADCB00"/>
    <w:rsid w:val="10B663C5"/>
    <w:rsid w:val="10B7893B"/>
    <w:rsid w:val="10C35FFB"/>
    <w:rsid w:val="10C3E3DB"/>
    <w:rsid w:val="10C789E5"/>
    <w:rsid w:val="10CB0DB1"/>
    <w:rsid w:val="10DE238F"/>
    <w:rsid w:val="10E6A880"/>
    <w:rsid w:val="1174F5EA"/>
    <w:rsid w:val="119637E4"/>
    <w:rsid w:val="11A3BF4C"/>
    <w:rsid w:val="11EAD69A"/>
    <w:rsid w:val="11F349D2"/>
    <w:rsid w:val="11FBD8A5"/>
    <w:rsid w:val="120EA36A"/>
    <w:rsid w:val="12197BFD"/>
    <w:rsid w:val="1242C73E"/>
    <w:rsid w:val="1286142E"/>
    <w:rsid w:val="12B5686B"/>
    <w:rsid w:val="12D28AA1"/>
    <w:rsid w:val="12DCC32B"/>
    <w:rsid w:val="135B29AD"/>
    <w:rsid w:val="13750138"/>
    <w:rsid w:val="137E4838"/>
    <w:rsid w:val="13994720"/>
    <w:rsid w:val="13A0C73A"/>
    <w:rsid w:val="13ABF7A6"/>
    <w:rsid w:val="13E8AC26"/>
    <w:rsid w:val="1420E9A4"/>
    <w:rsid w:val="142201BD"/>
    <w:rsid w:val="14374FE9"/>
    <w:rsid w:val="143799FA"/>
    <w:rsid w:val="144785FA"/>
    <w:rsid w:val="1489F15D"/>
    <w:rsid w:val="1492676C"/>
    <w:rsid w:val="14C30C1C"/>
    <w:rsid w:val="1504A77B"/>
    <w:rsid w:val="15153C57"/>
    <w:rsid w:val="1527C479"/>
    <w:rsid w:val="157C6DB5"/>
    <w:rsid w:val="15DBA70A"/>
    <w:rsid w:val="15E9BD77"/>
    <w:rsid w:val="15F2583D"/>
    <w:rsid w:val="1633E8CE"/>
    <w:rsid w:val="1640D472"/>
    <w:rsid w:val="16601603"/>
    <w:rsid w:val="16CF28C5"/>
    <w:rsid w:val="170B7FCD"/>
    <w:rsid w:val="1710B10D"/>
    <w:rsid w:val="17894CA7"/>
    <w:rsid w:val="17A406B2"/>
    <w:rsid w:val="17B05CF2"/>
    <w:rsid w:val="17BBD1FC"/>
    <w:rsid w:val="17D66604"/>
    <w:rsid w:val="182E60D5"/>
    <w:rsid w:val="18477418"/>
    <w:rsid w:val="1865F7BB"/>
    <w:rsid w:val="1870895B"/>
    <w:rsid w:val="18B70206"/>
    <w:rsid w:val="18C8C66F"/>
    <w:rsid w:val="18ECC8B6"/>
    <w:rsid w:val="190D9969"/>
    <w:rsid w:val="192C6794"/>
    <w:rsid w:val="1943C7BB"/>
    <w:rsid w:val="194BE4DB"/>
    <w:rsid w:val="194F02BD"/>
    <w:rsid w:val="196B2674"/>
    <w:rsid w:val="19A5B4DA"/>
    <w:rsid w:val="19A9AE3A"/>
    <w:rsid w:val="1A08CEAF"/>
    <w:rsid w:val="1A12EF8F"/>
    <w:rsid w:val="1A183857"/>
    <w:rsid w:val="1A484BAB"/>
    <w:rsid w:val="1A535977"/>
    <w:rsid w:val="1A69AA12"/>
    <w:rsid w:val="1A94D3D6"/>
    <w:rsid w:val="1AF73A73"/>
    <w:rsid w:val="1AFA2652"/>
    <w:rsid w:val="1B0CF487"/>
    <w:rsid w:val="1B400FCB"/>
    <w:rsid w:val="1B433244"/>
    <w:rsid w:val="1B5F1554"/>
    <w:rsid w:val="1B7CEF69"/>
    <w:rsid w:val="1B83678E"/>
    <w:rsid w:val="1BA68EDD"/>
    <w:rsid w:val="1BF6A313"/>
    <w:rsid w:val="1C0B03FB"/>
    <w:rsid w:val="1CA82D62"/>
    <w:rsid w:val="1CDC34DC"/>
    <w:rsid w:val="1CF06E58"/>
    <w:rsid w:val="1D2A148C"/>
    <w:rsid w:val="1D9C28A1"/>
    <w:rsid w:val="1DC29346"/>
    <w:rsid w:val="1E1EDECF"/>
    <w:rsid w:val="1E26360C"/>
    <w:rsid w:val="1E48F6B4"/>
    <w:rsid w:val="1E537B63"/>
    <w:rsid w:val="1E9AF249"/>
    <w:rsid w:val="1EACA7ED"/>
    <w:rsid w:val="1EBECFEC"/>
    <w:rsid w:val="1F05FBAF"/>
    <w:rsid w:val="1F1149CC"/>
    <w:rsid w:val="1F4E7E9D"/>
    <w:rsid w:val="1F5100A0"/>
    <w:rsid w:val="1F7166CB"/>
    <w:rsid w:val="1F984772"/>
    <w:rsid w:val="1FA65D21"/>
    <w:rsid w:val="1FB1ACA5"/>
    <w:rsid w:val="1FE10807"/>
    <w:rsid w:val="202205BC"/>
    <w:rsid w:val="202686CD"/>
    <w:rsid w:val="204CD269"/>
    <w:rsid w:val="206093A9"/>
    <w:rsid w:val="207C8566"/>
    <w:rsid w:val="2089634D"/>
    <w:rsid w:val="208A3F37"/>
    <w:rsid w:val="20FC2482"/>
    <w:rsid w:val="21149180"/>
    <w:rsid w:val="212FD086"/>
    <w:rsid w:val="2135DA1C"/>
    <w:rsid w:val="215B49D6"/>
    <w:rsid w:val="2166EA25"/>
    <w:rsid w:val="216FD4E5"/>
    <w:rsid w:val="2172812B"/>
    <w:rsid w:val="21844ECD"/>
    <w:rsid w:val="21CCE54D"/>
    <w:rsid w:val="21FD10CC"/>
    <w:rsid w:val="221BECC0"/>
    <w:rsid w:val="2232F65B"/>
    <w:rsid w:val="224C2A02"/>
    <w:rsid w:val="2290922E"/>
    <w:rsid w:val="22BD8D1E"/>
    <w:rsid w:val="22F879D2"/>
    <w:rsid w:val="22FE088A"/>
    <w:rsid w:val="231B2EDC"/>
    <w:rsid w:val="23250A1F"/>
    <w:rsid w:val="2340D8AA"/>
    <w:rsid w:val="23441098"/>
    <w:rsid w:val="23650801"/>
    <w:rsid w:val="23A39FDF"/>
    <w:rsid w:val="23CA0F4F"/>
    <w:rsid w:val="23EB66DB"/>
    <w:rsid w:val="2405D548"/>
    <w:rsid w:val="24099E9D"/>
    <w:rsid w:val="2409FB41"/>
    <w:rsid w:val="241C8222"/>
    <w:rsid w:val="2444A647"/>
    <w:rsid w:val="2444DE99"/>
    <w:rsid w:val="246BFFBD"/>
    <w:rsid w:val="2519F8C0"/>
    <w:rsid w:val="252A662A"/>
    <w:rsid w:val="253E5C63"/>
    <w:rsid w:val="254F7B69"/>
    <w:rsid w:val="25870322"/>
    <w:rsid w:val="2593B9D3"/>
    <w:rsid w:val="2596FE37"/>
    <w:rsid w:val="25A76CA0"/>
    <w:rsid w:val="25B173E4"/>
    <w:rsid w:val="25D0E37A"/>
    <w:rsid w:val="25DBD638"/>
    <w:rsid w:val="25DFF55D"/>
    <w:rsid w:val="25E6AF11"/>
    <w:rsid w:val="25FB0126"/>
    <w:rsid w:val="26A2AE4C"/>
    <w:rsid w:val="26AFC2CF"/>
    <w:rsid w:val="26CE5262"/>
    <w:rsid w:val="26D9F8C9"/>
    <w:rsid w:val="26E9E988"/>
    <w:rsid w:val="26F31970"/>
    <w:rsid w:val="26F5E114"/>
    <w:rsid w:val="271C6891"/>
    <w:rsid w:val="272CB598"/>
    <w:rsid w:val="27376958"/>
    <w:rsid w:val="27B97477"/>
    <w:rsid w:val="27B9AFE7"/>
    <w:rsid w:val="27BAE0A0"/>
    <w:rsid w:val="27DB49C1"/>
    <w:rsid w:val="280024DB"/>
    <w:rsid w:val="2823EE04"/>
    <w:rsid w:val="28C845B0"/>
    <w:rsid w:val="2955BD79"/>
    <w:rsid w:val="2981B85A"/>
    <w:rsid w:val="299B544B"/>
    <w:rsid w:val="29CF27AD"/>
    <w:rsid w:val="29E09329"/>
    <w:rsid w:val="2A3072CB"/>
    <w:rsid w:val="2ABAD135"/>
    <w:rsid w:val="2AC221C2"/>
    <w:rsid w:val="2AE41273"/>
    <w:rsid w:val="2B4F010C"/>
    <w:rsid w:val="2B4FC900"/>
    <w:rsid w:val="2B6D448E"/>
    <w:rsid w:val="2B79EAAA"/>
    <w:rsid w:val="2BA65F22"/>
    <w:rsid w:val="2BC79F20"/>
    <w:rsid w:val="2BEEA0D9"/>
    <w:rsid w:val="2C058215"/>
    <w:rsid w:val="2C1AD599"/>
    <w:rsid w:val="2C2ABC20"/>
    <w:rsid w:val="2C71A79F"/>
    <w:rsid w:val="2C75ED10"/>
    <w:rsid w:val="2C99C3FD"/>
    <w:rsid w:val="2CC72745"/>
    <w:rsid w:val="2CDFD0ED"/>
    <w:rsid w:val="2CEDA48E"/>
    <w:rsid w:val="2D26E1CD"/>
    <w:rsid w:val="2D30FC95"/>
    <w:rsid w:val="2D358E72"/>
    <w:rsid w:val="2D3955F2"/>
    <w:rsid w:val="2D541307"/>
    <w:rsid w:val="2DA040C3"/>
    <w:rsid w:val="2DE587A8"/>
    <w:rsid w:val="2E0BD6C4"/>
    <w:rsid w:val="2E20D2F0"/>
    <w:rsid w:val="2E39BF56"/>
    <w:rsid w:val="2E58006B"/>
    <w:rsid w:val="2E69F057"/>
    <w:rsid w:val="2E8ED997"/>
    <w:rsid w:val="2EA76F28"/>
    <w:rsid w:val="2EB5F3CB"/>
    <w:rsid w:val="2EB71654"/>
    <w:rsid w:val="2EC9F035"/>
    <w:rsid w:val="2ECD4469"/>
    <w:rsid w:val="2EF1FE12"/>
    <w:rsid w:val="2F38DDEE"/>
    <w:rsid w:val="2FA03900"/>
    <w:rsid w:val="2FABEEB7"/>
    <w:rsid w:val="2FD4E99A"/>
    <w:rsid w:val="303AF31A"/>
    <w:rsid w:val="303E752E"/>
    <w:rsid w:val="30614443"/>
    <w:rsid w:val="306BE565"/>
    <w:rsid w:val="308CB808"/>
    <w:rsid w:val="30BE6E2A"/>
    <w:rsid w:val="30CA66E1"/>
    <w:rsid w:val="31015E0B"/>
    <w:rsid w:val="31243174"/>
    <w:rsid w:val="3175B2B4"/>
    <w:rsid w:val="323031F5"/>
    <w:rsid w:val="323BD689"/>
    <w:rsid w:val="326938AB"/>
    <w:rsid w:val="327F2C91"/>
    <w:rsid w:val="32802F32"/>
    <w:rsid w:val="32C57BF2"/>
    <w:rsid w:val="3349CFC2"/>
    <w:rsid w:val="33ADA2A6"/>
    <w:rsid w:val="33CBAD6D"/>
    <w:rsid w:val="33D10A16"/>
    <w:rsid w:val="34799D02"/>
    <w:rsid w:val="34D97E9F"/>
    <w:rsid w:val="35047E28"/>
    <w:rsid w:val="3523467B"/>
    <w:rsid w:val="3523B46A"/>
    <w:rsid w:val="355F4EA1"/>
    <w:rsid w:val="3562A970"/>
    <w:rsid w:val="358AF195"/>
    <w:rsid w:val="35BE74DB"/>
    <w:rsid w:val="35C7201E"/>
    <w:rsid w:val="35DEB257"/>
    <w:rsid w:val="3643C739"/>
    <w:rsid w:val="3644967F"/>
    <w:rsid w:val="36AE6472"/>
    <w:rsid w:val="36BC2BD0"/>
    <w:rsid w:val="36EFDFA7"/>
    <w:rsid w:val="3764CEEE"/>
    <w:rsid w:val="379B40C5"/>
    <w:rsid w:val="37AC91CA"/>
    <w:rsid w:val="37C11E08"/>
    <w:rsid w:val="37E2F78A"/>
    <w:rsid w:val="37E4E3A3"/>
    <w:rsid w:val="37F74927"/>
    <w:rsid w:val="3802ECB9"/>
    <w:rsid w:val="380E4863"/>
    <w:rsid w:val="3810B7E6"/>
    <w:rsid w:val="3844CF0A"/>
    <w:rsid w:val="38A8C823"/>
    <w:rsid w:val="38CFDF09"/>
    <w:rsid w:val="38F19195"/>
    <w:rsid w:val="38FDF46E"/>
    <w:rsid w:val="39595035"/>
    <w:rsid w:val="395E2205"/>
    <w:rsid w:val="39819314"/>
    <w:rsid w:val="3981A52A"/>
    <w:rsid w:val="39A91730"/>
    <w:rsid w:val="39DBB6FB"/>
    <w:rsid w:val="3A016281"/>
    <w:rsid w:val="3A22FFA3"/>
    <w:rsid w:val="3A502A7D"/>
    <w:rsid w:val="3A581716"/>
    <w:rsid w:val="3AC57D8D"/>
    <w:rsid w:val="3ADD2F41"/>
    <w:rsid w:val="3B1267E5"/>
    <w:rsid w:val="3B35BA23"/>
    <w:rsid w:val="3B46762D"/>
    <w:rsid w:val="3B8E401B"/>
    <w:rsid w:val="3BA37A63"/>
    <w:rsid w:val="3BE6FF25"/>
    <w:rsid w:val="3BEBD59D"/>
    <w:rsid w:val="3BFA26C7"/>
    <w:rsid w:val="3C019A7E"/>
    <w:rsid w:val="3C26DB63"/>
    <w:rsid w:val="3C39F555"/>
    <w:rsid w:val="3C510650"/>
    <w:rsid w:val="3C881808"/>
    <w:rsid w:val="3CAF5978"/>
    <w:rsid w:val="3CF362D9"/>
    <w:rsid w:val="3CF83F52"/>
    <w:rsid w:val="3D034F48"/>
    <w:rsid w:val="3D136F1F"/>
    <w:rsid w:val="3D20B83A"/>
    <w:rsid w:val="3D35C013"/>
    <w:rsid w:val="3D7303DB"/>
    <w:rsid w:val="3D96C8A0"/>
    <w:rsid w:val="3DD41B1E"/>
    <w:rsid w:val="3DF268A2"/>
    <w:rsid w:val="3E0C5FE8"/>
    <w:rsid w:val="3E35CA40"/>
    <w:rsid w:val="3E89CA38"/>
    <w:rsid w:val="3EC43AB8"/>
    <w:rsid w:val="3ED999D3"/>
    <w:rsid w:val="3EEBC077"/>
    <w:rsid w:val="3F09EB32"/>
    <w:rsid w:val="3F241FCC"/>
    <w:rsid w:val="3F2ABB71"/>
    <w:rsid w:val="3F481F9D"/>
    <w:rsid w:val="3F5981AF"/>
    <w:rsid w:val="3F70D8BE"/>
    <w:rsid w:val="3F90D090"/>
    <w:rsid w:val="3FB6A13A"/>
    <w:rsid w:val="3FC4D3D6"/>
    <w:rsid w:val="401D4A85"/>
    <w:rsid w:val="4081B3B0"/>
    <w:rsid w:val="408EBA1A"/>
    <w:rsid w:val="4091E461"/>
    <w:rsid w:val="40BD5013"/>
    <w:rsid w:val="410C0B80"/>
    <w:rsid w:val="4113F38A"/>
    <w:rsid w:val="411D56C2"/>
    <w:rsid w:val="414838F3"/>
    <w:rsid w:val="415A78EE"/>
    <w:rsid w:val="415D55A3"/>
    <w:rsid w:val="4167552C"/>
    <w:rsid w:val="41794640"/>
    <w:rsid w:val="41A16669"/>
    <w:rsid w:val="41BAA45C"/>
    <w:rsid w:val="422A5141"/>
    <w:rsid w:val="4230C7D8"/>
    <w:rsid w:val="42364DCE"/>
    <w:rsid w:val="423FA45A"/>
    <w:rsid w:val="4247BFFC"/>
    <w:rsid w:val="424EA4FE"/>
    <w:rsid w:val="42619B15"/>
    <w:rsid w:val="426D8ECD"/>
    <w:rsid w:val="42844211"/>
    <w:rsid w:val="42BD63F0"/>
    <w:rsid w:val="4323F436"/>
    <w:rsid w:val="435ECB47"/>
    <w:rsid w:val="43BC6691"/>
    <w:rsid w:val="43CB6DC9"/>
    <w:rsid w:val="44037F9A"/>
    <w:rsid w:val="4413EADF"/>
    <w:rsid w:val="444CE3B5"/>
    <w:rsid w:val="445D0D23"/>
    <w:rsid w:val="448E3453"/>
    <w:rsid w:val="4492F2F6"/>
    <w:rsid w:val="44ACD0DB"/>
    <w:rsid w:val="44D9778D"/>
    <w:rsid w:val="450BA103"/>
    <w:rsid w:val="451C2BEF"/>
    <w:rsid w:val="452F6C30"/>
    <w:rsid w:val="4532457B"/>
    <w:rsid w:val="45331BDC"/>
    <w:rsid w:val="454E3393"/>
    <w:rsid w:val="4588310E"/>
    <w:rsid w:val="45C6350D"/>
    <w:rsid w:val="45CF7B68"/>
    <w:rsid w:val="46555217"/>
    <w:rsid w:val="46747D5B"/>
    <w:rsid w:val="46AE674A"/>
    <w:rsid w:val="46D58382"/>
    <w:rsid w:val="470A5D83"/>
    <w:rsid w:val="4710DB53"/>
    <w:rsid w:val="471607DF"/>
    <w:rsid w:val="47298870"/>
    <w:rsid w:val="47396AED"/>
    <w:rsid w:val="4762BED7"/>
    <w:rsid w:val="4768D9C6"/>
    <w:rsid w:val="47699028"/>
    <w:rsid w:val="476DC7B1"/>
    <w:rsid w:val="4794F7C1"/>
    <w:rsid w:val="47BC562C"/>
    <w:rsid w:val="481B8606"/>
    <w:rsid w:val="48579F7C"/>
    <w:rsid w:val="486347B7"/>
    <w:rsid w:val="48A00EEC"/>
    <w:rsid w:val="48A1BFD1"/>
    <w:rsid w:val="48C92F91"/>
    <w:rsid w:val="48F97B38"/>
    <w:rsid w:val="49071F59"/>
    <w:rsid w:val="492D6B23"/>
    <w:rsid w:val="49434A40"/>
    <w:rsid w:val="495DB676"/>
    <w:rsid w:val="49B7FBB1"/>
    <w:rsid w:val="49E8C521"/>
    <w:rsid w:val="4A55BA95"/>
    <w:rsid w:val="4A776023"/>
    <w:rsid w:val="4A7FB643"/>
    <w:rsid w:val="4A82FA33"/>
    <w:rsid w:val="4AB90071"/>
    <w:rsid w:val="4AB9899B"/>
    <w:rsid w:val="4B13A49D"/>
    <w:rsid w:val="4B2A50D5"/>
    <w:rsid w:val="4B551346"/>
    <w:rsid w:val="4B5D45B3"/>
    <w:rsid w:val="4B88C2C7"/>
    <w:rsid w:val="4BBCF39E"/>
    <w:rsid w:val="4BFDBE6B"/>
    <w:rsid w:val="4BFFCF71"/>
    <w:rsid w:val="4C03538A"/>
    <w:rsid w:val="4C4476FD"/>
    <w:rsid w:val="4C460F7F"/>
    <w:rsid w:val="4C488AB3"/>
    <w:rsid w:val="4C96CE05"/>
    <w:rsid w:val="4CB5F2DC"/>
    <w:rsid w:val="4CE802F6"/>
    <w:rsid w:val="4CFF8395"/>
    <w:rsid w:val="4D0AA30E"/>
    <w:rsid w:val="4D199B06"/>
    <w:rsid w:val="4DB34087"/>
    <w:rsid w:val="4DC5039E"/>
    <w:rsid w:val="4DC69883"/>
    <w:rsid w:val="4DD22141"/>
    <w:rsid w:val="4DD72F38"/>
    <w:rsid w:val="4DE0F936"/>
    <w:rsid w:val="4DE3D6A2"/>
    <w:rsid w:val="4DFC6C01"/>
    <w:rsid w:val="4E1681D3"/>
    <w:rsid w:val="4E4607AC"/>
    <w:rsid w:val="4E7036E6"/>
    <w:rsid w:val="4EB74438"/>
    <w:rsid w:val="4EFF80D6"/>
    <w:rsid w:val="4F215966"/>
    <w:rsid w:val="4F63E7E6"/>
    <w:rsid w:val="4FA7991F"/>
    <w:rsid w:val="503439E6"/>
    <w:rsid w:val="5038870D"/>
    <w:rsid w:val="50973E43"/>
    <w:rsid w:val="50B58D10"/>
    <w:rsid w:val="50C69756"/>
    <w:rsid w:val="50F304E2"/>
    <w:rsid w:val="5151E14A"/>
    <w:rsid w:val="517833FA"/>
    <w:rsid w:val="519DDE49"/>
    <w:rsid w:val="51D6712F"/>
    <w:rsid w:val="5239C86B"/>
    <w:rsid w:val="5250BB85"/>
    <w:rsid w:val="528A67C2"/>
    <w:rsid w:val="532A2E31"/>
    <w:rsid w:val="5397478F"/>
    <w:rsid w:val="53C27F6F"/>
    <w:rsid w:val="541F1797"/>
    <w:rsid w:val="546762A5"/>
    <w:rsid w:val="54B7F8F6"/>
    <w:rsid w:val="54E5EA1B"/>
    <w:rsid w:val="54F39196"/>
    <w:rsid w:val="552316D2"/>
    <w:rsid w:val="55326D2C"/>
    <w:rsid w:val="55CDF3BD"/>
    <w:rsid w:val="55EF95EF"/>
    <w:rsid w:val="56137B46"/>
    <w:rsid w:val="564F0E3A"/>
    <w:rsid w:val="5688524C"/>
    <w:rsid w:val="569477F1"/>
    <w:rsid w:val="56D6DF7E"/>
    <w:rsid w:val="573EA4A0"/>
    <w:rsid w:val="576D296C"/>
    <w:rsid w:val="57734818"/>
    <w:rsid w:val="578BBB27"/>
    <w:rsid w:val="578F1429"/>
    <w:rsid w:val="579ACF3D"/>
    <w:rsid w:val="57A7502A"/>
    <w:rsid w:val="57F70E2A"/>
    <w:rsid w:val="57FE4EAB"/>
    <w:rsid w:val="582810F5"/>
    <w:rsid w:val="5889FDF6"/>
    <w:rsid w:val="58A02879"/>
    <w:rsid w:val="58BC1756"/>
    <w:rsid w:val="58D138B0"/>
    <w:rsid w:val="593950AA"/>
    <w:rsid w:val="59878142"/>
    <w:rsid w:val="59BBE8C0"/>
    <w:rsid w:val="59CCB77A"/>
    <w:rsid w:val="5A004770"/>
    <w:rsid w:val="5A08D2FD"/>
    <w:rsid w:val="5A271DE3"/>
    <w:rsid w:val="5A43E27F"/>
    <w:rsid w:val="5A691BB5"/>
    <w:rsid w:val="5A6A09F0"/>
    <w:rsid w:val="5AB32E56"/>
    <w:rsid w:val="5AB4B069"/>
    <w:rsid w:val="5AC1B997"/>
    <w:rsid w:val="5AD2CD06"/>
    <w:rsid w:val="5AFBE737"/>
    <w:rsid w:val="5B6FA348"/>
    <w:rsid w:val="5B8E7E84"/>
    <w:rsid w:val="5C0CFE4D"/>
    <w:rsid w:val="5C1EC4C2"/>
    <w:rsid w:val="5C25802A"/>
    <w:rsid w:val="5C40B34C"/>
    <w:rsid w:val="5C4F223E"/>
    <w:rsid w:val="5C930B3C"/>
    <w:rsid w:val="5C98C0B9"/>
    <w:rsid w:val="5CA4A76B"/>
    <w:rsid w:val="5CCC2E1A"/>
    <w:rsid w:val="5D690CF5"/>
    <w:rsid w:val="5DB38C78"/>
    <w:rsid w:val="5DBE91DD"/>
    <w:rsid w:val="5DBEC2AC"/>
    <w:rsid w:val="5DEE1288"/>
    <w:rsid w:val="5DF53915"/>
    <w:rsid w:val="5E0654CB"/>
    <w:rsid w:val="5E32DE78"/>
    <w:rsid w:val="5E56D18F"/>
    <w:rsid w:val="5E810514"/>
    <w:rsid w:val="5E81973B"/>
    <w:rsid w:val="5EA34E1A"/>
    <w:rsid w:val="5F3511A5"/>
    <w:rsid w:val="5F4D292E"/>
    <w:rsid w:val="5F824F52"/>
    <w:rsid w:val="5F86F525"/>
    <w:rsid w:val="5F97E7C7"/>
    <w:rsid w:val="5FC3DB3C"/>
    <w:rsid w:val="5FC9F8B4"/>
    <w:rsid w:val="5FF29EAA"/>
    <w:rsid w:val="5FF73FE3"/>
    <w:rsid w:val="600DD975"/>
    <w:rsid w:val="602CC2FA"/>
    <w:rsid w:val="604296EC"/>
    <w:rsid w:val="60585C55"/>
    <w:rsid w:val="607F1041"/>
    <w:rsid w:val="6087DBB7"/>
    <w:rsid w:val="60948EC9"/>
    <w:rsid w:val="60B34A86"/>
    <w:rsid w:val="614368E8"/>
    <w:rsid w:val="615846DE"/>
    <w:rsid w:val="617A3FC0"/>
    <w:rsid w:val="618220DA"/>
    <w:rsid w:val="619DB8D8"/>
    <w:rsid w:val="61A74635"/>
    <w:rsid w:val="61B217EF"/>
    <w:rsid w:val="61D0777C"/>
    <w:rsid w:val="61DB5600"/>
    <w:rsid w:val="61F3DC6C"/>
    <w:rsid w:val="623CB71B"/>
    <w:rsid w:val="62497C7F"/>
    <w:rsid w:val="625834B2"/>
    <w:rsid w:val="62995E31"/>
    <w:rsid w:val="62AE78CC"/>
    <w:rsid w:val="62CBE6F5"/>
    <w:rsid w:val="62D9AECD"/>
    <w:rsid w:val="62FC261B"/>
    <w:rsid w:val="62FC8DF5"/>
    <w:rsid w:val="6309BE2C"/>
    <w:rsid w:val="63539A58"/>
    <w:rsid w:val="63BA7821"/>
    <w:rsid w:val="63E53D6B"/>
    <w:rsid w:val="6410A5AA"/>
    <w:rsid w:val="6462A3B4"/>
    <w:rsid w:val="6483167A"/>
    <w:rsid w:val="6489C031"/>
    <w:rsid w:val="64BC8D6D"/>
    <w:rsid w:val="64C82FE7"/>
    <w:rsid w:val="64E5CB3D"/>
    <w:rsid w:val="654FECFB"/>
    <w:rsid w:val="657E5211"/>
    <w:rsid w:val="65921173"/>
    <w:rsid w:val="6593EB23"/>
    <w:rsid w:val="65BEBBE0"/>
    <w:rsid w:val="65EA602B"/>
    <w:rsid w:val="660DEC68"/>
    <w:rsid w:val="660E248B"/>
    <w:rsid w:val="661F9D2E"/>
    <w:rsid w:val="66813DCF"/>
    <w:rsid w:val="671A7723"/>
    <w:rsid w:val="675F5815"/>
    <w:rsid w:val="677B011A"/>
    <w:rsid w:val="67B3BB04"/>
    <w:rsid w:val="67D89939"/>
    <w:rsid w:val="681A0E26"/>
    <w:rsid w:val="68C4073B"/>
    <w:rsid w:val="68EE124B"/>
    <w:rsid w:val="6943271E"/>
    <w:rsid w:val="694E0451"/>
    <w:rsid w:val="6950E252"/>
    <w:rsid w:val="69648B9F"/>
    <w:rsid w:val="696783FA"/>
    <w:rsid w:val="69783EB1"/>
    <w:rsid w:val="69817004"/>
    <w:rsid w:val="69D26596"/>
    <w:rsid w:val="69D559B9"/>
    <w:rsid w:val="69FB0175"/>
    <w:rsid w:val="6A44F7E9"/>
    <w:rsid w:val="6A621D59"/>
    <w:rsid w:val="6AAF8D9D"/>
    <w:rsid w:val="6AEE2B05"/>
    <w:rsid w:val="6B342CA3"/>
    <w:rsid w:val="6B4EFCC5"/>
    <w:rsid w:val="6B94ADDC"/>
    <w:rsid w:val="6BA458C0"/>
    <w:rsid w:val="6BCA58E2"/>
    <w:rsid w:val="6C02AC0E"/>
    <w:rsid w:val="6C159014"/>
    <w:rsid w:val="6C9079DA"/>
    <w:rsid w:val="6CCE93DC"/>
    <w:rsid w:val="6D0705FD"/>
    <w:rsid w:val="6D12A606"/>
    <w:rsid w:val="6D43A38B"/>
    <w:rsid w:val="6D745C32"/>
    <w:rsid w:val="6D794FB0"/>
    <w:rsid w:val="6DB654BC"/>
    <w:rsid w:val="6DC96032"/>
    <w:rsid w:val="6DF12F41"/>
    <w:rsid w:val="6E1638F2"/>
    <w:rsid w:val="6E6031D6"/>
    <w:rsid w:val="6EA8A828"/>
    <w:rsid w:val="6EB15AF6"/>
    <w:rsid w:val="6EB63302"/>
    <w:rsid w:val="6EEDAFF2"/>
    <w:rsid w:val="6FC691D5"/>
    <w:rsid w:val="6FC917A0"/>
    <w:rsid w:val="6FD580A3"/>
    <w:rsid w:val="703BEFAA"/>
    <w:rsid w:val="70720F32"/>
    <w:rsid w:val="708ACAF1"/>
    <w:rsid w:val="708CB3A5"/>
    <w:rsid w:val="70C1244A"/>
    <w:rsid w:val="70CC29CF"/>
    <w:rsid w:val="710C921A"/>
    <w:rsid w:val="7150E16E"/>
    <w:rsid w:val="718C7E22"/>
    <w:rsid w:val="71A05BE9"/>
    <w:rsid w:val="71B82373"/>
    <w:rsid w:val="71DACAF1"/>
    <w:rsid w:val="71E2BDAE"/>
    <w:rsid w:val="720E8FFF"/>
    <w:rsid w:val="72280BC7"/>
    <w:rsid w:val="72552E6F"/>
    <w:rsid w:val="72C7209D"/>
    <w:rsid w:val="72CEEABB"/>
    <w:rsid w:val="72E610CC"/>
    <w:rsid w:val="72E7A5EB"/>
    <w:rsid w:val="72EF13AE"/>
    <w:rsid w:val="732175AF"/>
    <w:rsid w:val="73261E24"/>
    <w:rsid w:val="732CD39F"/>
    <w:rsid w:val="7390DCA7"/>
    <w:rsid w:val="73B75816"/>
    <w:rsid w:val="73B85C5E"/>
    <w:rsid w:val="73DC6760"/>
    <w:rsid w:val="73DE3CA1"/>
    <w:rsid w:val="744500D9"/>
    <w:rsid w:val="74ED95D8"/>
    <w:rsid w:val="74EF9698"/>
    <w:rsid w:val="74F4F83B"/>
    <w:rsid w:val="7519E839"/>
    <w:rsid w:val="753AD1DF"/>
    <w:rsid w:val="755ADB40"/>
    <w:rsid w:val="757651BD"/>
    <w:rsid w:val="75941CC7"/>
    <w:rsid w:val="75E9332D"/>
    <w:rsid w:val="7655346D"/>
    <w:rsid w:val="766EED72"/>
    <w:rsid w:val="76BCC4E1"/>
    <w:rsid w:val="7775E14F"/>
    <w:rsid w:val="77891082"/>
    <w:rsid w:val="77B74F3F"/>
    <w:rsid w:val="77C70E55"/>
    <w:rsid w:val="77C97EFD"/>
    <w:rsid w:val="77CF3EB4"/>
    <w:rsid w:val="77D198D7"/>
    <w:rsid w:val="78036A4F"/>
    <w:rsid w:val="7829288C"/>
    <w:rsid w:val="7876A60C"/>
    <w:rsid w:val="78A38AA1"/>
    <w:rsid w:val="78CA8118"/>
    <w:rsid w:val="78CEE115"/>
    <w:rsid w:val="78DA643E"/>
    <w:rsid w:val="78DF702B"/>
    <w:rsid w:val="78E29E7A"/>
    <w:rsid w:val="79097D7A"/>
    <w:rsid w:val="79189A40"/>
    <w:rsid w:val="792B9A68"/>
    <w:rsid w:val="7935A27A"/>
    <w:rsid w:val="794B19CD"/>
    <w:rsid w:val="797C4A63"/>
    <w:rsid w:val="798DBDEB"/>
    <w:rsid w:val="7A17AC74"/>
    <w:rsid w:val="7A6A2820"/>
    <w:rsid w:val="7A80A50C"/>
    <w:rsid w:val="7A9A9BB0"/>
    <w:rsid w:val="7AB48E9D"/>
    <w:rsid w:val="7AC3304A"/>
    <w:rsid w:val="7AC6FB65"/>
    <w:rsid w:val="7B9939C1"/>
    <w:rsid w:val="7BD90ACB"/>
    <w:rsid w:val="7BEF7341"/>
    <w:rsid w:val="7C126E46"/>
    <w:rsid w:val="7CC4ABD3"/>
    <w:rsid w:val="7CCBCF77"/>
    <w:rsid w:val="7CEF33C4"/>
    <w:rsid w:val="7D351379"/>
    <w:rsid w:val="7D3A625D"/>
    <w:rsid w:val="7D3DBF98"/>
    <w:rsid w:val="7D77F513"/>
    <w:rsid w:val="7D795F56"/>
    <w:rsid w:val="7D7FA801"/>
    <w:rsid w:val="7DAC581C"/>
    <w:rsid w:val="7DC42018"/>
    <w:rsid w:val="7DCCD90C"/>
    <w:rsid w:val="7E060EAA"/>
    <w:rsid w:val="7E22964F"/>
    <w:rsid w:val="7E4DFCA6"/>
    <w:rsid w:val="7E53DBD1"/>
    <w:rsid w:val="7E5747D3"/>
    <w:rsid w:val="7E5796E3"/>
    <w:rsid w:val="7E646CD4"/>
    <w:rsid w:val="7EE0573C"/>
    <w:rsid w:val="7F189F0E"/>
    <w:rsid w:val="7F2B5EFF"/>
    <w:rsid w:val="7F6D48FF"/>
    <w:rsid w:val="7FA335AA"/>
    <w:rsid w:val="7FC65D50"/>
    <w:rsid w:val="7FC7C45C"/>
    <w:rsid w:val="7FE78B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B79663"/>
  <w15:docId w15:val="{A37EBA79-59BF-456C-9D8F-44BD394BD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qFormat="1"/>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qFormat="1"/>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qFormat="1"/>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2BE3"/>
    <w:rPr>
      <w:rFonts w:ascii="Times New Roman" w:hAnsi="Times New Roman"/>
      <w:sz w:val="24"/>
      <w:szCs w:val="24"/>
      <w:lang w:val="sq-AL" w:eastAsia="sq-AL"/>
    </w:rPr>
  </w:style>
  <w:style w:type="paragraph" w:styleId="Heading1">
    <w:name w:val="heading 1"/>
    <w:basedOn w:val="Normal"/>
    <w:next w:val="Normal"/>
    <w:link w:val="Heading1Char"/>
    <w:uiPriority w:val="9"/>
    <w:qFormat/>
    <w:pPr>
      <w:keepNext/>
      <w:keepLines/>
      <w:spacing w:before="480" w:line="259" w:lineRule="auto"/>
      <w:outlineLvl w:val="0"/>
    </w:pPr>
    <w:rPr>
      <w:rFonts w:ascii="Cambria" w:eastAsia="Times New Roman" w:hAnsi="Cambria"/>
      <w:b/>
      <w:bCs/>
      <w:color w:val="365F91"/>
      <w:sz w:val="28"/>
      <w:szCs w:val="28"/>
      <w:lang w:val="en-GB"/>
    </w:rPr>
  </w:style>
  <w:style w:type="paragraph" w:styleId="Heading2">
    <w:name w:val="heading 2"/>
    <w:basedOn w:val="Normal"/>
    <w:next w:val="Normal"/>
    <w:link w:val="Heading2Char"/>
    <w:uiPriority w:val="9"/>
    <w:unhideWhenUsed/>
    <w:qFormat/>
    <w:rsid w:val="002F00F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qFormat/>
    <w:rPr>
      <w:rFonts w:ascii="Cambria" w:eastAsia="Times New Roman" w:hAnsi="Cambria" w:cs="Times New Roman"/>
      <w:b/>
      <w:bCs/>
      <w:color w:val="365F91"/>
      <w:sz w:val="28"/>
      <w:szCs w:val="28"/>
      <w:lang w:val="en-GB"/>
    </w:rPr>
  </w:style>
  <w:style w:type="paragraph" w:styleId="BalloonText">
    <w:name w:val="Balloon Text"/>
    <w:basedOn w:val="Normal"/>
    <w:link w:val="BalloonTextChar"/>
    <w:uiPriority w:val="99"/>
    <w:semiHidden/>
    <w:unhideWhenUsed/>
    <w:qFormat/>
    <w:rPr>
      <w:rFonts w:ascii="Tahoma" w:eastAsia="SimSun" w:hAnsi="Tahoma"/>
      <w:sz w:val="16"/>
      <w:szCs w:val="16"/>
    </w:rPr>
  </w:style>
  <w:style w:type="character" w:customStyle="1" w:styleId="BalloonTextChar">
    <w:name w:val="Balloon Text Char"/>
    <w:link w:val="BalloonText"/>
    <w:uiPriority w:val="99"/>
    <w:semiHidden/>
    <w:qFormat/>
    <w:rPr>
      <w:rFonts w:ascii="Tahoma" w:eastAsia="SimSun" w:hAnsi="Tahoma" w:cs="Tahoma"/>
      <w:sz w:val="16"/>
      <w:szCs w:val="16"/>
      <w:lang w:val="sq-AL"/>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rPr>
      <w:sz w:val="20"/>
      <w:szCs w:val="20"/>
    </w:rPr>
  </w:style>
  <w:style w:type="character" w:customStyle="1" w:styleId="CommentTextChar">
    <w:name w:val="Comment Text Char"/>
    <w:basedOn w:val="DefaultParagraphFont"/>
    <w:link w:val="CommentText"/>
    <w:uiPriority w:val="99"/>
    <w:qFormat/>
    <w:rPr>
      <w:rFonts w:ascii="Times New Roman" w:hAnsi="Times New Roman"/>
      <w:lang w:val="sq-AL" w:eastAsia="sq-AL"/>
    </w:rPr>
  </w:style>
  <w:style w:type="paragraph" w:styleId="CommentSubject">
    <w:name w:val="annotation subject"/>
    <w:basedOn w:val="CommentText"/>
    <w:next w:val="CommentText"/>
    <w:link w:val="CommentSubjectChar"/>
    <w:uiPriority w:val="99"/>
    <w:semiHidden/>
    <w:unhideWhenUsed/>
    <w:qFormat/>
    <w:rPr>
      <w:b/>
      <w:bCs/>
    </w:rPr>
  </w:style>
  <w:style w:type="character" w:customStyle="1" w:styleId="CommentSubjectChar">
    <w:name w:val="Comment Subject Char"/>
    <w:basedOn w:val="CommentTextChar"/>
    <w:link w:val="CommentSubject"/>
    <w:uiPriority w:val="99"/>
    <w:semiHidden/>
    <w:qFormat/>
    <w:rPr>
      <w:rFonts w:ascii="Times New Roman" w:hAnsi="Times New Roman"/>
      <w:b/>
      <w:bCs/>
      <w:lang w:val="sq-AL" w:eastAsia="sq-AL"/>
    </w:rPr>
  </w:style>
  <w:style w:type="character" w:styleId="Emphasis">
    <w:name w:val="Emphasis"/>
    <w:qFormat/>
    <w:rPr>
      <w:i/>
      <w:iCs/>
    </w:rPr>
  </w:style>
  <w:style w:type="character" w:styleId="FollowedHyperlink">
    <w:name w:val="FollowedHyperlink"/>
    <w:basedOn w:val="DefaultParagraphFont"/>
    <w:uiPriority w:val="99"/>
    <w:semiHidden/>
    <w:unhideWhenUsed/>
    <w:qFormat/>
    <w:rPr>
      <w:color w:val="800080"/>
      <w:u w:val="single"/>
    </w:rPr>
  </w:style>
  <w:style w:type="paragraph" w:styleId="Footer">
    <w:name w:val="footer"/>
    <w:basedOn w:val="Normal"/>
    <w:link w:val="FooterChar"/>
    <w:uiPriority w:val="99"/>
    <w:unhideWhenUsed/>
    <w:qFormat/>
    <w:pPr>
      <w:tabs>
        <w:tab w:val="center" w:pos="4680"/>
        <w:tab w:val="right" w:pos="9360"/>
      </w:tabs>
    </w:pPr>
  </w:style>
  <w:style w:type="character" w:customStyle="1" w:styleId="FooterChar">
    <w:name w:val="Footer Char"/>
    <w:link w:val="Footer"/>
    <w:uiPriority w:val="99"/>
    <w:qFormat/>
    <w:rPr>
      <w:rFonts w:ascii="Times New Roman" w:eastAsia="Calibri" w:hAnsi="Times New Roman" w:cs="Times New Roman"/>
      <w:sz w:val="24"/>
      <w:szCs w:val="24"/>
      <w:lang w:val="sq-AL" w:eastAsia="sq-AL"/>
    </w:rPr>
  </w:style>
  <w:style w:type="character" w:styleId="FootnoteReference">
    <w:name w:val="footnote reference"/>
    <w:aliases w:val="Appel note de bas de page,callout,Footnote Reference1,ftref,16 Point,Superscript 6 Point,Odwołanie przypisu,Footnote symbol,BVI fnr,Footnote Reference Number,Footnote Reference_LVL6,Footnote Reference_LVL61,Footnote Reference_LVL62,fr"/>
    <w:link w:val="BVIfnrCarCarCarCarChar"/>
    <w:uiPriority w:val="99"/>
    <w:unhideWhenUsed/>
    <w:qFormat/>
    <w:rPr>
      <w:vertAlign w:val="superscript"/>
    </w:rPr>
  </w:style>
  <w:style w:type="paragraph" w:customStyle="1" w:styleId="BVIfnrCarCarCarCarChar">
    <w:name w:val="BVI fnr Car Car Car Car Char"/>
    <w:basedOn w:val="Normal"/>
    <w:link w:val="FootnoteReference"/>
    <w:uiPriority w:val="99"/>
    <w:qFormat/>
    <w:pPr>
      <w:spacing w:after="160" w:line="240" w:lineRule="exact"/>
    </w:pPr>
    <w:rPr>
      <w:rFonts w:ascii="Calibri" w:hAnsi="Calibri"/>
      <w:sz w:val="20"/>
      <w:szCs w:val="20"/>
      <w:vertAlign w:val="superscript"/>
    </w:rPr>
  </w:style>
  <w:style w:type="paragraph" w:styleId="FootnoteText">
    <w:name w:val="footnote text"/>
    <w:aliases w:val="FA,FA Fußnotentext,Footnote Text Char Char Char Char,Footnote Text Char Char Char,Footnote Text Char Char,Footnote Text Char1,Footnote Text Char Char Char Char Char Char,Footnote Text Char Char4,Footnote Text Char2,FA3,Footnote,n,FOOTNOTES"/>
    <w:basedOn w:val="Normal"/>
    <w:link w:val="FootnoteTextChar"/>
    <w:uiPriority w:val="99"/>
    <w:unhideWhenUsed/>
    <w:qFormat/>
    <w:rPr>
      <w:rFonts w:ascii="Calibri" w:hAnsi="Calibri"/>
      <w:sz w:val="20"/>
      <w:szCs w:val="20"/>
    </w:rPr>
  </w:style>
  <w:style w:type="character" w:customStyle="1" w:styleId="FootnoteTextChar">
    <w:name w:val="Footnote Text Char"/>
    <w:aliases w:val="FA Char,FA Fußnotentext Char,Footnote Text Char Char Char Char Char,Footnote Text Char Char Char Char1,Footnote Text Char Char Char1,Footnote Text Char1 Char,Footnote Text Char Char Char Char Char Char Char,Footnote Text Char2 Char"/>
    <w:link w:val="FootnoteText"/>
    <w:uiPriority w:val="99"/>
    <w:qFormat/>
    <w:rPr>
      <w:sz w:val="20"/>
      <w:szCs w:val="20"/>
    </w:rPr>
  </w:style>
  <w:style w:type="paragraph" w:styleId="Header">
    <w:name w:val="header"/>
    <w:basedOn w:val="Normal"/>
    <w:link w:val="HeaderChar"/>
    <w:uiPriority w:val="99"/>
    <w:unhideWhenUsed/>
    <w:qFormat/>
    <w:pPr>
      <w:tabs>
        <w:tab w:val="center" w:pos="4680"/>
        <w:tab w:val="right" w:pos="9360"/>
      </w:tabs>
    </w:pPr>
  </w:style>
  <w:style w:type="character" w:customStyle="1" w:styleId="HeaderChar">
    <w:name w:val="Header Char"/>
    <w:link w:val="Header"/>
    <w:uiPriority w:val="99"/>
    <w:qFormat/>
    <w:rPr>
      <w:rFonts w:ascii="Times New Roman" w:eastAsia="Calibri" w:hAnsi="Times New Roman" w:cs="Times New Roman"/>
      <w:sz w:val="24"/>
      <w:szCs w:val="24"/>
      <w:lang w:val="sq-AL" w:eastAsia="sq-AL"/>
    </w:rPr>
  </w:style>
  <w:style w:type="character" w:styleId="Hyperlink">
    <w:name w:val="Hyperlink"/>
    <w:uiPriority w:val="99"/>
    <w:unhideWhenUsed/>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lang w:val="en-US" w:eastAsia="en-US"/>
    </w:rPr>
  </w:style>
  <w:style w:type="character" w:styleId="Strong">
    <w:name w:val="Strong"/>
    <w:uiPriority w:val="22"/>
    <w:qFormat/>
    <w:rPr>
      <w:b/>
      <w:bCs/>
    </w:rPr>
  </w:style>
  <w:style w:type="table" w:styleId="MediumGrid3-Accent1">
    <w:name w:val="Medium Grid 3 Accent 1"/>
    <w:basedOn w:val="TableNormal"/>
    <w:uiPriority w:val="69"/>
    <w:unhideWhenUsed/>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1B8E1"/>
      </w:tcPr>
    </w:tblStylePr>
  </w:style>
  <w:style w:type="table" w:styleId="MediumGrid3-Accent3">
    <w:name w:val="Medium Grid 3 Accent 3"/>
    <w:basedOn w:val="TableNormal"/>
    <w:uiPriority w:val="69"/>
    <w:unhideWhenUsed/>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2D2D2"/>
      </w:tcPr>
    </w:tblStylePr>
  </w:style>
  <w:style w:type="table" w:styleId="MediumGrid3-Accent5">
    <w:name w:val="Medium Grid 3 Accent 5"/>
    <w:basedOn w:val="TableNormal"/>
    <w:uiPriority w:val="69"/>
    <w:unhideWhenUsed/>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DCCEA"/>
      </w:tcPr>
    </w:tblStylePr>
  </w:style>
  <w:style w:type="paragraph" w:styleId="NoSpacing">
    <w:name w:val="No Spacing"/>
    <w:uiPriority w:val="1"/>
    <w:qFormat/>
    <w:rPr>
      <w:sz w:val="22"/>
      <w:szCs w:val="22"/>
    </w:rPr>
  </w:style>
  <w:style w:type="paragraph" w:styleId="ListParagraph">
    <w:name w:val="List Paragraph"/>
    <w:aliases w:val="NumberedParas,Bullet List,FooterText,Colorful List Accent 1,numbered,Paragraphe de liste1,????,????1,Bulletr List Paragraph,List Paragraph2,List Paragraph21,Párrafo de lista1,Parágrafo da Lista1,?????1,Plan,列出段落,Normal 1,List Paragraph 1"/>
    <w:basedOn w:val="Normal"/>
    <w:link w:val="ListParagraphChar"/>
    <w:uiPriority w:val="34"/>
    <w:qFormat/>
    <w:pPr>
      <w:ind w:left="720"/>
      <w:contextualSpacing/>
    </w:pPr>
  </w:style>
  <w:style w:type="character" w:customStyle="1" w:styleId="ListParagraphChar">
    <w:name w:val="List Paragraph Char"/>
    <w:aliases w:val="NumberedParas Char,Bullet List Char,FooterText Char,Colorful List Accent 1 Char,numbered Char,Paragraphe de liste1 Char,???? Char,????1 Char,Bulletr List Paragraph Char,List Paragraph2 Char,List Paragraph21 Char,?????1 Char,Plan Char"/>
    <w:link w:val="ListParagraph"/>
    <w:uiPriority w:val="99"/>
    <w:qFormat/>
    <w:locked/>
    <w:rPr>
      <w:rFonts w:ascii="Times New Roman" w:eastAsia="Calibri" w:hAnsi="Times New Roman" w:cs="Times New Roman"/>
      <w:sz w:val="24"/>
      <w:szCs w:val="24"/>
      <w:lang w:val="sq-AL" w:eastAsia="sq-AL"/>
    </w:rPr>
  </w:style>
  <w:style w:type="character" w:customStyle="1" w:styleId="whitespace-normal">
    <w:name w:val="whitespace-normal"/>
    <w:basedOn w:val="DefaultParagraphFont"/>
    <w:qFormat/>
  </w:style>
  <w:style w:type="character" w:customStyle="1" w:styleId="relative">
    <w:name w:val="relative"/>
    <w:basedOn w:val="DefaultParagraphFont"/>
    <w:qFormat/>
  </w:style>
  <w:style w:type="paragraph" w:customStyle="1" w:styleId="not-prose">
    <w:name w:val="not-prose"/>
    <w:basedOn w:val="Normal"/>
    <w:qFormat/>
    <w:pPr>
      <w:spacing w:before="100" w:beforeAutospacing="1" w:after="100" w:afterAutospacing="1"/>
    </w:pPr>
    <w:rPr>
      <w:rFonts w:eastAsia="Times New Roman"/>
      <w:lang w:val="en-US" w:eastAsia="en-US"/>
    </w:rPr>
  </w:style>
  <w:style w:type="table" w:customStyle="1" w:styleId="MediumGrid3-Accent51">
    <w:name w:val="Medium Grid 3 - Accent 51"/>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MediumGrid3-Accent31">
    <w:name w:val="Medium Grid 3 - Accent 31"/>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CDDDAC"/>
      </w:tcPr>
    </w:tblStylePr>
  </w:style>
  <w:style w:type="table" w:customStyle="1" w:styleId="MediumGrid3-Accent11">
    <w:name w:val="Medium Grid 3 - Accent 11"/>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paragraph" w:customStyle="1" w:styleId="Revision1">
    <w:name w:val="Revision1"/>
    <w:hidden/>
    <w:uiPriority w:val="99"/>
    <w:semiHidden/>
    <w:qFormat/>
    <w:rPr>
      <w:rFonts w:ascii="Times New Roman" w:hAnsi="Times New Roman"/>
      <w:sz w:val="24"/>
      <w:szCs w:val="24"/>
      <w:lang w:val="sq-AL" w:eastAsia="sq-AL"/>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customStyle="1" w:styleId="Paragrafi">
    <w:name w:val="Paragrafi"/>
    <w:link w:val="ParagrafiChar"/>
    <w:qFormat/>
    <w:pPr>
      <w:widowControl w:val="0"/>
      <w:ind w:firstLine="284"/>
      <w:jc w:val="both"/>
    </w:pPr>
    <w:rPr>
      <w:rFonts w:ascii="Garamond" w:eastAsia="MS Mincho" w:hAnsi="Garamond" w:cs="CG Times"/>
      <w:sz w:val="24"/>
      <w:szCs w:val="22"/>
    </w:rPr>
  </w:style>
  <w:style w:type="character" w:customStyle="1" w:styleId="ParagrafiChar">
    <w:name w:val="Paragrafi Char"/>
    <w:basedOn w:val="DefaultParagraphFont"/>
    <w:link w:val="Paragrafi"/>
    <w:qFormat/>
    <w:locked/>
    <w:rPr>
      <w:rFonts w:ascii="Garamond" w:eastAsia="MS Mincho" w:hAnsi="Garamond" w:cs="CG Times"/>
      <w:sz w:val="24"/>
      <w:szCs w:val="22"/>
    </w:rPr>
  </w:style>
  <w:style w:type="paragraph" w:customStyle="1" w:styleId="xl65">
    <w:name w:val="xl65"/>
    <w:basedOn w:val="Normal"/>
    <w:qFormat/>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top"/>
    </w:pPr>
    <w:rPr>
      <w:rFonts w:eastAsia="Times New Roman"/>
      <w:b/>
      <w:bCs/>
      <w:sz w:val="20"/>
      <w:szCs w:val="20"/>
      <w:lang w:val="en-US" w:eastAsia="en-US"/>
    </w:rPr>
  </w:style>
  <w:style w:type="paragraph" w:customStyle="1" w:styleId="xl66">
    <w:name w:val="xl66"/>
    <w:basedOn w:val="Normal"/>
    <w:qFormat/>
    <w:pPr>
      <w:spacing w:before="100" w:beforeAutospacing="1" w:after="100" w:afterAutospacing="1"/>
    </w:pPr>
    <w:rPr>
      <w:rFonts w:eastAsia="Times New Roman"/>
      <w:lang w:val="en-US" w:eastAsia="en-US"/>
    </w:rPr>
  </w:style>
  <w:style w:type="paragraph" w:customStyle="1" w:styleId="xl67">
    <w:name w:val="xl67"/>
    <w:basedOn w:val="Normal"/>
    <w:qFormat/>
    <w:pPr>
      <w:spacing w:before="100" w:beforeAutospacing="1" w:after="100" w:afterAutospacing="1"/>
    </w:pPr>
    <w:rPr>
      <w:rFonts w:eastAsia="Times New Roman"/>
      <w:lang w:val="en-US" w:eastAsia="en-US"/>
    </w:rPr>
  </w:style>
  <w:style w:type="paragraph" w:customStyle="1" w:styleId="xl68">
    <w:name w:val="xl68"/>
    <w:basedOn w:val="Normal"/>
    <w:qFormat/>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top"/>
    </w:pPr>
    <w:rPr>
      <w:rFonts w:eastAsia="Times New Roman"/>
      <w:b/>
      <w:bCs/>
      <w:lang w:val="en-US" w:eastAsia="en-US"/>
    </w:rPr>
  </w:style>
  <w:style w:type="paragraph" w:customStyle="1" w:styleId="xl69">
    <w:name w:val="xl69"/>
    <w:basedOn w:val="Normal"/>
    <w:qFormat/>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top"/>
    </w:pPr>
    <w:rPr>
      <w:rFonts w:eastAsia="Times New Roman"/>
      <w:lang w:val="en-US" w:eastAsia="en-US"/>
    </w:rPr>
  </w:style>
  <w:style w:type="paragraph" w:customStyle="1" w:styleId="xl70">
    <w:name w:val="xl70"/>
    <w:basedOn w:val="Normal"/>
    <w:qFormat/>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eastAsia="Times New Roman"/>
      <w:b/>
      <w:bCs/>
      <w:lang w:val="en-US" w:eastAsia="en-US"/>
    </w:rPr>
  </w:style>
  <w:style w:type="paragraph" w:customStyle="1" w:styleId="xl71">
    <w:name w:val="xl71"/>
    <w:basedOn w:val="Normal"/>
    <w:qFormat/>
    <w:pPr>
      <w:pBdr>
        <w:top w:val="single" w:sz="4" w:space="0" w:color="auto"/>
        <w:left w:val="single" w:sz="4" w:space="0" w:color="auto"/>
        <w:bottom w:val="single" w:sz="4" w:space="0" w:color="auto"/>
        <w:right w:val="single" w:sz="4" w:space="0" w:color="auto"/>
      </w:pBdr>
      <w:shd w:val="clear" w:color="000000" w:fill="C2D69B"/>
      <w:spacing w:before="100" w:beforeAutospacing="1" w:after="100" w:afterAutospacing="1"/>
      <w:jc w:val="center"/>
      <w:textAlignment w:val="center"/>
    </w:pPr>
    <w:rPr>
      <w:rFonts w:eastAsia="Times New Roman"/>
      <w:b/>
      <w:bCs/>
      <w:lang w:val="en-US" w:eastAsia="en-US"/>
    </w:rPr>
  </w:style>
  <w:style w:type="paragraph" w:customStyle="1" w:styleId="xl72">
    <w:name w:val="xl72"/>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color w:val="000000"/>
      <w:lang w:val="en-US" w:eastAsia="en-US"/>
    </w:rPr>
  </w:style>
  <w:style w:type="paragraph" w:customStyle="1" w:styleId="xl73">
    <w:name w:val="xl73"/>
    <w:basedOn w:val="Normal"/>
    <w:pPr>
      <w:pBdr>
        <w:top w:val="single" w:sz="4" w:space="0" w:color="auto"/>
        <w:left w:val="single" w:sz="4" w:space="0" w:color="auto"/>
        <w:bottom w:val="single" w:sz="4" w:space="0" w:color="auto"/>
        <w:right w:val="single" w:sz="4" w:space="0" w:color="auto"/>
      </w:pBdr>
      <w:shd w:val="clear" w:color="000000" w:fill="C2D69B"/>
      <w:spacing w:before="100" w:beforeAutospacing="1" w:after="100" w:afterAutospacing="1"/>
      <w:jc w:val="center"/>
      <w:textAlignment w:val="center"/>
    </w:pPr>
    <w:rPr>
      <w:rFonts w:eastAsia="Times New Roman"/>
      <w:b/>
      <w:bCs/>
      <w:lang w:val="en-US" w:eastAsia="en-US"/>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000000" w:fill="F276AB"/>
      <w:spacing w:before="100" w:beforeAutospacing="1" w:after="100" w:afterAutospacing="1"/>
      <w:textAlignment w:val="center"/>
    </w:pPr>
    <w:rPr>
      <w:rFonts w:eastAsia="Times New Roman"/>
      <w:b/>
      <w:bCs/>
      <w:lang w:val="en-US" w:eastAsia="en-US"/>
    </w:rPr>
  </w:style>
  <w:style w:type="paragraph" w:customStyle="1" w:styleId="xl75">
    <w:name w:val="xl75"/>
    <w:basedOn w:val="Normal"/>
    <w:qFormat/>
    <w:pPr>
      <w:pBdr>
        <w:top w:val="single" w:sz="4" w:space="0" w:color="auto"/>
        <w:left w:val="single" w:sz="4" w:space="0" w:color="auto"/>
        <w:bottom w:val="single" w:sz="4" w:space="0" w:color="auto"/>
        <w:right w:val="single" w:sz="4" w:space="0" w:color="auto"/>
      </w:pBdr>
      <w:shd w:val="clear" w:color="000000" w:fill="F276AB"/>
      <w:spacing w:before="100" w:beforeAutospacing="1" w:after="100" w:afterAutospacing="1"/>
      <w:jc w:val="center"/>
      <w:textAlignment w:val="center"/>
    </w:pPr>
    <w:rPr>
      <w:rFonts w:eastAsia="Times New Roman"/>
      <w:b/>
      <w:bCs/>
      <w:lang w:val="en-US" w:eastAsia="en-US"/>
    </w:rPr>
  </w:style>
  <w:style w:type="paragraph" w:customStyle="1" w:styleId="xl76">
    <w:name w:val="xl76"/>
    <w:basedOn w:val="Normal"/>
    <w:qFormat/>
    <w:pPr>
      <w:pBdr>
        <w:top w:val="single" w:sz="4" w:space="0" w:color="auto"/>
        <w:left w:val="single" w:sz="4" w:space="0" w:color="auto"/>
        <w:bottom w:val="single" w:sz="4" w:space="0" w:color="auto"/>
        <w:right w:val="single" w:sz="4" w:space="0" w:color="auto"/>
      </w:pBdr>
      <w:shd w:val="clear" w:color="000000" w:fill="F276AB"/>
      <w:spacing w:before="100" w:beforeAutospacing="1" w:after="100" w:afterAutospacing="1"/>
      <w:jc w:val="center"/>
      <w:textAlignment w:val="center"/>
    </w:pPr>
    <w:rPr>
      <w:rFonts w:eastAsia="Times New Roman"/>
      <w:b/>
      <w:bCs/>
      <w:color w:val="000000"/>
      <w:lang w:val="en-US" w:eastAsia="en-US"/>
    </w:rPr>
  </w:style>
  <w:style w:type="paragraph" w:customStyle="1" w:styleId="xl77">
    <w:name w:val="xl77"/>
    <w:basedOn w:val="Normal"/>
    <w:qFormat/>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rFonts w:eastAsia="Times New Roman"/>
      <w:b/>
      <w:bCs/>
      <w:color w:val="FF0000"/>
      <w:lang w:val="en-US" w:eastAsia="en-US"/>
    </w:rPr>
  </w:style>
  <w:style w:type="paragraph" w:customStyle="1" w:styleId="xl78">
    <w:name w:val="xl78"/>
    <w:basedOn w:val="Normal"/>
    <w:qFormat/>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eastAsia="Times New Roman"/>
      <w:b/>
      <w:bCs/>
      <w:lang w:val="en-US" w:eastAsia="en-US"/>
    </w:rPr>
  </w:style>
  <w:style w:type="paragraph" w:customStyle="1" w:styleId="xl79">
    <w:name w:val="xl79"/>
    <w:basedOn w:val="Normal"/>
    <w:qFormat/>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textAlignment w:val="center"/>
    </w:pPr>
    <w:rPr>
      <w:rFonts w:eastAsia="Times New Roman"/>
      <w:b/>
      <w:bCs/>
      <w:lang w:val="en-US" w:eastAsia="en-US"/>
    </w:rPr>
  </w:style>
  <w:style w:type="paragraph" w:customStyle="1" w:styleId="xl80">
    <w:name w:val="xl80"/>
    <w:basedOn w:val="Normal"/>
    <w:qFormat/>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eastAsia="Times New Roman"/>
      <w:b/>
      <w:bCs/>
      <w:lang w:val="en-US" w:eastAsia="en-US"/>
    </w:rPr>
  </w:style>
  <w:style w:type="paragraph" w:customStyle="1" w:styleId="xl81">
    <w:name w:val="xl81"/>
    <w:basedOn w:val="Normal"/>
    <w:qFormat/>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eastAsia="Times New Roman"/>
      <w:b/>
      <w:bCs/>
      <w:lang w:val="en-US" w:eastAsia="en-US"/>
    </w:rPr>
  </w:style>
  <w:style w:type="paragraph" w:customStyle="1" w:styleId="xl82">
    <w:name w:val="xl82"/>
    <w:basedOn w:val="Normal"/>
    <w:qFormat/>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eastAsia="Times New Roman"/>
      <w:b/>
      <w:bCs/>
      <w:lang w:val="en-US" w:eastAsia="en-US"/>
    </w:rPr>
  </w:style>
  <w:style w:type="paragraph" w:customStyle="1" w:styleId="xl83">
    <w:name w:val="xl83"/>
    <w:basedOn w:val="Normal"/>
    <w:qFormat/>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eastAsia="Times New Roman"/>
      <w:b/>
      <w:bCs/>
      <w:lang w:val="en-US" w:eastAsia="en-US"/>
    </w:rPr>
  </w:style>
  <w:style w:type="paragraph" w:customStyle="1" w:styleId="xl84">
    <w:name w:val="xl84"/>
    <w:basedOn w:val="Normal"/>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eastAsia="Times New Roman"/>
      <w:b/>
      <w:bCs/>
      <w:lang w:val="en-US" w:eastAsia="en-US"/>
    </w:rPr>
  </w:style>
  <w:style w:type="paragraph" w:customStyle="1" w:styleId="xl85">
    <w:name w:val="xl85"/>
    <w:basedOn w:val="Normal"/>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eastAsia="Times New Roman"/>
      <w:b/>
      <w:bCs/>
      <w:lang w:val="en-US" w:eastAsia="en-US"/>
    </w:rPr>
  </w:style>
  <w:style w:type="paragraph" w:customStyle="1" w:styleId="xl86">
    <w:name w:val="xl86"/>
    <w:basedOn w:val="Normal"/>
    <w:qFormat/>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eastAsia="Times New Roman"/>
      <w:b/>
      <w:bCs/>
      <w:lang w:val="en-US" w:eastAsia="en-US"/>
    </w:rPr>
  </w:style>
  <w:style w:type="paragraph" w:customStyle="1" w:styleId="xl87">
    <w:name w:val="xl87"/>
    <w:basedOn w:val="Normal"/>
    <w:pPr>
      <w:spacing w:before="100" w:beforeAutospacing="1" w:after="100" w:afterAutospacing="1"/>
      <w:jc w:val="center"/>
      <w:textAlignment w:val="center"/>
    </w:pPr>
    <w:rPr>
      <w:rFonts w:eastAsia="Times New Roman"/>
      <w:lang w:val="en-US" w:eastAsia="en-US"/>
    </w:rPr>
  </w:style>
  <w:style w:type="paragraph" w:customStyle="1" w:styleId="xl88">
    <w:name w:val="xl88"/>
    <w:basedOn w:val="Normal"/>
    <w:qFormat/>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eastAsia="Times New Roman"/>
      <w:lang w:val="en-US" w:eastAsia="en-US"/>
    </w:rPr>
  </w:style>
  <w:style w:type="paragraph" w:customStyle="1" w:styleId="xl89">
    <w:name w:val="xl89"/>
    <w:basedOn w:val="Normal"/>
    <w:qFormat/>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eastAsia="Times New Roman"/>
      <w:lang w:val="en-US" w:eastAsia="en-US"/>
    </w:rPr>
  </w:style>
  <w:style w:type="paragraph" w:customStyle="1" w:styleId="xl90">
    <w:name w:val="xl90"/>
    <w:basedOn w:val="Normal"/>
    <w:qFormat/>
    <w:pPr>
      <w:pBdr>
        <w:top w:val="single" w:sz="4" w:space="0" w:color="auto"/>
        <w:left w:val="single" w:sz="4" w:space="0" w:color="auto"/>
        <w:bottom w:val="single" w:sz="4" w:space="0" w:color="auto"/>
      </w:pBdr>
      <w:shd w:val="clear" w:color="000000" w:fill="DCE6F1"/>
      <w:spacing w:before="100" w:beforeAutospacing="1" w:after="100" w:afterAutospacing="1"/>
      <w:jc w:val="center"/>
      <w:textAlignment w:val="center"/>
    </w:pPr>
    <w:rPr>
      <w:rFonts w:eastAsia="Times New Roman"/>
      <w:lang w:val="en-US" w:eastAsia="en-US"/>
    </w:rPr>
  </w:style>
  <w:style w:type="paragraph" w:customStyle="1" w:styleId="xl91">
    <w:name w:val="xl91"/>
    <w:basedOn w:val="Normal"/>
    <w:qFormat/>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eastAsia="Times New Roman"/>
      <w:b/>
      <w:bCs/>
      <w:lang w:val="en-US" w:eastAsia="en-US"/>
    </w:rPr>
  </w:style>
  <w:style w:type="paragraph" w:customStyle="1" w:styleId="xl92">
    <w:name w:val="xl92"/>
    <w:basedOn w:val="Normal"/>
    <w:qFormat/>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textAlignment w:val="center"/>
    </w:pPr>
    <w:rPr>
      <w:rFonts w:eastAsia="Times New Roman"/>
      <w:b/>
      <w:bCs/>
      <w:lang w:val="en-US" w:eastAsia="en-US"/>
    </w:rPr>
  </w:style>
  <w:style w:type="paragraph" w:customStyle="1" w:styleId="xl93">
    <w:name w:val="xl93"/>
    <w:basedOn w:val="Normal"/>
    <w:qFormat/>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eastAsia="Times New Roman"/>
      <w:b/>
      <w:bCs/>
      <w:lang w:val="en-US" w:eastAsia="en-US"/>
    </w:rPr>
  </w:style>
  <w:style w:type="paragraph" w:customStyle="1" w:styleId="xl94">
    <w:name w:val="xl94"/>
    <w:basedOn w:val="Normal"/>
    <w:qFormat/>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top"/>
    </w:pPr>
    <w:rPr>
      <w:rFonts w:eastAsia="Times New Roman"/>
      <w:b/>
      <w:bCs/>
      <w:lang w:val="en-US" w:eastAsia="en-US"/>
    </w:rPr>
  </w:style>
  <w:style w:type="paragraph" w:customStyle="1" w:styleId="xl95">
    <w:name w:val="xl95"/>
    <w:basedOn w:val="Normal"/>
    <w:qFormat/>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eastAsia="Times New Roman"/>
      <w:b/>
      <w:bCs/>
      <w:lang w:val="en-US" w:eastAsia="en-US"/>
    </w:rPr>
  </w:style>
  <w:style w:type="paragraph" w:customStyle="1" w:styleId="xl96">
    <w:name w:val="xl96"/>
    <w:basedOn w:val="Normal"/>
    <w:qFormat/>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top"/>
    </w:pPr>
    <w:rPr>
      <w:rFonts w:eastAsia="Times New Roman"/>
      <w:lang w:val="en-US" w:eastAsia="en-US"/>
    </w:rPr>
  </w:style>
  <w:style w:type="paragraph" w:customStyle="1" w:styleId="xl97">
    <w:name w:val="xl97"/>
    <w:basedOn w:val="Normal"/>
    <w:qFormat/>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eastAsia="Times New Roman"/>
      <w:lang w:val="en-US" w:eastAsia="en-US"/>
    </w:rPr>
  </w:style>
  <w:style w:type="paragraph" w:customStyle="1" w:styleId="xl98">
    <w:name w:val="xl98"/>
    <w:basedOn w:val="Normal"/>
    <w:qFormat/>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top"/>
    </w:pPr>
    <w:rPr>
      <w:rFonts w:eastAsia="Times New Roman"/>
      <w:sz w:val="20"/>
      <w:szCs w:val="20"/>
      <w:lang w:val="en-US" w:eastAsia="en-US"/>
    </w:rPr>
  </w:style>
  <w:style w:type="paragraph" w:customStyle="1" w:styleId="xl99">
    <w:name w:val="xl99"/>
    <w:basedOn w:val="Normal"/>
    <w:qFormat/>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eastAsia="Times New Roman"/>
      <w:sz w:val="20"/>
      <w:szCs w:val="20"/>
      <w:lang w:val="en-US" w:eastAsia="en-US"/>
    </w:rPr>
  </w:style>
  <w:style w:type="paragraph" w:customStyle="1" w:styleId="xl100">
    <w:name w:val="xl100"/>
    <w:basedOn w:val="Normal"/>
    <w:qFormat/>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eastAsia="Times New Roman"/>
      <w:lang w:val="en-US" w:eastAsia="en-US"/>
    </w:rPr>
  </w:style>
  <w:style w:type="paragraph" w:customStyle="1" w:styleId="xl101">
    <w:name w:val="xl101"/>
    <w:basedOn w:val="Normal"/>
    <w:qFormat/>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rFonts w:eastAsia="Times New Roman"/>
      <w:lang w:val="en-US" w:eastAsia="en-US"/>
    </w:rPr>
  </w:style>
  <w:style w:type="paragraph" w:customStyle="1" w:styleId="xl102">
    <w:name w:val="xl102"/>
    <w:basedOn w:val="Normal"/>
    <w:qFormat/>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top"/>
    </w:pPr>
    <w:rPr>
      <w:rFonts w:eastAsia="Times New Roman"/>
      <w:sz w:val="20"/>
      <w:szCs w:val="20"/>
      <w:lang w:val="en-US" w:eastAsia="en-US"/>
    </w:rPr>
  </w:style>
  <w:style w:type="paragraph" w:customStyle="1" w:styleId="xl103">
    <w:name w:val="xl103"/>
    <w:basedOn w:val="Normal"/>
    <w:qFormat/>
    <w:pPr>
      <w:pBdr>
        <w:top w:val="single" w:sz="4" w:space="0" w:color="auto"/>
        <w:left w:val="single" w:sz="4" w:space="0" w:color="auto"/>
        <w:bottom w:val="single" w:sz="4" w:space="0" w:color="auto"/>
      </w:pBdr>
      <w:shd w:val="clear" w:color="000000" w:fill="DCE6F1"/>
      <w:spacing w:before="100" w:beforeAutospacing="1" w:after="100" w:afterAutospacing="1"/>
      <w:jc w:val="center"/>
      <w:textAlignment w:val="top"/>
    </w:pPr>
    <w:rPr>
      <w:rFonts w:eastAsia="Times New Roman"/>
      <w:sz w:val="20"/>
      <w:szCs w:val="20"/>
      <w:lang w:val="en-US" w:eastAsia="en-US"/>
    </w:rPr>
  </w:style>
  <w:style w:type="paragraph" w:customStyle="1" w:styleId="xl104">
    <w:name w:val="xl104"/>
    <w:basedOn w:val="Normal"/>
    <w:qFormat/>
    <w:pPr>
      <w:pBdr>
        <w:top w:val="single" w:sz="4" w:space="0" w:color="auto"/>
        <w:left w:val="single" w:sz="4" w:space="0" w:color="auto"/>
        <w:bottom w:val="single" w:sz="4" w:space="0" w:color="auto"/>
      </w:pBdr>
      <w:shd w:val="clear" w:color="000000" w:fill="C2D69B"/>
      <w:spacing w:before="100" w:beforeAutospacing="1" w:after="100" w:afterAutospacing="1"/>
      <w:jc w:val="center"/>
      <w:textAlignment w:val="center"/>
    </w:pPr>
    <w:rPr>
      <w:rFonts w:eastAsia="Times New Roman"/>
      <w:b/>
      <w:bCs/>
      <w:lang w:val="en-US" w:eastAsia="en-US"/>
    </w:rPr>
  </w:style>
  <w:style w:type="paragraph" w:customStyle="1" w:styleId="xl105">
    <w:name w:val="xl105"/>
    <w:basedOn w:val="Normal"/>
    <w:qFormat/>
    <w:pPr>
      <w:pBdr>
        <w:top w:val="single" w:sz="4" w:space="0" w:color="auto"/>
        <w:left w:val="single" w:sz="4" w:space="0" w:color="auto"/>
        <w:bottom w:val="single" w:sz="4" w:space="0" w:color="auto"/>
      </w:pBdr>
      <w:shd w:val="clear" w:color="000000" w:fill="F276AB"/>
      <w:spacing w:before="100" w:beforeAutospacing="1" w:after="100" w:afterAutospacing="1"/>
      <w:jc w:val="center"/>
      <w:textAlignment w:val="center"/>
    </w:pPr>
    <w:rPr>
      <w:rFonts w:eastAsia="Times New Roman"/>
      <w:b/>
      <w:bCs/>
      <w:color w:val="000000"/>
      <w:lang w:val="en-US" w:eastAsia="en-US"/>
    </w:rPr>
  </w:style>
  <w:style w:type="paragraph" w:customStyle="1" w:styleId="xl106">
    <w:name w:val="xl106"/>
    <w:basedOn w:val="Normal"/>
    <w:qFormat/>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rFonts w:eastAsia="Times New Roman"/>
      <w:b/>
      <w:bCs/>
      <w:lang w:val="en-US" w:eastAsia="en-US"/>
    </w:rPr>
  </w:style>
  <w:style w:type="paragraph" w:customStyle="1" w:styleId="xl107">
    <w:name w:val="xl107"/>
    <w:basedOn w:val="Normal"/>
    <w:qFormat/>
    <w:pPr>
      <w:pBdr>
        <w:top w:val="single" w:sz="4" w:space="0" w:color="auto"/>
        <w:left w:val="single" w:sz="4" w:space="0" w:color="auto"/>
        <w:bottom w:val="single" w:sz="4" w:space="0" w:color="auto"/>
      </w:pBdr>
      <w:shd w:val="clear" w:color="000000" w:fill="DCE6F1"/>
      <w:spacing w:before="100" w:beforeAutospacing="1" w:after="100" w:afterAutospacing="1"/>
      <w:jc w:val="center"/>
      <w:textAlignment w:val="center"/>
    </w:pPr>
    <w:rPr>
      <w:rFonts w:eastAsia="Times New Roman"/>
      <w:b/>
      <w:bCs/>
      <w:lang w:val="en-US" w:eastAsia="en-US"/>
    </w:rPr>
  </w:style>
  <w:style w:type="paragraph" w:customStyle="1" w:styleId="xl108">
    <w:name w:val="xl108"/>
    <w:basedOn w:val="Normal"/>
    <w:qFormat/>
    <w:pPr>
      <w:pBdr>
        <w:top w:val="single" w:sz="4" w:space="0" w:color="auto"/>
        <w:left w:val="single" w:sz="8"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eastAsia="Times New Roman"/>
      <w:b/>
      <w:bCs/>
      <w:lang w:val="en-US" w:eastAsia="en-US"/>
    </w:rPr>
  </w:style>
  <w:style w:type="paragraph" w:customStyle="1" w:styleId="xl109">
    <w:name w:val="xl109"/>
    <w:basedOn w:val="Normal"/>
    <w:qFormat/>
    <w:pPr>
      <w:pBdr>
        <w:top w:val="single" w:sz="4" w:space="0" w:color="auto"/>
        <w:left w:val="single" w:sz="4" w:space="0" w:color="auto"/>
        <w:bottom w:val="single" w:sz="4" w:space="0" w:color="auto"/>
        <w:right w:val="single" w:sz="8" w:space="0" w:color="auto"/>
      </w:pBdr>
      <w:shd w:val="clear" w:color="000000" w:fill="DCE6F1"/>
      <w:spacing w:before="100" w:beforeAutospacing="1" w:after="100" w:afterAutospacing="1"/>
      <w:jc w:val="center"/>
      <w:textAlignment w:val="center"/>
    </w:pPr>
    <w:rPr>
      <w:rFonts w:eastAsia="Times New Roman"/>
      <w:b/>
      <w:bCs/>
      <w:lang w:val="en-US" w:eastAsia="en-US"/>
    </w:rPr>
  </w:style>
  <w:style w:type="paragraph" w:customStyle="1" w:styleId="xl110">
    <w:name w:val="xl110"/>
    <w:basedOn w:val="Normal"/>
    <w:qFormat/>
    <w:pPr>
      <w:pBdr>
        <w:top w:val="single" w:sz="4" w:space="0" w:color="auto"/>
        <w:left w:val="single" w:sz="4" w:space="0" w:color="auto"/>
        <w:bottom w:val="single" w:sz="4" w:space="0" w:color="auto"/>
        <w:right w:val="single" w:sz="8" w:space="0" w:color="auto"/>
      </w:pBdr>
      <w:shd w:val="clear" w:color="000000" w:fill="DCE6F1"/>
      <w:spacing w:before="100" w:beforeAutospacing="1" w:after="100" w:afterAutospacing="1"/>
      <w:jc w:val="center"/>
      <w:textAlignment w:val="center"/>
    </w:pPr>
    <w:rPr>
      <w:rFonts w:eastAsia="Times New Roman"/>
      <w:b/>
      <w:bCs/>
      <w:lang w:val="en-US" w:eastAsia="en-US"/>
    </w:rPr>
  </w:style>
  <w:style w:type="paragraph" w:customStyle="1" w:styleId="xl111">
    <w:name w:val="xl111"/>
    <w:basedOn w:val="Normal"/>
    <w:qFormat/>
    <w:pPr>
      <w:pBdr>
        <w:top w:val="single" w:sz="4" w:space="0" w:color="auto"/>
        <w:left w:val="single" w:sz="4" w:space="0" w:color="auto"/>
        <w:bottom w:val="single" w:sz="8" w:space="0" w:color="auto"/>
        <w:right w:val="single" w:sz="8" w:space="0" w:color="auto"/>
      </w:pBdr>
      <w:shd w:val="clear" w:color="000000" w:fill="DCE6F1"/>
      <w:spacing w:before="100" w:beforeAutospacing="1" w:after="100" w:afterAutospacing="1"/>
      <w:jc w:val="center"/>
      <w:textAlignment w:val="center"/>
    </w:pPr>
    <w:rPr>
      <w:rFonts w:eastAsia="Times New Roman"/>
      <w:b/>
      <w:bCs/>
      <w:lang w:val="en-US" w:eastAsia="en-US"/>
    </w:rPr>
  </w:style>
  <w:style w:type="paragraph" w:customStyle="1" w:styleId="xl112">
    <w:name w:val="xl112"/>
    <w:basedOn w:val="Normal"/>
    <w:qFormat/>
    <w:pPr>
      <w:pBdr>
        <w:top w:val="single" w:sz="4" w:space="0" w:color="auto"/>
        <w:left w:val="single" w:sz="4" w:space="0" w:color="auto"/>
        <w:bottom w:val="single" w:sz="4" w:space="0" w:color="auto"/>
      </w:pBdr>
      <w:shd w:val="clear" w:color="000000" w:fill="DCE6F1"/>
      <w:spacing w:before="100" w:beforeAutospacing="1" w:after="100" w:afterAutospacing="1"/>
      <w:jc w:val="center"/>
      <w:textAlignment w:val="center"/>
    </w:pPr>
    <w:rPr>
      <w:rFonts w:eastAsia="Times New Roman"/>
      <w:b/>
      <w:bCs/>
      <w:lang w:val="en-US" w:eastAsia="en-US"/>
    </w:rPr>
  </w:style>
  <w:style w:type="paragraph" w:customStyle="1" w:styleId="xl113">
    <w:name w:val="xl113"/>
    <w:basedOn w:val="Normal"/>
    <w:qFormat/>
    <w:pPr>
      <w:pBdr>
        <w:top w:val="single" w:sz="4" w:space="0" w:color="auto"/>
        <w:left w:val="single" w:sz="4" w:space="0" w:color="auto"/>
        <w:bottom w:val="single" w:sz="4" w:space="0" w:color="auto"/>
      </w:pBdr>
      <w:shd w:val="clear" w:color="000000" w:fill="C5D9F1"/>
      <w:spacing w:before="100" w:beforeAutospacing="1" w:after="100" w:afterAutospacing="1"/>
      <w:jc w:val="center"/>
      <w:textAlignment w:val="center"/>
    </w:pPr>
    <w:rPr>
      <w:rFonts w:eastAsia="Times New Roman"/>
      <w:b/>
      <w:bCs/>
      <w:lang w:val="en-US" w:eastAsia="en-US"/>
    </w:rPr>
  </w:style>
  <w:style w:type="paragraph" w:customStyle="1" w:styleId="xl114">
    <w:name w:val="xl114"/>
    <w:basedOn w:val="Normal"/>
    <w:qFormat/>
    <w:pPr>
      <w:pBdr>
        <w:top w:val="single" w:sz="4" w:space="0" w:color="auto"/>
        <w:left w:val="single" w:sz="8" w:space="0" w:color="auto"/>
        <w:bottom w:val="single" w:sz="4" w:space="0" w:color="auto"/>
        <w:right w:val="single" w:sz="4" w:space="0" w:color="auto"/>
      </w:pBdr>
      <w:shd w:val="clear" w:color="000000" w:fill="C2D69B"/>
      <w:spacing w:before="100" w:beforeAutospacing="1" w:after="100" w:afterAutospacing="1"/>
      <w:jc w:val="center"/>
      <w:textAlignment w:val="center"/>
    </w:pPr>
    <w:rPr>
      <w:rFonts w:eastAsia="Times New Roman"/>
      <w:b/>
      <w:bCs/>
      <w:lang w:val="en-US" w:eastAsia="en-US"/>
    </w:rPr>
  </w:style>
  <w:style w:type="paragraph" w:customStyle="1" w:styleId="xl115">
    <w:name w:val="xl115"/>
    <w:basedOn w:val="Normal"/>
    <w:qFormat/>
    <w:pPr>
      <w:pBdr>
        <w:top w:val="single" w:sz="4" w:space="0" w:color="auto"/>
        <w:left w:val="single" w:sz="4" w:space="0" w:color="auto"/>
        <w:bottom w:val="single" w:sz="4" w:space="0" w:color="auto"/>
        <w:right w:val="single" w:sz="8" w:space="0" w:color="auto"/>
      </w:pBdr>
      <w:shd w:val="clear" w:color="000000" w:fill="C2D69B"/>
      <w:spacing w:before="100" w:beforeAutospacing="1" w:after="100" w:afterAutospacing="1"/>
      <w:jc w:val="center"/>
      <w:textAlignment w:val="center"/>
    </w:pPr>
    <w:rPr>
      <w:rFonts w:eastAsia="Times New Roman"/>
      <w:b/>
      <w:bCs/>
      <w:lang w:val="en-US" w:eastAsia="en-US"/>
    </w:rPr>
  </w:style>
  <w:style w:type="paragraph" w:customStyle="1" w:styleId="xl116">
    <w:name w:val="xl116"/>
    <w:basedOn w:val="Normal"/>
    <w:qFormat/>
    <w:pPr>
      <w:pBdr>
        <w:top w:val="single" w:sz="4" w:space="0" w:color="auto"/>
        <w:left w:val="single" w:sz="8" w:space="0" w:color="auto"/>
        <w:bottom w:val="single" w:sz="4" w:space="0" w:color="auto"/>
        <w:right w:val="single" w:sz="4" w:space="0" w:color="auto"/>
      </w:pBdr>
      <w:shd w:val="clear" w:color="000000" w:fill="C2D69B"/>
      <w:spacing w:before="100" w:beforeAutospacing="1" w:after="100" w:afterAutospacing="1"/>
      <w:jc w:val="center"/>
      <w:textAlignment w:val="center"/>
    </w:pPr>
    <w:rPr>
      <w:rFonts w:eastAsia="Times New Roman"/>
      <w:b/>
      <w:bCs/>
      <w:lang w:val="en-US" w:eastAsia="en-US"/>
    </w:rPr>
  </w:style>
  <w:style w:type="paragraph" w:customStyle="1" w:styleId="xl117">
    <w:name w:val="xl117"/>
    <w:basedOn w:val="Normal"/>
    <w:qFormat/>
    <w:pPr>
      <w:pBdr>
        <w:top w:val="single" w:sz="4" w:space="0" w:color="auto"/>
        <w:left w:val="single" w:sz="4" w:space="0" w:color="auto"/>
        <w:bottom w:val="single" w:sz="4" w:space="0" w:color="auto"/>
        <w:right w:val="single" w:sz="8" w:space="0" w:color="auto"/>
      </w:pBdr>
      <w:shd w:val="clear" w:color="000000" w:fill="C2D69B"/>
      <w:spacing w:before="100" w:beforeAutospacing="1" w:after="100" w:afterAutospacing="1"/>
      <w:jc w:val="center"/>
      <w:textAlignment w:val="center"/>
    </w:pPr>
    <w:rPr>
      <w:rFonts w:eastAsia="Times New Roman"/>
      <w:b/>
      <w:bCs/>
      <w:lang w:val="en-US" w:eastAsia="en-US"/>
    </w:rPr>
  </w:style>
  <w:style w:type="paragraph" w:customStyle="1" w:styleId="xl118">
    <w:name w:val="xl118"/>
    <w:basedOn w:val="Normal"/>
    <w:qFormat/>
    <w:pPr>
      <w:pBdr>
        <w:top w:val="single" w:sz="4" w:space="0" w:color="auto"/>
        <w:left w:val="single" w:sz="8" w:space="0" w:color="auto"/>
        <w:bottom w:val="single" w:sz="4" w:space="0" w:color="auto"/>
        <w:right w:val="single" w:sz="4" w:space="0" w:color="auto"/>
      </w:pBdr>
      <w:shd w:val="clear" w:color="000000" w:fill="F276AB"/>
      <w:spacing w:before="100" w:beforeAutospacing="1" w:after="100" w:afterAutospacing="1"/>
      <w:jc w:val="center"/>
      <w:textAlignment w:val="center"/>
    </w:pPr>
    <w:rPr>
      <w:rFonts w:eastAsia="Times New Roman"/>
      <w:b/>
      <w:bCs/>
      <w:color w:val="000000"/>
      <w:lang w:val="en-US" w:eastAsia="en-US"/>
    </w:rPr>
  </w:style>
  <w:style w:type="paragraph" w:customStyle="1" w:styleId="xl119">
    <w:name w:val="xl119"/>
    <w:basedOn w:val="Normal"/>
    <w:qFormat/>
    <w:pPr>
      <w:pBdr>
        <w:top w:val="single" w:sz="4" w:space="0" w:color="auto"/>
        <w:left w:val="single" w:sz="4" w:space="0" w:color="auto"/>
        <w:bottom w:val="single" w:sz="4" w:space="0" w:color="auto"/>
        <w:right w:val="single" w:sz="8" w:space="0" w:color="auto"/>
      </w:pBdr>
      <w:shd w:val="clear" w:color="000000" w:fill="F276AB"/>
      <w:spacing w:before="100" w:beforeAutospacing="1" w:after="100" w:afterAutospacing="1"/>
      <w:jc w:val="center"/>
      <w:textAlignment w:val="center"/>
    </w:pPr>
    <w:rPr>
      <w:rFonts w:eastAsia="Times New Roman"/>
      <w:b/>
      <w:bCs/>
      <w:color w:val="000000"/>
      <w:lang w:val="en-US" w:eastAsia="en-US"/>
    </w:rPr>
  </w:style>
  <w:style w:type="paragraph" w:customStyle="1" w:styleId="xl120">
    <w:name w:val="xl120"/>
    <w:basedOn w:val="Normal"/>
    <w:qFormat/>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eastAsia="Times New Roman"/>
      <w:b/>
      <w:bCs/>
      <w:lang w:val="en-US" w:eastAsia="en-US"/>
    </w:rPr>
  </w:style>
  <w:style w:type="paragraph" w:customStyle="1" w:styleId="xl121">
    <w:name w:val="xl121"/>
    <w:basedOn w:val="Normal"/>
    <w:qFormat/>
    <w:pPr>
      <w:pBdr>
        <w:top w:val="single" w:sz="4" w:space="0" w:color="auto"/>
        <w:left w:val="single" w:sz="4" w:space="0" w:color="auto"/>
        <w:bottom w:val="single" w:sz="4" w:space="0" w:color="auto"/>
        <w:right w:val="single" w:sz="8" w:space="0" w:color="auto"/>
      </w:pBdr>
      <w:shd w:val="clear" w:color="000000" w:fill="FDE9D9"/>
      <w:spacing w:before="100" w:beforeAutospacing="1" w:after="100" w:afterAutospacing="1"/>
      <w:jc w:val="center"/>
      <w:textAlignment w:val="center"/>
    </w:pPr>
    <w:rPr>
      <w:rFonts w:eastAsia="Times New Roman"/>
      <w:b/>
      <w:bCs/>
      <w:lang w:val="en-US" w:eastAsia="en-US"/>
    </w:rPr>
  </w:style>
  <w:style w:type="paragraph" w:customStyle="1" w:styleId="xl122">
    <w:name w:val="xl122"/>
    <w:basedOn w:val="Normal"/>
    <w:qFormat/>
    <w:pPr>
      <w:pBdr>
        <w:top w:val="single" w:sz="4" w:space="0" w:color="auto"/>
        <w:left w:val="single" w:sz="8"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eastAsia="Times New Roman"/>
      <w:b/>
      <w:bCs/>
      <w:lang w:val="en-US" w:eastAsia="en-US"/>
    </w:rPr>
  </w:style>
  <w:style w:type="paragraph" w:customStyle="1" w:styleId="xl123">
    <w:name w:val="xl123"/>
    <w:basedOn w:val="Normal"/>
    <w:qFormat/>
    <w:pPr>
      <w:pBdr>
        <w:top w:val="single" w:sz="4" w:space="0" w:color="auto"/>
        <w:left w:val="single" w:sz="8"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eastAsia="Times New Roman"/>
      <w:b/>
      <w:bCs/>
      <w:lang w:val="en-US" w:eastAsia="en-US"/>
    </w:rPr>
  </w:style>
  <w:style w:type="paragraph" w:customStyle="1" w:styleId="xl124">
    <w:name w:val="xl124"/>
    <w:basedOn w:val="Normal"/>
    <w:qFormat/>
    <w:pPr>
      <w:pBdr>
        <w:top w:val="single" w:sz="4" w:space="0" w:color="auto"/>
        <w:left w:val="single" w:sz="8" w:space="0" w:color="auto"/>
        <w:bottom w:val="single" w:sz="8" w:space="0" w:color="auto"/>
        <w:right w:val="single" w:sz="4" w:space="0" w:color="auto"/>
      </w:pBdr>
      <w:shd w:val="clear" w:color="000000" w:fill="C5D9F1"/>
      <w:spacing w:before="100" w:beforeAutospacing="1" w:after="100" w:afterAutospacing="1"/>
      <w:jc w:val="center"/>
      <w:textAlignment w:val="center"/>
    </w:pPr>
    <w:rPr>
      <w:rFonts w:eastAsia="Times New Roman"/>
      <w:b/>
      <w:bCs/>
      <w:lang w:val="en-US" w:eastAsia="en-US"/>
    </w:rPr>
  </w:style>
  <w:style w:type="paragraph" w:customStyle="1" w:styleId="xl125">
    <w:name w:val="xl125"/>
    <w:basedOn w:val="Normal"/>
    <w:qFormat/>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jc w:val="center"/>
      <w:textAlignment w:val="center"/>
    </w:pPr>
    <w:rPr>
      <w:rFonts w:eastAsia="Times New Roman"/>
      <w:b/>
      <w:bCs/>
      <w:lang w:val="en-US" w:eastAsia="en-US"/>
    </w:rPr>
  </w:style>
  <w:style w:type="paragraph" w:customStyle="1" w:styleId="xl126">
    <w:name w:val="xl126"/>
    <w:basedOn w:val="Normal"/>
    <w:qFormat/>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top"/>
    </w:pPr>
    <w:rPr>
      <w:rFonts w:eastAsia="Times New Roman"/>
      <w:sz w:val="20"/>
      <w:szCs w:val="20"/>
      <w:lang w:val="en-US" w:eastAsia="en-US"/>
    </w:rPr>
  </w:style>
  <w:style w:type="paragraph" w:customStyle="1" w:styleId="xl127">
    <w:name w:val="xl127"/>
    <w:basedOn w:val="Normal"/>
    <w:qFormat/>
    <w:pPr>
      <w:pBdr>
        <w:top w:val="single" w:sz="8" w:space="0" w:color="auto"/>
        <w:left w:val="single" w:sz="8" w:space="0" w:color="auto"/>
        <w:bottom w:val="single" w:sz="4" w:space="0" w:color="auto"/>
        <w:right w:val="single" w:sz="4" w:space="0" w:color="auto"/>
      </w:pBdr>
      <w:shd w:val="clear" w:color="000000" w:fill="C2D69B"/>
      <w:spacing w:before="100" w:beforeAutospacing="1" w:after="100" w:afterAutospacing="1"/>
      <w:jc w:val="center"/>
      <w:textAlignment w:val="center"/>
    </w:pPr>
    <w:rPr>
      <w:rFonts w:eastAsia="Times New Roman"/>
      <w:b/>
      <w:bCs/>
      <w:lang w:val="en-US" w:eastAsia="en-US"/>
    </w:rPr>
  </w:style>
  <w:style w:type="paragraph" w:customStyle="1" w:styleId="xl128">
    <w:name w:val="xl128"/>
    <w:basedOn w:val="Normal"/>
    <w:qFormat/>
    <w:pPr>
      <w:pBdr>
        <w:top w:val="single" w:sz="8" w:space="0" w:color="auto"/>
        <w:left w:val="single" w:sz="4" w:space="0" w:color="auto"/>
        <w:bottom w:val="single" w:sz="4" w:space="0" w:color="auto"/>
        <w:right w:val="single" w:sz="4" w:space="0" w:color="auto"/>
      </w:pBdr>
      <w:shd w:val="clear" w:color="000000" w:fill="C2D69B"/>
      <w:spacing w:before="100" w:beforeAutospacing="1" w:after="100" w:afterAutospacing="1"/>
      <w:jc w:val="center"/>
      <w:textAlignment w:val="center"/>
    </w:pPr>
    <w:rPr>
      <w:rFonts w:eastAsia="Times New Roman"/>
      <w:b/>
      <w:bCs/>
      <w:lang w:val="en-US" w:eastAsia="en-US"/>
    </w:rPr>
  </w:style>
  <w:style w:type="paragraph" w:customStyle="1" w:styleId="xl129">
    <w:name w:val="xl129"/>
    <w:basedOn w:val="Normal"/>
    <w:qFormat/>
    <w:pPr>
      <w:pBdr>
        <w:top w:val="single" w:sz="8" w:space="0" w:color="auto"/>
        <w:left w:val="single" w:sz="4" w:space="0" w:color="auto"/>
        <w:bottom w:val="single" w:sz="4" w:space="0" w:color="auto"/>
        <w:right w:val="single" w:sz="8" w:space="0" w:color="auto"/>
      </w:pBdr>
      <w:shd w:val="clear" w:color="000000" w:fill="C2D69B"/>
      <w:spacing w:before="100" w:beforeAutospacing="1" w:after="100" w:afterAutospacing="1"/>
      <w:jc w:val="center"/>
      <w:textAlignment w:val="center"/>
    </w:pPr>
    <w:rPr>
      <w:rFonts w:eastAsia="Times New Roman"/>
      <w:b/>
      <w:bCs/>
      <w:lang w:val="en-US" w:eastAsia="en-US"/>
    </w:rPr>
  </w:style>
  <w:style w:type="paragraph" w:customStyle="1" w:styleId="xl130">
    <w:name w:val="xl130"/>
    <w:basedOn w:val="Normal"/>
    <w:qFormat/>
    <w:pPr>
      <w:pBdr>
        <w:top w:val="single" w:sz="4" w:space="0" w:color="auto"/>
        <w:left w:val="single" w:sz="4" w:space="0" w:color="auto"/>
        <w:bottom w:val="single" w:sz="4" w:space="0" w:color="auto"/>
      </w:pBdr>
      <w:shd w:val="clear" w:color="000000" w:fill="C2D69B"/>
      <w:spacing w:before="100" w:beforeAutospacing="1" w:after="100" w:afterAutospacing="1"/>
      <w:jc w:val="center"/>
      <w:textAlignment w:val="center"/>
    </w:pPr>
    <w:rPr>
      <w:rFonts w:eastAsia="Times New Roman"/>
      <w:b/>
      <w:bCs/>
      <w:lang w:val="en-US" w:eastAsia="en-US"/>
    </w:rPr>
  </w:style>
  <w:style w:type="paragraph" w:customStyle="1" w:styleId="xl131">
    <w:name w:val="xl131"/>
    <w:basedOn w:val="Normal"/>
    <w:qFormat/>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eastAsia="Times New Roman"/>
      <w:color w:val="000000"/>
      <w:sz w:val="20"/>
      <w:szCs w:val="20"/>
      <w:lang w:val="en-US" w:eastAsia="en-US"/>
    </w:rPr>
  </w:style>
  <w:style w:type="paragraph" w:customStyle="1" w:styleId="xl132">
    <w:name w:val="xl132"/>
    <w:basedOn w:val="Normal"/>
    <w:qFormat/>
    <w:pPr>
      <w:pBdr>
        <w:top w:val="single" w:sz="4" w:space="0" w:color="auto"/>
        <w:left w:val="single" w:sz="4" w:space="0" w:color="auto"/>
        <w:bottom w:val="single" w:sz="4" w:space="0" w:color="auto"/>
        <w:right w:val="single" w:sz="8" w:space="0" w:color="auto"/>
      </w:pBdr>
      <w:shd w:val="clear" w:color="000000" w:fill="FDE9D9"/>
      <w:spacing w:before="100" w:beforeAutospacing="1" w:after="100" w:afterAutospacing="1"/>
      <w:jc w:val="center"/>
      <w:textAlignment w:val="center"/>
    </w:pPr>
    <w:rPr>
      <w:rFonts w:eastAsia="Times New Roman"/>
      <w:color w:val="000000"/>
      <w:sz w:val="20"/>
      <w:szCs w:val="20"/>
      <w:lang w:val="en-US" w:eastAsia="en-US"/>
    </w:rPr>
  </w:style>
  <w:style w:type="paragraph" w:customStyle="1" w:styleId="xl133">
    <w:name w:val="xl133"/>
    <w:basedOn w:val="Normal"/>
    <w:qFormat/>
    <w:pPr>
      <w:pBdr>
        <w:top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eastAsia="Times New Roman"/>
      <w:color w:val="000000"/>
      <w:sz w:val="20"/>
      <w:szCs w:val="20"/>
      <w:lang w:val="en-US" w:eastAsia="en-US"/>
    </w:rPr>
  </w:style>
  <w:style w:type="paragraph" w:customStyle="1" w:styleId="xl134">
    <w:name w:val="xl134"/>
    <w:basedOn w:val="Normal"/>
    <w:qFormat/>
    <w:pPr>
      <w:pBdr>
        <w:top w:val="single" w:sz="4" w:space="0" w:color="auto"/>
        <w:left w:val="single" w:sz="4" w:space="0" w:color="auto"/>
        <w:bottom w:val="single" w:sz="4" w:space="0" w:color="auto"/>
        <w:right w:val="single" w:sz="8" w:space="0" w:color="auto"/>
      </w:pBdr>
      <w:shd w:val="clear" w:color="000000" w:fill="DCE6F1"/>
      <w:spacing w:before="100" w:beforeAutospacing="1" w:after="100" w:afterAutospacing="1"/>
      <w:jc w:val="center"/>
      <w:textAlignment w:val="center"/>
    </w:pPr>
    <w:rPr>
      <w:rFonts w:eastAsia="Times New Roman"/>
      <w:color w:val="000000"/>
      <w:sz w:val="20"/>
      <w:szCs w:val="20"/>
      <w:lang w:val="en-US" w:eastAsia="en-US"/>
    </w:rPr>
  </w:style>
  <w:style w:type="paragraph" w:customStyle="1" w:styleId="xl135">
    <w:name w:val="xl135"/>
    <w:basedOn w:val="Normal"/>
    <w:qFormat/>
    <w:pPr>
      <w:pBdr>
        <w:top w:val="single" w:sz="4" w:space="0" w:color="auto"/>
        <w:bottom w:val="single" w:sz="4" w:space="0" w:color="auto"/>
        <w:right w:val="single" w:sz="4" w:space="0" w:color="auto"/>
      </w:pBdr>
      <w:shd w:val="clear" w:color="000000" w:fill="FDE9D9"/>
      <w:spacing w:before="100" w:beforeAutospacing="1" w:after="100" w:afterAutospacing="1"/>
      <w:textAlignment w:val="center"/>
    </w:pPr>
    <w:rPr>
      <w:rFonts w:eastAsia="Times New Roman"/>
      <w:color w:val="000000"/>
      <w:sz w:val="20"/>
      <w:szCs w:val="20"/>
      <w:lang w:val="en-US" w:eastAsia="en-US"/>
    </w:rPr>
  </w:style>
  <w:style w:type="paragraph" w:customStyle="1" w:styleId="xl136">
    <w:name w:val="xl136"/>
    <w:basedOn w:val="Normal"/>
    <w:qFormat/>
    <w:pPr>
      <w:pBdr>
        <w:top w:val="single" w:sz="4" w:space="0" w:color="auto"/>
        <w:left w:val="single" w:sz="4" w:space="0" w:color="auto"/>
        <w:bottom w:val="single" w:sz="4" w:space="0" w:color="auto"/>
      </w:pBdr>
      <w:shd w:val="clear" w:color="000000" w:fill="FDE9D9"/>
      <w:spacing w:before="100" w:beforeAutospacing="1" w:after="100" w:afterAutospacing="1"/>
      <w:textAlignment w:val="center"/>
    </w:pPr>
    <w:rPr>
      <w:rFonts w:eastAsia="Times New Roman"/>
      <w:color w:val="000000"/>
      <w:sz w:val="20"/>
      <w:szCs w:val="20"/>
      <w:lang w:val="en-US" w:eastAsia="en-US"/>
    </w:rPr>
  </w:style>
  <w:style w:type="paragraph" w:customStyle="1" w:styleId="xl137">
    <w:name w:val="xl137"/>
    <w:basedOn w:val="Normal"/>
    <w:qFormat/>
    <w:pPr>
      <w:pBdr>
        <w:top w:val="single" w:sz="4" w:space="0" w:color="auto"/>
        <w:left w:val="single" w:sz="4" w:space="0" w:color="auto"/>
        <w:bottom w:val="single" w:sz="4" w:space="0" w:color="auto"/>
      </w:pBdr>
      <w:shd w:val="clear" w:color="000000" w:fill="DCE6F1"/>
      <w:spacing w:before="100" w:beforeAutospacing="1" w:after="100" w:afterAutospacing="1"/>
      <w:jc w:val="center"/>
      <w:textAlignment w:val="center"/>
    </w:pPr>
    <w:rPr>
      <w:rFonts w:eastAsia="Times New Roman"/>
      <w:color w:val="000000"/>
      <w:sz w:val="20"/>
      <w:szCs w:val="20"/>
      <w:lang w:val="en-US" w:eastAsia="en-US"/>
    </w:rPr>
  </w:style>
  <w:style w:type="paragraph" w:customStyle="1" w:styleId="xl138">
    <w:name w:val="xl138"/>
    <w:basedOn w:val="Normal"/>
    <w:qFormat/>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rFonts w:eastAsia="Times New Roman"/>
      <w:color w:val="000000"/>
      <w:sz w:val="20"/>
      <w:szCs w:val="20"/>
      <w:lang w:val="en-US" w:eastAsia="en-US"/>
    </w:rPr>
  </w:style>
  <w:style w:type="paragraph" w:customStyle="1" w:styleId="xl139">
    <w:name w:val="xl139"/>
    <w:basedOn w:val="Normal"/>
    <w:qFormat/>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eastAsia="Times New Roman"/>
      <w:sz w:val="20"/>
      <w:szCs w:val="20"/>
      <w:lang w:val="en-US" w:eastAsia="en-US"/>
    </w:rPr>
  </w:style>
  <w:style w:type="paragraph" w:customStyle="1" w:styleId="xl140">
    <w:name w:val="xl140"/>
    <w:basedOn w:val="Normal"/>
    <w:qFormat/>
    <w:pPr>
      <w:pBdr>
        <w:top w:val="single" w:sz="4" w:space="0" w:color="auto"/>
        <w:left w:val="single" w:sz="4" w:space="0" w:color="auto"/>
        <w:bottom w:val="single" w:sz="4" w:space="0" w:color="auto"/>
        <w:right w:val="single" w:sz="8" w:space="0" w:color="auto"/>
      </w:pBdr>
      <w:shd w:val="clear" w:color="000000" w:fill="FDE9D9"/>
      <w:spacing w:before="100" w:beforeAutospacing="1" w:after="100" w:afterAutospacing="1"/>
      <w:jc w:val="center"/>
      <w:textAlignment w:val="center"/>
    </w:pPr>
    <w:rPr>
      <w:rFonts w:eastAsia="Times New Roman"/>
      <w:sz w:val="20"/>
      <w:szCs w:val="20"/>
      <w:lang w:val="en-US" w:eastAsia="en-US"/>
    </w:rPr>
  </w:style>
  <w:style w:type="paragraph" w:customStyle="1" w:styleId="xl141">
    <w:name w:val="xl141"/>
    <w:basedOn w:val="Normal"/>
    <w:qFormat/>
    <w:pPr>
      <w:pBdr>
        <w:top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eastAsia="Times New Roman"/>
      <w:color w:val="000000"/>
      <w:sz w:val="20"/>
      <w:szCs w:val="20"/>
      <w:lang w:val="en-US" w:eastAsia="en-US"/>
    </w:rPr>
  </w:style>
  <w:style w:type="paragraph" w:customStyle="1" w:styleId="xl142">
    <w:name w:val="xl142"/>
    <w:basedOn w:val="Normal"/>
    <w:qFormat/>
    <w:pPr>
      <w:pBdr>
        <w:top w:val="single" w:sz="4" w:space="0" w:color="auto"/>
        <w:left w:val="single" w:sz="4" w:space="0" w:color="auto"/>
        <w:bottom w:val="single" w:sz="4" w:space="0" w:color="auto"/>
        <w:right w:val="single" w:sz="8" w:space="0" w:color="auto"/>
      </w:pBdr>
      <w:shd w:val="clear" w:color="000000" w:fill="C5D9F1"/>
      <w:spacing w:before="100" w:beforeAutospacing="1" w:after="100" w:afterAutospacing="1"/>
      <w:jc w:val="center"/>
      <w:textAlignment w:val="center"/>
    </w:pPr>
    <w:rPr>
      <w:rFonts w:eastAsia="Times New Roman"/>
      <w:color w:val="000000"/>
      <w:sz w:val="20"/>
      <w:szCs w:val="20"/>
      <w:lang w:val="en-US" w:eastAsia="en-US"/>
    </w:rPr>
  </w:style>
  <w:style w:type="paragraph" w:customStyle="1" w:styleId="xl143">
    <w:name w:val="xl143"/>
    <w:basedOn w:val="Normal"/>
    <w:qFormat/>
    <w:pPr>
      <w:pBdr>
        <w:top w:val="single" w:sz="4" w:space="0" w:color="auto"/>
        <w:bottom w:val="single" w:sz="4" w:space="0" w:color="auto"/>
        <w:right w:val="single" w:sz="4" w:space="0" w:color="auto"/>
      </w:pBdr>
      <w:shd w:val="clear" w:color="000000" w:fill="F276AB"/>
      <w:spacing w:before="100" w:beforeAutospacing="1" w:after="100" w:afterAutospacing="1"/>
      <w:jc w:val="center"/>
      <w:textAlignment w:val="center"/>
    </w:pPr>
    <w:rPr>
      <w:rFonts w:eastAsia="Times New Roman"/>
      <w:sz w:val="20"/>
      <w:szCs w:val="20"/>
      <w:lang w:val="en-US" w:eastAsia="en-US"/>
    </w:rPr>
  </w:style>
  <w:style w:type="paragraph" w:customStyle="1" w:styleId="xl144">
    <w:name w:val="xl144"/>
    <w:basedOn w:val="Normal"/>
    <w:qFormat/>
    <w:pPr>
      <w:pBdr>
        <w:top w:val="single" w:sz="4" w:space="0" w:color="auto"/>
        <w:left w:val="single" w:sz="4" w:space="0" w:color="auto"/>
        <w:bottom w:val="single" w:sz="4" w:space="0" w:color="auto"/>
        <w:right w:val="single" w:sz="8" w:space="0" w:color="auto"/>
      </w:pBdr>
      <w:shd w:val="clear" w:color="000000" w:fill="F276AB"/>
      <w:spacing w:before="100" w:beforeAutospacing="1" w:after="100" w:afterAutospacing="1"/>
      <w:jc w:val="center"/>
      <w:textAlignment w:val="center"/>
    </w:pPr>
    <w:rPr>
      <w:rFonts w:eastAsia="Times New Roman"/>
      <w:sz w:val="20"/>
      <w:szCs w:val="20"/>
      <w:lang w:val="en-US" w:eastAsia="en-US"/>
    </w:rPr>
  </w:style>
  <w:style w:type="paragraph" w:customStyle="1" w:styleId="xl145">
    <w:name w:val="xl145"/>
    <w:basedOn w:val="Normal"/>
    <w:qFormat/>
    <w:pPr>
      <w:pBdr>
        <w:top w:val="single" w:sz="4" w:space="0" w:color="auto"/>
        <w:left w:val="single" w:sz="4" w:space="0" w:color="auto"/>
        <w:bottom w:val="single" w:sz="4" w:space="0" w:color="auto"/>
        <w:right w:val="single" w:sz="8" w:space="0" w:color="auto"/>
      </w:pBdr>
      <w:shd w:val="clear" w:color="000000" w:fill="DCE6F1"/>
      <w:spacing w:before="100" w:beforeAutospacing="1" w:after="100" w:afterAutospacing="1"/>
      <w:textAlignment w:val="center"/>
    </w:pPr>
    <w:rPr>
      <w:rFonts w:eastAsia="Times New Roman"/>
      <w:sz w:val="20"/>
      <w:szCs w:val="20"/>
      <w:lang w:val="en-US" w:eastAsia="en-US"/>
    </w:rPr>
  </w:style>
  <w:style w:type="paragraph" w:customStyle="1" w:styleId="xl146">
    <w:name w:val="xl146"/>
    <w:basedOn w:val="Normal"/>
    <w:qFormat/>
    <w:pPr>
      <w:pBdr>
        <w:top w:val="single" w:sz="4" w:space="0" w:color="auto"/>
        <w:left w:val="single" w:sz="4" w:space="0" w:color="auto"/>
        <w:bottom w:val="single" w:sz="4" w:space="0" w:color="auto"/>
        <w:right w:val="single" w:sz="8" w:space="0" w:color="auto"/>
      </w:pBdr>
      <w:shd w:val="clear" w:color="000000" w:fill="FDE9D9"/>
      <w:spacing w:before="100" w:beforeAutospacing="1" w:after="100" w:afterAutospacing="1"/>
      <w:textAlignment w:val="center"/>
    </w:pPr>
    <w:rPr>
      <w:rFonts w:eastAsia="Times New Roman"/>
      <w:sz w:val="20"/>
      <w:szCs w:val="20"/>
      <w:lang w:val="en-US" w:eastAsia="en-US"/>
    </w:rPr>
  </w:style>
  <w:style w:type="paragraph" w:customStyle="1" w:styleId="xl147">
    <w:name w:val="xl147"/>
    <w:basedOn w:val="Normal"/>
    <w:qFormat/>
    <w:pPr>
      <w:pBdr>
        <w:top w:val="single" w:sz="4" w:space="0" w:color="auto"/>
        <w:bottom w:val="single" w:sz="4" w:space="0" w:color="auto"/>
        <w:right w:val="single" w:sz="4" w:space="0" w:color="auto"/>
      </w:pBdr>
      <w:shd w:val="clear" w:color="000000" w:fill="DBE5F1"/>
      <w:spacing w:before="100" w:beforeAutospacing="1" w:after="100" w:afterAutospacing="1"/>
      <w:jc w:val="center"/>
      <w:textAlignment w:val="center"/>
    </w:pPr>
    <w:rPr>
      <w:rFonts w:eastAsia="Times New Roman"/>
      <w:color w:val="000000"/>
      <w:sz w:val="20"/>
      <w:szCs w:val="20"/>
      <w:lang w:val="en-US" w:eastAsia="en-US"/>
    </w:rPr>
  </w:style>
  <w:style w:type="paragraph" w:customStyle="1" w:styleId="xl148">
    <w:name w:val="xl148"/>
    <w:basedOn w:val="Normal"/>
    <w:qFormat/>
    <w:pPr>
      <w:pBdr>
        <w:top w:val="single" w:sz="4" w:space="0" w:color="auto"/>
        <w:left w:val="single" w:sz="4" w:space="0" w:color="auto"/>
        <w:bottom w:val="single" w:sz="4" w:space="0" w:color="auto"/>
        <w:right w:val="single" w:sz="8" w:space="0" w:color="auto"/>
      </w:pBdr>
      <w:shd w:val="clear" w:color="000000" w:fill="DBE5F1"/>
      <w:spacing w:before="100" w:beforeAutospacing="1" w:after="100" w:afterAutospacing="1"/>
      <w:jc w:val="center"/>
      <w:textAlignment w:val="center"/>
    </w:pPr>
    <w:rPr>
      <w:rFonts w:eastAsia="Times New Roman"/>
      <w:color w:val="000000"/>
      <w:sz w:val="20"/>
      <w:szCs w:val="20"/>
      <w:lang w:val="en-US" w:eastAsia="en-US"/>
    </w:rPr>
  </w:style>
  <w:style w:type="paragraph" w:customStyle="1" w:styleId="xl149">
    <w:name w:val="xl149"/>
    <w:basedOn w:val="Normal"/>
    <w:qFormat/>
    <w:pPr>
      <w:pBdr>
        <w:top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eastAsia="Times New Roman"/>
      <w:i/>
      <w:iCs/>
      <w:color w:val="000000"/>
      <w:sz w:val="20"/>
      <w:szCs w:val="20"/>
      <w:lang w:val="en-US" w:eastAsia="en-US"/>
    </w:rPr>
  </w:style>
  <w:style w:type="paragraph" w:customStyle="1" w:styleId="xl150">
    <w:name w:val="xl150"/>
    <w:basedOn w:val="Normal"/>
    <w:qFormat/>
    <w:pPr>
      <w:pBdr>
        <w:top w:val="single" w:sz="4" w:space="0" w:color="auto"/>
        <w:left w:val="single" w:sz="4" w:space="0" w:color="auto"/>
        <w:bottom w:val="single" w:sz="4" w:space="0" w:color="auto"/>
        <w:right w:val="single" w:sz="8" w:space="0" w:color="auto"/>
      </w:pBdr>
      <w:shd w:val="clear" w:color="000000" w:fill="DCE6F1"/>
      <w:spacing w:before="100" w:beforeAutospacing="1" w:after="100" w:afterAutospacing="1"/>
      <w:jc w:val="center"/>
      <w:textAlignment w:val="center"/>
    </w:pPr>
    <w:rPr>
      <w:rFonts w:eastAsia="Times New Roman"/>
      <w:i/>
      <w:iCs/>
      <w:color w:val="000000"/>
      <w:sz w:val="20"/>
      <w:szCs w:val="20"/>
      <w:lang w:val="en-US" w:eastAsia="en-US"/>
    </w:rPr>
  </w:style>
  <w:style w:type="paragraph" w:customStyle="1" w:styleId="xl151">
    <w:name w:val="xl151"/>
    <w:basedOn w:val="Normal"/>
    <w:qFormat/>
    <w:pPr>
      <w:pBdr>
        <w:top w:val="single" w:sz="4" w:space="0" w:color="auto"/>
        <w:bottom w:val="single" w:sz="4" w:space="0" w:color="auto"/>
        <w:right w:val="single" w:sz="4" w:space="0" w:color="auto"/>
      </w:pBdr>
      <w:shd w:val="clear" w:color="000000" w:fill="DCE6F1"/>
      <w:spacing w:before="100" w:beforeAutospacing="1" w:after="100" w:afterAutospacing="1"/>
      <w:textAlignment w:val="center"/>
    </w:pPr>
    <w:rPr>
      <w:rFonts w:eastAsia="Times New Roman"/>
      <w:color w:val="000000"/>
      <w:sz w:val="20"/>
      <w:szCs w:val="20"/>
      <w:lang w:val="en-US" w:eastAsia="en-US"/>
    </w:rPr>
  </w:style>
  <w:style w:type="paragraph" w:customStyle="1" w:styleId="xl152">
    <w:name w:val="xl152"/>
    <w:basedOn w:val="Normal"/>
    <w:qFormat/>
    <w:pPr>
      <w:pBdr>
        <w:top w:val="single" w:sz="4" w:space="0" w:color="auto"/>
        <w:left w:val="single" w:sz="4" w:space="0" w:color="auto"/>
        <w:bottom w:val="single" w:sz="4" w:space="0" w:color="auto"/>
        <w:right w:val="single" w:sz="8" w:space="0" w:color="auto"/>
      </w:pBdr>
      <w:shd w:val="clear" w:color="000000" w:fill="DCE6F1"/>
      <w:spacing w:before="100" w:beforeAutospacing="1" w:after="100" w:afterAutospacing="1"/>
      <w:textAlignment w:val="center"/>
    </w:pPr>
    <w:rPr>
      <w:rFonts w:eastAsia="Times New Roman"/>
      <w:color w:val="000000"/>
      <w:sz w:val="20"/>
      <w:szCs w:val="20"/>
      <w:lang w:val="en-US" w:eastAsia="en-US"/>
    </w:rPr>
  </w:style>
  <w:style w:type="paragraph" w:customStyle="1" w:styleId="xl153">
    <w:name w:val="xl153"/>
    <w:basedOn w:val="Normal"/>
    <w:qFormat/>
    <w:pPr>
      <w:pBdr>
        <w:top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eastAsia="Times New Roman"/>
      <w:color w:val="000000"/>
      <w:sz w:val="20"/>
      <w:szCs w:val="20"/>
      <w:lang w:val="en-US" w:eastAsia="en-US"/>
    </w:rPr>
  </w:style>
  <w:style w:type="paragraph" w:customStyle="1" w:styleId="xl154">
    <w:name w:val="xl154"/>
    <w:basedOn w:val="Normal"/>
    <w:qFormat/>
    <w:pPr>
      <w:pBdr>
        <w:top w:val="single" w:sz="4" w:space="0" w:color="auto"/>
        <w:left w:val="single" w:sz="4" w:space="0" w:color="auto"/>
        <w:bottom w:val="single" w:sz="4" w:space="0" w:color="auto"/>
        <w:right w:val="single" w:sz="8" w:space="0" w:color="auto"/>
      </w:pBdr>
      <w:shd w:val="clear" w:color="000000" w:fill="DCE6F1"/>
      <w:spacing w:before="100" w:beforeAutospacing="1" w:after="100" w:afterAutospacing="1"/>
      <w:textAlignment w:val="center"/>
    </w:pPr>
    <w:rPr>
      <w:rFonts w:eastAsia="Times New Roman"/>
      <w:color w:val="000000"/>
      <w:sz w:val="20"/>
      <w:szCs w:val="20"/>
      <w:lang w:val="en-US" w:eastAsia="en-US"/>
    </w:rPr>
  </w:style>
  <w:style w:type="paragraph" w:customStyle="1" w:styleId="xl155">
    <w:name w:val="xl155"/>
    <w:basedOn w:val="Normal"/>
    <w:qFormat/>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eastAsia="Times New Roman"/>
      <w:color w:val="000000"/>
      <w:sz w:val="20"/>
      <w:szCs w:val="20"/>
      <w:lang w:val="en-US" w:eastAsia="en-US"/>
    </w:rPr>
  </w:style>
  <w:style w:type="paragraph" w:customStyle="1" w:styleId="xl156">
    <w:name w:val="xl156"/>
    <w:basedOn w:val="Normal"/>
    <w:qFormat/>
    <w:pPr>
      <w:pBdr>
        <w:top w:val="single" w:sz="4" w:space="0" w:color="auto"/>
        <w:left w:val="single" w:sz="8"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eastAsia="Times New Roman"/>
      <w:color w:val="000000"/>
      <w:sz w:val="20"/>
      <w:szCs w:val="20"/>
      <w:lang w:val="en-US" w:eastAsia="en-US"/>
    </w:rPr>
  </w:style>
  <w:style w:type="paragraph" w:customStyle="1" w:styleId="xl157">
    <w:name w:val="xl157"/>
    <w:basedOn w:val="Normal"/>
    <w:qFormat/>
    <w:pPr>
      <w:pBdr>
        <w:top w:val="single" w:sz="4" w:space="0" w:color="auto"/>
        <w:left w:val="single" w:sz="4" w:space="0" w:color="auto"/>
        <w:bottom w:val="single" w:sz="4" w:space="0" w:color="auto"/>
        <w:right w:val="single" w:sz="8" w:space="0" w:color="auto"/>
      </w:pBdr>
      <w:shd w:val="clear" w:color="000000" w:fill="DCE6F1"/>
      <w:spacing w:before="100" w:beforeAutospacing="1" w:after="100" w:afterAutospacing="1"/>
      <w:jc w:val="center"/>
      <w:textAlignment w:val="center"/>
    </w:pPr>
    <w:rPr>
      <w:rFonts w:eastAsia="Times New Roman"/>
      <w:color w:val="000000"/>
      <w:sz w:val="20"/>
      <w:szCs w:val="20"/>
      <w:lang w:val="en-US" w:eastAsia="en-US"/>
    </w:rPr>
  </w:style>
  <w:style w:type="paragraph" w:customStyle="1" w:styleId="xl158">
    <w:name w:val="xl158"/>
    <w:basedOn w:val="Normal"/>
    <w:qFormat/>
    <w:pPr>
      <w:pBdr>
        <w:top w:val="single" w:sz="4" w:space="0" w:color="auto"/>
        <w:bottom w:val="single" w:sz="4" w:space="0" w:color="auto"/>
        <w:right w:val="single" w:sz="4" w:space="0" w:color="auto"/>
      </w:pBdr>
      <w:shd w:val="clear" w:color="000000" w:fill="F276AB"/>
      <w:spacing w:before="100" w:beforeAutospacing="1" w:after="100" w:afterAutospacing="1"/>
      <w:textAlignment w:val="center"/>
    </w:pPr>
    <w:rPr>
      <w:rFonts w:eastAsia="Times New Roman"/>
      <w:sz w:val="20"/>
      <w:szCs w:val="20"/>
      <w:lang w:val="en-US" w:eastAsia="en-US"/>
    </w:rPr>
  </w:style>
  <w:style w:type="paragraph" w:customStyle="1" w:styleId="xl159">
    <w:name w:val="xl159"/>
    <w:basedOn w:val="Normal"/>
    <w:qFormat/>
    <w:pPr>
      <w:pBdr>
        <w:top w:val="single" w:sz="4" w:space="0" w:color="auto"/>
        <w:left w:val="single" w:sz="4" w:space="0" w:color="auto"/>
        <w:bottom w:val="single" w:sz="4" w:space="0" w:color="auto"/>
        <w:right w:val="single" w:sz="8" w:space="0" w:color="auto"/>
      </w:pBdr>
      <w:shd w:val="clear" w:color="000000" w:fill="F276AB"/>
      <w:spacing w:before="100" w:beforeAutospacing="1" w:after="100" w:afterAutospacing="1"/>
      <w:textAlignment w:val="center"/>
    </w:pPr>
    <w:rPr>
      <w:rFonts w:eastAsia="Times New Roman"/>
      <w:sz w:val="20"/>
      <w:szCs w:val="20"/>
      <w:lang w:val="en-US" w:eastAsia="en-US"/>
    </w:rPr>
  </w:style>
  <w:style w:type="paragraph" w:customStyle="1" w:styleId="xl160">
    <w:name w:val="xl160"/>
    <w:basedOn w:val="Normal"/>
    <w:qFormat/>
    <w:pPr>
      <w:pBdr>
        <w:top w:val="single" w:sz="4" w:space="0" w:color="auto"/>
        <w:left w:val="single" w:sz="8" w:space="0" w:color="auto"/>
        <w:bottom w:val="single" w:sz="8" w:space="0" w:color="auto"/>
        <w:right w:val="single" w:sz="4" w:space="0" w:color="auto"/>
      </w:pBdr>
      <w:shd w:val="clear" w:color="000000" w:fill="DCE6F1"/>
      <w:spacing w:before="100" w:beforeAutospacing="1" w:after="100" w:afterAutospacing="1"/>
      <w:jc w:val="center"/>
      <w:textAlignment w:val="center"/>
    </w:pPr>
    <w:rPr>
      <w:rFonts w:eastAsia="Times New Roman"/>
      <w:color w:val="000000"/>
      <w:sz w:val="20"/>
      <w:szCs w:val="20"/>
      <w:lang w:val="en-US" w:eastAsia="en-US"/>
    </w:rPr>
  </w:style>
  <w:style w:type="paragraph" w:customStyle="1" w:styleId="xl161">
    <w:name w:val="xl161"/>
    <w:basedOn w:val="Normal"/>
    <w:qFormat/>
    <w:pPr>
      <w:pBdr>
        <w:top w:val="single" w:sz="4" w:space="0" w:color="auto"/>
        <w:left w:val="single" w:sz="4" w:space="0" w:color="auto"/>
        <w:bottom w:val="single" w:sz="8" w:space="0" w:color="auto"/>
      </w:pBdr>
      <w:shd w:val="clear" w:color="000000" w:fill="DCE6F1"/>
      <w:spacing w:before="100" w:beforeAutospacing="1" w:after="100" w:afterAutospacing="1"/>
      <w:jc w:val="center"/>
      <w:textAlignment w:val="center"/>
    </w:pPr>
    <w:rPr>
      <w:rFonts w:eastAsia="Times New Roman"/>
      <w:color w:val="000000"/>
      <w:sz w:val="20"/>
      <w:szCs w:val="20"/>
      <w:lang w:val="en-US" w:eastAsia="en-US"/>
    </w:rPr>
  </w:style>
  <w:style w:type="paragraph" w:customStyle="1" w:styleId="font0">
    <w:name w:val="font0"/>
    <w:basedOn w:val="Normal"/>
    <w:qFormat/>
    <w:pPr>
      <w:spacing w:before="100" w:beforeAutospacing="1" w:after="100" w:afterAutospacing="1"/>
    </w:pPr>
    <w:rPr>
      <w:rFonts w:ascii="Calibri" w:eastAsia="Times New Roman" w:hAnsi="Calibri"/>
      <w:color w:val="000000"/>
      <w:sz w:val="22"/>
      <w:szCs w:val="22"/>
      <w:lang w:val="en-US" w:eastAsia="en-US"/>
    </w:rPr>
  </w:style>
  <w:style w:type="paragraph" w:customStyle="1" w:styleId="font5">
    <w:name w:val="font5"/>
    <w:basedOn w:val="Normal"/>
    <w:qFormat/>
    <w:pPr>
      <w:spacing w:before="100" w:beforeAutospacing="1" w:after="100" w:afterAutospacing="1"/>
    </w:pPr>
    <w:rPr>
      <w:rFonts w:ascii="Calibri" w:eastAsia="Times New Roman" w:hAnsi="Calibri"/>
      <w:i/>
      <w:iCs/>
      <w:color w:val="000000"/>
      <w:sz w:val="22"/>
      <w:szCs w:val="22"/>
      <w:lang w:val="en-US" w:eastAsia="en-US"/>
    </w:rPr>
  </w:style>
  <w:style w:type="paragraph" w:customStyle="1" w:styleId="font6">
    <w:name w:val="font6"/>
    <w:basedOn w:val="Normal"/>
    <w:qFormat/>
    <w:pPr>
      <w:spacing w:before="100" w:beforeAutospacing="1" w:after="100" w:afterAutospacing="1"/>
    </w:pPr>
    <w:rPr>
      <w:rFonts w:eastAsia="Times New Roman"/>
      <w:b/>
      <w:bCs/>
      <w:sz w:val="22"/>
      <w:szCs w:val="22"/>
      <w:lang w:val="en-US" w:eastAsia="en-US"/>
    </w:rPr>
  </w:style>
  <w:style w:type="paragraph" w:customStyle="1" w:styleId="font7">
    <w:name w:val="font7"/>
    <w:basedOn w:val="Normal"/>
    <w:qFormat/>
    <w:pPr>
      <w:spacing w:before="100" w:beforeAutospacing="1" w:after="100" w:afterAutospacing="1"/>
    </w:pPr>
    <w:rPr>
      <w:rFonts w:eastAsia="Times New Roman"/>
      <w:sz w:val="22"/>
      <w:szCs w:val="22"/>
      <w:lang w:val="en-US" w:eastAsia="en-US"/>
    </w:rPr>
  </w:style>
  <w:style w:type="paragraph" w:customStyle="1" w:styleId="font8">
    <w:name w:val="font8"/>
    <w:basedOn w:val="Normal"/>
    <w:qFormat/>
    <w:pPr>
      <w:spacing w:before="100" w:beforeAutospacing="1" w:after="100" w:afterAutospacing="1"/>
    </w:pPr>
    <w:rPr>
      <w:rFonts w:eastAsia="Times New Roman"/>
      <w:i/>
      <w:iCs/>
      <w:sz w:val="22"/>
      <w:szCs w:val="22"/>
      <w:lang w:val="en-US" w:eastAsia="en-US"/>
    </w:rPr>
  </w:style>
  <w:style w:type="paragraph" w:customStyle="1" w:styleId="font9">
    <w:name w:val="font9"/>
    <w:basedOn w:val="Normal"/>
    <w:qFormat/>
    <w:pPr>
      <w:spacing w:before="100" w:beforeAutospacing="1" w:after="100" w:afterAutospacing="1"/>
    </w:pPr>
    <w:rPr>
      <w:rFonts w:eastAsia="Times New Roman"/>
      <w:color w:val="000000"/>
      <w:sz w:val="20"/>
      <w:szCs w:val="20"/>
      <w:lang w:val="en-US" w:eastAsia="en-US"/>
    </w:rPr>
  </w:style>
  <w:style w:type="paragraph" w:customStyle="1" w:styleId="font10">
    <w:name w:val="font10"/>
    <w:basedOn w:val="Normal"/>
    <w:qFormat/>
    <w:pPr>
      <w:spacing w:before="100" w:beforeAutospacing="1" w:after="100" w:afterAutospacing="1"/>
    </w:pPr>
    <w:rPr>
      <w:rFonts w:eastAsia="Times New Roman"/>
      <w:b/>
      <w:bCs/>
      <w:color w:val="000000"/>
      <w:sz w:val="20"/>
      <w:szCs w:val="20"/>
      <w:lang w:val="en-US" w:eastAsia="en-US"/>
    </w:rPr>
  </w:style>
  <w:style w:type="paragraph" w:customStyle="1" w:styleId="xl162">
    <w:name w:val="xl162"/>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szCs w:val="20"/>
      <w:lang w:val="en-US" w:eastAsia="en-US"/>
    </w:rPr>
  </w:style>
  <w:style w:type="paragraph" w:customStyle="1" w:styleId="xl163">
    <w:name w:val="xl163"/>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szCs w:val="20"/>
      <w:lang w:val="en-US" w:eastAsia="en-US"/>
    </w:rPr>
  </w:style>
  <w:style w:type="paragraph" w:customStyle="1" w:styleId="xl164">
    <w:name w:val="xl164"/>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i/>
      <w:iCs/>
      <w:sz w:val="20"/>
      <w:szCs w:val="20"/>
      <w:lang w:val="en-US" w:eastAsia="en-US"/>
    </w:rPr>
  </w:style>
  <w:style w:type="paragraph" w:customStyle="1" w:styleId="xl165">
    <w:name w:val="xl165"/>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sz w:val="20"/>
      <w:szCs w:val="20"/>
      <w:lang w:val="en-US" w:eastAsia="en-US"/>
    </w:rPr>
  </w:style>
  <w:style w:type="paragraph" w:customStyle="1" w:styleId="xl166">
    <w:name w:val="xl166"/>
    <w:basedOn w:val="Normal"/>
    <w:qFormat/>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both"/>
      <w:textAlignment w:val="top"/>
    </w:pPr>
    <w:rPr>
      <w:rFonts w:eastAsia="Times New Roman"/>
      <w:b/>
      <w:bCs/>
      <w:lang w:val="en-US" w:eastAsia="en-US"/>
    </w:rPr>
  </w:style>
  <w:style w:type="paragraph" w:customStyle="1" w:styleId="xl167">
    <w:name w:val="xl167"/>
    <w:basedOn w:val="Normal"/>
    <w:qFormat/>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textAlignment w:val="top"/>
    </w:pPr>
    <w:rPr>
      <w:rFonts w:eastAsia="Times New Roman"/>
      <w:b/>
      <w:bCs/>
      <w:lang w:val="en-US" w:eastAsia="en-US"/>
    </w:rPr>
  </w:style>
  <w:style w:type="paragraph" w:customStyle="1" w:styleId="xl168">
    <w:name w:val="xl168"/>
    <w:basedOn w:val="Normal"/>
    <w:qFormat/>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top"/>
    </w:pPr>
    <w:rPr>
      <w:rFonts w:eastAsia="Times New Roman"/>
      <w:b/>
      <w:bCs/>
      <w:lang w:val="en-US" w:eastAsia="en-US"/>
    </w:rPr>
  </w:style>
  <w:style w:type="paragraph" w:customStyle="1" w:styleId="xl169">
    <w:name w:val="xl169"/>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szCs w:val="20"/>
      <w:lang w:val="en-US" w:eastAsia="en-US"/>
    </w:rPr>
  </w:style>
  <w:style w:type="paragraph" w:customStyle="1" w:styleId="xl170">
    <w:name w:val="xl17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i/>
      <w:iCs/>
      <w:lang w:val="en-US" w:eastAsia="en-US"/>
    </w:rPr>
  </w:style>
  <w:style w:type="paragraph" w:customStyle="1" w:styleId="xl171">
    <w:name w:val="xl171"/>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sz w:val="20"/>
      <w:szCs w:val="20"/>
      <w:lang w:val="en-US" w:eastAsia="en-US"/>
    </w:rPr>
  </w:style>
  <w:style w:type="paragraph" w:customStyle="1" w:styleId="xl172">
    <w:name w:val="xl172"/>
    <w:basedOn w:val="Normal"/>
    <w:qFormat/>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textAlignment w:val="top"/>
    </w:pPr>
    <w:rPr>
      <w:rFonts w:eastAsia="Times New Roman"/>
      <w:b/>
      <w:bCs/>
      <w:sz w:val="20"/>
      <w:szCs w:val="20"/>
      <w:lang w:val="en-US" w:eastAsia="en-US"/>
    </w:rPr>
  </w:style>
  <w:style w:type="paragraph" w:customStyle="1" w:styleId="xl173">
    <w:name w:val="xl173"/>
    <w:basedOn w:val="Normal"/>
    <w:qFormat/>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textAlignment w:val="top"/>
    </w:pPr>
    <w:rPr>
      <w:rFonts w:eastAsia="Times New Roman"/>
      <w:b/>
      <w:bCs/>
      <w:sz w:val="20"/>
      <w:szCs w:val="20"/>
      <w:lang w:val="en-US" w:eastAsia="en-US"/>
    </w:rPr>
  </w:style>
  <w:style w:type="paragraph" w:customStyle="1" w:styleId="xl174">
    <w:name w:val="xl174"/>
    <w:basedOn w:val="Normal"/>
    <w:qFormat/>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rFonts w:eastAsia="Times New Roman"/>
      <w:b/>
      <w:bCs/>
      <w:sz w:val="20"/>
      <w:szCs w:val="20"/>
      <w:lang w:val="en-US" w:eastAsia="en-US"/>
    </w:rPr>
  </w:style>
  <w:style w:type="paragraph" w:customStyle="1" w:styleId="xl175">
    <w:name w:val="xl175"/>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sz w:val="20"/>
      <w:szCs w:val="20"/>
      <w:lang w:val="en-US" w:eastAsia="en-US"/>
    </w:rPr>
  </w:style>
  <w:style w:type="paragraph" w:customStyle="1" w:styleId="xl176">
    <w:name w:val="xl176"/>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sz w:val="20"/>
      <w:szCs w:val="20"/>
      <w:lang w:val="en-US" w:eastAsia="en-US"/>
    </w:rPr>
  </w:style>
  <w:style w:type="paragraph" w:customStyle="1" w:styleId="xl177">
    <w:name w:val="xl177"/>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szCs w:val="20"/>
      <w:lang w:val="en-US" w:eastAsia="en-US"/>
    </w:rPr>
  </w:style>
  <w:style w:type="paragraph" w:customStyle="1" w:styleId="xl178">
    <w:name w:val="xl178"/>
    <w:basedOn w:val="Normal"/>
    <w:qFormat/>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eastAsia="Times New Roman"/>
      <w:b/>
      <w:bCs/>
      <w:lang w:val="en-US" w:eastAsia="en-US"/>
    </w:rPr>
  </w:style>
  <w:style w:type="paragraph" w:customStyle="1" w:styleId="xl179">
    <w:name w:val="xl179"/>
    <w:basedOn w:val="Normal"/>
    <w:qFormat/>
    <w:pPr>
      <w:pBdr>
        <w:top w:val="single" w:sz="4" w:space="0" w:color="auto"/>
        <w:left w:val="single" w:sz="4" w:space="0" w:color="auto"/>
        <w:bottom w:val="single" w:sz="4" w:space="0" w:color="auto"/>
        <w:right w:val="single" w:sz="4" w:space="0" w:color="auto"/>
      </w:pBdr>
      <w:shd w:val="clear" w:color="000000" w:fill="F276AB"/>
      <w:spacing w:before="100" w:beforeAutospacing="1" w:after="100" w:afterAutospacing="1"/>
      <w:textAlignment w:val="center"/>
    </w:pPr>
    <w:rPr>
      <w:rFonts w:eastAsia="Times New Roman"/>
      <w:b/>
      <w:bCs/>
      <w:lang w:val="en-US" w:eastAsia="en-US"/>
    </w:rPr>
  </w:style>
  <w:style w:type="paragraph" w:customStyle="1" w:styleId="xl180">
    <w:name w:val="xl180"/>
    <w:basedOn w:val="Normal"/>
    <w:qFormat/>
    <w:pPr>
      <w:pBdr>
        <w:top w:val="single" w:sz="4" w:space="0" w:color="auto"/>
        <w:left w:val="single" w:sz="4" w:space="0" w:color="auto"/>
        <w:bottom w:val="single" w:sz="4" w:space="0" w:color="auto"/>
        <w:right w:val="single" w:sz="4" w:space="0" w:color="auto"/>
      </w:pBdr>
      <w:shd w:val="clear" w:color="000000" w:fill="F276AB"/>
      <w:spacing w:before="100" w:beforeAutospacing="1" w:after="100" w:afterAutospacing="1"/>
      <w:jc w:val="center"/>
      <w:textAlignment w:val="center"/>
    </w:pPr>
    <w:rPr>
      <w:rFonts w:eastAsia="Times New Roman"/>
      <w:b/>
      <w:bCs/>
      <w:lang w:val="en-US" w:eastAsia="en-US"/>
    </w:rPr>
  </w:style>
  <w:style w:type="paragraph" w:customStyle="1" w:styleId="xl181">
    <w:name w:val="xl181"/>
    <w:basedOn w:val="Normal"/>
    <w:qFormat/>
    <w:pPr>
      <w:pBdr>
        <w:top w:val="single" w:sz="4" w:space="0" w:color="auto"/>
        <w:left w:val="single" w:sz="4" w:space="0" w:color="auto"/>
        <w:bottom w:val="single" w:sz="4" w:space="0" w:color="auto"/>
        <w:right w:val="single" w:sz="4" w:space="0" w:color="auto"/>
      </w:pBdr>
      <w:shd w:val="clear" w:color="000000" w:fill="F276AB"/>
      <w:spacing w:before="100" w:beforeAutospacing="1" w:after="100" w:afterAutospacing="1"/>
      <w:jc w:val="center"/>
      <w:textAlignment w:val="center"/>
    </w:pPr>
    <w:rPr>
      <w:rFonts w:eastAsia="Times New Roman"/>
      <w:b/>
      <w:bCs/>
      <w:color w:val="000000"/>
      <w:lang w:val="en-US" w:eastAsia="en-US"/>
    </w:rPr>
  </w:style>
  <w:style w:type="paragraph" w:customStyle="1" w:styleId="xl182">
    <w:name w:val="xl182"/>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lang w:val="en-US" w:eastAsia="en-US"/>
    </w:rPr>
  </w:style>
  <w:style w:type="paragraph" w:customStyle="1" w:styleId="xl183">
    <w:name w:val="xl183"/>
    <w:basedOn w:val="Normal"/>
    <w:qFormat/>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eastAsia="Times New Roman"/>
      <w:b/>
      <w:bCs/>
      <w:lang w:val="en-US" w:eastAsia="en-US"/>
    </w:rPr>
  </w:style>
  <w:style w:type="paragraph" w:customStyle="1" w:styleId="xl184">
    <w:name w:val="xl184"/>
    <w:basedOn w:val="Normal"/>
    <w:qFormat/>
    <w:pPr>
      <w:pBdr>
        <w:top w:val="single" w:sz="4" w:space="0" w:color="auto"/>
        <w:left w:val="single" w:sz="4" w:space="0" w:color="auto"/>
        <w:bottom w:val="single" w:sz="4" w:space="0" w:color="auto"/>
      </w:pBdr>
      <w:shd w:val="clear" w:color="000000" w:fill="FDE9D9"/>
      <w:spacing w:before="100" w:beforeAutospacing="1" w:after="100" w:afterAutospacing="1"/>
      <w:textAlignment w:val="top"/>
    </w:pPr>
    <w:rPr>
      <w:rFonts w:eastAsia="Times New Roman"/>
      <w:b/>
      <w:bCs/>
      <w:lang w:val="en-US" w:eastAsia="en-US"/>
    </w:rPr>
  </w:style>
  <w:style w:type="paragraph" w:customStyle="1" w:styleId="xl185">
    <w:name w:val="xl185"/>
    <w:basedOn w:val="Normal"/>
    <w:qFormat/>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eastAsia="Times New Roman"/>
      <w:lang w:val="en-US" w:eastAsia="en-US"/>
    </w:rPr>
  </w:style>
  <w:style w:type="paragraph" w:customStyle="1" w:styleId="xl186">
    <w:name w:val="xl186"/>
    <w:basedOn w:val="Normal"/>
    <w:qFormat/>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eastAsia="Times New Roman"/>
      <w:b/>
      <w:bCs/>
      <w:lang w:val="en-US" w:eastAsia="en-US"/>
    </w:rPr>
  </w:style>
  <w:style w:type="paragraph" w:customStyle="1" w:styleId="xl187">
    <w:name w:val="xl187"/>
    <w:basedOn w:val="Normal"/>
    <w:qFormat/>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rFonts w:eastAsia="Times New Roman"/>
      <w:b/>
      <w:bCs/>
      <w:lang w:val="en-US" w:eastAsia="en-US"/>
    </w:rPr>
  </w:style>
  <w:style w:type="paragraph" w:customStyle="1" w:styleId="xl188">
    <w:name w:val="xl188"/>
    <w:basedOn w:val="Normal"/>
    <w:qFormat/>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top"/>
    </w:pPr>
    <w:rPr>
      <w:rFonts w:eastAsia="Times New Roman"/>
      <w:b/>
      <w:bCs/>
      <w:lang w:val="en-US" w:eastAsia="en-US"/>
    </w:rPr>
  </w:style>
  <w:style w:type="paragraph" w:customStyle="1" w:styleId="xl189">
    <w:name w:val="xl189"/>
    <w:basedOn w:val="Normal"/>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top"/>
    </w:pPr>
    <w:rPr>
      <w:rFonts w:eastAsia="Times New Roman"/>
      <w:b/>
      <w:bCs/>
      <w:lang w:val="en-US" w:eastAsia="en-US"/>
    </w:rPr>
  </w:style>
  <w:style w:type="paragraph" w:customStyle="1" w:styleId="xl190">
    <w:name w:val="xl190"/>
    <w:basedOn w:val="Normal"/>
    <w:qFormat/>
    <w:pPr>
      <w:pBdr>
        <w:top w:val="single" w:sz="4" w:space="0" w:color="auto"/>
        <w:left w:val="single" w:sz="4" w:space="0" w:color="auto"/>
        <w:bottom w:val="single" w:sz="4" w:space="0" w:color="auto"/>
      </w:pBdr>
      <w:shd w:val="clear" w:color="000000" w:fill="FDE9D9"/>
      <w:spacing w:before="100" w:beforeAutospacing="1" w:after="100" w:afterAutospacing="1"/>
      <w:textAlignment w:val="top"/>
    </w:pPr>
    <w:rPr>
      <w:rFonts w:eastAsia="Times New Roman"/>
      <w:b/>
      <w:bCs/>
      <w:lang w:val="en-US" w:eastAsia="en-US"/>
    </w:rPr>
  </w:style>
  <w:style w:type="paragraph" w:customStyle="1" w:styleId="xl191">
    <w:name w:val="xl191"/>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lang w:val="en-US" w:eastAsia="en-US"/>
    </w:rPr>
  </w:style>
  <w:style w:type="paragraph" w:customStyle="1" w:styleId="xl192">
    <w:name w:val="xl192"/>
    <w:basedOn w:val="Normal"/>
    <w:qFormat/>
    <w:pPr>
      <w:pBdr>
        <w:left w:val="single" w:sz="4" w:space="0" w:color="auto"/>
      </w:pBdr>
      <w:spacing w:before="100" w:beforeAutospacing="1" w:after="100" w:afterAutospacing="1"/>
      <w:textAlignment w:val="top"/>
    </w:pPr>
    <w:rPr>
      <w:rFonts w:eastAsia="Times New Roman"/>
      <w:lang w:val="en-US" w:eastAsia="en-US"/>
    </w:rPr>
  </w:style>
  <w:style w:type="paragraph" w:customStyle="1" w:styleId="xl193">
    <w:name w:val="xl193"/>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lang w:val="en-US" w:eastAsia="en-US"/>
    </w:rPr>
  </w:style>
  <w:style w:type="paragraph" w:customStyle="1" w:styleId="xl194">
    <w:name w:val="xl194"/>
    <w:basedOn w:val="Normal"/>
    <w:qFormat/>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both"/>
      <w:textAlignment w:val="top"/>
    </w:pPr>
    <w:rPr>
      <w:rFonts w:eastAsia="Times New Roman"/>
      <w:b/>
      <w:bCs/>
      <w:lang w:val="en-US" w:eastAsia="en-US"/>
    </w:rPr>
  </w:style>
  <w:style w:type="paragraph" w:customStyle="1" w:styleId="xl195">
    <w:name w:val="xl195"/>
    <w:basedOn w:val="Normal"/>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top"/>
    </w:pPr>
    <w:rPr>
      <w:rFonts w:eastAsia="Times New Roman"/>
      <w:b/>
      <w:bCs/>
      <w:i/>
      <w:iCs/>
      <w:lang w:val="en-US" w:eastAsia="en-US"/>
    </w:rPr>
  </w:style>
  <w:style w:type="paragraph" w:customStyle="1" w:styleId="xl196">
    <w:name w:val="xl196"/>
    <w:basedOn w:val="Normal"/>
    <w:qFormat/>
    <w:pPr>
      <w:pBdr>
        <w:left w:val="single" w:sz="4" w:space="0" w:color="auto"/>
      </w:pBdr>
      <w:spacing w:before="100" w:beforeAutospacing="1" w:after="100" w:afterAutospacing="1"/>
      <w:textAlignment w:val="top"/>
    </w:pPr>
    <w:rPr>
      <w:rFonts w:eastAsia="Times New Roman"/>
      <w:lang w:val="en-US" w:eastAsia="en-US"/>
    </w:rPr>
  </w:style>
  <w:style w:type="paragraph" w:customStyle="1" w:styleId="xl197">
    <w:name w:val="xl197"/>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lang w:val="en-US" w:eastAsia="en-US"/>
    </w:rPr>
  </w:style>
  <w:style w:type="paragraph" w:customStyle="1" w:styleId="xl198">
    <w:name w:val="xl198"/>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i/>
      <w:iCs/>
      <w:lang w:val="en-US" w:eastAsia="en-US"/>
    </w:rPr>
  </w:style>
  <w:style w:type="paragraph" w:customStyle="1" w:styleId="xl199">
    <w:name w:val="xl199"/>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lang w:val="en-US" w:eastAsia="en-US"/>
    </w:rPr>
  </w:style>
  <w:style w:type="paragraph" w:customStyle="1" w:styleId="xl200">
    <w:name w:val="xl200"/>
    <w:basedOn w:val="Normal"/>
    <w:qFormat/>
    <w:pPr>
      <w:pBdr>
        <w:top w:val="single" w:sz="4" w:space="0" w:color="auto"/>
        <w:left w:val="single" w:sz="4" w:space="0" w:color="auto"/>
        <w:bottom w:val="single" w:sz="4" w:space="0" w:color="auto"/>
      </w:pBdr>
      <w:shd w:val="clear" w:color="000000" w:fill="DCE6F1"/>
      <w:spacing w:before="100" w:beforeAutospacing="1" w:after="100" w:afterAutospacing="1"/>
      <w:jc w:val="center"/>
      <w:textAlignment w:val="top"/>
    </w:pPr>
    <w:rPr>
      <w:rFonts w:eastAsia="Times New Roman"/>
      <w:b/>
      <w:bCs/>
      <w:lang w:val="en-US" w:eastAsia="en-US"/>
    </w:rPr>
  </w:style>
  <w:style w:type="paragraph" w:customStyle="1" w:styleId="xl201">
    <w:name w:val="xl201"/>
    <w:basedOn w:val="Normal"/>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top"/>
    </w:pPr>
    <w:rPr>
      <w:rFonts w:eastAsia="Times New Roman"/>
      <w:lang w:val="en-US" w:eastAsia="en-US"/>
    </w:rPr>
  </w:style>
  <w:style w:type="paragraph" w:customStyle="1" w:styleId="xl202">
    <w:name w:val="xl202"/>
    <w:basedOn w:val="Normal"/>
    <w:pPr>
      <w:pBdr>
        <w:left w:val="single" w:sz="4" w:space="0" w:color="auto"/>
      </w:pBdr>
      <w:shd w:val="clear" w:color="000000" w:fill="B8CCE4"/>
      <w:spacing w:before="100" w:beforeAutospacing="1" w:after="100" w:afterAutospacing="1"/>
      <w:jc w:val="both"/>
      <w:textAlignment w:val="center"/>
    </w:pPr>
    <w:rPr>
      <w:rFonts w:eastAsia="Times New Roman"/>
      <w:b/>
      <w:bCs/>
      <w:lang w:val="en-US" w:eastAsia="en-US"/>
    </w:rPr>
  </w:style>
  <w:style w:type="paragraph" w:customStyle="1" w:styleId="xl203">
    <w:name w:val="xl203"/>
    <w:basedOn w:val="Normal"/>
    <w:pPr>
      <w:pBdr>
        <w:left w:val="single" w:sz="4" w:space="0" w:color="auto"/>
      </w:pBdr>
      <w:spacing w:before="100" w:beforeAutospacing="1" w:after="100" w:afterAutospacing="1"/>
      <w:jc w:val="both"/>
      <w:textAlignment w:val="top"/>
    </w:pPr>
    <w:rPr>
      <w:rFonts w:eastAsia="Times New Roman"/>
      <w:lang w:val="en-US" w:eastAsia="en-US"/>
    </w:rPr>
  </w:style>
  <w:style w:type="paragraph" w:customStyle="1" w:styleId="xl204">
    <w:name w:val="xl204"/>
    <w:basedOn w:val="Normal"/>
    <w:qFormat/>
    <w:pPr>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lang w:val="en-US" w:eastAsia="en-US"/>
    </w:rPr>
  </w:style>
  <w:style w:type="paragraph" w:customStyle="1" w:styleId="xl205">
    <w:name w:val="xl205"/>
    <w:basedOn w:val="Normal"/>
    <w:qFormat/>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rFonts w:eastAsia="Times New Roman"/>
      <w:lang w:val="en-US" w:eastAsia="en-US"/>
    </w:rPr>
  </w:style>
  <w:style w:type="paragraph" w:customStyle="1" w:styleId="xl206">
    <w:name w:val="xl206"/>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lang w:val="en-US" w:eastAsia="en-US"/>
    </w:rPr>
  </w:style>
  <w:style w:type="paragraph" w:customStyle="1" w:styleId="xl207">
    <w:name w:val="xl207"/>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lang w:val="en-US" w:eastAsia="en-US"/>
    </w:rPr>
  </w:style>
  <w:style w:type="paragraph" w:customStyle="1" w:styleId="xl208">
    <w:name w:val="xl208"/>
    <w:basedOn w:val="Normal"/>
    <w:qFormat/>
    <w:pPr>
      <w:pBdr>
        <w:left w:val="single" w:sz="4" w:space="0" w:color="auto"/>
      </w:pBdr>
      <w:shd w:val="clear" w:color="000000" w:fill="C5D9F1"/>
      <w:spacing w:before="100" w:beforeAutospacing="1" w:after="100" w:afterAutospacing="1"/>
      <w:jc w:val="both"/>
      <w:textAlignment w:val="top"/>
    </w:pPr>
    <w:rPr>
      <w:rFonts w:eastAsia="Times New Roman"/>
      <w:b/>
      <w:bCs/>
      <w:lang w:val="en-US" w:eastAsia="en-US"/>
    </w:rPr>
  </w:style>
  <w:style w:type="paragraph" w:customStyle="1" w:styleId="xl209">
    <w:name w:val="xl209"/>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lang w:val="en-US" w:eastAsia="en-US"/>
    </w:rPr>
  </w:style>
  <w:style w:type="paragraph" w:customStyle="1" w:styleId="xl210">
    <w:name w:val="xl21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eastAsia="Times New Roman"/>
      <w:lang w:val="en-US" w:eastAsia="en-US"/>
    </w:rPr>
  </w:style>
  <w:style w:type="paragraph" w:customStyle="1" w:styleId="xl211">
    <w:name w:val="xl211"/>
    <w:basedOn w:val="Normal"/>
    <w:qFormat/>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eastAsia="Times New Roman"/>
      <w:b/>
      <w:bCs/>
      <w:lang w:val="en-US" w:eastAsia="en-US"/>
    </w:rPr>
  </w:style>
  <w:style w:type="paragraph" w:customStyle="1" w:styleId="xl212">
    <w:name w:val="xl212"/>
    <w:basedOn w:val="Normal"/>
    <w:qFormat/>
    <w:pPr>
      <w:pBdr>
        <w:top w:val="single" w:sz="4" w:space="0" w:color="auto"/>
        <w:left w:val="single" w:sz="4" w:space="0" w:color="auto"/>
        <w:right w:val="single" w:sz="4" w:space="0" w:color="auto"/>
      </w:pBdr>
      <w:shd w:val="clear" w:color="000000" w:fill="C5D9F1"/>
      <w:spacing w:before="100" w:beforeAutospacing="1" w:after="100" w:afterAutospacing="1"/>
      <w:jc w:val="center"/>
      <w:textAlignment w:val="center"/>
    </w:pPr>
    <w:rPr>
      <w:rFonts w:eastAsia="Times New Roman"/>
      <w:b/>
      <w:bCs/>
      <w:lang w:val="en-US" w:eastAsia="en-US"/>
    </w:rPr>
  </w:style>
  <w:style w:type="paragraph" w:customStyle="1" w:styleId="xl213">
    <w:name w:val="xl213"/>
    <w:basedOn w:val="Normal"/>
    <w:qFormat/>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rFonts w:eastAsia="Times New Roman"/>
      <w:b/>
      <w:bCs/>
      <w:lang w:val="en-US" w:eastAsia="en-US"/>
    </w:rPr>
  </w:style>
  <w:style w:type="paragraph" w:customStyle="1" w:styleId="xl214">
    <w:name w:val="xl214"/>
    <w:basedOn w:val="Normal"/>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top"/>
    </w:pPr>
    <w:rPr>
      <w:rFonts w:eastAsia="Times New Roman"/>
      <w:b/>
      <w:bCs/>
      <w:lang w:val="en-US" w:eastAsia="en-US"/>
    </w:rPr>
  </w:style>
  <w:style w:type="paragraph" w:customStyle="1" w:styleId="xl215">
    <w:name w:val="xl215"/>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lang w:val="en-US" w:eastAsia="en-US"/>
    </w:rPr>
  </w:style>
  <w:style w:type="paragraph" w:customStyle="1" w:styleId="xl216">
    <w:name w:val="xl216"/>
    <w:basedOn w:val="Normal"/>
    <w:qFormat/>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rFonts w:eastAsia="Times New Roman"/>
      <w:lang w:val="en-US" w:eastAsia="en-US"/>
    </w:rPr>
  </w:style>
  <w:style w:type="paragraph" w:customStyle="1" w:styleId="xl217">
    <w:name w:val="xl217"/>
    <w:basedOn w:val="Normal"/>
    <w:qFormat/>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both"/>
      <w:textAlignment w:val="top"/>
    </w:pPr>
    <w:rPr>
      <w:rFonts w:eastAsia="Times New Roman"/>
      <w:b/>
      <w:bCs/>
      <w:lang w:val="en-US" w:eastAsia="en-US"/>
    </w:rPr>
  </w:style>
  <w:style w:type="paragraph" w:customStyle="1" w:styleId="xl218">
    <w:name w:val="xl21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lang w:val="en-US" w:eastAsia="en-US"/>
    </w:rPr>
  </w:style>
  <w:style w:type="paragraph" w:customStyle="1" w:styleId="xl219">
    <w:name w:val="xl219"/>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lang w:val="en-US" w:eastAsia="en-US"/>
    </w:rPr>
  </w:style>
  <w:style w:type="paragraph" w:customStyle="1" w:styleId="xl220">
    <w:name w:val="xl220"/>
    <w:basedOn w:val="Normal"/>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rFonts w:eastAsia="Times New Roman"/>
      <w:b/>
      <w:bCs/>
      <w:lang w:val="en-US" w:eastAsia="en-US"/>
    </w:rPr>
  </w:style>
  <w:style w:type="paragraph" w:customStyle="1" w:styleId="xl221">
    <w:name w:val="xl221"/>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lang w:val="en-US" w:eastAsia="en-US"/>
    </w:rPr>
  </w:style>
  <w:style w:type="paragraph" w:customStyle="1" w:styleId="xl222">
    <w:name w:val="xl222"/>
    <w:basedOn w:val="Normal"/>
    <w:qFormat/>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eastAsia="Times New Roman"/>
      <w:b/>
      <w:bCs/>
      <w:lang w:val="en-US" w:eastAsia="en-US"/>
    </w:rPr>
  </w:style>
  <w:style w:type="paragraph" w:customStyle="1" w:styleId="xl223">
    <w:name w:val="xl223"/>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val="en-US" w:eastAsia="en-US"/>
    </w:rPr>
  </w:style>
  <w:style w:type="paragraph" w:customStyle="1" w:styleId="xl224">
    <w:name w:val="xl224"/>
    <w:basedOn w:val="Normal"/>
    <w:qFormat/>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top"/>
    </w:pPr>
    <w:rPr>
      <w:rFonts w:eastAsia="Times New Roman"/>
      <w:b/>
      <w:bCs/>
      <w:lang w:val="en-US" w:eastAsia="en-US"/>
    </w:rPr>
  </w:style>
  <w:style w:type="paragraph" w:customStyle="1" w:styleId="xl225">
    <w:name w:val="xl225"/>
    <w:basedOn w:val="Normal"/>
    <w:qFormat/>
    <w:pPr>
      <w:pBdr>
        <w:top w:val="single" w:sz="8" w:space="0" w:color="auto"/>
        <w:left w:val="single" w:sz="4" w:space="0" w:color="auto"/>
        <w:bottom w:val="single" w:sz="4" w:space="0" w:color="auto"/>
      </w:pBdr>
      <w:shd w:val="clear" w:color="000000" w:fill="FDE9D9"/>
      <w:spacing w:before="100" w:beforeAutospacing="1" w:after="100" w:afterAutospacing="1"/>
      <w:textAlignment w:val="top"/>
    </w:pPr>
    <w:rPr>
      <w:rFonts w:eastAsia="Times New Roman"/>
      <w:b/>
      <w:bCs/>
      <w:sz w:val="20"/>
      <w:szCs w:val="20"/>
      <w:lang w:val="en-US" w:eastAsia="en-US"/>
    </w:rPr>
  </w:style>
  <w:style w:type="paragraph" w:customStyle="1" w:styleId="xl226">
    <w:name w:val="xl226"/>
    <w:basedOn w:val="Normal"/>
    <w:qFormat/>
    <w:pPr>
      <w:pBdr>
        <w:top w:val="single" w:sz="4" w:space="0" w:color="auto"/>
        <w:left w:val="single" w:sz="4" w:space="0" w:color="auto"/>
        <w:bottom w:val="single" w:sz="4" w:space="0" w:color="auto"/>
      </w:pBdr>
      <w:shd w:val="clear" w:color="000000" w:fill="FDE9D9"/>
      <w:spacing w:before="100" w:beforeAutospacing="1" w:after="100" w:afterAutospacing="1"/>
      <w:textAlignment w:val="top"/>
    </w:pPr>
    <w:rPr>
      <w:rFonts w:eastAsia="Times New Roman"/>
      <w:b/>
      <w:bCs/>
      <w:sz w:val="20"/>
      <w:szCs w:val="20"/>
      <w:lang w:val="en-US" w:eastAsia="en-US"/>
    </w:rPr>
  </w:style>
  <w:style w:type="paragraph" w:customStyle="1" w:styleId="xl227">
    <w:name w:val="xl227"/>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0"/>
      <w:szCs w:val="20"/>
      <w:lang w:val="en-US" w:eastAsia="en-US"/>
    </w:rPr>
  </w:style>
  <w:style w:type="paragraph" w:customStyle="1" w:styleId="xl228">
    <w:name w:val="xl228"/>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0"/>
      <w:szCs w:val="20"/>
      <w:lang w:val="en-US" w:eastAsia="en-US"/>
    </w:rPr>
  </w:style>
  <w:style w:type="paragraph" w:customStyle="1" w:styleId="xl229">
    <w:name w:val="xl229"/>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szCs w:val="20"/>
      <w:lang w:val="en-US" w:eastAsia="en-US"/>
    </w:rPr>
  </w:style>
  <w:style w:type="paragraph" w:customStyle="1" w:styleId="xl230">
    <w:name w:val="xl230"/>
    <w:basedOn w:val="Normal"/>
    <w:qFormat/>
    <w:pPr>
      <w:spacing w:before="100" w:beforeAutospacing="1" w:after="100" w:afterAutospacing="1"/>
      <w:jc w:val="both"/>
      <w:textAlignment w:val="top"/>
    </w:pPr>
    <w:rPr>
      <w:rFonts w:eastAsia="Times New Roman"/>
      <w:lang w:val="en-US" w:eastAsia="en-US"/>
    </w:rPr>
  </w:style>
  <w:style w:type="paragraph" w:customStyle="1" w:styleId="xl231">
    <w:name w:val="xl231"/>
    <w:basedOn w:val="Normal"/>
    <w:qFormat/>
    <w:pPr>
      <w:pBdr>
        <w:top w:val="single" w:sz="8" w:space="0" w:color="auto"/>
        <w:left w:val="single" w:sz="4" w:space="0" w:color="auto"/>
      </w:pBdr>
      <w:shd w:val="clear" w:color="000000" w:fill="FDE9D9"/>
      <w:spacing w:before="100" w:beforeAutospacing="1" w:after="100" w:afterAutospacing="1"/>
      <w:textAlignment w:val="top"/>
    </w:pPr>
    <w:rPr>
      <w:rFonts w:eastAsia="Times New Roman"/>
      <w:b/>
      <w:bCs/>
      <w:lang w:val="en-US" w:eastAsia="en-US"/>
    </w:rPr>
  </w:style>
  <w:style w:type="paragraph" w:customStyle="1" w:styleId="xl232">
    <w:name w:val="xl232"/>
    <w:basedOn w:val="Normal"/>
    <w:qFormat/>
    <w:pPr>
      <w:pBdr>
        <w:top w:val="single" w:sz="4" w:space="0" w:color="auto"/>
        <w:left w:val="single" w:sz="4" w:space="0" w:color="auto"/>
        <w:right w:val="single" w:sz="4" w:space="0" w:color="auto"/>
      </w:pBdr>
      <w:spacing w:before="100" w:beforeAutospacing="1" w:after="100" w:afterAutospacing="1"/>
      <w:jc w:val="both"/>
      <w:textAlignment w:val="top"/>
    </w:pPr>
    <w:rPr>
      <w:rFonts w:eastAsia="Times New Roman"/>
      <w:lang w:val="en-US" w:eastAsia="en-US"/>
    </w:rPr>
  </w:style>
  <w:style w:type="paragraph" w:customStyle="1" w:styleId="xl233">
    <w:name w:val="xl233"/>
    <w:basedOn w:val="Normal"/>
    <w:qFormat/>
    <w:pPr>
      <w:pBdr>
        <w:top w:val="single" w:sz="8" w:space="0" w:color="auto"/>
        <w:left w:val="single" w:sz="4" w:space="0" w:color="auto"/>
        <w:right w:val="single" w:sz="4" w:space="0" w:color="auto"/>
      </w:pBdr>
      <w:shd w:val="clear" w:color="000000" w:fill="B8CCE4"/>
      <w:spacing w:before="100" w:beforeAutospacing="1" w:after="100" w:afterAutospacing="1"/>
      <w:jc w:val="center"/>
      <w:textAlignment w:val="center"/>
    </w:pPr>
    <w:rPr>
      <w:rFonts w:eastAsia="Times New Roman"/>
      <w:b/>
      <w:bCs/>
      <w:i/>
      <w:iCs/>
      <w:lang w:val="en-US" w:eastAsia="en-US"/>
    </w:rPr>
  </w:style>
  <w:style w:type="paragraph" w:customStyle="1" w:styleId="xl234">
    <w:name w:val="xl234"/>
    <w:basedOn w:val="Normal"/>
    <w:qFormat/>
    <w:pPr>
      <w:pBdr>
        <w:top w:val="single" w:sz="4" w:space="0" w:color="auto"/>
        <w:left w:val="single" w:sz="4" w:space="0" w:color="auto"/>
        <w:bottom w:val="single" w:sz="4" w:space="0" w:color="auto"/>
      </w:pBdr>
      <w:shd w:val="clear" w:color="000000" w:fill="F276AB"/>
      <w:spacing w:before="100" w:beforeAutospacing="1" w:after="100" w:afterAutospacing="1"/>
      <w:jc w:val="center"/>
      <w:textAlignment w:val="center"/>
    </w:pPr>
    <w:rPr>
      <w:rFonts w:eastAsia="Times New Roman"/>
      <w:b/>
      <w:bCs/>
      <w:color w:val="000000"/>
      <w:lang w:val="en-US" w:eastAsia="en-US"/>
    </w:rPr>
  </w:style>
  <w:style w:type="paragraph" w:customStyle="1" w:styleId="xl235">
    <w:name w:val="xl235"/>
    <w:basedOn w:val="Normal"/>
    <w:qFormat/>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top"/>
    </w:pPr>
    <w:rPr>
      <w:rFonts w:eastAsia="Times New Roman"/>
      <w:b/>
      <w:bCs/>
      <w:lang w:val="en-US" w:eastAsia="en-US"/>
    </w:rPr>
  </w:style>
  <w:style w:type="paragraph" w:customStyle="1" w:styleId="xl236">
    <w:name w:val="xl236"/>
    <w:basedOn w:val="Normal"/>
    <w:pPr>
      <w:pBdr>
        <w:top w:val="single" w:sz="4" w:space="0" w:color="auto"/>
        <w:left w:val="single" w:sz="4" w:space="0" w:color="auto"/>
        <w:bottom w:val="single" w:sz="4" w:space="0" w:color="auto"/>
      </w:pBdr>
      <w:shd w:val="clear" w:color="000000" w:fill="FDE9D9"/>
      <w:spacing w:before="100" w:beforeAutospacing="1" w:after="100" w:afterAutospacing="1"/>
      <w:textAlignment w:val="center"/>
    </w:pPr>
    <w:rPr>
      <w:rFonts w:eastAsia="Times New Roman"/>
      <w:b/>
      <w:bCs/>
      <w:lang w:val="en-US" w:eastAsia="en-US"/>
    </w:rPr>
  </w:style>
  <w:style w:type="paragraph" w:customStyle="1" w:styleId="xl237">
    <w:name w:val="xl237"/>
    <w:basedOn w:val="Normal"/>
    <w:pPr>
      <w:pBdr>
        <w:right w:val="single" w:sz="4" w:space="0" w:color="auto"/>
      </w:pBdr>
      <w:shd w:val="clear" w:color="000000" w:fill="C2D69B"/>
      <w:spacing w:before="100" w:beforeAutospacing="1" w:after="100" w:afterAutospacing="1"/>
      <w:jc w:val="center"/>
      <w:textAlignment w:val="top"/>
    </w:pPr>
    <w:rPr>
      <w:rFonts w:eastAsia="Times New Roman"/>
      <w:b/>
      <w:bCs/>
      <w:lang w:val="en-US" w:eastAsia="en-US"/>
    </w:rPr>
  </w:style>
  <w:style w:type="paragraph" w:customStyle="1" w:styleId="xl238">
    <w:name w:val="xl238"/>
    <w:basedOn w:val="Normal"/>
    <w:qFormat/>
    <w:pPr>
      <w:pBdr>
        <w:left w:val="single" w:sz="4" w:space="0" w:color="auto"/>
        <w:right w:val="single" w:sz="4" w:space="0" w:color="auto"/>
      </w:pBdr>
      <w:shd w:val="clear" w:color="000000" w:fill="C2D69B"/>
      <w:spacing w:before="100" w:beforeAutospacing="1" w:after="100" w:afterAutospacing="1"/>
      <w:jc w:val="center"/>
      <w:textAlignment w:val="top"/>
    </w:pPr>
    <w:rPr>
      <w:rFonts w:eastAsia="Times New Roman"/>
      <w:b/>
      <w:bCs/>
      <w:lang w:val="en-US" w:eastAsia="en-US"/>
    </w:rPr>
  </w:style>
  <w:style w:type="paragraph" w:customStyle="1" w:styleId="xl239">
    <w:name w:val="xl239"/>
    <w:basedOn w:val="Normal"/>
    <w:qFormat/>
    <w:pPr>
      <w:pBdr>
        <w:bottom w:val="single" w:sz="8" w:space="0" w:color="auto"/>
        <w:right w:val="single" w:sz="4" w:space="0" w:color="auto"/>
      </w:pBdr>
      <w:spacing w:before="100" w:beforeAutospacing="1" w:after="100" w:afterAutospacing="1"/>
      <w:jc w:val="center"/>
      <w:textAlignment w:val="top"/>
    </w:pPr>
    <w:rPr>
      <w:rFonts w:eastAsia="Times New Roman"/>
      <w:b/>
      <w:bCs/>
      <w:lang w:val="en-US" w:eastAsia="en-US"/>
    </w:rPr>
  </w:style>
  <w:style w:type="paragraph" w:customStyle="1" w:styleId="xl240">
    <w:name w:val="xl240"/>
    <w:basedOn w:val="Normal"/>
    <w:pPr>
      <w:pBdr>
        <w:top w:val="single" w:sz="4" w:space="0" w:color="auto"/>
        <w:left w:val="single" w:sz="4" w:space="0" w:color="auto"/>
        <w:bottom w:val="single" w:sz="4" w:space="0" w:color="auto"/>
      </w:pBdr>
      <w:shd w:val="clear" w:color="000000" w:fill="FDE9D9"/>
      <w:spacing w:before="100" w:beforeAutospacing="1" w:after="100" w:afterAutospacing="1"/>
      <w:textAlignment w:val="top"/>
    </w:pPr>
    <w:rPr>
      <w:rFonts w:eastAsia="Times New Roman"/>
      <w:b/>
      <w:bCs/>
      <w:lang w:val="en-US" w:eastAsia="en-US"/>
    </w:rPr>
  </w:style>
  <w:style w:type="paragraph" w:customStyle="1" w:styleId="xl241">
    <w:name w:val="xl241"/>
    <w:basedOn w:val="Normal"/>
    <w:qFormat/>
    <w:pPr>
      <w:pBdr>
        <w:top w:val="single" w:sz="4" w:space="0" w:color="auto"/>
        <w:left w:val="single" w:sz="4" w:space="0" w:color="auto"/>
        <w:bottom w:val="single" w:sz="4" w:space="0" w:color="auto"/>
      </w:pBdr>
      <w:shd w:val="clear" w:color="000000" w:fill="FDE9D9"/>
      <w:spacing w:before="100" w:beforeAutospacing="1" w:after="100" w:afterAutospacing="1"/>
      <w:textAlignment w:val="top"/>
    </w:pPr>
    <w:rPr>
      <w:rFonts w:eastAsia="Times New Roman"/>
      <w:b/>
      <w:bCs/>
      <w:lang w:val="en-US" w:eastAsia="en-US"/>
    </w:rPr>
  </w:style>
  <w:style w:type="paragraph" w:customStyle="1" w:styleId="xl242">
    <w:name w:val="xl242"/>
    <w:basedOn w:val="Normal"/>
    <w:pPr>
      <w:pBdr>
        <w:left w:val="single" w:sz="4" w:space="0" w:color="auto"/>
        <w:right w:val="single" w:sz="4" w:space="0" w:color="auto"/>
      </w:pBdr>
      <w:shd w:val="clear" w:color="000000" w:fill="C2D69B"/>
      <w:spacing w:before="100" w:beforeAutospacing="1" w:after="100" w:afterAutospacing="1"/>
      <w:jc w:val="center"/>
      <w:textAlignment w:val="top"/>
    </w:pPr>
    <w:rPr>
      <w:rFonts w:eastAsia="Times New Roman"/>
      <w:b/>
      <w:bCs/>
      <w:lang w:val="en-US" w:eastAsia="en-US"/>
    </w:rPr>
  </w:style>
  <w:style w:type="paragraph" w:customStyle="1" w:styleId="xl243">
    <w:name w:val="xl243"/>
    <w:basedOn w:val="Normal"/>
    <w:qFormat/>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rFonts w:eastAsia="Times New Roman"/>
      <w:b/>
      <w:bCs/>
      <w:lang w:val="en-US" w:eastAsia="en-US"/>
    </w:rPr>
  </w:style>
  <w:style w:type="paragraph" w:customStyle="1" w:styleId="xl244">
    <w:name w:val="xl244"/>
    <w:basedOn w:val="Normal"/>
    <w:qFormat/>
    <w:pPr>
      <w:pBdr>
        <w:top w:val="single" w:sz="4" w:space="0" w:color="auto"/>
        <w:left w:val="single" w:sz="4" w:space="0" w:color="auto"/>
        <w:bottom w:val="single" w:sz="4" w:space="0" w:color="auto"/>
      </w:pBdr>
      <w:shd w:val="clear" w:color="000000" w:fill="DCE6F1"/>
      <w:spacing w:before="100" w:beforeAutospacing="1" w:after="100" w:afterAutospacing="1"/>
      <w:jc w:val="center"/>
      <w:textAlignment w:val="center"/>
    </w:pPr>
    <w:rPr>
      <w:rFonts w:eastAsia="Times New Roman"/>
      <w:b/>
      <w:bCs/>
      <w:lang w:val="en-US" w:eastAsia="en-US"/>
    </w:rPr>
  </w:style>
  <w:style w:type="paragraph" w:customStyle="1" w:styleId="xl245">
    <w:name w:val="xl245"/>
    <w:basedOn w:val="Normal"/>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eastAsia="Times New Roman"/>
      <w:b/>
      <w:bCs/>
      <w:sz w:val="20"/>
      <w:szCs w:val="20"/>
      <w:lang w:val="en-US" w:eastAsia="en-US"/>
    </w:rPr>
  </w:style>
  <w:style w:type="paragraph" w:customStyle="1" w:styleId="xl246">
    <w:name w:val="xl246"/>
    <w:basedOn w:val="Normal"/>
    <w:qFormat/>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eastAsia="Times New Roman"/>
      <w:b/>
      <w:bCs/>
      <w:lang w:val="en-US" w:eastAsia="en-US"/>
    </w:rPr>
  </w:style>
  <w:style w:type="paragraph" w:customStyle="1" w:styleId="xl247">
    <w:name w:val="xl247"/>
    <w:basedOn w:val="Normal"/>
    <w:qFormat/>
    <w:pPr>
      <w:pBdr>
        <w:top w:val="single" w:sz="4" w:space="0" w:color="auto"/>
        <w:left w:val="single" w:sz="4" w:space="0" w:color="auto"/>
        <w:bottom w:val="single" w:sz="4" w:space="0" w:color="auto"/>
      </w:pBdr>
      <w:shd w:val="clear" w:color="000000" w:fill="C2D69B"/>
      <w:spacing w:before="100" w:beforeAutospacing="1" w:after="100" w:afterAutospacing="1"/>
      <w:jc w:val="center"/>
      <w:textAlignment w:val="top"/>
    </w:pPr>
    <w:rPr>
      <w:rFonts w:eastAsia="Times New Roman"/>
      <w:b/>
      <w:bCs/>
      <w:lang w:val="en-US" w:eastAsia="en-US"/>
    </w:rPr>
  </w:style>
  <w:style w:type="paragraph" w:customStyle="1" w:styleId="xl248">
    <w:name w:val="xl248"/>
    <w:basedOn w:val="Normal"/>
    <w:qFormat/>
    <w:pPr>
      <w:pBdr>
        <w:top w:val="single" w:sz="4" w:space="0" w:color="auto"/>
        <w:bottom w:val="single" w:sz="4" w:space="0" w:color="auto"/>
      </w:pBdr>
      <w:shd w:val="clear" w:color="000000" w:fill="C2D69B"/>
      <w:spacing w:before="100" w:beforeAutospacing="1" w:after="100" w:afterAutospacing="1"/>
      <w:jc w:val="center"/>
      <w:textAlignment w:val="top"/>
    </w:pPr>
    <w:rPr>
      <w:rFonts w:eastAsia="Times New Roman"/>
      <w:b/>
      <w:bCs/>
      <w:lang w:val="en-US" w:eastAsia="en-US"/>
    </w:rPr>
  </w:style>
  <w:style w:type="paragraph" w:customStyle="1" w:styleId="xl249">
    <w:name w:val="xl249"/>
    <w:basedOn w:val="Normal"/>
    <w:qFormat/>
    <w:pPr>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b/>
      <w:bCs/>
      <w:lang w:val="en-US" w:eastAsia="en-US"/>
    </w:rPr>
  </w:style>
  <w:style w:type="paragraph" w:customStyle="1" w:styleId="xl250">
    <w:name w:val="xl250"/>
    <w:basedOn w:val="Normal"/>
    <w:pPr>
      <w:pBdr>
        <w:left w:val="single" w:sz="4" w:space="0" w:color="auto"/>
        <w:bottom w:val="single" w:sz="8" w:space="0" w:color="auto"/>
        <w:right w:val="single" w:sz="4" w:space="0" w:color="auto"/>
      </w:pBdr>
      <w:spacing w:before="100" w:beforeAutospacing="1" w:after="100" w:afterAutospacing="1"/>
      <w:jc w:val="center"/>
      <w:textAlignment w:val="top"/>
    </w:pPr>
    <w:rPr>
      <w:rFonts w:eastAsia="Times New Roman"/>
      <w:b/>
      <w:bCs/>
      <w:lang w:val="en-US" w:eastAsia="en-US"/>
    </w:rPr>
  </w:style>
  <w:style w:type="paragraph" w:customStyle="1" w:styleId="xl251">
    <w:name w:val="xl251"/>
    <w:basedOn w:val="Normal"/>
    <w:qFormat/>
    <w:pPr>
      <w:pBdr>
        <w:top w:val="single" w:sz="4" w:space="0" w:color="auto"/>
        <w:left w:val="single" w:sz="4" w:space="0" w:color="auto"/>
        <w:bottom w:val="single" w:sz="4" w:space="0" w:color="auto"/>
        <w:right w:val="single" w:sz="8" w:space="0" w:color="auto"/>
      </w:pBdr>
      <w:shd w:val="clear" w:color="000000" w:fill="DCE6F1"/>
      <w:spacing w:before="100" w:beforeAutospacing="1" w:after="100" w:afterAutospacing="1"/>
      <w:textAlignment w:val="center"/>
    </w:pPr>
    <w:rPr>
      <w:rFonts w:eastAsia="Times New Roman"/>
      <w:sz w:val="20"/>
      <w:szCs w:val="20"/>
      <w:lang w:val="en-US" w:eastAsia="en-US"/>
    </w:rPr>
  </w:style>
  <w:style w:type="paragraph" w:customStyle="1" w:styleId="xl252">
    <w:name w:val="xl252"/>
    <w:basedOn w:val="Normal"/>
    <w:qFormat/>
    <w:pPr>
      <w:pBdr>
        <w:top w:val="single" w:sz="4" w:space="0" w:color="auto"/>
        <w:left w:val="single" w:sz="4" w:space="0" w:color="auto"/>
        <w:bottom w:val="single" w:sz="4" w:space="0" w:color="auto"/>
        <w:right w:val="single" w:sz="8" w:space="0" w:color="auto"/>
      </w:pBdr>
      <w:shd w:val="clear" w:color="000000" w:fill="FDE9D9"/>
      <w:spacing w:before="100" w:beforeAutospacing="1" w:after="100" w:afterAutospacing="1"/>
      <w:textAlignment w:val="center"/>
    </w:pPr>
    <w:rPr>
      <w:rFonts w:eastAsia="Times New Roman"/>
      <w:sz w:val="20"/>
      <w:szCs w:val="20"/>
      <w:lang w:val="en-US" w:eastAsia="en-US"/>
    </w:rPr>
  </w:style>
  <w:style w:type="paragraph" w:customStyle="1" w:styleId="xl253">
    <w:name w:val="xl253"/>
    <w:basedOn w:val="Normal"/>
    <w:qFormat/>
    <w:pPr>
      <w:pBdr>
        <w:top w:val="single" w:sz="8" w:space="0" w:color="auto"/>
        <w:left w:val="single" w:sz="8"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eastAsia="Times New Roman"/>
      <w:b/>
      <w:bCs/>
      <w:color w:val="000000"/>
      <w:sz w:val="16"/>
      <w:szCs w:val="16"/>
      <w:lang w:val="en-US" w:eastAsia="en-US"/>
    </w:rPr>
  </w:style>
  <w:style w:type="paragraph" w:customStyle="1" w:styleId="xl254">
    <w:name w:val="xl254"/>
    <w:basedOn w:val="Normal"/>
    <w:qFormat/>
    <w:pPr>
      <w:pBdr>
        <w:top w:val="single" w:sz="8" w:space="0" w:color="auto"/>
        <w:left w:val="single" w:sz="4" w:space="0" w:color="auto"/>
        <w:bottom w:val="single" w:sz="4" w:space="0" w:color="auto"/>
      </w:pBdr>
      <w:shd w:val="clear" w:color="000000" w:fill="FDE9D9"/>
      <w:spacing w:before="100" w:beforeAutospacing="1" w:after="100" w:afterAutospacing="1"/>
      <w:jc w:val="center"/>
      <w:textAlignment w:val="center"/>
    </w:pPr>
    <w:rPr>
      <w:rFonts w:eastAsia="Times New Roman"/>
      <w:b/>
      <w:bCs/>
      <w:color w:val="000000"/>
      <w:sz w:val="16"/>
      <w:szCs w:val="16"/>
      <w:lang w:val="en-US" w:eastAsia="en-US"/>
    </w:rPr>
  </w:style>
  <w:style w:type="paragraph" w:customStyle="1" w:styleId="xl255">
    <w:name w:val="xl255"/>
    <w:basedOn w:val="Normal"/>
    <w:qFormat/>
    <w:pPr>
      <w:pBdr>
        <w:top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eastAsia="Times New Roman"/>
      <w:b/>
      <w:bCs/>
      <w:color w:val="000000"/>
      <w:sz w:val="16"/>
      <w:szCs w:val="16"/>
      <w:lang w:val="en-US" w:eastAsia="en-US"/>
    </w:rPr>
  </w:style>
  <w:style w:type="paragraph" w:customStyle="1" w:styleId="xl256">
    <w:name w:val="xl256"/>
    <w:basedOn w:val="Normal"/>
    <w:qFormat/>
    <w:pPr>
      <w:pBdr>
        <w:top w:val="single" w:sz="4" w:space="0" w:color="auto"/>
        <w:left w:val="single" w:sz="4" w:space="0" w:color="auto"/>
        <w:bottom w:val="single" w:sz="4" w:space="0" w:color="auto"/>
        <w:right w:val="single" w:sz="8" w:space="0" w:color="auto"/>
      </w:pBdr>
      <w:shd w:val="clear" w:color="000000" w:fill="DCE6F1"/>
      <w:spacing w:before="100" w:beforeAutospacing="1" w:after="100" w:afterAutospacing="1"/>
      <w:jc w:val="center"/>
      <w:textAlignment w:val="center"/>
    </w:pPr>
    <w:rPr>
      <w:rFonts w:eastAsia="Times New Roman"/>
      <w:b/>
      <w:bCs/>
      <w:color w:val="000000"/>
      <w:sz w:val="16"/>
      <w:szCs w:val="16"/>
      <w:lang w:val="en-US" w:eastAsia="en-US"/>
    </w:rPr>
  </w:style>
  <w:style w:type="paragraph" w:customStyle="1" w:styleId="xl257">
    <w:name w:val="xl257"/>
    <w:basedOn w:val="Normal"/>
    <w:qFormat/>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16"/>
      <w:szCs w:val="16"/>
      <w:lang w:val="en-US" w:eastAsia="en-US"/>
    </w:rPr>
  </w:style>
  <w:style w:type="paragraph" w:customStyle="1" w:styleId="xl258">
    <w:name w:val="xl258"/>
    <w:basedOn w:val="Normal"/>
    <w:qFormat/>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color w:val="000000"/>
      <w:sz w:val="16"/>
      <w:szCs w:val="16"/>
      <w:lang w:val="en-US" w:eastAsia="en-US"/>
    </w:rPr>
  </w:style>
  <w:style w:type="paragraph" w:customStyle="1" w:styleId="xl259">
    <w:name w:val="xl259"/>
    <w:basedOn w:val="Normal"/>
    <w:qFormat/>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eastAsia="Times New Roman"/>
      <w:sz w:val="16"/>
      <w:szCs w:val="16"/>
      <w:lang w:val="en-US" w:eastAsia="en-US"/>
    </w:rPr>
  </w:style>
  <w:style w:type="paragraph" w:customStyle="1" w:styleId="xl260">
    <w:name w:val="xl260"/>
    <w:basedOn w:val="Normal"/>
    <w:pPr>
      <w:pBdr>
        <w:top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rFonts w:eastAsia="Times New Roman"/>
      <w:color w:val="000000"/>
      <w:sz w:val="16"/>
      <w:szCs w:val="16"/>
      <w:lang w:val="en-US" w:eastAsia="en-US"/>
    </w:rPr>
  </w:style>
  <w:style w:type="paragraph" w:customStyle="1" w:styleId="xl261">
    <w:name w:val="xl261"/>
    <w:basedOn w:val="Normal"/>
    <w:qFormat/>
    <w:pPr>
      <w:pBdr>
        <w:top w:val="single" w:sz="4" w:space="0" w:color="auto"/>
        <w:left w:val="single" w:sz="4" w:space="0" w:color="auto"/>
        <w:bottom w:val="single" w:sz="4" w:space="0" w:color="auto"/>
        <w:right w:val="single" w:sz="8" w:space="0" w:color="auto"/>
      </w:pBdr>
      <w:shd w:val="clear" w:color="000000" w:fill="B8CCE4"/>
      <w:spacing w:before="100" w:beforeAutospacing="1" w:after="100" w:afterAutospacing="1"/>
      <w:jc w:val="center"/>
      <w:textAlignment w:val="center"/>
    </w:pPr>
    <w:rPr>
      <w:rFonts w:eastAsia="Times New Roman"/>
      <w:color w:val="000000"/>
      <w:sz w:val="16"/>
      <w:szCs w:val="16"/>
      <w:lang w:val="en-US" w:eastAsia="en-US"/>
    </w:rPr>
  </w:style>
  <w:style w:type="paragraph" w:customStyle="1" w:styleId="xl262">
    <w:name w:val="xl262"/>
    <w:basedOn w:val="Normal"/>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color w:val="000000"/>
      <w:sz w:val="16"/>
      <w:szCs w:val="16"/>
      <w:lang w:val="en-US" w:eastAsia="en-US"/>
    </w:rPr>
  </w:style>
  <w:style w:type="paragraph" w:customStyle="1" w:styleId="xl263">
    <w:name w:val="xl263"/>
    <w:basedOn w:val="Normal"/>
    <w:qFormat/>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sz w:val="20"/>
      <w:szCs w:val="20"/>
      <w:lang w:val="en-US" w:eastAsia="en-US"/>
    </w:rPr>
  </w:style>
  <w:style w:type="paragraph" w:customStyle="1" w:styleId="xl264">
    <w:name w:val="xl264"/>
    <w:basedOn w:val="Normal"/>
    <w:qFormat/>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eastAsia="Times New Roman"/>
      <w:b/>
      <w:bCs/>
      <w:color w:val="000000"/>
      <w:sz w:val="16"/>
      <w:szCs w:val="16"/>
      <w:lang w:val="en-US" w:eastAsia="en-US"/>
    </w:rPr>
  </w:style>
  <w:style w:type="paragraph" w:customStyle="1" w:styleId="xl265">
    <w:name w:val="xl265"/>
    <w:basedOn w:val="Normal"/>
    <w:qFormat/>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rFonts w:eastAsia="Times New Roman"/>
      <w:b/>
      <w:bCs/>
      <w:color w:val="000000"/>
      <w:sz w:val="16"/>
      <w:szCs w:val="16"/>
      <w:lang w:val="en-US" w:eastAsia="en-US"/>
    </w:rPr>
  </w:style>
  <w:style w:type="paragraph" w:customStyle="1" w:styleId="xl266">
    <w:name w:val="xl266"/>
    <w:basedOn w:val="Normal"/>
    <w:qFormat/>
    <w:pPr>
      <w:pBdr>
        <w:top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eastAsia="Times New Roman"/>
      <w:color w:val="000000"/>
      <w:sz w:val="16"/>
      <w:szCs w:val="16"/>
      <w:lang w:val="en-US" w:eastAsia="en-US"/>
    </w:rPr>
  </w:style>
  <w:style w:type="paragraph" w:customStyle="1" w:styleId="xl267">
    <w:name w:val="xl267"/>
    <w:basedOn w:val="Normal"/>
    <w:qFormat/>
    <w:pPr>
      <w:pBdr>
        <w:top w:val="single" w:sz="4" w:space="0" w:color="auto"/>
        <w:left w:val="single" w:sz="4" w:space="0" w:color="auto"/>
        <w:bottom w:val="single" w:sz="4" w:space="0" w:color="auto"/>
        <w:right w:val="single" w:sz="8" w:space="0" w:color="auto"/>
      </w:pBdr>
      <w:shd w:val="clear" w:color="000000" w:fill="C5D9F1"/>
      <w:spacing w:before="100" w:beforeAutospacing="1" w:after="100" w:afterAutospacing="1"/>
      <w:jc w:val="center"/>
      <w:textAlignment w:val="center"/>
    </w:pPr>
    <w:rPr>
      <w:rFonts w:eastAsia="Times New Roman"/>
      <w:color w:val="000000"/>
      <w:sz w:val="16"/>
      <w:szCs w:val="16"/>
      <w:lang w:val="en-US" w:eastAsia="en-US"/>
    </w:rPr>
  </w:style>
  <w:style w:type="paragraph" w:customStyle="1" w:styleId="xl268">
    <w:name w:val="xl268"/>
    <w:basedOn w:val="Normal"/>
    <w:qFormat/>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16"/>
      <w:szCs w:val="16"/>
      <w:lang w:val="en-US" w:eastAsia="en-US"/>
    </w:rPr>
  </w:style>
  <w:style w:type="paragraph" w:customStyle="1" w:styleId="xl269">
    <w:name w:val="xl269"/>
    <w:basedOn w:val="Normal"/>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color w:val="000000"/>
      <w:sz w:val="16"/>
      <w:szCs w:val="16"/>
      <w:lang w:val="en-US" w:eastAsia="en-US"/>
    </w:rPr>
  </w:style>
  <w:style w:type="paragraph" w:customStyle="1" w:styleId="xl270">
    <w:name w:val="xl270"/>
    <w:basedOn w:val="Normal"/>
    <w:pPr>
      <w:pBdr>
        <w:top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eastAsia="Times New Roman"/>
      <w:b/>
      <w:bCs/>
      <w:color w:val="000000"/>
      <w:sz w:val="16"/>
      <w:szCs w:val="16"/>
      <w:lang w:val="en-US" w:eastAsia="en-US"/>
    </w:rPr>
  </w:style>
  <w:style w:type="paragraph" w:customStyle="1" w:styleId="xl271">
    <w:name w:val="xl271"/>
    <w:basedOn w:val="Normal"/>
    <w:qFormat/>
    <w:pPr>
      <w:pBdr>
        <w:top w:val="single" w:sz="4" w:space="0" w:color="auto"/>
        <w:left w:val="single" w:sz="4" w:space="0" w:color="auto"/>
        <w:bottom w:val="single" w:sz="4" w:space="0" w:color="auto"/>
        <w:right w:val="single" w:sz="8" w:space="0" w:color="auto"/>
      </w:pBdr>
      <w:shd w:val="clear" w:color="000000" w:fill="C5D9F1"/>
      <w:spacing w:before="100" w:beforeAutospacing="1" w:after="100" w:afterAutospacing="1"/>
      <w:jc w:val="center"/>
      <w:textAlignment w:val="center"/>
    </w:pPr>
    <w:rPr>
      <w:rFonts w:eastAsia="Times New Roman"/>
      <w:b/>
      <w:bCs/>
      <w:color w:val="000000"/>
      <w:sz w:val="16"/>
      <w:szCs w:val="16"/>
      <w:lang w:val="en-US" w:eastAsia="en-US"/>
    </w:rPr>
  </w:style>
  <w:style w:type="paragraph" w:customStyle="1" w:styleId="xl272">
    <w:name w:val="xl272"/>
    <w:basedOn w:val="Normal"/>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eastAsia="Times New Roman"/>
      <w:b/>
      <w:bCs/>
      <w:sz w:val="16"/>
      <w:szCs w:val="16"/>
      <w:lang w:val="en-US" w:eastAsia="en-US"/>
    </w:rPr>
  </w:style>
  <w:style w:type="paragraph" w:customStyle="1" w:styleId="xl273">
    <w:name w:val="xl273"/>
    <w:basedOn w:val="Normal"/>
    <w:qFormat/>
    <w:pPr>
      <w:pBdr>
        <w:top w:val="single" w:sz="4" w:space="0" w:color="auto"/>
        <w:left w:val="single" w:sz="4" w:space="0" w:color="auto"/>
        <w:bottom w:val="single" w:sz="4" w:space="0" w:color="auto"/>
        <w:right w:val="single" w:sz="8" w:space="0" w:color="auto"/>
      </w:pBdr>
      <w:shd w:val="clear" w:color="000000" w:fill="FDE9D9"/>
      <w:spacing w:before="100" w:beforeAutospacing="1" w:after="100" w:afterAutospacing="1"/>
      <w:jc w:val="center"/>
      <w:textAlignment w:val="center"/>
    </w:pPr>
    <w:rPr>
      <w:rFonts w:eastAsia="Times New Roman"/>
      <w:b/>
      <w:bCs/>
      <w:sz w:val="16"/>
      <w:szCs w:val="16"/>
      <w:lang w:val="en-US" w:eastAsia="en-US"/>
    </w:rPr>
  </w:style>
  <w:style w:type="paragraph" w:customStyle="1" w:styleId="xl274">
    <w:name w:val="xl274"/>
    <w:basedOn w:val="Normal"/>
    <w:pPr>
      <w:pBdr>
        <w:top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eastAsia="Times New Roman"/>
      <w:color w:val="000000"/>
      <w:sz w:val="16"/>
      <w:szCs w:val="16"/>
      <w:lang w:val="en-US" w:eastAsia="en-US"/>
    </w:rPr>
  </w:style>
  <w:style w:type="paragraph" w:customStyle="1" w:styleId="xl275">
    <w:name w:val="xl275"/>
    <w:basedOn w:val="Normal"/>
    <w:qFormat/>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sz w:val="20"/>
      <w:szCs w:val="20"/>
      <w:lang w:val="en-US" w:eastAsia="en-US"/>
    </w:rPr>
  </w:style>
  <w:style w:type="paragraph" w:customStyle="1" w:styleId="xl276">
    <w:name w:val="xl276"/>
    <w:basedOn w:val="Normal"/>
    <w:qFormat/>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eastAsia="Times New Roman"/>
      <w:color w:val="000000"/>
      <w:sz w:val="20"/>
      <w:szCs w:val="20"/>
      <w:lang w:val="en-US" w:eastAsia="en-US"/>
    </w:rPr>
  </w:style>
  <w:style w:type="paragraph" w:customStyle="1" w:styleId="xl277">
    <w:name w:val="xl277"/>
    <w:basedOn w:val="Normal"/>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eastAsia="Times New Roman"/>
      <w:color w:val="000000"/>
      <w:sz w:val="20"/>
      <w:szCs w:val="20"/>
      <w:lang w:val="en-US" w:eastAsia="en-US"/>
    </w:rPr>
  </w:style>
  <w:style w:type="paragraph" w:customStyle="1" w:styleId="xl278">
    <w:name w:val="xl27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0"/>
      <w:szCs w:val="20"/>
      <w:lang w:val="en-US" w:eastAsia="en-US"/>
    </w:rPr>
  </w:style>
  <w:style w:type="paragraph" w:customStyle="1" w:styleId="xl279">
    <w:name w:val="xl279"/>
    <w:basedOn w:val="Normal"/>
    <w:qFormat/>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color w:val="000000"/>
      <w:sz w:val="20"/>
      <w:szCs w:val="20"/>
      <w:lang w:val="en-US" w:eastAsia="en-US"/>
    </w:rPr>
  </w:style>
  <w:style w:type="paragraph" w:customStyle="1" w:styleId="xl280">
    <w:name w:val="xl280"/>
    <w:basedOn w:val="Normal"/>
    <w:qFormat/>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rFonts w:eastAsia="Times New Roman"/>
      <w:i/>
      <w:iCs/>
      <w:color w:val="000000"/>
      <w:sz w:val="20"/>
      <w:szCs w:val="20"/>
      <w:lang w:val="en-US" w:eastAsia="en-US"/>
    </w:rPr>
  </w:style>
  <w:style w:type="paragraph" w:customStyle="1" w:styleId="xl281">
    <w:name w:val="xl281"/>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color w:val="000000"/>
      <w:sz w:val="20"/>
      <w:szCs w:val="20"/>
      <w:lang w:val="en-US" w:eastAsia="en-US"/>
    </w:rPr>
  </w:style>
  <w:style w:type="paragraph" w:customStyle="1" w:styleId="xl282">
    <w:name w:val="xl282"/>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szCs w:val="20"/>
      <w:lang w:val="en-US" w:eastAsia="en-US"/>
    </w:rPr>
  </w:style>
  <w:style w:type="paragraph" w:customStyle="1" w:styleId="xl283">
    <w:name w:val="xl283"/>
    <w:basedOn w:val="Normal"/>
    <w:qFormat/>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rFonts w:eastAsia="Times New Roman"/>
      <w:color w:val="000000"/>
      <w:sz w:val="20"/>
      <w:szCs w:val="20"/>
      <w:lang w:val="en-US" w:eastAsia="en-US"/>
    </w:rPr>
  </w:style>
  <w:style w:type="paragraph" w:customStyle="1" w:styleId="xl284">
    <w:name w:val="xl28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val="en-US" w:eastAsia="en-US"/>
    </w:rPr>
  </w:style>
  <w:style w:type="paragraph" w:customStyle="1" w:styleId="xl285">
    <w:name w:val="xl285"/>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i/>
      <w:iCs/>
      <w:lang w:val="en-US" w:eastAsia="en-US"/>
    </w:rPr>
  </w:style>
  <w:style w:type="paragraph" w:customStyle="1" w:styleId="xl286">
    <w:name w:val="xl286"/>
    <w:basedOn w:val="Normal"/>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eastAsia="Times New Roman"/>
      <w:b/>
      <w:bCs/>
      <w:color w:val="000000"/>
      <w:sz w:val="20"/>
      <w:szCs w:val="20"/>
      <w:lang w:val="en-US" w:eastAsia="en-US"/>
    </w:rPr>
  </w:style>
  <w:style w:type="paragraph" w:customStyle="1" w:styleId="xl287">
    <w:name w:val="xl287"/>
    <w:basedOn w:val="Normal"/>
    <w:qFormat/>
    <w:pPr>
      <w:pBdr>
        <w:top w:val="single" w:sz="4" w:space="0" w:color="auto"/>
        <w:left w:val="single" w:sz="4" w:space="0" w:color="auto"/>
        <w:bottom w:val="single" w:sz="4" w:space="0" w:color="auto"/>
        <w:right w:val="single" w:sz="8" w:space="0" w:color="auto"/>
      </w:pBdr>
      <w:shd w:val="clear" w:color="000000" w:fill="FDE9D9"/>
      <w:spacing w:before="100" w:beforeAutospacing="1" w:after="100" w:afterAutospacing="1"/>
      <w:jc w:val="center"/>
      <w:textAlignment w:val="center"/>
    </w:pPr>
    <w:rPr>
      <w:rFonts w:eastAsia="Times New Roman"/>
      <w:b/>
      <w:bCs/>
      <w:color w:val="000000"/>
      <w:sz w:val="20"/>
      <w:szCs w:val="20"/>
      <w:lang w:val="en-US" w:eastAsia="en-US"/>
    </w:rPr>
  </w:style>
  <w:style w:type="paragraph" w:customStyle="1" w:styleId="xl288">
    <w:name w:val="xl288"/>
    <w:basedOn w:val="Normal"/>
    <w:qFormat/>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eastAsia="Times New Roman"/>
      <w:b/>
      <w:bCs/>
      <w:color w:val="000000"/>
      <w:sz w:val="20"/>
      <w:szCs w:val="20"/>
      <w:lang w:val="en-US" w:eastAsia="en-US"/>
    </w:rPr>
  </w:style>
  <w:style w:type="paragraph" w:customStyle="1" w:styleId="xl289">
    <w:name w:val="xl289"/>
    <w:basedOn w:val="Normal"/>
    <w:pPr>
      <w:pBdr>
        <w:top w:val="single" w:sz="4" w:space="0" w:color="auto"/>
        <w:left w:val="single" w:sz="4" w:space="0" w:color="auto"/>
        <w:bottom w:val="single" w:sz="4" w:space="0" w:color="auto"/>
        <w:right w:val="single" w:sz="8" w:space="0" w:color="auto"/>
      </w:pBdr>
      <w:shd w:val="clear" w:color="000000" w:fill="DCE6F1"/>
      <w:spacing w:before="100" w:beforeAutospacing="1" w:after="100" w:afterAutospacing="1"/>
      <w:jc w:val="center"/>
      <w:textAlignment w:val="center"/>
    </w:pPr>
    <w:rPr>
      <w:rFonts w:eastAsia="Times New Roman"/>
      <w:b/>
      <w:bCs/>
      <w:color w:val="000000"/>
      <w:sz w:val="20"/>
      <w:szCs w:val="20"/>
      <w:lang w:val="en-US" w:eastAsia="en-US"/>
    </w:rPr>
  </w:style>
  <w:style w:type="paragraph" w:customStyle="1" w:styleId="xl290">
    <w:name w:val="xl290"/>
    <w:basedOn w:val="Normal"/>
    <w:qFormat/>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rFonts w:eastAsia="Times New Roman"/>
      <w:b/>
      <w:bCs/>
      <w:i/>
      <w:iCs/>
      <w:color w:val="000000"/>
      <w:sz w:val="20"/>
      <w:szCs w:val="20"/>
      <w:lang w:val="en-US" w:eastAsia="en-US"/>
    </w:rPr>
  </w:style>
  <w:style w:type="paragraph" w:customStyle="1" w:styleId="xl291">
    <w:name w:val="xl291"/>
    <w:basedOn w:val="Normal"/>
    <w:pPr>
      <w:pBdr>
        <w:top w:val="single" w:sz="4" w:space="0" w:color="auto"/>
        <w:left w:val="single" w:sz="4" w:space="0" w:color="auto"/>
        <w:bottom w:val="single" w:sz="4" w:space="0" w:color="auto"/>
        <w:right w:val="single" w:sz="8" w:space="0" w:color="auto"/>
      </w:pBdr>
      <w:shd w:val="clear" w:color="000000" w:fill="B8CCE4"/>
      <w:spacing w:before="100" w:beforeAutospacing="1" w:after="100" w:afterAutospacing="1"/>
      <w:jc w:val="center"/>
      <w:textAlignment w:val="center"/>
    </w:pPr>
    <w:rPr>
      <w:rFonts w:eastAsia="Times New Roman"/>
      <w:b/>
      <w:bCs/>
      <w:i/>
      <w:iCs/>
      <w:color w:val="000000"/>
      <w:sz w:val="20"/>
      <w:szCs w:val="20"/>
      <w:lang w:val="en-US" w:eastAsia="en-US"/>
    </w:rPr>
  </w:style>
  <w:style w:type="paragraph" w:customStyle="1" w:styleId="xl292">
    <w:name w:val="xl292"/>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0"/>
      <w:szCs w:val="20"/>
      <w:lang w:val="en-US" w:eastAsia="en-US"/>
    </w:rPr>
  </w:style>
  <w:style w:type="paragraph" w:customStyle="1" w:styleId="xl293">
    <w:name w:val="xl293"/>
    <w:basedOn w:val="Normal"/>
    <w:qFormat/>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sz w:val="20"/>
      <w:szCs w:val="20"/>
      <w:lang w:val="en-US" w:eastAsia="en-US"/>
    </w:rPr>
  </w:style>
  <w:style w:type="paragraph" w:customStyle="1" w:styleId="xl294">
    <w:name w:val="xl29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20"/>
      <w:szCs w:val="20"/>
      <w:lang w:val="en-US" w:eastAsia="en-US"/>
    </w:rPr>
  </w:style>
  <w:style w:type="paragraph" w:customStyle="1" w:styleId="xl295">
    <w:name w:val="xl295"/>
    <w:basedOn w:val="Normal"/>
    <w:pPr>
      <w:pBdr>
        <w:top w:val="single" w:sz="4" w:space="0" w:color="auto"/>
        <w:left w:val="single" w:sz="4" w:space="0" w:color="auto"/>
        <w:bottom w:val="single" w:sz="4" w:space="0" w:color="auto"/>
      </w:pBdr>
      <w:spacing w:before="100" w:beforeAutospacing="1" w:after="100" w:afterAutospacing="1"/>
      <w:jc w:val="center"/>
    </w:pPr>
    <w:rPr>
      <w:rFonts w:eastAsia="Times New Roman"/>
      <w:b/>
      <w:bCs/>
      <w:sz w:val="20"/>
      <w:szCs w:val="20"/>
      <w:lang w:val="en-US" w:eastAsia="en-US"/>
    </w:rPr>
  </w:style>
  <w:style w:type="paragraph" w:customStyle="1" w:styleId="xl296">
    <w:name w:val="xl296"/>
    <w:basedOn w:val="Normal"/>
    <w:qFormat/>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sz w:val="20"/>
      <w:szCs w:val="20"/>
      <w:lang w:val="en-US" w:eastAsia="en-US"/>
    </w:rPr>
  </w:style>
  <w:style w:type="paragraph" w:customStyle="1" w:styleId="xl297">
    <w:name w:val="xl297"/>
    <w:basedOn w:val="Normal"/>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rFonts w:eastAsia="Times New Roman"/>
      <w:b/>
      <w:bCs/>
      <w:color w:val="000000"/>
      <w:sz w:val="20"/>
      <w:szCs w:val="20"/>
      <w:lang w:val="en-US" w:eastAsia="en-US"/>
    </w:rPr>
  </w:style>
  <w:style w:type="paragraph" w:customStyle="1" w:styleId="xl298">
    <w:name w:val="xl298"/>
    <w:basedOn w:val="Normal"/>
    <w:qFormat/>
    <w:pPr>
      <w:pBdr>
        <w:top w:val="single" w:sz="4" w:space="0" w:color="auto"/>
        <w:left w:val="single" w:sz="4" w:space="0" w:color="auto"/>
        <w:bottom w:val="single" w:sz="4" w:space="0" w:color="auto"/>
        <w:right w:val="single" w:sz="8" w:space="0" w:color="auto"/>
      </w:pBdr>
      <w:shd w:val="clear" w:color="000000" w:fill="B8CCE4"/>
      <w:spacing w:before="100" w:beforeAutospacing="1" w:after="100" w:afterAutospacing="1"/>
      <w:jc w:val="center"/>
      <w:textAlignment w:val="center"/>
    </w:pPr>
    <w:rPr>
      <w:rFonts w:eastAsia="Times New Roman"/>
      <w:b/>
      <w:bCs/>
      <w:color w:val="000000"/>
      <w:sz w:val="20"/>
      <w:szCs w:val="20"/>
      <w:lang w:val="en-US" w:eastAsia="en-US"/>
    </w:rPr>
  </w:style>
  <w:style w:type="paragraph" w:customStyle="1" w:styleId="xl299">
    <w:name w:val="xl299"/>
    <w:basedOn w:val="Normal"/>
    <w:pPr>
      <w:pBdr>
        <w:top w:val="single" w:sz="4" w:space="0" w:color="auto"/>
        <w:left w:val="single" w:sz="4" w:space="0" w:color="auto"/>
        <w:bottom w:val="single" w:sz="4" w:space="0" w:color="auto"/>
        <w:right w:val="single" w:sz="8" w:space="0" w:color="auto"/>
      </w:pBdr>
      <w:shd w:val="clear" w:color="000000" w:fill="B8CCE4"/>
      <w:spacing w:before="100" w:beforeAutospacing="1" w:after="100" w:afterAutospacing="1"/>
      <w:jc w:val="center"/>
      <w:textAlignment w:val="center"/>
    </w:pPr>
    <w:rPr>
      <w:rFonts w:eastAsia="Times New Roman"/>
      <w:b/>
      <w:bCs/>
      <w:color w:val="000000"/>
      <w:sz w:val="20"/>
      <w:szCs w:val="20"/>
      <w:lang w:val="en-US" w:eastAsia="en-US"/>
    </w:rPr>
  </w:style>
  <w:style w:type="paragraph" w:customStyle="1" w:styleId="xl300">
    <w:name w:val="xl300"/>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i/>
      <w:iCs/>
      <w:color w:val="000000"/>
      <w:sz w:val="20"/>
      <w:szCs w:val="20"/>
      <w:lang w:val="en-US" w:eastAsia="en-US"/>
    </w:rPr>
  </w:style>
  <w:style w:type="paragraph" w:customStyle="1" w:styleId="xl301">
    <w:name w:val="xl301"/>
    <w:basedOn w:val="Normal"/>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b/>
      <w:bCs/>
      <w:i/>
      <w:iCs/>
      <w:color w:val="000000"/>
      <w:sz w:val="20"/>
      <w:szCs w:val="20"/>
      <w:lang w:val="en-US" w:eastAsia="en-US"/>
    </w:rPr>
  </w:style>
  <w:style w:type="paragraph" w:customStyle="1" w:styleId="xl302">
    <w:name w:val="xl302"/>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000000"/>
      <w:sz w:val="20"/>
      <w:szCs w:val="20"/>
      <w:lang w:val="en-US" w:eastAsia="en-US"/>
    </w:rPr>
  </w:style>
  <w:style w:type="paragraph" w:customStyle="1" w:styleId="xl303">
    <w:name w:val="xl303"/>
    <w:basedOn w:val="Normal"/>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b/>
      <w:bCs/>
      <w:color w:val="000000"/>
      <w:sz w:val="20"/>
      <w:szCs w:val="20"/>
      <w:lang w:val="en-US" w:eastAsia="en-US"/>
    </w:rPr>
  </w:style>
  <w:style w:type="paragraph" w:customStyle="1" w:styleId="xl304">
    <w:name w:val="xl304"/>
    <w:basedOn w:val="Normal"/>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eastAsia="Times New Roman"/>
      <w:b/>
      <w:bCs/>
      <w:color w:val="000000"/>
      <w:sz w:val="20"/>
      <w:szCs w:val="20"/>
      <w:lang w:val="en-US" w:eastAsia="en-US"/>
    </w:rPr>
  </w:style>
  <w:style w:type="paragraph" w:customStyle="1" w:styleId="xl305">
    <w:name w:val="xl305"/>
    <w:basedOn w:val="Normal"/>
    <w:qFormat/>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eastAsia="Times New Roman"/>
      <w:b/>
      <w:bCs/>
      <w:color w:val="000000"/>
      <w:sz w:val="20"/>
      <w:szCs w:val="20"/>
      <w:lang w:val="en-US" w:eastAsia="en-US"/>
    </w:rPr>
  </w:style>
  <w:style w:type="paragraph" w:customStyle="1" w:styleId="xl306">
    <w:name w:val="xl306"/>
    <w:basedOn w:val="Normal"/>
    <w:qFormat/>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eastAsia="Times New Roman"/>
      <w:b/>
      <w:bCs/>
      <w:color w:val="000000"/>
      <w:sz w:val="16"/>
      <w:szCs w:val="16"/>
      <w:lang w:val="en-US" w:eastAsia="en-US"/>
    </w:rPr>
  </w:style>
  <w:style w:type="paragraph" w:customStyle="1" w:styleId="xl307">
    <w:name w:val="xl307"/>
    <w:basedOn w:val="Normal"/>
    <w:qFormat/>
    <w:pPr>
      <w:pBdr>
        <w:top w:val="single" w:sz="4" w:space="0" w:color="auto"/>
        <w:left w:val="single" w:sz="4" w:space="0" w:color="auto"/>
        <w:bottom w:val="single" w:sz="4" w:space="0" w:color="auto"/>
        <w:right w:val="single" w:sz="8" w:space="0" w:color="auto"/>
      </w:pBdr>
      <w:shd w:val="clear" w:color="000000" w:fill="FDE9D9"/>
      <w:spacing w:before="100" w:beforeAutospacing="1" w:after="100" w:afterAutospacing="1"/>
      <w:jc w:val="center"/>
      <w:textAlignment w:val="center"/>
    </w:pPr>
    <w:rPr>
      <w:rFonts w:eastAsia="Times New Roman"/>
      <w:b/>
      <w:bCs/>
      <w:color w:val="000000"/>
      <w:sz w:val="16"/>
      <w:szCs w:val="16"/>
      <w:lang w:val="en-US" w:eastAsia="en-US"/>
    </w:rPr>
  </w:style>
  <w:style w:type="paragraph" w:customStyle="1" w:styleId="xl308">
    <w:name w:val="xl308"/>
    <w:basedOn w:val="Normal"/>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eastAsia="Times New Roman"/>
      <w:b/>
      <w:bCs/>
      <w:color w:val="000000"/>
      <w:sz w:val="16"/>
      <w:szCs w:val="16"/>
      <w:lang w:val="en-US" w:eastAsia="en-US"/>
    </w:rPr>
  </w:style>
  <w:style w:type="paragraph" w:customStyle="1" w:styleId="xl309">
    <w:name w:val="xl309"/>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i/>
      <w:iCs/>
      <w:color w:val="000000"/>
      <w:sz w:val="16"/>
      <w:szCs w:val="16"/>
      <w:lang w:val="en-US" w:eastAsia="en-US"/>
    </w:rPr>
  </w:style>
  <w:style w:type="paragraph" w:customStyle="1" w:styleId="xl310">
    <w:name w:val="xl310"/>
    <w:basedOn w:val="Normal"/>
    <w:qFormat/>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b/>
      <w:bCs/>
      <w:i/>
      <w:iCs/>
      <w:color w:val="000000"/>
      <w:sz w:val="16"/>
      <w:szCs w:val="16"/>
      <w:lang w:val="en-US" w:eastAsia="en-US"/>
    </w:rPr>
  </w:style>
  <w:style w:type="paragraph" w:customStyle="1" w:styleId="xl311">
    <w:name w:val="xl311"/>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000000"/>
      <w:sz w:val="16"/>
      <w:szCs w:val="16"/>
      <w:lang w:val="en-US" w:eastAsia="en-US"/>
    </w:rPr>
  </w:style>
  <w:style w:type="paragraph" w:customStyle="1" w:styleId="xl312">
    <w:name w:val="xl312"/>
    <w:basedOn w:val="Normal"/>
    <w:qFormat/>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b/>
      <w:bCs/>
      <w:color w:val="000000"/>
      <w:sz w:val="16"/>
      <w:szCs w:val="16"/>
      <w:lang w:val="en-US" w:eastAsia="en-US"/>
    </w:rPr>
  </w:style>
  <w:style w:type="paragraph" w:customStyle="1" w:styleId="xl313">
    <w:name w:val="xl313"/>
    <w:basedOn w:val="Normal"/>
    <w:qFormat/>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rFonts w:eastAsia="Times New Roman"/>
      <w:b/>
      <w:bCs/>
      <w:sz w:val="16"/>
      <w:szCs w:val="16"/>
      <w:lang w:val="en-US" w:eastAsia="en-US"/>
    </w:rPr>
  </w:style>
  <w:style w:type="paragraph" w:customStyle="1" w:styleId="xl314">
    <w:name w:val="xl314"/>
    <w:basedOn w:val="Normal"/>
    <w:pPr>
      <w:pBdr>
        <w:top w:val="single" w:sz="4" w:space="0" w:color="auto"/>
        <w:left w:val="single" w:sz="4" w:space="0" w:color="auto"/>
        <w:bottom w:val="single" w:sz="4" w:space="0" w:color="auto"/>
        <w:right w:val="single" w:sz="8" w:space="0" w:color="auto"/>
      </w:pBdr>
      <w:shd w:val="clear" w:color="000000" w:fill="B8CCE4"/>
      <w:spacing w:before="100" w:beforeAutospacing="1" w:after="100" w:afterAutospacing="1"/>
      <w:jc w:val="center"/>
      <w:textAlignment w:val="center"/>
    </w:pPr>
    <w:rPr>
      <w:rFonts w:eastAsia="Times New Roman"/>
      <w:b/>
      <w:bCs/>
      <w:sz w:val="16"/>
      <w:szCs w:val="16"/>
      <w:lang w:val="en-US" w:eastAsia="en-US"/>
    </w:rPr>
  </w:style>
  <w:style w:type="paragraph" w:customStyle="1" w:styleId="xl315">
    <w:name w:val="xl315"/>
    <w:basedOn w:val="Normal"/>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b/>
      <w:bCs/>
      <w:color w:val="000000"/>
      <w:sz w:val="16"/>
      <w:szCs w:val="16"/>
      <w:lang w:val="en-US" w:eastAsia="en-US"/>
    </w:rPr>
  </w:style>
  <w:style w:type="paragraph" w:customStyle="1" w:styleId="xl316">
    <w:name w:val="xl316"/>
    <w:basedOn w:val="Normal"/>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rFonts w:eastAsia="Times New Roman"/>
      <w:b/>
      <w:bCs/>
      <w:color w:val="000000"/>
      <w:sz w:val="16"/>
      <w:szCs w:val="16"/>
      <w:lang w:val="en-US" w:eastAsia="en-US"/>
    </w:rPr>
  </w:style>
  <w:style w:type="paragraph" w:customStyle="1" w:styleId="xl317">
    <w:name w:val="xl317"/>
    <w:basedOn w:val="Normal"/>
    <w:qFormat/>
    <w:pPr>
      <w:pBdr>
        <w:top w:val="single" w:sz="4" w:space="0" w:color="auto"/>
        <w:left w:val="single" w:sz="4" w:space="0" w:color="auto"/>
        <w:bottom w:val="single" w:sz="4" w:space="0" w:color="auto"/>
        <w:right w:val="single" w:sz="8" w:space="0" w:color="auto"/>
      </w:pBdr>
      <w:shd w:val="clear" w:color="000000" w:fill="B8CCE4"/>
      <w:spacing w:before="100" w:beforeAutospacing="1" w:after="100" w:afterAutospacing="1"/>
      <w:jc w:val="center"/>
      <w:textAlignment w:val="center"/>
    </w:pPr>
    <w:rPr>
      <w:rFonts w:eastAsia="Times New Roman"/>
      <w:b/>
      <w:bCs/>
      <w:color w:val="000000"/>
      <w:sz w:val="16"/>
      <w:szCs w:val="16"/>
      <w:lang w:val="en-US" w:eastAsia="en-US"/>
    </w:rPr>
  </w:style>
  <w:style w:type="paragraph" w:customStyle="1" w:styleId="xl318">
    <w:name w:val="xl318"/>
    <w:basedOn w:val="Normal"/>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eastAsia="Times New Roman"/>
      <w:b/>
      <w:bCs/>
      <w:i/>
      <w:iCs/>
      <w:color w:val="000000"/>
      <w:sz w:val="16"/>
      <w:szCs w:val="16"/>
      <w:lang w:val="en-US" w:eastAsia="en-US"/>
    </w:rPr>
  </w:style>
  <w:style w:type="paragraph" w:customStyle="1" w:styleId="xl319">
    <w:name w:val="xl319"/>
    <w:basedOn w:val="Normal"/>
    <w:pPr>
      <w:pBdr>
        <w:top w:val="single" w:sz="4" w:space="0" w:color="auto"/>
        <w:left w:val="single" w:sz="4" w:space="0" w:color="auto"/>
        <w:bottom w:val="single" w:sz="4" w:space="0" w:color="auto"/>
        <w:right w:val="single" w:sz="8" w:space="0" w:color="auto"/>
      </w:pBdr>
      <w:shd w:val="clear" w:color="000000" w:fill="FDE9D9"/>
      <w:spacing w:before="100" w:beforeAutospacing="1" w:after="100" w:afterAutospacing="1"/>
      <w:jc w:val="center"/>
      <w:textAlignment w:val="center"/>
    </w:pPr>
    <w:rPr>
      <w:rFonts w:eastAsia="Times New Roman"/>
      <w:b/>
      <w:bCs/>
      <w:i/>
      <w:iCs/>
      <w:color w:val="000000"/>
      <w:sz w:val="16"/>
      <w:szCs w:val="16"/>
      <w:lang w:val="en-US" w:eastAsia="en-US"/>
    </w:rPr>
  </w:style>
  <w:style w:type="paragraph" w:customStyle="1" w:styleId="xl320">
    <w:name w:val="xl320"/>
    <w:basedOn w:val="Normal"/>
    <w:qFormat/>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eastAsia="Times New Roman"/>
      <w:b/>
      <w:bCs/>
      <w:i/>
      <w:iCs/>
      <w:color w:val="000000"/>
      <w:sz w:val="16"/>
      <w:szCs w:val="16"/>
      <w:lang w:val="en-US" w:eastAsia="en-US"/>
    </w:rPr>
  </w:style>
  <w:style w:type="paragraph" w:customStyle="1" w:styleId="xl321">
    <w:name w:val="xl321"/>
    <w:basedOn w:val="Normal"/>
    <w:pPr>
      <w:pBdr>
        <w:top w:val="single" w:sz="4" w:space="0" w:color="auto"/>
        <w:left w:val="single" w:sz="4" w:space="0" w:color="auto"/>
        <w:bottom w:val="single" w:sz="4" w:space="0" w:color="auto"/>
      </w:pBdr>
      <w:spacing w:before="100" w:beforeAutospacing="1" w:after="100" w:afterAutospacing="1"/>
      <w:jc w:val="center"/>
      <w:textAlignment w:val="top"/>
    </w:pPr>
    <w:rPr>
      <w:rFonts w:eastAsia="Times New Roman"/>
      <w:b/>
      <w:bCs/>
      <w:i/>
      <w:iCs/>
      <w:lang w:val="en-US" w:eastAsia="en-US"/>
    </w:rPr>
  </w:style>
  <w:style w:type="paragraph" w:customStyle="1" w:styleId="xl322">
    <w:name w:val="xl322"/>
    <w:basedOn w:val="Normal"/>
    <w:qFormat/>
    <w:pPr>
      <w:pBdr>
        <w:top w:val="single" w:sz="4" w:space="0" w:color="auto"/>
        <w:left w:val="single" w:sz="4" w:space="0" w:color="auto"/>
        <w:bottom w:val="single" w:sz="4" w:space="0" w:color="auto"/>
      </w:pBdr>
      <w:spacing w:before="100" w:beforeAutospacing="1" w:after="100" w:afterAutospacing="1"/>
      <w:jc w:val="center"/>
      <w:textAlignment w:val="top"/>
    </w:pPr>
    <w:rPr>
      <w:rFonts w:eastAsia="Times New Roman"/>
      <w:b/>
      <w:bCs/>
      <w:lang w:val="en-US" w:eastAsia="en-US"/>
    </w:rPr>
  </w:style>
  <w:style w:type="paragraph" w:customStyle="1" w:styleId="xl323">
    <w:name w:val="xl323"/>
    <w:basedOn w:val="Normal"/>
    <w:qFormat/>
    <w:pPr>
      <w:pBdr>
        <w:top w:val="single" w:sz="4" w:space="0" w:color="auto"/>
        <w:left w:val="single" w:sz="4" w:space="0" w:color="auto"/>
        <w:bottom w:val="single" w:sz="4" w:space="0" w:color="auto"/>
      </w:pBdr>
      <w:shd w:val="clear" w:color="000000" w:fill="B8CCE4"/>
      <w:spacing w:before="100" w:beforeAutospacing="1" w:after="100" w:afterAutospacing="1"/>
      <w:jc w:val="center"/>
      <w:textAlignment w:val="top"/>
    </w:pPr>
    <w:rPr>
      <w:rFonts w:eastAsia="Times New Roman"/>
      <w:b/>
      <w:bCs/>
      <w:i/>
      <w:iCs/>
      <w:lang w:val="en-US" w:eastAsia="en-US"/>
    </w:rPr>
  </w:style>
  <w:style w:type="paragraph" w:customStyle="1" w:styleId="xl324">
    <w:name w:val="xl324"/>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b/>
      <w:bCs/>
      <w:i/>
      <w:iCs/>
      <w:lang w:val="en-US" w:eastAsia="en-US"/>
    </w:rPr>
  </w:style>
  <w:style w:type="paragraph" w:customStyle="1" w:styleId="xl325">
    <w:name w:val="xl325"/>
    <w:basedOn w:val="Normal"/>
    <w:qFormat/>
    <w:pPr>
      <w:pBdr>
        <w:top w:val="single" w:sz="4" w:space="0" w:color="auto"/>
        <w:left w:val="single" w:sz="4" w:space="0" w:color="auto"/>
        <w:bottom w:val="single" w:sz="4" w:space="0" w:color="auto"/>
      </w:pBdr>
      <w:shd w:val="clear" w:color="000000" w:fill="B8CCE4"/>
      <w:spacing w:before="100" w:beforeAutospacing="1" w:after="100" w:afterAutospacing="1"/>
      <w:jc w:val="center"/>
    </w:pPr>
    <w:rPr>
      <w:rFonts w:eastAsia="Times New Roman"/>
      <w:b/>
      <w:bCs/>
      <w:lang w:val="en-US" w:eastAsia="en-US"/>
    </w:rPr>
  </w:style>
  <w:style w:type="paragraph" w:customStyle="1" w:styleId="xl326">
    <w:name w:val="xl326"/>
    <w:basedOn w:val="Normal"/>
    <w:qFormat/>
    <w:pPr>
      <w:pBdr>
        <w:top w:val="single" w:sz="4" w:space="0" w:color="auto"/>
        <w:left w:val="single" w:sz="4" w:space="0" w:color="auto"/>
        <w:bottom w:val="single" w:sz="4" w:space="0" w:color="auto"/>
      </w:pBdr>
      <w:spacing w:before="100" w:beforeAutospacing="1" w:after="100" w:afterAutospacing="1"/>
      <w:jc w:val="center"/>
    </w:pPr>
    <w:rPr>
      <w:rFonts w:eastAsia="Times New Roman"/>
      <w:b/>
      <w:bCs/>
      <w:lang w:val="en-US" w:eastAsia="en-US"/>
    </w:rPr>
  </w:style>
  <w:style w:type="paragraph" w:customStyle="1" w:styleId="xl327">
    <w:name w:val="xl327"/>
    <w:basedOn w:val="Normal"/>
    <w:pPr>
      <w:pBdr>
        <w:top w:val="single" w:sz="4" w:space="0" w:color="auto"/>
        <w:bottom w:val="single" w:sz="4" w:space="0" w:color="auto"/>
      </w:pBdr>
      <w:shd w:val="clear" w:color="000000" w:fill="FDE9D9"/>
      <w:spacing w:before="100" w:beforeAutospacing="1" w:after="100" w:afterAutospacing="1"/>
      <w:textAlignment w:val="top"/>
    </w:pPr>
    <w:rPr>
      <w:rFonts w:eastAsia="Times New Roman"/>
      <w:b/>
      <w:bCs/>
      <w:lang w:val="en-US" w:eastAsia="en-US"/>
    </w:rPr>
  </w:style>
  <w:style w:type="paragraph" w:customStyle="1" w:styleId="xl328">
    <w:name w:val="xl328"/>
    <w:basedOn w:val="Normal"/>
    <w:qFormat/>
    <w:pPr>
      <w:pBdr>
        <w:top w:val="single" w:sz="4" w:space="0" w:color="auto"/>
        <w:bottom w:val="single" w:sz="4" w:space="0" w:color="auto"/>
        <w:right w:val="single" w:sz="4" w:space="0" w:color="auto"/>
      </w:pBdr>
      <w:shd w:val="clear" w:color="000000" w:fill="DCE6F1"/>
      <w:spacing w:before="100" w:beforeAutospacing="1" w:after="100" w:afterAutospacing="1"/>
      <w:textAlignment w:val="top"/>
    </w:pPr>
    <w:rPr>
      <w:rFonts w:eastAsia="Times New Roman"/>
      <w:b/>
      <w:bCs/>
      <w:lang w:val="en-US" w:eastAsia="en-US"/>
    </w:rPr>
  </w:style>
  <w:style w:type="paragraph" w:customStyle="1" w:styleId="xl329">
    <w:name w:val="xl329"/>
    <w:basedOn w:val="Normal"/>
    <w:pPr>
      <w:pBdr>
        <w:top w:val="single" w:sz="4" w:space="0" w:color="auto"/>
        <w:bottom w:val="single" w:sz="4" w:space="0" w:color="auto"/>
        <w:right w:val="single" w:sz="4" w:space="0" w:color="auto"/>
      </w:pBdr>
      <w:spacing w:before="100" w:beforeAutospacing="1" w:after="100" w:afterAutospacing="1"/>
      <w:textAlignment w:val="top"/>
    </w:pPr>
    <w:rPr>
      <w:rFonts w:eastAsia="Times New Roman"/>
      <w:i/>
      <w:iCs/>
      <w:lang w:val="en-US" w:eastAsia="en-US"/>
    </w:rPr>
  </w:style>
  <w:style w:type="paragraph" w:customStyle="1" w:styleId="xl330">
    <w:name w:val="xl330"/>
    <w:basedOn w:val="Normal"/>
    <w:qFormat/>
    <w:pPr>
      <w:pBdr>
        <w:top w:val="single" w:sz="4" w:space="0" w:color="auto"/>
        <w:bottom w:val="single" w:sz="4" w:space="0" w:color="auto"/>
        <w:right w:val="single" w:sz="4" w:space="0" w:color="auto"/>
      </w:pBdr>
      <w:shd w:val="clear" w:color="000000" w:fill="B8CCE4"/>
      <w:spacing w:before="100" w:beforeAutospacing="1" w:after="100" w:afterAutospacing="1"/>
      <w:textAlignment w:val="top"/>
    </w:pPr>
    <w:rPr>
      <w:rFonts w:eastAsia="Times New Roman"/>
      <w:i/>
      <w:iCs/>
      <w:lang w:val="en-US" w:eastAsia="en-US"/>
    </w:rPr>
  </w:style>
  <w:style w:type="paragraph" w:customStyle="1" w:styleId="xl331">
    <w:name w:val="xl331"/>
    <w:basedOn w:val="Normal"/>
    <w:qFormat/>
    <w:pPr>
      <w:pBdr>
        <w:top w:val="single" w:sz="4" w:space="0" w:color="auto"/>
        <w:bottom w:val="single" w:sz="4" w:space="0" w:color="auto"/>
      </w:pBdr>
      <w:shd w:val="clear" w:color="000000" w:fill="DCE6F1"/>
      <w:spacing w:before="100" w:beforeAutospacing="1" w:after="100" w:afterAutospacing="1"/>
      <w:textAlignment w:val="top"/>
    </w:pPr>
    <w:rPr>
      <w:rFonts w:eastAsia="Times New Roman"/>
      <w:b/>
      <w:bCs/>
      <w:lang w:val="en-US" w:eastAsia="en-US"/>
    </w:rPr>
  </w:style>
  <w:style w:type="paragraph" w:customStyle="1" w:styleId="xl332">
    <w:name w:val="xl332"/>
    <w:basedOn w:val="Normal"/>
    <w:qFormat/>
    <w:pPr>
      <w:pBdr>
        <w:top w:val="single" w:sz="4" w:space="0" w:color="auto"/>
        <w:bottom w:val="single" w:sz="4" w:space="0" w:color="auto"/>
      </w:pBdr>
      <w:shd w:val="clear" w:color="000000" w:fill="DCE6F1"/>
      <w:spacing w:before="100" w:beforeAutospacing="1" w:after="100" w:afterAutospacing="1"/>
      <w:jc w:val="center"/>
      <w:textAlignment w:val="top"/>
    </w:pPr>
    <w:rPr>
      <w:rFonts w:eastAsia="Times New Roman"/>
      <w:b/>
      <w:bCs/>
      <w:lang w:val="en-US" w:eastAsia="en-US"/>
    </w:rPr>
  </w:style>
  <w:style w:type="paragraph" w:customStyle="1" w:styleId="xl333">
    <w:name w:val="xl333"/>
    <w:basedOn w:val="Normal"/>
    <w:pPr>
      <w:pBdr>
        <w:top w:val="single" w:sz="4" w:space="0" w:color="auto"/>
        <w:bottom w:val="single" w:sz="4" w:space="0" w:color="auto"/>
        <w:right w:val="single" w:sz="4" w:space="0" w:color="auto"/>
      </w:pBdr>
      <w:shd w:val="clear" w:color="000000" w:fill="B8CCE4"/>
      <w:spacing w:before="100" w:beforeAutospacing="1" w:after="100" w:afterAutospacing="1"/>
    </w:pPr>
    <w:rPr>
      <w:rFonts w:eastAsia="Times New Roman"/>
      <w:b/>
      <w:bCs/>
      <w:lang w:val="en-US" w:eastAsia="en-US"/>
    </w:rPr>
  </w:style>
  <w:style w:type="paragraph" w:customStyle="1" w:styleId="xl334">
    <w:name w:val="xl334"/>
    <w:basedOn w:val="Normal"/>
    <w:qFormat/>
    <w:pPr>
      <w:pBdr>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eastAsia="Times New Roman"/>
      <w:b/>
      <w:bCs/>
      <w:lang w:val="en-US" w:eastAsia="en-US"/>
    </w:rPr>
  </w:style>
  <w:style w:type="paragraph" w:customStyle="1" w:styleId="xl335">
    <w:name w:val="xl335"/>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color w:val="000000"/>
      <w:sz w:val="16"/>
      <w:szCs w:val="16"/>
      <w:lang w:val="en-US" w:eastAsia="en-US"/>
    </w:rPr>
  </w:style>
  <w:style w:type="paragraph" w:customStyle="1" w:styleId="xl336">
    <w:name w:val="xl336"/>
    <w:basedOn w:val="Normal"/>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rFonts w:eastAsia="Times New Roman"/>
      <w:b/>
      <w:bCs/>
      <w:i/>
      <w:iCs/>
      <w:color w:val="000000"/>
      <w:sz w:val="16"/>
      <w:szCs w:val="16"/>
      <w:lang w:val="en-US" w:eastAsia="en-US"/>
    </w:rPr>
  </w:style>
  <w:style w:type="paragraph" w:customStyle="1" w:styleId="xl337">
    <w:name w:val="xl337"/>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16"/>
      <w:szCs w:val="16"/>
      <w:lang w:val="en-US" w:eastAsia="en-US"/>
    </w:rPr>
  </w:style>
  <w:style w:type="paragraph" w:customStyle="1" w:styleId="xl338">
    <w:name w:val="xl338"/>
    <w:basedOn w:val="Normal"/>
    <w:qFormat/>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rFonts w:eastAsia="Times New Roman"/>
      <w:b/>
      <w:bCs/>
      <w:color w:val="000000"/>
      <w:sz w:val="16"/>
      <w:szCs w:val="16"/>
      <w:lang w:val="en-US" w:eastAsia="en-US"/>
    </w:rPr>
  </w:style>
  <w:style w:type="paragraph" w:customStyle="1" w:styleId="xl339">
    <w:name w:val="xl339"/>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000000"/>
      <w:sz w:val="16"/>
      <w:szCs w:val="16"/>
      <w:lang w:val="en-US" w:eastAsia="en-US"/>
    </w:rPr>
  </w:style>
  <w:style w:type="paragraph" w:customStyle="1" w:styleId="xl340">
    <w:name w:val="xl34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16"/>
      <w:szCs w:val="16"/>
      <w:lang w:val="en-US" w:eastAsia="en-US"/>
    </w:rPr>
  </w:style>
  <w:style w:type="paragraph" w:customStyle="1" w:styleId="xl341">
    <w:name w:val="xl341"/>
    <w:basedOn w:val="Normal"/>
    <w:qFormat/>
    <w:pPr>
      <w:pBdr>
        <w:top w:val="single" w:sz="4" w:space="0" w:color="auto"/>
        <w:bottom w:val="single" w:sz="4" w:space="0" w:color="auto"/>
        <w:right w:val="single" w:sz="4" w:space="0" w:color="auto"/>
      </w:pBdr>
      <w:shd w:val="clear" w:color="000000" w:fill="C5D9F1"/>
      <w:spacing w:before="100" w:beforeAutospacing="1" w:after="100" w:afterAutospacing="1"/>
    </w:pPr>
    <w:rPr>
      <w:rFonts w:eastAsia="Times New Roman"/>
      <w:b/>
      <w:bCs/>
      <w:lang w:val="en-US" w:eastAsia="en-US"/>
    </w:rPr>
  </w:style>
  <w:style w:type="paragraph" w:customStyle="1" w:styleId="xl342">
    <w:name w:val="xl342"/>
    <w:basedOn w:val="Normal"/>
    <w:qFormat/>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eastAsia="Times New Roman"/>
      <w:b/>
      <w:bCs/>
      <w:color w:val="000000"/>
      <w:sz w:val="16"/>
      <w:szCs w:val="16"/>
      <w:lang w:val="en-US" w:eastAsia="en-US"/>
    </w:rPr>
  </w:style>
  <w:style w:type="paragraph" w:customStyle="1" w:styleId="xl343">
    <w:name w:val="xl343"/>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sz w:val="20"/>
      <w:szCs w:val="20"/>
      <w:lang w:val="en-US" w:eastAsia="en-US"/>
    </w:rPr>
  </w:style>
  <w:style w:type="paragraph" w:customStyle="1" w:styleId="xl344">
    <w:name w:val="xl344"/>
    <w:basedOn w:val="Normal"/>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sz w:val="20"/>
      <w:szCs w:val="20"/>
      <w:lang w:val="en-US" w:eastAsia="en-US"/>
    </w:rPr>
  </w:style>
  <w:style w:type="paragraph" w:customStyle="1" w:styleId="xl345">
    <w:name w:val="xl345"/>
    <w:basedOn w:val="Normal"/>
    <w:qFormat/>
    <w:pPr>
      <w:pBdr>
        <w:top w:val="single" w:sz="8" w:space="0" w:color="auto"/>
        <w:bottom w:val="single" w:sz="4" w:space="0" w:color="auto"/>
      </w:pBdr>
      <w:shd w:val="clear" w:color="000000" w:fill="FDE9D9"/>
      <w:spacing w:before="100" w:beforeAutospacing="1" w:after="100" w:afterAutospacing="1"/>
      <w:textAlignment w:val="top"/>
    </w:pPr>
    <w:rPr>
      <w:rFonts w:eastAsia="Times New Roman"/>
      <w:b/>
      <w:bCs/>
      <w:sz w:val="20"/>
      <w:szCs w:val="20"/>
      <w:lang w:val="en-US" w:eastAsia="en-US"/>
    </w:rPr>
  </w:style>
  <w:style w:type="paragraph" w:customStyle="1" w:styleId="xl346">
    <w:name w:val="xl346"/>
    <w:basedOn w:val="Normal"/>
    <w:qFormat/>
    <w:pPr>
      <w:pBdr>
        <w:top w:val="single" w:sz="4" w:space="0" w:color="auto"/>
        <w:bottom w:val="single" w:sz="4" w:space="0" w:color="auto"/>
        <w:right w:val="single" w:sz="4" w:space="0" w:color="auto"/>
      </w:pBdr>
      <w:shd w:val="clear" w:color="000000" w:fill="DCE6F1"/>
      <w:spacing w:before="100" w:beforeAutospacing="1" w:after="100" w:afterAutospacing="1"/>
      <w:textAlignment w:val="top"/>
    </w:pPr>
    <w:rPr>
      <w:rFonts w:eastAsia="Times New Roman"/>
      <w:b/>
      <w:bCs/>
      <w:sz w:val="20"/>
      <w:szCs w:val="20"/>
      <w:lang w:val="en-US" w:eastAsia="en-US"/>
    </w:rPr>
  </w:style>
  <w:style w:type="paragraph" w:customStyle="1" w:styleId="xl347">
    <w:name w:val="xl347"/>
    <w:basedOn w:val="Normal"/>
    <w:qFormat/>
    <w:pPr>
      <w:pBdr>
        <w:top w:val="single" w:sz="4" w:space="0" w:color="auto"/>
        <w:bottom w:val="single" w:sz="4" w:space="0" w:color="auto"/>
        <w:right w:val="single" w:sz="4" w:space="0" w:color="auto"/>
      </w:pBdr>
      <w:spacing w:before="100" w:beforeAutospacing="1" w:after="100" w:afterAutospacing="1"/>
      <w:textAlignment w:val="top"/>
    </w:pPr>
    <w:rPr>
      <w:rFonts w:eastAsia="Times New Roman"/>
      <w:i/>
      <w:iCs/>
      <w:sz w:val="20"/>
      <w:szCs w:val="20"/>
      <w:lang w:val="en-US" w:eastAsia="en-US"/>
    </w:rPr>
  </w:style>
  <w:style w:type="paragraph" w:customStyle="1" w:styleId="xl348">
    <w:name w:val="xl348"/>
    <w:basedOn w:val="Normal"/>
    <w:qFormat/>
    <w:pPr>
      <w:pBdr>
        <w:top w:val="single" w:sz="4" w:space="0" w:color="auto"/>
        <w:bottom w:val="single" w:sz="4" w:space="0" w:color="auto"/>
        <w:right w:val="single" w:sz="4" w:space="0" w:color="auto"/>
      </w:pBdr>
      <w:shd w:val="clear" w:color="000000" w:fill="B8CCE4"/>
      <w:spacing w:before="100" w:beforeAutospacing="1" w:after="100" w:afterAutospacing="1"/>
      <w:textAlignment w:val="top"/>
    </w:pPr>
    <w:rPr>
      <w:rFonts w:eastAsia="Times New Roman"/>
      <w:i/>
      <w:iCs/>
      <w:sz w:val="20"/>
      <w:szCs w:val="20"/>
      <w:lang w:val="en-US" w:eastAsia="en-US"/>
    </w:rPr>
  </w:style>
  <w:style w:type="paragraph" w:customStyle="1" w:styleId="xl349">
    <w:name w:val="xl349"/>
    <w:basedOn w:val="Normal"/>
    <w:qFormat/>
    <w:pPr>
      <w:pBdr>
        <w:top w:val="single" w:sz="4" w:space="0" w:color="auto"/>
        <w:bottom w:val="single" w:sz="4" w:space="0" w:color="auto"/>
      </w:pBdr>
      <w:shd w:val="clear" w:color="000000" w:fill="FDE9D9"/>
      <w:spacing w:before="100" w:beforeAutospacing="1" w:after="100" w:afterAutospacing="1"/>
      <w:textAlignment w:val="top"/>
    </w:pPr>
    <w:rPr>
      <w:rFonts w:eastAsia="Times New Roman"/>
      <w:b/>
      <w:bCs/>
      <w:sz w:val="20"/>
      <w:szCs w:val="20"/>
      <w:lang w:val="en-US" w:eastAsia="en-US"/>
    </w:rPr>
  </w:style>
  <w:style w:type="paragraph" w:customStyle="1" w:styleId="xl350">
    <w:name w:val="xl350"/>
    <w:basedOn w:val="Normal"/>
    <w:qFormat/>
    <w:pPr>
      <w:pBdr>
        <w:top w:val="single" w:sz="4" w:space="0" w:color="auto"/>
        <w:bottom w:val="single" w:sz="4" w:space="0" w:color="auto"/>
      </w:pBdr>
      <w:shd w:val="clear" w:color="000000" w:fill="DCE6F1"/>
      <w:spacing w:before="100" w:beforeAutospacing="1" w:after="100" w:afterAutospacing="1"/>
      <w:jc w:val="center"/>
      <w:textAlignment w:val="top"/>
    </w:pPr>
    <w:rPr>
      <w:rFonts w:eastAsia="Times New Roman"/>
      <w:b/>
      <w:bCs/>
      <w:sz w:val="20"/>
      <w:szCs w:val="20"/>
      <w:lang w:val="en-US" w:eastAsia="en-US"/>
    </w:rPr>
  </w:style>
  <w:style w:type="paragraph" w:customStyle="1" w:styleId="xl351">
    <w:name w:val="xl351"/>
    <w:basedOn w:val="Normal"/>
    <w:qFormat/>
    <w:pPr>
      <w:pBdr>
        <w:top w:val="single" w:sz="4" w:space="0" w:color="auto"/>
        <w:bottom w:val="single" w:sz="4" w:space="0" w:color="auto"/>
        <w:right w:val="single" w:sz="4" w:space="0" w:color="auto"/>
      </w:pBdr>
      <w:shd w:val="clear" w:color="000000" w:fill="C5D9F1"/>
      <w:spacing w:before="100" w:beforeAutospacing="1" w:after="100" w:afterAutospacing="1"/>
    </w:pPr>
    <w:rPr>
      <w:rFonts w:eastAsia="Times New Roman"/>
      <w:sz w:val="20"/>
      <w:szCs w:val="20"/>
      <w:lang w:val="en-US" w:eastAsia="en-US"/>
    </w:rPr>
  </w:style>
  <w:style w:type="paragraph" w:customStyle="1" w:styleId="xl352">
    <w:name w:val="xl352"/>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16"/>
      <w:szCs w:val="16"/>
      <w:lang w:val="en-US" w:eastAsia="en-US"/>
    </w:rPr>
  </w:style>
  <w:style w:type="paragraph" w:customStyle="1" w:styleId="xl353">
    <w:name w:val="xl353"/>
    <w:basedOn w:val="Normal"/>
    <w:qFormat/>
    <w:pPr>
      <w:pBdr>
        <w:top w:val="single" w:sz="4" w:space="0" w:color="auto"/>
        <w:left w:val="single" w:sz="4" w:space="0" w:color="auto"/>
      </w:pBdr>
      <w:spacing w:before="100" w:beforeAutospacing="1" w:after="100" w:afterAutospacing="1"/>
      <w:jc w:val="center"/>
      <w:textAlignment w:val="top"/>
    </w:pPr>
    <w:rPr>
      <w:rFonts w:eastAsia="Times New Roman"/>
      <w:lang w:val="en-US" w:eastAsia="en-US"/>
    </w:rPr>
  </w:style>
  <w:style w:type="paragraph" w:customStyle="1" w:styleId="xl354">
    <w:name w:val="xl354"/>
    <w:basedOn w:val="Normal"/>
    <w:qFormat/>
    <w:pPr>
      <w:pBdr>
        <w:top w:val="single" w:sz="8" w:space="0" w:color="auto"/>
        <w:left w:val="single" w:sz="4" w:space="0" w:color="auto"/>
      </w:pBdr>
      <w:shd w:val="clear" w:color="000000" w:fill="B8CCE4"/>
      <w:spacing w:before="100" w:beforeAutospacing="1" w:after="100" w:afterAutospacing="1"/>
      <w:jc w:val="center"/>
      <w:textAlignment w:val="center"/>
    </w:pPr>
    <w:rPr>
      <w:rFonts w:eastAsia="Times New Roman"/>
      <w:b/>
      <w:bCs/>
      <w:i/>
      <w:iCs/>
      <w:lang w:val="en-US" w:eastAsia="en-US"/>
    </w:rPr>
  </w:style>
  <w:style w:type="paragraph" w:customStyle="1" w:styleId="xl355">
    <w:name w:val="xl355"/>
    <w:basedOn w:val="Normal"/>
    <w:qFormat/>
    <w:pPr>
      <w:pBdr>
        <w:top w:val="single" w:sz="4" w:space="0" w:color="auto"/>
        <w:left w:val="single" w:sz="4" w:space="0" w:color="auto"/>
        <w:bottom w:val="single" w:sz="4" w:space="0" w:color="auto"/>
      </w:pBdr>
      <w:shd w:val="clear" w:color="000000" w:fill="C5D9F1"/>
      <w:spacing w:before="100" w:beforeAutospacing="1" w:after="100" w:afterAutospacing="1"/>
      <w:jc w:val="center"/>
      <w:textAlignment w:val="center"/>
    </w:pPr>
    <w:rPr>
      <w:rFonts w:eastAsia="Times New Roman"/>
      <w:b/>
      <w:bCs/>
      <w:lang w:val="en-US" w:eastAsia="en-US"/>
    </w:rPr>
  </w:style>
  <w:style w:type="paragraph" w:customStyle="1" w:styleId="xl356">
    <w:name w:val="xl356"/>
    <w:basedOn w:val="Normal"/>
    <w:qFormat/>
    <w:pPr>
      <w:pBdr>
        <w:top w:val="single" w:sz="4" w:space="0" w:color="auto"/>
        <w:left w:val="single" w:sz="4" w:space="0" w:color="auto"/>
        <w:bottom w:val="single" w:sz="4" w:space="0" w:color="auto"/>
      </w:pBdr>
      <w:spacing w:before="100" w:beforeAutospacing="1" w:after="100" w:afterAutospacing="1"/>
      <w:jc w:val="center"/>
      <w:textAlignment w:val="top"/>
    </w:pPr>
    <w:rPr>
      <w:rFonts w:eastAsia="Times New Roman"/>
      <w:lang w:val="en-US" w:eastAsia="en-US"/>
    </w:rPr>
  </w:style>
  <w:style w:type="paragraph" w:customStyle="1" w:styleId="xl357">
    <w:name w:val="xl357"/>
    <w:basedOn w:val="Normal"/>
    <w:qFormat/>
    <w:pPr>
      <w:pBdr>
        <w:top w:val="single" w:sz="4" w:space="0" w:color="auto"/>
        <w:left w:val="single" w:sz="4" w:space="0" w:color="auto"/>
      </w:pBdr>
      <w:spacing w:before="100" w:beforeAutospacing="1" w:after="100" w:afterAutospacing="1"/>
      <w:jc w:val="center"/>
      <w:textAlignment w:val="top"/>
    </w:pPr>
    <w:rPr>
      <w:rFonts w:eastAsia="Times New Roman"/>
      <w:lang w:val="en-US" w:eastAsia="en-US"/>
    </w:rPr>
  </w:style>
  <w:style w:type="paragraph" w:customStyle="1" w:styleId="xl358">
    <w:name w:val="xl358"/>
    <w:basedOn w:val="Normal"/>
    <w:qFormat/>
    <w:pPr>
      <w:pBdr>
        <w:top w:val="single" w:sz="8" w:space="0" w:color="auto"/>
        <w:bottom w:val="single" w:sz="8" w:space="0" w:color="auto"/>
        <w:right w:val="single" w:sz="4" w:space="0" w:color="auto"/>
      </w:pBdr>
      <w:shd w:val="clear" w:color="000000" w:fill="B8CCE4"/>
      <w:spacing w:before="100" w:beforeAutospacing="1" w:after="100" w:afterAutospacing="1"/>
      <w:textAlignment w:val="top"/>
    </w:pPr>
    <w:rPr>
      <w:rFonts w:eastAsia="Times New Roman"/>
      <w:i/>
      <w:iCs/>
      <w:lang w:val="en-US" w:eastAsia="en-US"/>
    </w:rPr>
  </w:style>
  <w:style w:type="paragraph" w:customStyle="1" w:styleId="xl359">
    <w:name w:val="xl359"/>
    <w:basedOn w:val="Normal"/>
    <w:qFormat/>
    <w:pPr>
      <w:pBdr>
        <w:top w:val="single" w:sz="4" w:space="0" w:color="auto"/>
        <w:bottom w:val="single" w:sz="4" w:space="0" w:color="auto"/>
        <w:right w:val="single" w:sz="4" w:space="0" w:color="auto"/>
      </w:pBdr>
      <w:shd w:val="clear" w:color="000000" w:fill="C5D9F1"/>
      <w:spacing w:before="100" w:beforeAutospacing="1" w:after="100" w:afterAutospacing="1"/>
    </w:pPr>
    <w:rPr>
      <w:rFonts w:eastAsia="Times New Roman"/>
      <w:lang w:val="en-US" w:eastAsia="en-US"/>
    </w:rPr>
  </w:style>
  <w:style w:type="paragraph" w:customStyle="1" w:styleId="xl360">
    <w:name w:val="xl360"/>
    <w:basedOn w:val="Normal"/>
    <w:qFormat/>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eastAsia="Times New Roman"/>
      <w:b/>
      <w:bCs/>
      <w:color w:val="000000"/>
      <w:sz w:val="16"/>
      <w:szCs w:val="16"/>
      <w:lang w:val="en-US" w:eastAsia="en-US"/>
    </w:rPr>
  </w:style>
  <w:style w:type="paragraph" w:customStyle="1" w:styleId="xl361">
    <w:name w:val="xl361"/>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szCs w:val="20"/>
      <w:lang w:val="en-US" w:eastAsia="en-US"/>
    </w:rPr>
  </w:style>
  <w:style w:type="paragraph" w:customStyle="1" w:styleId="xl362">
    <w:name w:val="xl362"/>
    <w:basedOn w:val="Normal"/>
    <w:qFormat/>
    <w:pPr>
      <w:pBdr>
        <w:top w:val="single" w:sz="4" w:space="0" w:color="auto"/>
        <w:left w:val="single" w:sz="4" w:space="0" w:color="auto"/>
        <w:bottom w:val="single" w:sz="4" w:space="0" w:color="auto"/>
      </w:pBdr>
      <w:shd w:val="clear" w:color="000000" w:fill="FDE9D9"/>
      <w:spacing w:before="100" w:beforeAutospacing="1" w:after="100" w:afterAutospacing="1"/>
      <w:textAlignment w:val="top"/>
    </w:pPr>
    <w:rPr>
      <w:rFonts w:eastAsia="Times New Roman"/>
      <w:b/>
      <w:bCs/>
      <w:lang w:val="en-US" w:eastAsia="en-US"/>
    </w:rPr>
  </w:style>
  <w:style w:type="paragraph" w:customStyle="1" w:styleId="xl363">
    <w:name w:val="xl363"/>
    <w:basedOn w:val="Normal"/>
    <w:qFormat/>
    <w:pPr>
      <w:spacing w:before="100" w:beforeAutospacing="1" w:after="100" w:afterAutospacing="1"/>
      <w:jc w:val="both"/>
      <w:textAlignment w:val="top"/>
    </w:pPr>
    <w:rPr>
      <w:rFonts w:eastAsia="Times New Roman"/>
      <w:lang w:val="en-US" w:eastAsia="en-US"/>
    </w:rPr>
  </w:style>
  <w:style w:type="paragraph" w:customStyle="1" w:styleId="xl364">
    <w:name w:val="xl364"/>
    <w:basedOn w:val="Normal"/>
    <w:qFormat/>
    <w:pPr>
      <w:pBdr>
        <w:top w:val="single" w:sz="4" w:space="0" w:color="auto"/>
        <w:bottom w:val="single" w:sz="4" w:space="0" w:color="auto"/>
      </w:pBdr>
      <w:shd w:val="clear" w:color="000000" w:fill="FDE9D9"/>
      <w:spacing w:before="100" w:beforeAutospacing="1" w:after="100" w:afterAutospacing="1"/>
      <w:jc w:val="center"/>
      <w:textAlignment w:val="top"/>
    </w:pPr>
    <w:rPr>
      <w:rFonts w:eastAsia="Times New Roman"/>
      <w:lang w:val="en-US" w:eastAsia="en-US"/>
    </w:rPr>
  </w:style>
  <w:style w:type="paragraph" w:customStyle="1" w:styleId="xl365">
    <w:name w:val="xl365"/>
    <w:basedOn w:val="Normal"/>
    <w:qFormat/>
    <w:pPr>
      <w:pBdr>
        <w:top w:val="single" w:sz="4" w:space="0" w:color="auto"/>
        <w:bottom w:val="single" w:sz="4" w:space="0" w:color="auto"/>
      </w:pBdr>
      <w:shd w:val="clear" w:color="000000" w:fill="DCE6F1"/>
      <w:spacing w:before="100" w:beforeAutospacing="1" w:after="100" w:afterAutospacing="1"/>
      <w:jc w:val="center"/>
      <w:textAlignment w:val="top"/>
    </w:pPr>
    <w:rPr>
      <w:rFonts w:eastAsia="Times New Roman"/>
      <w:lang w:val="en-US" w:eastAsia="en-US"/>
    </w:rPr>
  </w:style>
  <w:style w:type="paragraph" w:customStyle="1" w:styleId="xl366">
    <w:name w:val="xl366"/>
    <w:basedOn w:val="Normal"/>
    <w:qFormat/>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eastAsia="Times New Roman"/>
      <w:color w:val="000000"/>
      <w:sz w:val="16"/>
      <w:szCs w:val="16"/>
      <w:lang w:val="en-US" w:eastAsia="en-US"/>
    </w:rPr>
  </w:style>
  <w:style w:type="paragraph" w:customStyle="1" w:styleId="xl367">
    <w:name w:val="xl367"/>
    <w:basedOn w:val="Normal"/>
    <w:qFormat/>
    <w:pPr>
      <w:pBdr>
        <w:top w:val="single" w:sz="4" w:space="0" w:color="auto"/>
        <w:left w:val="single" w:sz="4" w:space="0" w:color="auto"/>
        <w:bottom w:val="single" w:sz="4" w:space="0" w:color="auto"/>
      </w:pBdr>
      <w:shd w:val="clear" w:color="000000" w:fill="DCE6F1"/>
      <w:spacing w:before="100" w:beforeAutospacing="1" w:after="100" w:afterAutospacing="1"/>
      <w:textAlignment w:val="top"/>
    </w:pPr>
    <w:rPr>
      <w:rFonts w:eastAsia="Times New Roman"/>
      <w:b/>
      <w:bCs/>
      <w:lang w:val="en-US" w:eastAsia="en-US"/>
    </w:rPr>
  </w:style>
  <w:style w:type="paragraph" w:customStyle="1" w:styleId="xl368">
    <w:name w:val="xl368"/>
    <w:basedOn w:val="Normal"/>
    <w:qFormat/>
    <w:pPr>
      <w:pBdr>
        <w:top w:val="single" w:sz="4" w:space="0" w:color="auto"/>
        <w:left w:val="single" w:sz="4" w:space="0" w:color="auto"/>
        <w:bottom w:val="single" w:sz="4" w:space="0" w:color="auto"/>
      </w:pBdr>
      <w:spacing w:before="100" w:beforeAutospacing="1" w:after="100" w:afterAutospacing="1"/>
      <w:jc w:val="center"/>
      <w:textAlignment w:val="top"/>
    </w:pPr>
    <w:rPr>
      <w:rFonts w:eastAsia="Times New Roman"/>
      <w:lang w:val="en-US" w:eastAsia="en-US"/>
    </w:rPr>
  </w:style>
  <w:style w:type="paragraph" w:customStyle="1" w:styleId="xl369">
    <w:name w:val="xl369"/>
    <w:basedOn w:val="Normal"/>
    <w:qFormat/>
    <w:pPr>
      <w:pBdr>
        <w:top w:val="single" w:sz="4" w:space="0" w:color="auto"/>
        <w:left w:val="single" w:sz="4" w:space="0" w:color="auto"/>
        <w:bottom w:val="single" w:sz="4" w:space="0" w:color="auto"/>
      </w:pBdr>
      <w:shd w:val="clear" w:color="000000" w:fill="B8CCE4"/>
      <w:spacing w:before="100" w:beforeAutospacing="1" w:after="100" w:afterAutospacing="1"/>
      <w:jc w:val="center"/>
      <w:textAlignment w:val="top"/>
    </w:pPr>
    <w:rPr>
      <w:rFonts w:eastAsia="Times New Roman"/>
      <w:b/>
      <w:bCs/>
      <w:i/>
      <w:iCs/>
      <w:lang w:val="en-US" w:eastAsia="en-US"/>
    </w:rPr>
  </w:style>
  <w:style w:type="paragraph" w:customStyle="1" w:styleId="xl370">
    <w:name w:val="xl370"/>
    <w:basedOn w:val="Normal"/>
    <w:qFormat/>
    <w:pPr>
      <w:pBdr>
        <w:top w:val="single" w:sz="4" w:space="0" w:color="auto"/>
        <w:left w:val="single" w:sz="4" w:space="0" w:color="auto"/>
        <w:bottom w:val="single" w:sz="4" w:space="0" w:color="auto"/>
      </w:pBdr>
      <w:spacing w:before="100" w:beforeAutospacing="1" w:after="100" w:afterAutospacing="1"/>
      <w:jc w:val="center"/>
      <w:textAlignment w:val="top"/>
    </w:pPr>
    <w:rPr>
      <w:rFonts w:eastAsia="Times New Roman"/>
      <w:i/>
      <w:iCs/>
      <w:lang w:val="en-US" w:eastAsia="en-US"/>
    </w:rPr>
  </w:style>
  <w:style w:type="paragraph" w:customStyle="1" w:styleId="xl371">
    <w:name w:val="xl371"/>
    <w:basedOn w:val="Normal"/>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i/>
      <w:iCs/>
      <w:lang w:val="en-US" w:eastAsia="en-US"/>
    </w:rPr>
  </w:style>
  <w:style w:type="paragraph" w:customStyle="1" w:styleId="xl372">
    <w:name w:val="xl372"/>
    <w:basedOn w:val="Normal"/>
    <w:qFormat/>
    <w:pPr>
      <w:pBdr>
        <w:top w:val="single" w:sz="4" w:space="0" w:color="auto"/>
        <w:left w:val="single" w:sz="4" w:space="0" w:color="auto"/>
      </w:pBdr>
      <w:spacing w:before="100" w:beforeAutospacing="1" w:after="100" w:afterAutospacing="1"/>
      <w:jc w:val="center"/>
      <w:textAlignment w:val="top"/>
    </w:pPr>
    <w:rPr>
      <w:rFonts w:eastAsia="Times New Roman"/>
      <w:lang w:val="en-US" w:eastAsia="en-US"/>
    </w:rPr>
  </w:style>
  <w:style w:type="paragraph" w:customStyle="1" w:styleId="xl373">
    <w:name w:val="xl373"/>
    <w:basedOn w:val="Normal"/>
    <w:qFormat/>
    <w:pPr>
      <w:pBdr>
        <w:top w:val="single" w:sz="4" w:space="0" w:color="auto"/>
        <w:left w:val="single" w:sz="4" w:space="0" w:color="auto"/>
        <w:bottom w:val="single" w:sz="4" w:space="0" w:color="auto"/>
      </w:pBdr>
      <w:shd w:val="clear" w:color="000000" w:fill="C5D9F1"/>
      <w:spacing w:before="100" w:beforeAutospacing="1" w:after="100" w:afterAutospacing="1"/>
      <w:jc w:val="center"/>
      <w:textAlignment w:val="center"/>
    </w:pPr>
    <w:rPr>
      <w:rFonts w:eastAsia="Times New Roman"/>
      <w:b/>
      <w:bCs/>
      <w:lang w:val="en-US" w:eastAsia="en-US"/>
    </w:rPr>
  </w:style>
  <w:style w:type="paragraph" w:customStyle="1" w:styleId="xl374">
    <w:name w:val="xl374"/>
    <w:basedOn w:val="Normal"/>
    <w:qFormat/>
    <w:pPr>
      <w:pBdr>
        <w:top w:val="single" w:sz="4" w:space="0" w:color="auto"/>
        <w:left w:val="single" w:sz="4" w:space="0" w:color="auto"/>
        <w:bottom w:val="single" w:sz="4" w:space="0" w:color="auto"/>
      </w:pBdr>
      <w:spacing w:before="100" w:beforeAutospacing="1" w:after="100" w:afterAutospacing="1"/>
      <w:jc w:val="center"/>
      <w:textAlignment w:val="top"/>
    </w:pPr>
    <w:rPr>
      <w:rFonts w:eastAsia="Times New Roman"/>
      <w:lang w:val="en-US" w:eastAsia="en-US"/>
    </w:rPr>
  </w:style>
  <w:style w:type="paragraph" w:customStyle="1" w:styleId="xl375">
    <w:name w:val="xl375"/>
    <w:basedOn w:val="Normal"/>
    <w:qFormat/>
    <w:pPr>
      <w:pBdr>
        <w:top w:val="single" w:sz="4" w:space="0" w:color="auto"/>
        <w:left w:val="single" w:sz="4" w:space="0" w:color="auto"/>
      </w:pBdr>
      <w:shd w:val="clear" w:color="000000" w:fill="C5D9F1"/>
      <w:spacing w:before="100" w:beforeAutospacing="1" w:after="100" w:afterAutospacing="1"/>
      <w:jc w:val="center"/>
      <w:textAlignment w:val="center"/>
    </w:pPr>
    <w:rPr>
      <w:rFonts w:eastAsia="Times New Roman"/>
      <w:b/>
      <w:bCs/>
      <w:lang w:val="en-US" w:eastAsia="en-US"/>
    </w:rPr>
  </w:style>
  <w:style w:type="paragraph" w:customStyle="1" w:styleId="xl376">
    <w:name w:val="xl376"/>
    <w:basedOn w:val="Normal"/>
    <w:qFormat/>
    <w:pPr>
      <w:pBdr>
        <w:top w:val="single" w:sz="4" w:space="0" w:color="auto"/>
        <w:bottom w:val="single" w:sz="4" w:space="0" w:color="auto"/>
      </w:pBdr>
      <w:shd w:val="clear" w:color="000000" w:fill="FDE9D9"/>
      <w:spacing w:before="100" w:beforeAutospacing="1" w:after="100" w:afterAutospacing="1"/>
      <w:textAlignment w:val="top"/>
    </w:pPr>
    <w:rPr>
      <w:rFonts w:eastAsia="Times New Roman"/>
      <w:b/>
      <w:bCs/>
      <w:lang w:val="en-US" w:eastAsia="en-US"/>
    </w:rPr>
  </w:style>
  <w:style w:type="paragraph" w:customStyle="1" w:styleId="xl377">
    <w:name w:val="xl377"/>
    <w:basedOn w:val="Normal"/>
    <w:qFormat/>
    <w:pPr>
      <w:pBdr>
        <w:top w:val="single" w:sz="4" w:space="0" w:color="auto"/>
        <w:bottom w:val="single" w:sz="4" w:space="0" w:color="auto"/>
        <w:right w:val="single" w:sz="4" w:space="0" w:color="auto"/>
      </w:pBdr>
      <w:shd w:val="clear" w:color="000000" w:fill="DCE6F1"/>
      <w:spacing w:before="100" w:beforeAutospacing="1" w:after="100" w:afterAutospacing="1"/>
      <w:textAlignment w:val="top"/>
    </w:pPr>
    <w:rPr>
      <w:rFonts w:eastAsia="Times New Roman"/>
      <w:b/>
      <w:bCs/>
      <w:lang w:val="en-US" w:eastAsia="en-US"/>
    </w:rPr>
  </w:style>
  <w:style w:type="paragraph" w:customStyle="1" w:styleId="xl378">
    <w:name w:val="xl378"/>
    <w:basedOn w:val="Normal"/>
    <w:qFormat/>
    <w:pPr>
      <w:pBdr>
        <w:top w:val="single" w:sz="4" w:space="0" w:color="auto"/>
        <w:bottom w:val="single" w:sz="4" w:space="0" w:color="auto"/>
        <w:right w:val="single" w:sz="4" w:space="0" w:color="auto"/>
      </w:pBdr>
      <w:spacing w:before="100" w:beforeAutospacing="1" w:after="100" w:afterAutospacing="1"/>
      <w:textAlignment w:val="top"/>
    </w:pPr>
    <w:rPr>
      <w:rFonts w:eastAsia="Times New Roman"/>
      <w:i/>
      <w:iCs/>
      <w:lang w:val="en-US" w:eastAsia="en-US"/>
    </w:rPr>
  </w:style>
  <w:style w:type="paragraph" w:customStyle="1" w:styleId="xl379">
    <w:name w:val="xl379"/>
    <w:basedOn w:val="Normal"/>
    <w:qFormat/>
    <w:pPr>
      <w:pBdr>
        <w:top w:val="single" w:sz="4" w:space="0" w:color="auto"/>
        <w:bottom w:val="single" w:sz="4" w:space="0" w:color="auto"/>
        <w:right w:val="single" w:sz="4" w:space="0" w:color="auto"/>
      </w:pBdr>
      <w:shd w:val="clear" w:color="000000" w:fill="B8CCE4"/>
      <w:spacing w:before="100" w:beforeAutospacing="1" w:after="100" w:afterAutospacing="1"/>
      <w:textAlignment w:val="top"/>
    </w:pPr>
    <w:rPr>
      <w:rFonts w:eastAsia="Times New Roman"/>
      <w:i/>
      <w:iCs/>
      <w:lang w:val="en-US" w:eastAsia="en-US"/>
    </w:rPr>
  </w:style>
  <w:style w:type="paragraph" w:customStyle="1" w:styleId="xl380">
    <w:name w:val="xl380"/>
    <w:basedOn w:val="Normal"/>
    <w:qFormat/>
    <w:pPr>
      <w:pBdr>
        <w:top w:val="single" w:sz="4" w:space="0" w:color="auto"/>
        <w:bottom w:val="single" w:sz="4" w:space="0" w:color="auto"/>
      </w:pBdr>
      <w:shd w:val="clear" w:color="000000" w:fill="DCE6F1"/>
      <w:spacing w:before="100" w:beforeAutospacing="1" w:after="100" w:afterAutospacing="1"/>
      <w:jc w:val="center"/>
      <w:textAlignment w:val="top"/>
    </w:pPr>
    <w:rPr>
      <w:rFonts w:eastAsia="Times New Roman"/>
      <w:b/>
      <w:bCs/>
      <w:lang w:val="en-US" w:eastAsia="en-US"/>
    </w:rPr>
  </w:style>
  <w:style w:type="paragraph" w:customStyle="1" w:styleId="xl381">
    <w:name w:val="xl381"/>
    <w:basedOn w:val="Normal"/>
    <w:qFormat/>
    <w:pPr>
      <w:pBdr>
        <w:top w:val="single" w:sz="4" w:space="0" w:color="auto"/>
        <w:bottom w:val="single" w:sz="4" w:space="0" w:color="auto"/>
        <w:right w:val="single" w:sz="4" w:space="0" w:color="auto"/>
      </w:pBdr>
      <w:shd w:val="clear" w:color="000000" w:fill="FDE9D9"/>
      <w:spacing w:before="100" w:beforeAutospacing="1" w:after="100" w:afterAutospacing="1"/>
      <w:textAlignment w:val="top"/>
    </w:pPr>
    <w:rPr>
      <w:rFonts w:eastAsia="Times New Roman"/>
      <w:b/>
      <w:bCs/>
      <w:lang w:val="en-US" w:eastAsia="en-US"/>
    </w:rPr>
  </w:style>
  <w:style w:type="paragraph" w:customStyle="1" w:styleId="xl382">
    <w:name w:val="xl382"/>
    <w:basedOn w:val="Normal"/>
    <w:qFormat/>
    <w:pPr>
      <w:pBdr>
        <w:top w:val="single" w:sz="4" w:space="0" w:color="auto"/>
        <w:bottom w:val="single" w:sz="4" w:space="0" w:color="auto"/>
        <w:right w:val="single" w:sz="4" w:space="0" w:color="auto"/>
      </w:pBdr>
      <w:shd w:val="clear" w:color="000000" w:fill="C5D9F1"/>
      <w:spacing w:before="100" w:beforeAutospacing="1" w:after="100" w:afterAutospacing="1"/>
    </w:pPr>
    <w:rPr>
      <w:rFonts w:eastAsia="Times New Roman"/>
      <w:lang w:val="en-US" w:eastAsia="en-US"/>
    </w:rPr>
  </w:style>
  <w:style w:type="paragraph" w:customStyle="1" w:styleId="xl383">
    <w:name w:val="xl383"/>
    <w:basedOn w:val="Normal"/>
    <w:qFormat/>
    <w:pPr>
      <w:pBdr>
        <w:top w:val="single" w:sz="4" w:space="0" w:color="auto"/>
        <w:bottom w:val="single" w:sz="4" w:space="0" w:color="auto"/>
        <w:right w:val="single" w:sz="4" w:space="0" w:color="auto"/>
      </w:pBdr>
      <w:shd w:val="clear" w:color="000000" w:fill="C5D9F1"/>
      <w:spacing w:before="100" w:beforeAutospacing="1" w:after="100" w:afterAutospacing="1"/>
      <w:textAlignment w:val="top"/>
    </w:pPr>
    <w:rPr>
      <w:rFonts w:eastAsia="Times New Roman"/>
      <w:lang w:val="en-US" w:eastAsia="en-US"/>
    </w:rPr>
  </w:style>
  <w:style w:type="paragraph" w:customStyle="1" w:styleId="xl384">
    <w:name w:val="xl384"/>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color w:val="000000"/>
      <w:sz w:val="16"/>
      <w:szCs w:val="16"/>
      <w:lang w:val="en-US" w:eastAsia="en-US"/>
    </w:rPr>
  </w:style>
  <w:style w:type="paragraph" w:customStyle="1" w:styleId="xl385">
    <w:name w:val="xl385"/>
    <w:basedOn w:val="Normal"/>
    <w:qFormat/>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textAlignment w:val="center"/>
    </w:pPr>
    <w:rPr>
      <w:rFonts w:eastAsia="Times New Roman"/>
      <w:sz w:val="20"/>
      <w:szCs w:val="20"/>
      <w:lang w:val="en-US" w:eastAsia="en-US"/>
    </w:rPr>
  </w:style>
  <w:style w:type="paragraph" w:customStyle="1" w:styleId="xl386">
    <w:name w:val="xl386"/>
    <w:basedOn w:val="Normal"/>
    <w:qFormat/>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rFonts w:eastAsia="Times New Roman"/>
      <w:sz w:val="20"/>
      <w:szCs w:val="20"/>
      <w:lang w:val="en-US" w:eastAsia="en-US"/>
    </w:rPr>
  </w:style>
  <w:style w:type="paragraph" w:customStyle="1" w:styleId="xl387">
    <w:name w:val="xl387"/>
    <w:basedOn w:val="Normal"/>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eastAsia="Times New Roman"/>
      <w:sz w:val="20"/>
      <w:szCs w:val="20"/>
      <w:lang w:val="en-US" w:eastAsia="en-US"/>
    </w:rPr>
  </w:style>
  <w:style w:type="paragraph" w:customStyle="1" w:styleId="xl388">
    <w:name w:val="xl388"/>
    <w:basedOn w:val="Normal"/>
    <w:pPr>
      <w:pBdr>
        <w:top w:val="single" w:sz="4" w:space="0" w:color="auto"/>
        <w:bottom w:val="single" w:sz="4" w:space="0" w:color="auto"/>
        <w:right w:val="single" w:sz="4" w:space="0" w:color="auto"/>
      </w:pBdr>
      <w:shd w:val="clear" w:color="000000" w:fill="EEECE1"/>
      <w:spacing w:before="100" w:beforeAutospacing="1" w:after="100" w:afterAutospacing="1"/>
      <w:textAlignment w:val="center"/>
    </w:pPr>
    <w:rPr>
      <w:rFonts w:eastAsia="Times New Roman"/>
      <w:lang w:val="en-US" w:eastAsia="en-US"/>
    </w:rPr>
  </w:style>
  <w:style w:type="paragraph" w:customStyle="1" w:styleId="xl389">
    <w:name w:val="xl389"/>
    <w:basedOn w:val="Normal"/>
    <w:pPr>
      <w:pBdr>
        <w:top w:val="single" w:sz="4" w:space="0" w:color="auto"/>
        <w:bottom w:val="single" w:sz="4" w:space="0" w:color="auto"/>
        <w:right w:val="single" w:sz="4" w:space="0" w:color="auto"/>
      </w:pBdr>
      <w:spacing w:before="100" w:beforeAutospacing="1" w:after="100" w:afterAutospacing="1"/>
      <w:textAlignment w:val="top"/>
    </w:pPr>
    <w:rPr>
      <w:rFonts w:eastAsia="Times New Roman"/>
      <w:lang w:val="en-US" w:eastAsia="en-US"/>
    </w:rPr>
  </w:style>
  <w:style w:type="paragraph" w:customStyle="1" w:styleId="xl390">
    <w:name w:val="xl390"/>
    <w:basedOn w:val="Normal"/>
    <w:pPr>
      <w:pBdr>
        <w:top w:val="single" w:sz="4" w:space="0" w:color="auto"/>
        <w:bottom w:val="single" w:sz="4" w:space="0" w:color="auto"/>
        <w:right w:val="single" w:sz="4" w:space="0" w:color="auto"/>
      </w:pBdr>
      <w:shd w:val="clear" w:color="000000" w:fill="B8CCE4"/>
      <w:spacing w:before="100" w:beforeAutospacing="1" w:after="100" w:afterAutospacing="1"/>
      <w:textAlignment w:val="top"/>
    </w:pPr>
    <w:rPr>
      <w:rFonts w:eastAsia="Times New Roman"/>
      <w:b/>
      <w:bCs/>
      <w:lang w:val="en-US" w:eastAsia="en-US"/>
    </w:rPr>
  </w:style>
  <w:style w:type="paragraph" w:customStyle="1" w:styleId="xl391">
    <w:name w:val="xl391"/>
    <w:basedOn w:val="Normal"/>
    <w:pPr>
      <w:pBdr>
        <w:top w:val="single" w:sz="4" w:space="0" w:color="auto"/>
        <w:bottom w:val="single" w:sz="4" w:space="0" w:color="auto"/>
        <w:right w:val="single" w:sz="4" w:space="0" w:color="auto"/>
      </w:pBdr>
      <w:shd w:val="clear" w:color="000000" w:fill="C5D9F1"/>
      <w:spacing w:before="100" w:beforeAutospacing="1" w:after="100" w:afterAutospacing="1"/>
      <w:textAlignment w:val="top"/>
    </w:pPr>
    <w:rPr>
      <w:rFonts w:eastAsia="Times New Roman"/>
      <w:lang w:val="en-US" w:eastAsia="en-US"/>
    </w:rPr>
  </w:style>
  <w:style w:type="paragraph" w:customStyle="1" w:styleId="xl392">
    <w:name w:val="xl392"/>
    <w:basedOn w:val="Normal"/>
    <w:qFormat/>
    <w:pPr>
      <w:pBdr>
        <w:top w:val="single" w:sz="4" w:space="0" w:color="auto"/>
        <w:right w:val="single" w:sz="4" w:space="0" w:color="auto"/>
      </w:pBdr>
      <w:spacing w:before="100" w:beforeAutospacing="1" w:after="100" w:afterAutospacing="1"/>
      <w:jc w:val="center"/>
      <w:textAlignment w:val="center"/>
    </w:pPr>
    <w:rPr>
      <w:rFonts w:eastAsia="Times New Roman"/>
      <w:color w:val="000000"/>
      <w:sz w:val="16"/>
      <w:szCs w:val="16"/>
      <w:lang w:val="en-US" w:eastAsia="en-US"/>
    </w:rPr>
  </w:style>
  <w:style w:type="paragraph" w:customStyle="1" w:styleId="xl393">
    <w:name w:val="xl393"/>
    <w:basedOn w:val="Normal"/>
    <w:pPr>
      <w:pBdr>
        <w:top w:val="single" w:sz="4" w:space="0" w:color="auto"/>
        <w:left w:val="single" w:sz="4" w:space="0" w:color="auto"/>
        <w:right w:val="single" w:sz="8" w:space="0" w:color="auto"/>
      </w:pBdr>
      <w:spacing w:before="100" w:beforeAutospacing="1" w:after="100" w:afterAutospacing="1"/>
      <w:jc w:val="center"/>
      <w:textAlignment w:val="center"/>
    </w:pPr>
    <w:rPr>
      <w:rFonts w:eastAsia="Times New Roman"/>
      <w:color w:val="000000"/>
      <w:sz w:val="16"/>
      <w:szCs w:val="16"/>
      <w:lang w:val="en-US" w:eastAsia="en-US"/>
    </w:rPr>
  </w:style>
  <w:style w:type="paragraph" w:customStyle="1" w:styleId="xl394">
    <w:name w:val="xl394"/>
    <w:basedOn w:val="Normal"/>
    <w:pPr>
      <w:pBdr>
        <w:top w:val="single" w:sz="4" w:space="0" w:color="auto"/>
        <w:left w:val="single" w:sz="4" w:space="0" w:color="auto"/>
        <w:right w:val="single" w:sz="4" w:space="0" w:color="auto"/>
      </w:pBdr>
      <w:spacing w:before="100" w:beforeAutospacing="1" w:after="100" w:afterAutospacing="1"/>
      <w:textAlignment w:val="top"/>
    </w:pPr>
    <w:rPr>
      <w:rFonts w:eastAsia="Times New Roman"/>
      <w:i/>
      <w:iCs/>
      <w:lang w:val="en-US" w:eastAsia="en-US"/>
    </w:rPr>
  </w:style>
  <w:style w:type="paragraph" w:customStyle="1" w:styleId="xl395">
    <w:name w:val="xl395"/>
    <w:basedOn w:val="Normal"/>
    <w:qFormat/>
    <w:pPr>
      <w:pBdr>
        <w:top w:val="single" w:sz="4" w:space="0" w:color="auto"/>
        <w:left w:val="single" w:sz="4" w:space="0" w:color="auto"/>
        <w:right w:val="single" w:sz="4" w:space="0" w:color="auto"/>
      </w:pBdr>
      <w:spacing w:before="100" w:beforeAutospacing="1" w:after="100" w:afterAutospacing="1"/>
      <w:textAlignment w:val="top"/>
    </w:pPr>
    <w:rPr>
      <w:rFonts w:eastAsia="Times New Roman"/>
      <w:i/>
      <w:iCs/>
      <w:lang w:val="en-US" w:eastAsia="en-US"/>
    </w:rPr>
  </w:style>
  <w:style w:type="paragraph" w:customStyle="1" w:styleId="xl396">
    <w:name w:val="xl396"/>
    <w:basedOn w:val="Normal"/>
    <w:qFormat/>
    <w:pPr>
      <w:pBdr>
        <w:left w:val="single" w:sz="4" w:space="0" w:color="auto"/>
        <w:bottom w:val="single" w:sz="4" w:space="0" w:color="auto"/>
      </w:pBdr>
      <w:shd w:val="clear" w:color="000000" w:fill="FDE9D9"/>
      <w:spacing w:before="100" w:beforeAutospacing="1" w:after="100" w:afterAutospacing="1"/>
      <w:textAlignment w:val="top"/>
    </w:pPr>
    <w:rPr>
      <w:rFonts w:eastAsia="Times New Roman"/>
      <w:b/>
      <w:bCs/>
      <w:lang w:val="en-US" w:eastAsia="en-US"/>
    </w:rPr>
  </w:style>
  <w:style w:type="paragraph" w:customStyle="1" w:styleId="xl397">
    <w:name w:val="xl397"/>
    <w:basedOn w:val="Normal"/>
    <w:qFormat/>
    <w:pPr>
      <w:pBdr>
        <w:left w:val="single" w:sz="4" w:space="0" w:color="auto"/>
        <w:bottom w:val="single" w:sz="4" w:space="0" w:color="auto"/>
        <w:right w:val="single" w:sz="4" w:space="0" w:color="auto"/>
      </w:pBdr>
      <w:shd w:val="clear" w:color="000000" w:fill="FDE9D9"/>
      <w:spacing w:before="100" w:beforeAutospacing="1" w:after="100" w:afterAutospacing="1"/>
      <w:jc w:val="center"/>
      <w:textAlignment w:val="top"/>
    </w:pPr>
    <w:rPr>
      <w:rFonts w:eastAsia="Times New Roman"/>
      <w:b/>
      <w:bCs/>
      <w:lang w:val="en-US" w:eastAsia="en-US"/>
    </w:rPr>
  </w:style>
  <w:style w:type="paragraph" w:customStyle="1" w:styleId="xl398">
    <w:name w:val="xl398"/>
    <w:basedOn w:val="Normal"/>
    <w:qFormat/>
    <w:pPr>
      <w:pBdr>
        <w:left w:val="single" w:sz="4" w:space="0" w:color="auto"/>
        <w:bottom w:val="single" w:sz="4" w:space="0" w:color="auto"/>
      </w:pBdr>
      <w:shd w:val="clear" w:color="000000" w:fill="FDE9D9"/>
      <w:spacing w:before="100" w:beforeAutospacing="1" w:after="100" w:afterAutospacing="1"/>
      <w:jc w:val="center"/>
      <w:textAlignment w:val="top"/>
    </w:pPr>
    <w:rPr>
      <w:rFonts w:eastAsia="Times New Roman"/>
      <w:b/>
      <w:bCs/>
      <w:lang w:val="en-US" w:eastAsia="en-US"/>
    </w:rPr>
  </w:style>
  <w:style w:type="paragraph" w:customStyle="1" w:styleId="xl399">
    <w:name w:val="xl399"/>
    <w:basedOn w:val="Normal"/>
    <w:qFormat/>
    <w:pPr>
      <w:pBdr>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eastAsia="Times New Roman"/>
      <w:b/>
      <w:bCs/>
      <w:color w:val="000000"/>
      <w:sz w:val="16"/>
      <w:szCs w:val="16"/>
      <w:lang w:val="en-US" w:eastAsia="en-US"/>
    </w:rPr>
  </w:style>
  <w:style w:type="paragraph" w:customStyle="1" w:styleId="xl400">
    <w:name w:val="xl400"/>
    <w:basedOn w:val="Normal"/>
    <w:qFormat/>
    <w:pPr>
      <w:pBdr>
        <w:bottom w:val="single" w:sz="4" w:space="0" w:color="auto"/>
      </w:pBdr>
      <w:shd w:val="clear" w:color="000000" w:fill="FDE9D9"/>
      <w:spacing w:before="100" w:beforeAutospacing="1" w:after="100" w:afterAutospacing="1"/>
      <w:textAlignment w:val="top"/>
    </w:pPr>
    <w:rPr>
      <w:rFonts w:eastAsia="Times New Roman"/>
      <w:b/>
      <w:bCs/>
      <w:lang w:val="en-US" w:eastAsia="en-US"/>
    </w:rPr>
  </w:style>
  <w:style w:type="paragraph" w:customStyle="1" w:styleId="xl401">
    <w:name w:val="xl401"/>
    <w:basedOn w:val="Normal"/>
    <w:qFormat/>
    <w:pPr>
      <w:pBdr>
        <w:left w:val="single" w:sz="4" w:space="0" w:color="auto"/>
        <w:bottom w:val="single" w:sz="4" w:space="0" w:color="auto"/>
      </w:pBdr>
      <w:shd w:val="clear" w:color="000000" w:fill="FDE9D9"/>
      <w:spacing w:before="100" w:beforeAutospacing="1" w:after="100" w:afterAutospacing="1"/>
      <w:textAlignment w:val="top"/>
    </w:pPr>
    <w:rPr>
      <w:rFonts w:eastAsia="Times New Roman"/>
      <w:b/>
      <w:bCs/>
      <w:lang w:val="en-US" w:eastAsia="en-US"/>
    </w:rPr>
  </w:style>
  <w:style w:type="paragraph" w:customStyle="1" w:styleId="xl402">
    <w:name w:val="xl402"/>
    <w:basedOn w:val="Normal"/>
    <w:qFormat/>
    <w:pPr>
      <w:pBdr>
        <w:top w:val="single" w:sz="8" w:space="0" w:color="auto"/>
        <w:left w:val="single" w:sz="8" w:space="0" w:color="auto"/>
        <w:bottom w:val="single" w:sz="8" w:space="0" w:color="auto"/>
        <w:right w:val="single" w:sz="4" w:space="0" w:color="auto"/>
      </w:pBdr>
      <w:shd w:val="clear" w:color="000000" w:fill="F276AB"/>
      <w:spacing w:before="100" w:beforeAutospacing="1" w:after="100" w:afterAutospacing="1"/>
      <w:textAlignment w:val="center"/>
    </w:pPr>
    <w:rPr>
      <w:rFonts w:eastAsia="Times New Roman"/>
      <w:b/>
      <w:bCs/>
      <w:lang w:val="en-US" w:eastAsia="en-US"/>
    </w:rPr>
  </w:style>
  <w:style w:type="paragraph" w:customStyle="1" w:styleId="xl403">
    <w:name w:val="xl403"/>
    <w:basedOn w:val="Normal"/>
    <w:qFormat/>
    <w:pPr>
      <w:pBdr>
        <w:top w:val="single" w:sz="8" w:space="0" w:color="auto"/>
        <w:left w:val="single" w:sz="4" w:space="0" w:color="auto"/>
        <w:bottom w:val="single" w:sz="8" w:space="0" w:color="auto"/>
        <w:right w:val="single" w:sz="4" w:space="0" w:color="auto"/>
      </w:pBdr>
      <w:shd w:val="clear" w:color="000000" w:fill="F276AB"/>
      <w:spacing w:before="100" w:beforeAutospacing="1" w:after="100" w:afterAutospacing="1"/>
      <w:textAlignment w:val="center"/>
    </w:pPr>
    <w:rPr>
      <w:rFonts w:eastAsia="Times New Roman"/>
      <w:b/>
      <w:bCs/>
      <w:lang w:val="en-US" w:eastAsia="en-US"/>
    </w:rPr>
  </w:style>
  <w:style w:type="paragraph" w:customStyle="1" w:styleId="xl404">
    <w:name w:val="xl404"/>
    <w:basedOn w:val="Normal"/>
    <w:qFormat/>
    <w:pPr>
      <w:pBdr>
        <w:top w:val="single" w:sz="8" w:space="0" w:color="auto"/>
        <w:left w:val="single" w:sz="4" w:space="0" w:color="auto"/>
        <w:bottom w:val="single" w:sz="8" w:space="0" w:color="auto"/>
        <w:right w:val="single" w:sz="4" w:space="0" w:color="auto"/>
      </w:pBdr>
      <w:shd w:val="clear" w:color="000000" w:fill="F276AB"/>
      <w:spacing w:before="100" w:beforeAutospacing="1" w:after="100" w:afterAutospacing="1"/>
      <w:textAlignment w:val="center"/>
    </w:pPr>
    <w:rPr>
      <w:rFonts w:eastAsia="Times New Roman"/>
      <w:b/>
      <w:bCs/>
      <w:lang w:val="en-US" w:eastAsia="en-US"/>
    </w:rPr>
  </w:style>
  <w:style w:type="paragraph" w:customStyle="1" w:styleId="xl405">
    <w:name w:val="xl405"/>
    <w:basedOn w:val="Normal"/>
    <w:qFormat/>
    <w:pPr>
      <w:pBdr>
        <w:top w:val="single" w:sz="4" w:space="0" w:color="auto"/>
        <w:left w:val="single" w:sz="4" w:space="0" w:color="auto"/>
        <w:bottom w:val="single" w:sz="4" w:space="0" w:color="auto"/>
      </w:pBdr>
      <w:spacing w:before="100" w:beforeAutospacing="1" w:after="100" w:afterAutospacing="1"/>
      <w:jc w:val="center"/>
      <w:textAlignment w:val="top"/>
    </w:pPr>
    <w:rPr>
      <w:rFonts w:eastAsia="Times New Roman"/>
      <w:sz w:val="20"/>
      <w:szCs w:val="20"/>
      <w:lang w:val="en-US" w:eastAsia="en-US"/>
    </w:rPr>
  </w:style>
  <w:style w:type="paragraph" w:customStyle="1" w:styleId="xl406">
    <w:name w:val="xl406"/>
    <w:basedOn w:val="Normal"/>
    <w:qFormat/>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top"/>
    </w:pPr>
    <w:rPr>
      <w:rFonts w:eastAsia="Times New Roman"/>
      <w:b/>
      <w:bCs/>
      <w:i/>
      <w:iCs/>
      <w:sz w:val="20"/>
      <w:szCs w:val="20"/>
      <w:lang w:val="en-US" w:eastAsia="en-US"/>
    </w:rPr>
  </w:style>
  <w:style w:type="paragraph" w:customStyle="1" w:styleId="xl407">
    <w:name w:val="xl407"/>
    <w:basedOn w:val="Normal"/>
    <w:qFormat/>
    <w:pPr>
      <w:pBdr>
        <w:top w:val="single" w:sz="4" w:space="0" w:color="auto"/>
        <w:left w:val="single" w:sz="4" w:space="0" w:color="auto"/>
        <w:bottom w:val="single" w:sz="4" w:space="0" w:color="auto"/>
      </w:pBdr>
      <w:shd w:val="clear" w:color="000000" w:fill="B8CCE4"/>
      <w:spacing w:before="100" w:beforeAutospacing="1" w:after="100" w:afterAutospacing="1"/>
      <w:jc w:val="center"/>
      <w:textAlignment w:val="top"/>
    </w:pPr>
    <w:rPr>
      <w:rFonts w:eastAsia="Times New Roman"/>
      <w:b/>
      <w:bCs/>
      <w:i/>
      <w:iCs/>
      <w:sz w:val="20"/>
      <w:szCs w:val="20"/>
      <w:lang w:val="en-US" w:eastAsia="en-US"/>
    </w:rPr>
  </w:style>
  <w:style w:type="paragraph" w:customStyle="1" w:styleId="xl408">
    <w:name w:val="xl408"/>
    <w:basedOn w:val="Normal"/>
    <w:qFormat/>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rFonts w:eastAsia="Times New Roman"/>
      <w:b/>
      <w:bCs/>
      <w:sz w:val="20"/>
      <w:szCs w:val="20"/>
      <w:lang w:val="en-US" w:eastAsia="en-US"/>
    </w:rPr>
  </w:style>
  <w:style w:type="paragraph" w:customStyle="1" w:styleId="xl409">
    <w:name w:val="xl409"/>
    <w:basedOn w:val="Normal"/>
    <w:qFormat/>
    <w:pPr>
      <w:pBdr>
        <w:top w:val="single" w:sz="4" w:space="0" w:color="auto"/>
        <w:left w:val="single" w:sz="4" w:space="0" w:color="auto"/>
        <w:bottom w:val="single" w:sz="4" w:space="0" w:color="auto"/>
      </w:pBdr>
      <w:shd w:val="clear" w:color="000000" w:fill="C5D9F1"/>
      <w:spacing w:before="100" w:beforeAutospacing="1" w:after="100" w:afterAutospacing="1"/>
      <w:jc w:val="center"/>
      <w:textAlignment w:val="top"/>
    </w:pPr>
    <w:rPr>
      <w:rFonts w:eastAsia="Times New Roman"/>
      <w:b/>
      <w:bCs/>
      <w:sz w:val="20"/>
      <w:szCs w:val="20"/>
      <w:lang w:val="en-US" w:eastAsia="en-US"/>
    </w:rPr>
  </w:style>
  <w:style w:type="paragraph" w:customStyle="1" w:styleId="xl410">
    <w:name w:val="xl410"/>
    <w:basedOn w:val="Normal"/>
    <w:qFormat/>
    <w:pPr>
      <w:pBdr>
        <w:top w:val="single" w:sz="4" w:space="0" w:color="auto"/>
        <w:left w:val="single" w:sz="4" w:space="0" w:color="auto"/>
        <w:bottom w:val="single" w:sz="4" w:space="0" w:color="auto"/>
      </w:pBdr>
      <w:spacing w:before="100" w:beforeAutospacing="1" w:after="100" w:afterAutospacing="1"/>
      <w:jc w:val="center"/>
      <w:textAlignment w:val="top"/>
    </w:pPr>
    <w:rPr>
      <w:rFonts w:eastAsia="Times New Roman"/>
      <w:sz w:val="20"/>
      <w:szCs w:val="20"/>
      <w:lang w:val="en-US" w:eastAsia="en-US"/>
    </w:rPr>
  </w:style>
  <w:style w:type="numbering" w:customStyle="1" w:styleId="NoList1">
    <w:name w:val="No List1"/>
    <w:next w:val="NoList"/>
    <w:uiPriority w:val="99"/>
    <w:semiHidden/>
    <w:unhideWhenUsed/>
    <w:rsid w:val="001E75FE"/>
  </w:style>
  <w:style w:type="numbering" w:customStyle="1" w:styleId="NoList2">
    <w:name w:val="No List2"/>
    <w:next w:val="NoList"/>
    <w:uiPriority w:val="99"/>
    <w:semiHidden/>
    <w:unhideWhenUsed/>
    <w:rsid w:val="001E75FE"/>
  </w:style>
  <w:style w:type="paragraph" w:styleId="Revision">
    <w:name w:val="Revision"/>
    <w:hidden/>
    <w:uiPriority w:val="99"/>
    <w:semiHidden/>
    <w:rsid w:val="001E75FE"/>
    <w:rPr>
      <w:rFonts w:ascii="Times New Roman" w:hAnsi="Times New Roman"/>
      <w:sz w:val="24"/>
      <w:szCs w:val="24"/>
      <w:lang w:val="sq-AL" w:eastAsia="sq-AL"/>
    </w:rPr>
  </w:style>
  <w:style w:type="character" w:styleId="IntenseReference">
    <w:name w:val="Intense Reference"/>
    <w:basedOn w:val="DefaultParagraphFont"/>
    <w:uiPriority w:val="32"/>
    <w:qFormat/>
    <w:rsid w:val="00DE0FF7"/>
    <w:rPr>
      <w:b/>
      <w:bCs/>
      <w:smallCaps/>
      <w:color w:val="4F81BD" w:themeColor="accent1"/>
      <w:spacing w:val="5"/>
    </w:rPr>
  </w:style>
  <w:style w:type="character" w:customStyle="1" w:styleId="Heading2Char">
    <w:name w:val="Heading 2 Char"/>
    <w:basedOn w:val="DefaultParagraphFont"/>
    <w:link w:val="Heading2"/>
    <w:uiPriority w:val="9"/>
    <w:rsid w:val="002F00F4"/>
    <w:rPr>
      <w:rFonts w:asciiTheme="majorHAnsi" w:eastAsiaTheme="majorEastAsia" w:hAnsiTheme="majorHAnsi" w:cstheme="majorBidi"/>
      <w:color w:val="365F91" w:themeColor="accent1" w:themeShade="BF"/>
      <w:sz w:val="26"/>
      <w:szCs w:val="26"/>
      <w:lang w:val="sq-AL" w:eastAsia="sq-AL"/>
    </w:rPr>
  </w:style>
  <w:style w:type="paragraph" w:styleId="TOCHeading">
    <w:name w:val="TOC Heading"/>
    <w:basedOn w:val="Heading1"/>
    <w:next w:val="Normal"/>
    <w:uiPriority w:val="39"/>
    <w:unhideWhenUsed/>
    <w:qFormat/>
    <w:rsid w:val="00B27B08"/>
    <w:pPr>
      <w:spacing w:before="240"/>
      <w:outlineLvl w:val="9"/>
    </w:pPr>
    <w:rPr>
      <w:rFonts w:asciiTheme="majorHAnsi" w:eastAsiaTheme="majorEastAsia" w:hAnsiTheme="majorHAnsi" w:cstheme="majorBidi"/>
      <w:b w:val="0"/>
      <w:bCs w:val="0"/>
      <w:color w:val="365F91" w:themeColor="accent1" w:themeShade="BF"/>
      <w:sz w:val="32"/>
      <w:szCs w:val="32"/>
      <w:lang w:val="en-US" w:eastAsia="en-US"/>
    </w:rPr>
  </w:style>
  <w:style w:type="paragraph" w:styleId="TOC1">
    <w:name w:val="toc 1"/>
    <w:basedOn w:val="Normal"/>
    <w:next w:val="Normal"/>
    <w:autoRedefine/>
    <w:uiPriority w:val="39"/>
    <w:unhideWhenUsed/>
    <w:rsid w:val="00B27B08"/>
    <w:pPr>
      <w:spacing w:after="100"/>
    </w:pPr>
  </w:style>
  <w:style w:type="paragraph" w:styleId="TOC2">
    <w:name w:val="toc 2"/>
    <w:basedOn w:val="Normal"/>
    <w:next w:val="Normal"/>
    <w:autoRedefine/>
    <w:uiPriority w:val="39"/>
    <w:unhideWhenUsed/>
    <w:rsid w:val="00B27B08"/>
    <w:pPr>
      <w:spacing w:after="100"/>
      <w:ind w:left="240"/>
    </w:pPr>
  </w:style>
  <w:style w:type="paragraph" w:customStyle="1" w:styleId="font11">
    <w:name w:val="font11"/>
    <w:basedOn w:val="Normal"/>
    <w:rsid w:val="00811BC0"/>
    <w:pPr>
      <w:spacing w:before="100" w:beforeAutospacing="1" w:after="100" w:afterAutospacing="1"/>
    </w:pPr>
    <w:rPr>
      <w:rFonts w:eastAsia="Times New Roman"/>
      <w:b/>
      <w:bCs/>
      <w:color w:val="000000"/>
      <w:sz w:val="20"/>
      <w:szCs w:val="20"/>
      <w:lang w:val="en-US" w:eastAsia="en-US"/>
    </w:rPr>
  </w:style>
  <w:style w:type="paragraph" w:customStyle="1" w:styleId="font12">
    <w:name w:val="font12"/>
    <w:basedOn w:val="Normal"/>
    <w:rsid w:val="00811BC0"/>
    <w:pPr>
      <w:spacing w:before="100" w:beforeAutospacing="1" w:after="100" w:afterAutospacing="1"/>
    </w:pPr>
    <w:rPr>
      <w:rFonts w:ascii="Calibri" w:eastAsia="Times New Roman" w:hAnsi="Calibri"/>
      <w:color w:val="FF0000"/>
      <w:sz w:val="22"/>
      <w:szCs w:val="22"/>
      <w:lang w:val="en-US" w:eastAsia="en-US"/>
    </w:rPr>
  </w:style>
  <w:style w:type="paragraph" w:customStyle="1" w:styleId="xl411">
    <w:name w:val="xl411"/>
    <w:basedOn w:val="Normal"/>
    <w:rsid w:val="00811BC0"/>
    <w:pPr>
      <w:pBdr>
        <w:top w:val="single" w:sz="4" w:space="0" w:color="auto"/>
        <w:bottom w:val="single" w:sz="4" w:space="0" w:color="auto"/>
      </w:pBdr>
      <w:shd w:val="clear" w:color="000000" w:fill="C2D69B"/>
      <w:spacing w:before="100" w:beforeAutospacing="1" w:after="100" w:afterAutospacing="1"/>
      <w:jc w:val="center"/>
      <w:textAlignment w:val="top"/>
    </w:pPr>
    <w:rPr>
      <w:rFonts w:eastAsia="Times New Roman"/>
      <w:b/>
      <w:bCs/>
      <w:lang w:val="en-US" w:eastAsia="en-US"/>
    </w:rPr>
  </w:style>
  <w:style w:type="paragraph" w:customStyle="1" w:styleId="xl412">
    <w:name w:val="xl412"/>
    <w:basedOn w:val="Normal"/>
    <w:rsid w:val="00811BC0"/>
    <w:pPr>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b/>
      <w:bCs/>
      <w:lang w:val="en-US" w:eastAsia="en-US"/>
    </w:rPr>
  </w:style>
  <w:style w:type="paragraph" w:customStyle="1" w:styleId="xl413">
    <w:name w:val="xl413"/>
    <w:basedOn w:val="Normal"/>
    <w:rsid w:val="00811BC0"/>
    <w:pPr>
      <w:pBdr>
        <w:left w:val="single" w:sz="4" w:space="0" w:color="auto"/>
        <w:bottom w:val="single" w:sz="8" w:space="0" w:color="auto"/>
        <w:right w:val="single" w:sz="4" w:space="0" w:color="auto"/>
      </w:pBdr>
      <w:spacing w:before="100" w:beforeAutospacing="1" w:after="100" w:afterAutospacing="1"/>
      <w:jc w:val="center"/>
      <w:textAlignment w:val="top"/>
    </w:pPr>
    <w:rPr>
      <w:rFonts w:eastAsia="Times New Roman"/>
      <w:b/>
      <w:bCs/>
      <w:lang w:val="en-US" w:eastAsia="en-US"/>
    </w:rPr>
  </w:style>
  <w:style w:type="paragraph" w:customStyle="1" w:styleId="xl414">
    <w:name w:val="xl414"/>
    <w:basedOn w:val="Normal"/>
    <w:rsid w:val="00811BC0"/>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eastAsia="Times New Roman"/>
      <w:color w:val="000000"/>
      <w:sz w:val="16"/>
      <w:szCs w:val="16"/>
      <w:lang w:val="en-US" w:eastAsia="en-US"/>
    </w:rPr>
  </w:style>
  <w:style w:type="paragraph" w:customStyle="1" w:styleId="xl415">
    <w:name w:val="xl415"/>
    <w:basedOn w:val="Normal"/>
    <w:rsid w:val="00811BC0"/>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eastAsia="Times New Roman"/>
      <w:color w:val="000000"/>
      <w:sz w:val="16"/>
      <w:szCs w:val="16"/>
      <w:lang w:val="en-US" w:eastAsia="en-US"/>
    </w:rPr>
  </w:style>
  <w:style w:type="paragraph" w:customStyle="1" w:styleId="xl64">
    <w:name w:val="xl64"/>
    <w:basedOn w:val="Normal"/>
    <w:rsid w:val="006B2BE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top"/>
    </w:pPr>
    <w:rPr>
      <w:rFonts w:eastAsia="Times New Roman"/>
      <w:b/>
      <w:bCs/>
      <w:sz w:val="20"/>
      <w:szCs w:val="20"/>
      <w:lang w:val="en-US" w:eastAsia="en-US"/>
    </w:rPr>
  </w:style>
  <w:style w:type="character" w:customStyle="1" w:styleId="UnresolvedMention">
    <w:name w:val="Unresolved Mention"/>
    <w:basedOn w:val="DefaultParagraphFont"/>
    <w:uiPriority w:val="99"/>
    <w:semiHidden/>
    <w:unhideWhenUsed/>
    <w:rsid w:val="00F900D2"/>
    <w:rPr>
      <w:color w:val="605E5C"/>
      <w:shd w:val="clear" w:color="auto" w:fill="E1DFDD"/>
    </w:rPr>
  </w:style>
  <w:style w:type="paragraph" w:customStyle="1" w:styleId="msonormal0">
    <w:name w:val="msonormal"/>
    <w:basedOn w:val="Normal"/>
    <w:rsid w:val="00DE4FCB"/>
    <w:pPr>
      <w:spacing w:before="100" w:beforeAutospacing="1" w:after="100" w:afterAutospacing="1"/>
    </w:pPr>
    <w:rPr>
      <w:rFonts w:eastAsia="Times New Roman"/>
      <w:lang w:val="en-US" w:eastAsia="en-US"/>
    </w:rPr>
  </w:style>
  <w:style w:type="table" w:styleId="TableGrid">
    <w:name w:val="Table Grid"/>
    <w:basedOn w:val="TableNormal"/>
    <w:uiPriority w:val="39"/>
    <w:rsid w:val="00F54E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li">
    <w:name w:val="Titulli"/>
    <w:next w:val="Normal"/>
    <w:rsid w:val="00777508"/>
    <w:pPr>
      <w:keepNext/>
      <w:widowControl w:val="0"/>
      <w:jc w:val="center"/>
      <w:outlineLvl w:val="1"/>
    </w:pPr>
    <w:rPr>
      <w:rFonts w:ascii="CG Times" w:eastAsia="MS Mincho" w:hAnsi="CG Times"/>
      <w:b/>
      <w:caps/>
      <w:sz w:val="22"/>
      <w:szCs w:val="22"/>
      <w:lang w:val="en-GB"/>
    </w:rPr>
  </w:style>
  <w:style w:type="paragraph" w:customStyle="1" w:styleId="VENDOSI">
    <w:name w:val="VENDOSI"/>
    <w:next w:val="Normal"/>
    <w:rsid w:val="00777508"/>
    <w:pPr>
      <w:keepNext/>
      <w:widowControl w:val="0"/>
      <w:jc w:val="center"/>
    </w:pPr>
    <w:rPr>
      <w:rFonts w:ascii="CG Times" w:eastAsia="MS Mincho" w:hAnsi="CG Times"/>
      <w:cap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599112">
      <w:bodyDiv w:val="1"/>
      <w:marLeft w:val="0"/>
      <w:marRight w:val="0"/>
      <w:marTop w:val="0"/>
      <w:marBottom w:val="0"/>
      <w:divBdr>
        <w:top w:val="none" w:sz="0" w:space="0" w:color="auto"/>
        <w:left w:val="none" w:sz="0" w:space="0" w:color="auto"/>
        <w:bottom w:val="none" w:sz="0" w:space="0" w:color="auto"/>
        <w:right w:val="none" w:sz="0" w:space="0" w:color="auto"/>
      </w:divBdr>
    </w:div>
    <w:div w:id="478035531">
      <w:bodyDiv w:val="1"/>
      <w:marLeft w:val="0"/>
      <w:marRight w:val="0"/>
      <w:marTop w:val="0"/>
      <w:marBottom w:val="0"/>
      <w:divBdr>
        <w:top w:val="none" w:sz="0" w:space="0" w:color="auto"/>
        <w:left w:val="none" w:sz="0" w:space="0" w:color="auto"/>
        <w:bottom w:val="none" w:sz="0" w:space="0" w:color="auto"/>
        <w:right w:val="none" w:sz="0" w:space="0" w:color="auto"/>
      </w:divBdr>
    </w:div>
    <w:div w:id="681594429">
      <w:bodyDiv w:val="1"/>
      <w:marLeft w:val="0"/>
      <w:marRight w:val="0"/>
      <w:marTop w:val="0"/>
      <w:marBottom w:val="0"/>
      <w:divBdr>
        <w:top w:val="none" w:sz="0" w:space="0" w:color="auto"/>
        <w:left w:val="none" w:sz="0" w:space="0" w:color="auto"/>
        <w:bottom w:val="none" w:sz="0" w:space="0" w:color="auto"/>
        <w:right w:val="none" w:sz="0" w:space="0" w:color="auto"/>
      </w:divBdr>
    </w:div>
    <w:div w:id="926765693">
      <w:bodyDiv w:val="1"/>
      <w:marLeft w:val="0"/>
      <w:marRight w:val="0"/>
      <w:marTop w:val="0"/>
      <w:marBottom w:val="0"/>
      <w:divBdr>
        <w:top w:val="none" w:sz="0" w:space="0" w:color="auto"/>
        <w:left w:val="none" w:sz="0" w:space="0" w:color="auto"/>
        <w:bottom w:val="none" w:sz="0" w:space="0" w:color="auto"/>
        <w:right w:val="none" w:sz="0" w:space="0" w:color="auto"/>
      </w:divBdr>
      <w:divsChild>
        <w:div w:id="637417657">
          <w:marLeft w:val="0"/>
          <w:marRight w:val="0"/>
          <w:marTop w:val="0"/>
          <w:marBottom w:val="0"/>
          <w:divBdr>
            <w:top w:val="none" w:sz="0" w:space="0" w:color="auto"/>
            <w:left w:val="none" w:sz="0" w:space="0" w:color="auto"/>
            <w:bottom w:val="none" w:sz="0" w:space="0" w:color="auto"/>
            <w:right w:val="none" w:sz="0" w:space="0" w:color="auto"/>
          </w:divBdr>
        </w:div>
      </w:divsChild>
    </w:div>
    <w:div w:id="958073712">
      <w:bodyDiv w:val="1"/>
      <w:marLeft w:val="0"/>
      <w:marRight w:val="0"/>
      <w:marTop w:val="0"/>
      <w:marBottom w:val="0"/>
      <w:divBdr>
        <w:top w:val="none" w:sz="0" w:space="0" w:color="auto"/>
        <w:left w:val="none" w:sz="0" w:space="0" w:color="auto"/>
        <w:bottom w:val="none" w:sz="0" w:space="0" w:color="auto"/>
        <w:right w:val="none" w:sz="0" w:space="0" w:color="auto"/>
      </w:divBdr>
    </w:div>
    <w:div w:id="988634805">
      <w:bodyDiv w:val="1"/>
      <w:marLeft w:val="0"/>
      <w:marRight w:val="0"/>
      <w:marTop w:val="0"/>
      <w:marBottom w:val="0"/>
      <w:divBdr>
        <w:top w:val="none" w:sz="0" w:space="0" w:color="auto"/>
        <w:left w:val="none" w:sz="0" w:space="0" w:color="auto"/>
        <w:bottom w:val="none" w:sz="0" w:space="0" w:color="auto"/>
        <w:right w:val="none" w:sz="0" w:space="0" w:color="auto"/>
      </w:divBdr>
    </w:div>
    <w:div w:id="1072773071">
      <w:bodyDiv w:val="1"/>
      <w:marLeft w:val="0"/>
      <w:marRight w:val="0"/>
      <w:marTop w:val="0"/>
      <w:marBottom w:val="0"/>
      <w:divBdr>
        <w:top w:val="none" w:sz="0" w:space="0" w:color="auto"/>
        <w:left w:val="none" w:sz="0" w:space="0" w:color="auto"/>
        <w:bottom w:val="none" w:sz="0" w:space="0" w:color="auto"/>
        <w:right w:val="none" w:sz="0" w:space="0" w:color="auto"/>
      </w:divBdr>
    </w:div>
    <w:div w:id="1140344734">
      <w:bodyDiv w:val="1"/>
      <w:marLeft w:val="0"/>
      <w:marRight w:val="0"/>
      <w:marTop w:val="0"/>
      <w:marBottom w:val="0"/>
      <w:divBdr>
        <w:top w:val="none" w:sz="0" w:space="0" w:color="auto"/>
        <w:left w:val="none" w:sz="0" w:space="0" w:color="auto"/>
        <w:bottom w:val="none" w:sz="0" w:space="0" w:color="auto"/>
        <w:right w:val="none" w:sz="0" w:space="0" w:color="auto"/>
      </w:divBdr>
    </w:div>
    <w:div w:id="1292243718">
      <w:bodyDiv w:val="1"/>
      <w:marLeft w:val="0"/>
      <w:marRight w:val="0"/>
      <w:marTop w:val="0"/>
      <w:marBottom w:val="0"/>
      <w:divBdr>
        <w:top w:val="none" w:sz="0" w:space="0" w:color="auto"/>
        <w:left w:val="none" w:sz="0" w:space="0" w:color="auto"/>
        <w:bottom w:val="none" w:sz="0" w:space="0" w:color="auto"/>
        <w:right w:val="none" w:sz="0" w:space="0" w:color="auto"/>
      </w:divBdr>
    </w:div>
    <w:div w:id="1685355977">
      <w:bodyDiv w:val="1"/>
      <w:marLeft w:val="0"/>
      <w:marRight w:val="0"/>
      <w:marTop w:val="0"/>
      <w:marBottom w:val="0"/>
      <w:divBdr>
        <w:top w:val="none" w:sz="0" w:space="0" w:color="auto"/>
        <w:left w:val="none" w:sz="0" w:space="0" w:color="auto"/>
        <w:bottom w:val="none" w:sz="0" w:space="0" w:color="auto"/>
        <w:right w:val="none" w:sz="0" w:space="0" w:color="auto"/>
      </w:divBdr>
    </w:div>
    <w:div w:id="1687170417">
      <w:bodyDiv w:val="1"/>
      <w:marLeft w:val="0"/>
      <w:marRight w:val="0"/>
      <w:marTop w:val="0"/>
      <w:marBottom w:val="0"/>
      <w:divBdr>
        <w:top w:val="none" w:sz="0" w:space="0" w:color="auto"/>
        <w:left w:val="none" w:sz="0" w:space="0" w:color="auto"/>
        <w:bottom w:val="none" w:sz="0" w:space="0" w:color="auto"/>
        <w:right w:val="none" w:sz="0" w:space="0" w:color="auto"/>
      </w:divBdr>
    </w:div>
    <w:div w:id="17782081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chart" Target="charts/chart1.xml"/><Relationship Id="rId18" Type="http://schemas.openxmlformats.org/officeDocument/2006/relationships/hyperlink" Target="https://qbz.gov.al/preview/b2df7bee-dc40-4cd3-8f16-044c7a6e12ed/cons/20240415"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planifikimi.gov.al/index.php?eID=dumpFile&amp;t=f&amp;f=8492&amp;token=347eabbceb5fe92f0c96e264b31f5ef2cacb2cbb" TargetMode="External"/><Relationship Id="rId2" Type="http://schemas.openxmlformats.org/officeDocument/2006/relationships/customXml" Target="../customXml/item2.xml"/><Relationship Id="rId16" Type="http://schemas.openxmlformats.org/officeDocument/2006/relationships/hyperlink" Target="https://planifikimi.gov.al/index.php?eID=dumpFile&amp;t=f&amp;f=8521&amp;token=8205f2aa267ccefe6c1de85d4c33e66cd62e6af5" TargetMode="External"/><Relationship Id="rId20" Type="http://schemas.openxmlformats.org/officeDocument/2006/relationships/hyperlink" Target="file:///C:/Users/Albana/Documents/DOKUMENTA%20ALBANA/PUNIME%20NE%20VITE/UNDP%202025%20AK/Zhvillimi%20i%20punes%20narative/Raporti%20i%20ri/05%2005%202025/26%2005%20%202026%20Total%20buxhet.xlsx"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hyperlink" Target="https://qbz.gov.al/eli/vendim/2022/10/05/646/c589454f-528b-4d29-82e0-cb84622fcd92"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medialook.al/wp-content/uploads/2024/01/Plani-i-Veprimit-per-Shendetin-Mendor-2023-2026.pdf" TargetMode="External"/><Relationship Id="rId2" Type="http://schemas.openxmlformats.org/officeDocument/2006/relationships/hyperlink" Target="https://www.drejtesia.gov.al/plani-i-veprimit-te-strategjise-ndersektoriale-te-drejtesise" TargetMode="External"/><Relationship Id="rId1" Type="http://schemas.openxmlformats.org/officeDocument/2006/relationships/hyperlink" Target="https://www.kryeministria.al/strategjia-kombetare-per-zhvillim-dhe-integrim-evropian-skzhie/" TargetMode="External"/><Relationship Id="rId4" Type="http://schemas.openxmlformats.org/officeDocument/2006/relationships/hyperlink" Target="https://sdgs.un.org/2030agenda"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C:/Users/Albana/Downloads/10%2003%202026%20Total%20buxhet%20%20draft%20rv.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pitchFamily="18" charset="0"/>
                <a:cs typeface="Times New Roman" pitchFamily="18" charset="0"/>
              </a:rPr>
              <a:t>Kostoja në % sipas burimeve të financimit të PKVPAK 2026-2030</a:t>
            </a:r>
          </a:p>
        </c:rich>
      </c:tx>
      <c:layout/>
      <c:overlay val="0"/>
    </c:title>
    <c:autoTitleDeleted val="0"/>
    <c:plotArea>
      <c:layout/>
      <c:pieChart>
        <c:varyColors val="1"/>
        <c:ser>
          <c:idx val="0"/>
          <c:order val="0"/>
          <c:explosion val="25"/>
          <c:dLbls>
            <c:dLbl>
              <c:idx val="0"/>
              <c:layout>
                <c:manualLayout>
                  <c:x val="0.13790555664773177"/>
                  <c:y val="-0.18041705082961534"/>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0-C0EE-4566-A797-E86C5DF74ABE}"/>
                </c:ext>
                <c:ext xmlns:c15="http://schemas.microsoft.com/office/drawing/2012/chart" uri="{CE6537A1-D6FC-4f65-9D91-7224C49458BB}">
                  <c15:layout/>
                </c:ext>
              </c:extLst>
            </c:dLbl>
            <c:dLbl>
              <c:idx val="1"/>
              <c:layout/>
              <c:tx>
                <c:rich>
                  <a:bodyPr/>
                  <a:lstStyle/>
                  <a:p>
                    <a:r>
                      <a:rPr lang="en-US"/>
                      <a:t>Financim i  huaj
2%</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C0EE-4566-A797-E86C5DF74ABE}"/>
                </c:ext>
                <c:ext xmlns:c15="http://schemas.microsoft.com/office/drawing/2012/chart" uri="{CE6537A1-D6FC-4f65-9D91-7224C49458BB}">
                  <c15:layout/>
                </c:ext>
              </c:extLst>
            </c:dLbl>
            <c:spPr>
              <a:noFill/>
              <a:ln>
                <a:noFill/>
              </a:ln>
              <a:effectLst/>
            </c:spPr>
            <c:txPr>
              <a:bodyPr/>
              <a:lstStyle/>
              <a:p>
                <a:pPr>
                  <a:defRPr sz="1100">
                    <a:latin typeface="Times New Roman" pitchFamily="18" charset="0"/>
                    <a:cs typeface="Times New Roman" pitchFamily="18" charset="0"/>
                  </a:defRPr>
                </a:pPr>
                <a:endParaRPr lang="sq-AL"/>
              </a:p>
            </c:tx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15:layout/>
              </c:ext>
            </c:extLst>
          </c:dLbls>
          <c:cat>
            <c:strRef>
              <c:f>'[10 03 2026 Total buxhet  draft rv.xlsx]Grafik Tabela'!$D$16:$F$16</c:f>
              <c:strCache>
                <c:ptCount val="3"/>
                <c:pt idx="0">
                  <c:v>Kosto nga Buxheti i Shtetit</c:v>
                </c:pt>
                <c:pt idx="1">
                  <c:v>Financim i  huaj</c:v>
                </c:pt>
                <c:pt idx="2">
                  <c:v>Hendeku financiar </c:v>
                </c:pt>
              </c:strCache>
            </c:strRef>
          </c:cat>
          <c:val>
            <c:numRef>
              <c:f>'[10 03 2026 Total buxhet  draft rv.xlsx]Grafik Tabela'!$D$17:$F$17</c:f>
              <c:numCache>
                <c:formatCode>0.00%</c:formatCode>
                <c:ptCount val="3"/>
                <c:pt idx="0" formatCode="0%">
                  <c:v>0.79386149902144698</c:v>
                </c:pt>
                <c:pt idx="1">
                  <c:v>2.0163004830789425E-2</c:v>
                </c:pt>
                <c:pt idx="2" formatCode="0%">
                  <c:v>0.18597549614776354</c:v>
                </c:pt>
              </c:numCache>
            </c:numRef>
          </c:val>
          <c:extLst xmlns:c16r2="http://schemas.microsoft.com/office/drawing/2015/06/chart">
            <c:ext xmlns:c16="http://schemas.microsoft.com/office/drawing/2014/chart" uri="{C3380CC4-5D6E-409C-BE32-E72D297353CC}">
              <c16:uniqueId val="{00000002-C0EE-4566-A797-E86C5DF74ABE}"/>
            </c:ext>
          </c:extLst>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429</Nr_x002e__x0020_akti>
    <Data_x0020_e_x0020_Krijimit xmlns="0e656187-b300-4fb0-8bf4-3a50f872073c">2026-06-11T11:30:36Z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2026-06-11T00:00:00Z</Date_x0020_protokolli>
    <Titulli xmlns="0e656187-b300-4fb0-8bf4-3a50f872073c">Për miratimin e Planit Kombëtar të Veprimit për Personat me Aftësi të Kufizuara 2026-2030</Titulli>
    <Modifikuesi xmlns="0e656187-b300-4fb0-8bf4-3a50f872073c">alma.lisaku</Modifikuesi>
    <Nr_x002e__x0020_prot_x0020_QBZ xmlns="0e656187-b300-4fb0-8bf4-3a50f872073c">1315</Nr_x002e__x0020_prot_x0020_QBZ>
    <Data_x0020_e_x0020_Modifikimit xmlns="0e656187-b300-4fb0-8bf4-3a50f872073c">2026-06-17T07:35:49Z</Data_x0020_e_x0020_Modifikimit>
    <Dekretuar xmlns="0e656187-b300-4fb0-8bf4-3a50f872073c">false</Dekretuar>
    <Data xmlns="0e656187-b300-4fb0-8bf4-3a50f872073c">2026-06-10T00:00:00Z</Data>
    <Nr_x002e__x0020_protokolli_x0020_i_x0020_aktit xmlns="0e656187-b300-4fb0-8bf4-3a50f872073c">3081/7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486F932625F40B7931EC7FA64ECD6A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C486F932625F40B7931EC7FA64ECD6A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4506FE-381C-4A66-AFB2-FE0589FAEAAA}">
  <ds:schemaRefs>
    <ds:schemaRef ds:uri="http://purl.org/dc/dcmitype/"/>
    <ds:schemaRef ds:uri="http://schemas.microsoft.com/office/2006/documentManagement/types"/>
    <ds:schemaRef ds:uri="http://purl.org/dc/terms/"/>
    <ds:schemaRef ds:uri="http://purl.org/dc/elements/1.1/"/>
    <ds:schemaRef ds:uri="0e656187-b300-4fb0-8bf4-3a50f872073c"/>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75914B0A-0C64-4F79-9F8D-D0E9C6A27AB5}">
  <ds:schemaRefs>
    <ds:schemaRef ds:uri="http://schemas.microsoft.com/sharepoint/v3/contenttype/forms"/>
  </ds:schemaRefs>
</ds:datastoreItem>
</file>

<file path=customXml/itemProps3.xml><?xml version="1.0" encoding="utf-8"?>
<ds:datastoreItem xmlns:ds="http://schemas.openxmlformats.org/officeDocument/2006/customXml" ds:itemID="{AF89AD29-AE09-4A64-B025-F6B013F3E4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5AC2128-217F-4B13-8532-04537E3A74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444EF4DB-7C12-415F-B47A-EBB827A861EF}">
  <ds:schemaRefs>
    <ds:schemaRef ds:uri="http://schemas.microsoft.com/sharepoint/v3/contenttype/forms"/>
  </ds:schemaRefs>
</ds:datastoreItem>
</file>

<file path=customXml/itemProps6.xml><?xml version="1.0" encoding="utf-8"?>
<ds:datastoreItem xmlns:ds="http://schemas.openxmlformats.org/officeDocument/2006/customXml" ds:itemID="{24E2EAAE-FA48-45E4-89AE-0AD02745B653}">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756</TotalTime>
  <Pages>102</Pages>
  <Words>67187</Words>
  <Characters>382971</Characters>
  <Application>Microsoft Office Word</Application>
  <DocSecurity>0</DocSecurity>
  <Lines>3191</Lines>
  <Paragraphs>898</Paragraphs>
  <ScaleCrop>false</ScaleCrop>
  <HeadingPairs>
    <vt:vector size="2" baseType="variant">
      <vt:variant>
        <vt:lpstr>Title</vt:lpstr>
      </vt:variant>
      <vt:variant>
        <vt:i4>1</vt:i4>
      </vt:variant>
    </vt:vector>
  </HeadingPairs>
  <TitlesOfParts>
    <vt:vector size="1" baseType="lpstr">
      <vt:lpstr>Për miratimin e Planit Kombëtar të Veprimit për Personat me Aftësi të Kufizuara 2026-2030</vt:lpstr>
    </vt:vector>
  </TitlesOfParts>
  <Company/>
  <LinksUpToDate>false</LinksUpToDate>
  <CharactersWithSpaces>449260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Planit Kombëtar të Veprimit për Personat me Aftësi të Kufizuara 2026-2030</dc:title>
  <dc:creator>Blerta Drenofci</dc:creator>
  <cp:lastModifiedBy>Entela Suli</cp:lastModifiedBy>
  <cp:revision>357</cp:revision>
  <cp:lastPrinted>2026-06-01T10:36:00Z</cp:lastPrinted>
  <dcterms:created xsi:type="dcterms:W3CDTF">2026-06-08T19:02:00Z</dcterms:created>
  <dcterms:modified xsi:type="dcterms:W3CDTF">2026-06-17T08:17:00Z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414D6E46B5A144FCABC19A5997051785_13</vt:lpwstr>
  </property>
  <property fmtid="{D5CDD505-2E9C-101B-9397-08002B2CF9AE}" pid="4" name="KSOTemplateDocerSaveRecord">
    <vt:lpwstr>eyJoZGlkIjoiZTg0OWJlMTM0ODkwMDliZDU3OTgwZjRiYjllZGYwODkiLCJ1c2VySWQiOiIxMDg1NzY3ODI4OTQ1NSJ9</vt:lpwstr>
  </property>
</Properties>
</file>