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270AB" w14:textId="77777777" w:rsidR="0071362C" w:rsidRPr="006B2D8B" w:rsidRDefault="0071362C" w:rsidP="0071362C">
      <w:pPr>
        <w:spacing w:after="0" w:line="240" w:lineRule="auto"/>
        <w:ind w:firstLine="284"/>
        <w:jc w:val="center"/>
        <w:rPr>
          <w:rFonts w:ascii="Garamond" w:hAnsi="Garamond"/>
          <w:b/>
          <w:lang w:val="sq-AL"/>
        </w:rPr>
      </w:pPr>
      <w:r w:rsidRPr="006B2D8B">
        <w:rPr>
          <w:rFonts w:ascii="Garamond" w:hAnsi="Garamond"/>
          <w:b/>
          <w:lang w:val="sq-AL"/>
        </w:rPr>
        <w:t>VENDIM</w:t>
      </w:r>
    </w:p>
    <w:p w14:paraId="687916A0" w14:textId="4C6EC320" w:rsidR="0071362C" w:rsidRPr="006B2D8B" w:rsidRDefault="0071362C" w:rsidP="0071362C">
      <w:pPr>
        <w:spacing w:after="0" w:line="240" w:lineRule="auto"/>
        <w:ind w:firstLine="284"/>
        <w:jc w:val="center"/>
        <w:rPr>
          <w:rFonts w:ascii="Garamond" w:hAnsi="Garamond"/>
          <w:b/>
          <w:lang w:val="sq-AL"/>
        </w:rPr>
      </w:pPr>
      <w:r w:rsidRPr="006B2D8B">
        <w:rPr>
          <w:rFonts w:ascii="Garamond" w:hAnsi="Garamond"/>
          <w:b/>
          <w:lang w:val="sq-AL"/>
        </w:rPr>
        <w:t>Nr. 579, datë</w:t>
      </w:r>
      <w:r w:rsidR="006B2D8B">
        <w:rPr>
          <w:rFonts w:ascii="Garamond" w:hAnsi="Garamond"/>
          <w:b/>
          <w:lang w:val="sq-AL"/>
        </w:rPr>
        <w:t xml:space="preserve"> </w:t>
      </w:r>
      <w:r w:rsidRPr="006B2D8B">
        <w:rPr>
          <w:rFonts w:ascii="Garamond" w:hAnsi="Garamond"/>
          <w:b/>
          <w:lang w:val="sq-AL"/>
        </w:rPr>
        <w:t>22.7.2026</w:t>
      </w:r>
    </w:p>
    <w:p w14:paraId="0865F569" w14:textId="77777777" w:rsidR="0071362C" w:rsidRPr="006B2D8B" w:rsidRDefault="0071362C" w:rsidP="0071362C">
      <w:pPr>
        <w:spacing w:after="0" w:line="240" w:lineRule="auto"/>
        <w:ind w:firstLine="284"/>
        <w:jc w:val="center"/>
        <w:rPr>
          <w:rFonts w:ascii="Garamond" w:hAnsi="Garamond"/>
          <w:b/>
          <w:lang w:val="sq-AL"/>
        </w:rPr>
      </w:pPr>
    </w:p>
    <w:p w14:paraId="4A84653B" w14:textId="583FC79E" w:rsidR="0071362C" w:rsidRPr="006B2D8B" w:rsidRDefault="0071362C" w:rsidP="0071362C">
      <w:pPr>
        <w:spacing w:after="0" w:line="240" w:lineRule="auto"/>
        <w:ind w:firstLine="284"/>
        <w:jc w:val="center"/>
        <w:rPr>
          <w:rFonts w:ascii="Garamond" w:hAnsi="Garamond"/>
          <w:b/>
          <w:lang w:val="sq-AL"/>
        </w:rPr>
      </w:pPr>
      <w:r w:rsidRPr="006B2D8B">
        <w:rPr>
          <w:rFonts w:ascii="Garamond" w:hAnsi="Garamond"/>
          <w:b/>
          <w:lang w:val="sq-AL"/>
        </w:rPr>
        <w:t>PËR DISA NDRYSHIME DHE SHTESA NË VENDIMIN NR.</w:t>
      </w:r>
      <w:r w:rsidR="006B2D8B">
        <w:rPr>
          <w:rFonts w:ascii="Garamond" w:hAnsi="Garamond"/>
          <w:b/>
          <w:lang w:val="sq-AL"/>
        </w:rPr>
        <w:t xml:space="preserve"> </w:t>
      </w:r>
      <w:r w:rsidRPr="006B2D8B">
        <w:rPr>
          <w:rFonts w:ascii="Garamond" w:hAnsi="Garamond"/>
          <w:b/>
          <w:lang w:val="sq-AL"/>
        </w:rPr>
        <w:t>926,</w:t>
      </w:r>
      <w:r w:rsidR="006B2D8B">
        <w:rPr>
          <w:rFonts w:ascii="Garamond" w:hAnsi="Garamond"/>
          <w:b/>
          <w:lang w:val="sq-AL"/>
        </w:rPr>
        <w:t xml:space="preserve"> </w:t>
      </w:r>
      <w:r w:rsidRPr="006B2D8B">
        <w:rPr>
          <w:rFonts w:ascii="Garamond" w:hAnsi="Garamond"/>
          <w:b/>
          <w:lang w:val="sq-AL"/>
        </w:rPr>
        <w:t>DATË 29.12.2014, TË KËSHILLIT TË MINISTRAVE, “PËR KRITERET E VLERËSIMIT TË PRONËS SHTETËRORE, QË PRIVATIZOHET APO TRANSFORMOHET, DHE PROCEDURËN E SHITJES”,</w:t>
      </w:r>
      <w:r w:rsidR="006B2D8B">
        <w:rPr>
          <w:rFonts w:ascii="Garamond" w:hAnsi="Garamond"/>
          <w:b/>
          <w:lang w:val="sq-AL"/>
        </w:rPr>
        <w:t xml:space="preserve"> </w:t>
      </w:r>
      <w:r w:rsidRPr="006B2D8B">
        <w:rPr>
          <w:rFonts w:ascii="Garamond" w:hAnsi="Garamond"/>
          <w:b/>
          <w:lang w:val="sq-AL"/>
        </w:rPr>
        <w:t>TË NDRYSHUAR</w:t>
      </w:r>
    </w:p>
    <w:p w14:paraId="542C6917" w14:textId="77777777" w:rsidR="0071362C" w:rsidRPr="006B2D8B" w:rsidRDefault="0071362C" w:rsidP="0071362C">
      <w:pPr>
        <w:spacing w:after="0" w:line="240" w:lineRule="auto"/>
        <w:ind w:firstLine="284"/>
        <w:jc w:val="both"/>
        <w:rPr>
          <w:rFonts w:ascii="Garamond" w:hAnsi="Garamond"/>
          <w:lang w:val="sq-AL"/>
        </w:rPr>
      </w:pPr>
    </w:p>
    <w:p w14:paraId="46C87D55" w14:textId="5D0DE4B2"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Në mbështetje të nenit 100 të Kushtetutës dhe të nenit 2, të aktit normativ nr.</w:t>
      </w:r>
      <w:r w:rsidR="006B2D8B">
        <w:rPr>
          <w:rFonts w:ascii="Garamond" w:hAnsi="Garamond"/>
          <w:lang w:val="sq-AL"/>
        </w:rPr>
        <w:t xml:space="preserve"> </w:t>
      </w:r>
      <w:r w:rsidRPr="006B2D8B">
        <w:rPr>
          <w:rFonts w:ascii="Garamond" w:hAnsi="Garamond"/>
          <w:lang w:val="sq-AL"/>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6B2D8B">
        <w:rPr>
          <w:rFonts w:ascii="Garamond" w:hAnsi="Garamond"/>
          <w:lang w:val="sq-AL"/>
        </w:rPr>
        <w:t xml:space="preserve"> </w:t>
      </w:r>
      <w:r w:rsidRPr="006B2D8B">
        <w:rPr>
          <w:rFonts w:ascii="Garamond" w:hAnsi="Garamond"/>
          <w:lang w:val="sq-AL"/>
        </w:rPr>
        <w:t xml:space="preserve">9967, datë 24.7.2008, të ndryshuar, me propozimin e ministrit të Ekonomisë dhe Inovacionit, Këshilli i Ministrave </w:t>
      </w:r>
    </w:p>
    <w:p w14:paraId="147D07E3" w14:textId="77777777" w:rsidR="0071362C" w:rsidRPr="006B2D8B" w:rsidRDefault="0071362C" w:rsidP="0071362C">
      <w:pPr>
        <w:spacing w:after="0" w:line="240" w:lineRule="auto"/>
        <w:ind w:firstLine="284"/>
        <w:jc w:val="both"/>
        <w:rPr>
          <w:rFonts w:ascii="Garamond" w:hAnsi="Garamond"/>
          <w:lang w:val="sq-AL"/>
        </w:rPr>
      </w:pPr>
    </w:p>
    <w:p w14:paraId="1BA4596C" w14:textId="77777777" w:rsidR="0071362C" w:rsidRPr="006B2D8B" w:rsidRDefault="0071362C" w:rsidP="0071362C">
      <w:pPr>
        <w:spacing w:after="0" w:line="240" w:lineRule="auto"/>
        <w:ind w:firstLine="284"/>
        <w:jc w:val="center"/>
        <w:rPr>
          <w:rFonts w:ascii="Garamond" w:hAnsi="Garamond"/>
          <w:lang w:val="sq-AL"/>
        </w:rPr>
      </w:pPr>
      <w:r w:rsidRPr="006B2D8B">
        <w:rPr>
          <w:rFonts w:ascii="Garamond" w:hAnsi="Garamond"/>
          <w:lang w:val="sq-AL"/>
        </w:rPr>
        <w:t>VENDOSI:</w:t>
      </w:r>
    </w:p>
    <w:p w14:paraId="0B07426E" w14:textId="77777777" w:rsidR="0071362C" w:rsidRPr="006B2D8B" w:rsidRDefault="0071362C" w:rsidP="0071362C">
      <w:pPr>
        <w:spacing w:after="0" w:line="240" w:lineRule="auto"/>
        <w:ind w:firstLine="284"/>
        <w:jc w:val="both"/>
        <w:rPr>
          <w:rFonts w:ascii="Garamond" w:hAnsi="Garamond"/>
          <w:lang w:val="sq-AL"/>
        </w:rPr>
      </w:pPr>
    </w:p>
    <w:p w14:paraId="308C204C" w14:textId="790B6FA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I. Në vendimin nr.</w:t>
      </w:r>
      <w:r w:rsidR="006B2D8B">
        <w:rPr>
          <w:rFonts w:ascii="Garamond" w:hAnsi="Garamond"/>
          <w:lang w:val="sq-AL"/>
        </w:rPr>
        <w:t xml:space="preserve"> </w:t>
      </w:r>
      <w:r w:rsidRPr="006B2D8B">
        <w:rPr>
          <w:rFonts w:ascii="Garamond" w:hAnsi="Garamond"/>
          <w:lang w:val="sq-AL"/>
        </w:rPr>
        <w:t xml:space="preserve">926, datë 29.12.2014, të Këshillit të Ministrave, “Për kriteret e vlerësimit të pronës shtetërore, që privatizohet apo transformohet, dhe procedurën e shitjes”, të ndryshuar, bëhen këto ndryshime dhe shtesa: </w:t>
      </w:r>
    </w:p>
    <w:p w14:paraId="7B7A4F26" w14:textId="621817E3"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1. Kudo në vendim, togfjalëshi “pronë publike” zëvendësohet me “pronë shtetërore”.</w:t>
      </w:r>
    </w:p>
    <w:p w14:paraId="64C79044" w14:textId="46C6741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2. Kudo në vendim, fjala “</w:t>
      </w:r>
      <w:proofErr w:type="spellStart"/>
      <w:r w:rsidRPr="006B2D8B">
        <w:rPr>
          <w:rFonts w:ascii="Garamond" w:hAnsi="Garamond"/>
          <w:lang w:val="sq-AL"/>
        </w:rPr>
        <w:t>genplan</w:t>
      </w:r>
      <w:proofErr w:type="spellEnd"/>
      <w:r w:rsidRPr="006B2D8B">
        <w:rPr>
          <w:rFonts w:ascii="Garamond" w:hAnsi="Garamond"/>
          <w:lang w:val="sq-AL"/>
        </w:rPr>
        <w:t>” zëvendësohet me togfjalëshin “</w:t>
      </w:r>
      <w:proofErr w:type="spellStart"/>
      <w:r w:rsidRPr="006B2D8B">
        <w:rPr>
          <w:rFonts w:ascii="Garamond" w:hAnsi="Garamond"/>
          <w:lang w:val="sq-AL"/>
        </w:rPr>
        <w:t>genplan</w:t>
      </w:r>
      <w:proofErr w:type="spellEnd"/>
      <w:r w:rsidRPr="006B2D8B">
        <w:rPr>
          <w:rFonts w:ascii="Garamond" w:hAnsi="Garamond"/>
          <w:lang w:val="sq-AL"/>
        </w:rPr>
        <w:t>/plan</w:t>
      </w:r>
      <w:r w:rsidR="006B2D8B">
        <w:rPr>
          <w:rFonts w:ascii="Garamond" w:hAnsi="Garamond"/>
          <w:lang w:val="sq-AL"/>
        </w:rPr>
        <w:t>-</w:t>
      </w:r>
      <w:r w:rsidRPr="006B2D8B">
        <w:rPr>
          <w:rFonts w:ascii="Garamond" w:hAnsi="Garamond"/>
          <w:lang w:val="sq-AL"/>
        </w:rPr>
        <w:t>rilevim”.</w:t>
      </w:r>
    </w:p>
    <w:p w14:paraId="4707551F" w14:textId="576E1F3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3. Në kreun I bëhen ndryshimet e mëposhtme:</w:t>
      </w:r>
    </w:p>
    <w:p w14:paraId="22137F44" w14:textId="060BD2E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a) Pika 1 ndryshohet, si më poshtë vijon: </w:t>
      </w:r>
    </w:p>
    <w:p w14:paraId="43A98F34"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“1. Këtij vendimi i nënshtrohen të gjitha pronat e paluajtshme shtetërore dhe pasuritë e luajtshme, objektet e veçanta, mjetet kryesore dhe mjetet e xhiros të ndërmarrjeve shtetërore, </w:t>
      </w:r>
      <w:proofErr w:type="spellStart"/>
      <w:r w:rsidRPr="006B2D8B">
        <w:rPr>
          <w:rFonts w:ascii="Garamond" w:hAnsi="Garamond"/>
          <w:lang w:val="sq-AL"/>
        </w:rPr>
        <w:t>asetet</w:t>
      </w:r>
      <w:proofErr w:type="spellEnd"/>
      <w:r w:rsidRPr="006B2D8B">
        <w:rPr>
          <w:rFonts w:ascii="Garamond" w:hAnsi="Garamond"/>
          <w:lang w:val="sq-AL"/>
        </w:rPr>
        <w:t xml:space="preserve"> e shoqërive tregtare të zbritura nga kapitali i tyre, të cilat plotësojnë kriteret për privatizim, sipas këtij vendimi.”. </w:t>
      </w:r>
    </w:p>
    <w:p w14:paraId="037ADE2D" w14:textId="0878D5E3"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b) Paragrafi i tretë, i pikës 2, zëvendësohet me paragrafin, me këtë përmbajtje: </w:t>
      </w:r>
    </w:p>
    <w:p w14:paraId="6777CA4A"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“Në rastet kur për objektet, që janë në pronësi të organeve të pushtetit vendor, është marrë vendimi i këshillit të njësive të qeverisjes vendore për privatizimin/tjetërsimin e tyre dhe këto objekte janë miratuar për t’u përfshirë në procedurë privatizimi, pas nxjerrjes së urdhrit të privatizimit nga ministri përgjegjës për ekonominë, struktura përgjegjëse për privatizimin njofton institucionin administrues/pronar të pronës shtetërore për fillimin e procedurave të privatizimit, me qëllim afishimin e njoftimit përkatës në ambientet e pronës shtetërore, për efekt njohjeje nga ish-pronarët.”.</w:t>
      </w:r>
    </w:p>
    <w:p w14:paraId="64680C57" w14:textId="300697A6"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c) Paragrafi i katërt, i pikës 2, shfuqizohet. </w:t>
      </w:r>
    </w:p>
    <w:p w14:paraId="6AEF0E98" w14:textId="68FCE3DA"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ç)</w:t>
      </w:r>
      <w:r w:rsidR="006B2D8B">
        <w:rPr>
          <w:rFonts w:ascii="Garamond" w:hAnsi="Garamond"/>
          <w:lang w:val="sq-AL"/>
        </w:rPr>
        <w:t xml:space="preserve"> </w:t>
      </w:r>
      <w:r w:rsidRPr="006B2D8B">
        <w:rPr>
          <w:rFonts w:ascii="Garamond" w:hAnsi="Garamond"/>
          <w:lang w:val="sq-AL"/>
        </w:rPr>
        <w:t xml:space="preserve">Pikat 3 dhe 4 ndryshohen, si më poshtë vijon: </w:t>
      </w:r>
    </w:p>
    <w:p w14:paraId="293BA62D" w14:textId="1C6AE45F"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“3. Komisioni i vlerësimit të pronës shtetërore, në zbatim të këtij vendimi ngrihet nga ministri përgjegjës për ekonominë. Ky komision ka në përbërje të tij 3 (tre) anëtarë: përfaqësuesin e strukturës përgjegjëse për privatizim, një ekspert vlerësues të licencuar dhe një përfaqësues të ndërmarrjes apo institucionit në administrim/pronësi të </w:t>
      </w:r>
      <w:proofErr w:type="spellStart"/>
      <w:r w:rsidRPr="006B2D8B">
        <w:rPr>
          <w:rFonts w:ascii="Garamond" w:hAnsi="Garamond"/>
          <w:lang w:val="sq-AL"/>
        </w:rPr>
        <w:t>të</w:t>
      </w:r>
      <w:proofErr w:type="spellEnd"/>
      <w:r w:rsidRPr="006B2D8B">
        <w:rPr>
          <w:rFonts w:ascii="Garamond" w:hAnsi="Garamond"/>
          <w:lang w:val="sq-AL"/>
        </w:rPr>
        <w:t xml:space="preserve"> cilit ndodhet prona shtetërore. Komisioni kryesohet nga përfaqësuesi i strukturës përgjegjëse për privatizim.</w:t>
      </w:r>
    </w:p>
    <w:p w14:paraId="7062D673" w14:textId="4BC7D54C"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Sipas nevojave të procesit të vlerësimit të pronës shtetërore, ministri përgjegjës për ekonominë urdhëron që në komisionin e vlerësimit të marrë pjesë edhe një </w:t>
      </w:r>
      <w:proofErr w:type="spellStart"/>
      <w:r w:rsidRPr="006B2D8B">
        <w:rPr>
          <w:rFonts w:ascii="Garamond" w:hAnsi="Garamond"/>
          <w:lang w:val="sq-AL"/>
        </w:rPr>
        <w:t>auditues</w:t>
      </w:r>
      <w:proofErr w:type="spellEnd"/>
      <w:r w:rsidRPr="006B2D8B">
        <w:rPr>
          <w:rFonts w:ascii="Garamond" w:hAnsi="Garamond"/>
          <w:lang w:val="sq-AL"/>
        </w:rPr>
        <w:t xml:space="preserve"> apo ekspertë të tjerë të licencuar sipas procesit të vlerësimit. </w:t>
      </w:r>
    </w:p>
    <w:p w14:paraId="4F79DB85" w14:textId="18ADD1C0"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4. Ekspertët vlerësues në përbërje të komisionit të vlerësimit të pronës shtetërore përzgjidhen nga ministri </w:t>
      </w:r>
      <w:r w:rsidR="006B2D8B" w:rsidRPr="006B2D8B">
        <w:rPr>
          <w:rFonts w:ascii="Garamond" w:hAnsi="Garamond"/>
          <w:lang w:val="sq-AL"/>
        </w:rPr>
        <w:t>përgjegjës</w:t>
      </w:r>
      <w:r w:rsidRPr="006B2D8B">
        <w:rPr>
          <w:rFonts w:ascii="Garamond" w:hAnsi="Garamond"/>
          <w:lang w:val="sq-AL"/>
        </w:rPr>
        <w:t xml:space="preserve"> për ekonominë nga lista e ekspertëve të licencuar për vlerësimin e pasurive të </w:t>
      </w:r>
      <w:r w:rsidR="006B2D8B" w:rsidRPr="006B2D8B">
        <w:rPr>
          <w:rFonts w:ascii="Garamond" w:hAnsi="Garamond"/>
          <w:lang w:val="sq-AL"/>
        </w:rPr>
        <w:t>paluajtshme</w:t>
      </w:r>
      <w:r w:rsidRPr="006B2D8B">
        <w:rPr>
          <w:rFonts w:ascii="Garamond" w:hAnsi="Garamond"/>
          <w:lang w:val="sq-AL"/>
        </w:rPr>
        <w:t xml:space="preserve">, sipas fushës së vlerësimit dhe </w:t>
      </w:r>
      <w:r w:rsidR="006B2D8B" w:rsidRPr="006B2D8B">
        <w:rPr>
          <w:rFonts w:ascii="Garamond" w:hAnsi="Garamond"/>
          <w:lang w:val="sq-AL"/>
        </w:rPr>
        <w:t>licencës</w:t>
      </w:r>
      <w:r w:rsidRPr="006B2D8B">
        <w:rPr>
          <w:rFonts w:ascii="Garamond" w:hAnsi="Garamond"/>
          <w:lang w:val="sq-AL"/>
        </w:rPr>
        <w:t xml:space="preserve"> përkatëse. </w:t>
      </w:r>
    </w:p>
    <w:p w14:paraId="10E76FF6"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Pagesa e ekspertit/ekspertëve vlerësues, si edhe çdo shpenzim për përgatitjen e dokumentacionit të vlerësimit përballohen nga ministria përgjegjëse për ekonominë.</w:t>
      </w:r>
    </w:p>
    <w:p w14:paraId="19BEE066"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Pagesa e ekspertëve përcaktohet, si më poshtë:</w:t>
      </w:r>
    </w:p>
    <w:p w14:paraId="606CE27F" w14:textId="3E0459B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a)</w:t>
      </w:r>
      <w:r w:rsidR="006B2D8B">
        <w:rPr>
          <w:rFonts w:ascii="Garamond" w:hAnsi="Garamond"/>
          <w:lang w:val="sq-AL"/>
        </w:rPr>
        <w:t xml:space="preserve"> </w:t>
      </w:r>
      <w:r w:rsidRPr="006B2D8B">
        <w:rPr>
          <w:rFonts w:ascii="Garamond" w:hAnsi="Garamond"/>
          <w:lang w:val="sq-AL"/>
        </w:rPr>
        <w:t>5% e vlerës së objektit të vlerësuar deri në 10 000 000 (dhjetë milionë) lekë, por jo më pak se 100 000 (njëqind mijë) lekë pa TVSH;</w:t>
      </w:r>
    </w:p>
    <w:p w14:paraId="4C3A057E" w14:textId="3F93FD9A"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lastRenderedPageBreak/>
        <w:t>b)</w:t>
      </w:r>
      <w:r w:rsidR="006B2D8B">
        <w:rPr>
          <w:rFonts w:ascii="Garamond" w:hAnsi="Garamond"/>
          <w:lang w:val="sq-AL"/>
        </w:rPr>
        <w:t xml:space="preserve"> </w:t>
      </w:r>
      <w:r w:rsidRPr="006B2D8B">
        <w:rPr>
          <w:rFonts w:ascii="Garamond" w:hAnsi="Garamond"/>
          <w:lang w:val="sq-AL"/>
        </w:rPr>
        <w:t>4% e vlerës së objektit të vlerësuar për vlera mbi 10 000 000 (dhjetë milionë) lekë, por jo më pak se 500 000 (pesëqind mijë) lekë dhe jo më shumë se 1 000 000 (një milion) lekë, pa TVSH.</w:t>
      </w:r>
    </w:p>
    <w:p w14:paraId="68F18711"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Pagesa kryhet pas dorëzimit të raportit përfundimtar të vlerësimit dhe pranimit të tij nga struktura përgjegjëse për privatizimin. Në rast se raporti nuk pranohet për shkak të mangësive, struktura përgjegjëse njofton me shkrim ekspertin vlerësues, duke specifikuar arsyet e mospranimit dhe korrigjimet e kërkuara. Vlerësuesi është i detyruar të kryejë korrigjimet dhe ta </w:t>
      </w:r>
      <w:proofErr w:type="spellStart"/>
      <w:r w:rsidRPr="006B2D8B">
        <w:rPr>
          <w:rFonts w:ascii="Garamond" w:hAnsi="Garamond"/>
          <w:lang w:val="sq-AL"/>
        </w:rPr>
        <w:t>ridorëzojë</w:t>
      </w:r>
      <w:proofErr w:type="spellEnd"/>
      <w:r w:rsidRPr="006B2D8B">
        <w:rPr>
          <w:rFonts w:ascii="Garamond" w:hAnsi="Garamond"/>
          <w:lang w:val="sq-AL"/>
        </w:rPr>
        <w:t xml:space="preserve"> raportin. Pagesa kryhet vetëm pas dorëzimit të raportit të korrigjuar dhe pranimit të tij.”. </w:t>
      </w:r>
    </w:p>
    <w:p w14:paraId="2A14413C" w14:textId="5F547A28"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d)</w:t>
      </w:r>
      <w:r w:rsidR="006B2D8B">
        <w:rPr>
          <w:rFonts w:ascii="Garamond" w:hAnsi="Garamond"/>
          <w:lang w:val="sq-AL"/>
        </w:rPr>
        <w:t xml:space="preserve"> </w:t>
      </w:r>
      <w:r w:rsidRPr="006B2D8B">
        <w:rPr>
          <w:rFonts w:ascii="Garamond" w:hAnsi="Garamond"/>
          <w:lang w:val="sq-AL"/>
        </w:rPr>
        <w:t>Pika 6 ndryshohet, si më poshtë vijon:</w:t>
      </w:r>
    </w:p>
    <w:p w14:paraId="2CBD0492" w14:textId="03D05BBC"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“6. Për pronën shtetërore, që ka qenë në administrim të një subjekti ose institucioni tashmë të shuar, procedura miratohet me urdhër të ministrit përgjegjës për ekonominë. Komisioni i vlerësimit në këtë rast përbëhet nga 3 anëtarë: një përfaqësues i strukturës përgjegjëse për privatizimin dhe 2 ekspertë vlerësues të </w:t>
      </w:r>
      <w:r w:rsidR="006B2D8B" w:rsidRPr="006B2D8B">
        <w:rPr>
          <w:rFonts w:ascii="Garamond" w:hAnsi="Garamond"/>
          <w:lang w:val="sq-AL"/>
        </w:rPr>
        <w:t>licencuar</w:t>
      </w:r>
      <w:r w:rsidRPr="006B2D8B">
        <w:rPr>
          <w:rFonts w:ascii="Garamond" w:hAnsi="Garamond"/>
          <w:lang w:val="sq-AL"/>
        </w:rPr>
        <w:t>, sipas nevojave të procesit të vlerësimit. Në këtë rast, vlerësimi i ekspertëve mbështetet në këqyrjen faktike të pronës shtetërore.”.</w:t>
      </w:r>
    </w:p>
    <w:p w14:paraId="433AC826" w14:textId="0FF429FA"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4. Në kreun </w:t>
      </w:r>
      <w:proofErr w:type="spellStart"/>
      <w:r w:rsidRPr="006B2D8B">
        <w:rPr>
          <w:rFonts w:ascii="Garamond" w:hAnsi="Garamond"/>
          <w:lang w:val="sq-AL"/>
        </w:rPr>
        <w:t>II</w:t>
      </w:r>
      <w:proofErr w:type="spellEnd"/>
      <w:r w:rsidRPr="006B2D8B">
        <w:rPr>
          <w:rFonts w:ascii="Garamond" w:hAnsi="Garamond"/>
          <w:lang w:val="sq-AL"/>
        </w:rPr>
        <w:t xml:space="preserve"> bëhen këto ndryshime dhe shtesa: </w:t>
      </w:r>
    </w:p>
    <w:p w14:paraId="17533E20" w14:textId="512A29E4"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a) Pikat 2 dhe 3 ndryshohen, si më poshtë vijon: </w:t>
      </w:r>
    </w:p>
    <w:p w14:paraId="138F43C8" w14:textId="3BB9F63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“2. Vlerësimi i objekteve bëhet nga komisioni i vlerësimit në përputhje me vlerën reale të tregut, në zbatim të legjislacionit në fuqi. Komisioni i vlerësimit mban përgjegjësi për vlerësimin e kryer dhe për dokumentet e hartuara e të nënshkruara prej tij</w:t>
      </w:r>
      <w:r w:rsidR="006B2D8B">
        <w:rPr>
          <w:rFonts w:ascii="Garamond" w:hAnsi="Garamond"/>
          <w:lang w:val="sq-AL"/>
        </w:rPr>
        <w:t xml:space="preserve"> </w:t>
      </w:r>
      <w:r w:rsidRPr="006B2D8B">
        <w:rPr>
          <w:rFonts w:ascii="Garamond" w:hAnsi="Garamond"/>
          <w:lang w:val="sq-AL"/>
        </w:rPr>
        <w:t>(plan</w:t>
      </w:r>
      <w:r w:rsidR="006B2D8B">
        <w:rPr>
          <w:rFonts w:ascii="Garamond" w:hAnsi="Garamond"/>
          <w:lang w:val="sq-AL"/>
        </w:rPr>
        <w:t>-</w:t>
      </w:r>
      <w:r w:rsidRPr="006B2D8B">
        <w:rPr>
          <w:rFonts w:ascii="Garamond" w:hAnsi="Garamond"/>
          <w:lang w:val="sq-AL"/>
        </w:rPr>
        <w:t>rilevimi/</w:t>
      </w:r>
      <w:proofErr w:type="spellStart"/>
      <w:r w:rsidRPr="006B2D8B">
        <w:rPr>
          <w:rFonts w:ascii="Garamond" w:hAnsi="Garamond"/>
          <w:lang w:val="sq-AL"/>
        </w:rPr>
        <w:t>genplane</w:t>
      </w:r>
      <w:proofErr w:type="spellEnd"/>
      <w:r w:rsidRPr="006B2D8B">
        <w:rPr>
          <w:rFonts w:ascii="Garamond" w:hAnsi="Garamond"/>
          <w:lang w:val="sq-AL"/>
        </w:rPr>
        <w:t xml:space="preserve">, </w:t>
      </w:r>
      <w:proofErr w:type="spellStart"/>
      <w:r w:rsidRPr="006B2D8B">
        <w:rPr>
          <w:rFonts w:ascii="Garamond" w:hAnsi="Garamond"/>
          <w:lang w:val="sq-AL"/>
        </w:rPr>
        <w:t>situacione</w:t>
      </w:r>
      <w:proofErr w:type="spellEnd"/>
      <w:r w:rsidRPr="006B2D8B">
        <w:rPr>
          <w:rFonts w:ascii="Garamond" w:hAnsi="Garamond"/>
          <w:lang w:val="sq-AL"/>
        </w:rPr>
        <w:t>, raporte vlerësimi dhe dokumente të tjera përkatëse etj</w:t>
      </w:r>
      <w:r w:rsidR="006B2D8B">
        <w:rPr>
          <w:rFonts w:ascii="Garamond" w:hAnsi="Garamond"/>
          <w:lang w:val="sq-AL"/>
        </w:rPr>
        <w:t>.</w:t>
      </w:r>
      <w:r w:rsidRPr="006B2D8B">
        <w:rPr>
          <w:rFonts w:ascii="Garamond" w:hAnsi="Garamond"/>
          <w:lang w:val="sq-AL"/>
        </w:rPr>
        <w:t>).</w:t>
      </w:r>
    </w:p>
    <w:p w14:paraId="6AED8DF4" w14:textId="3FF27E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3. Me daljen e urdhrit të ministrit përgjegjës për ekonominë për ngritjen e komisionit të vlerësimit të pronës shtetërore, që do të privatizohet apo që do të përfshihet në fondin e kompensimit, komisioni i vlerësimit inspekton dhe verifikon gjendjen reale të objektit dhe më pas ekspertët vlerësues të këtij komisioni, brenda 15 (pesëmbëdhjetë) ditëve përgatitin në 5 (pesë) kopje origjinale </w:t>
      </w:r>
      <w:proofErr w:type="spellStart"/>
      <w:r w:rsidRPr="006B2D8B">
        <w:rPr>
          <w:rFonts w:ascii="Garamond" w:hAnsi="Garamond"/>
          <w:lang w:val="sq-AL"/>
        </w:rPr>
        <w:t>genplanin</w:t>
      </w:r>
      <w:proofErr w:type="spellEnd"/>
      <w:r w:rsidRPr="006B2D8B">
        <w:rPr>
          <w:rFonts w:ascii="Garamond" w:hAnsi="Garamond"/>
          <w:lang w:val="sq-AL"/>
        </w:rPr>
        <w:t>/plan</w:t>
      </w:r>
      <w:r w:rsidR="006B2D8B">
        <w:rPr>
          <w:rFonts w:ascii="Garamond" w:hAnsi="Garamond"/>
          <w:lang w:val="sq-AL"/>
        </w:rPr>
        <w:t>-</w:t>
      </w:r>
      <w:r w:rsidRPr="006B2D8B">
        <w:rPr>
          <w:rFonts w:ascii="Garamond" w:hAnsi="Garamond"/>
          <w:lang w:val="sq-AL"/>
        </w:rPr>
        <w:t xml:space="preserve">rilevimin e pronës shtetërore që do të privatizohet, ku përcaktohen qartë trualli nën objekt, trualli funksional dhe sipërfaqja e përgjithshme. Kur objekti i privatizimit është truall, përcaktohet vetëm sipërfaqja e truallit dhe eksperti vlerësues mban përgjegjësi për hartimin e saktë të këtij </w:t>
      </w:r>
      <w:proofErr w:type="spellStart"/>
      <w:r w:rsidRPr="006B2D8B">
        <w:rPr>
          <w:rFonts w:ascii="Garamond" w:hAnsi="Garamond"/>
          <w:lang w:val="sq-AL"/>
        </w:rPr>
        <w:t>genplani</w:t>
      </w:r>
      <w:proofErr w:type="spellEnd"/>
      <w:r w:rsidRPr="006B2D8B">
        <w:rPr>
          <w:rFonts w:ascii="Garamond" w:hAnsi="Garamond"/>
          <w:lang w:val="sq-AL"/>
        </w:rPr>
        <w:t>/plan</w:t>
      </w:r>
      <w:r w:rsidR="006B2D8B">
        <w:rPr>
          <w:rFonts w:ascii="Garamond" w:hAnsi="Garamond"/>
          <w:lang w:val="sq-AL"/>
        </w:rPr>
        <w:t>-</w:t>
      </w:r>
      <w:r w:rsidRPr="006B2D8B">
        <w:rPr>
          <w:rFonts w:ascii="Garamond" w:hAnsi="Garamond"/>
          <w:lang w:val="sq-AL"/>
        </w:rPr>
        <w:t>rilevimi. Institucioni administrues/pronar i pronës shtetërore që privatizohet vendos njoftim në mjediset e tij dhe në vendndodhjen e pronës për efekt njoftimi të ish-pronarëve të truallit, nëse ka.”.</w:t>
      </w:r>
    </w:p>
    <w:p w14:paraId="5EA446CD" w14:textId="65B987BC"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b) Pikat 5, 6, 8, 9, 12/1, 15, 16 e 17 shfuqizohen.</w:t>
      </w:r>
    </w:p>
    <w:p w14:paraId="46BCBB22" w14:textId="208C596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c) Pika 7 ndryshohet, si më poshtë vijon: </w:t>
      </w:r>
    </w:p>
    <w:p w14:paraId="007DBE12" w14:textId="7B01A953"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“7. </w:t>
      </w:r>
      <w:proofErr w:type="spellStart"/>
      <w:r w:rsidRPr="006B2D8B">
        <w:rPr>
          <w:rFonts w:ascii="Garamond" w:hAnsi="Garamond"/>
          <w:lang w:val="sq-AL"/>
        </w:rPr>
        <w:t>Genplani</w:t>
      </w:r>
      <w:proofErr w:type="spellEnd"/>
      <w:r w:rsidRPr="006B2D8B">
        <w:rPr>
          <w:rFonts w:ascii="Garamond" w:hAnsi="Garamond"/>
          <w:lang w:val="sq-AL"/>
        </w:rPr>
        <w:t>/plan</w:t>
      </w:r>
      <w:r w:rsidR="006B2D8B">
        <w:rPr>
          <w:rFonts w:ascii="Garamond" w:hAnsi="Garamond"/>
          <w:lang w:val="sq-AL"/>
        </w:rPr>
        <w:t>-</w:t>
      </w:r>
      <w:r w:rsidRPr="006B2D8B">
        <w:rPr>
          <w:rFonts w:ascii="Garamond" w:hAnsi="Garamond"/>
          <w:lang w:val="sq-AL"/>
        </w:rPr>
        <w:t>rilevimi i përgatitur në 5 (pesë) kopje nga eksperti vlerësues i përcillet Agjencisë Shtetërore të Kadastrës, në përputhje me ligjin nr.</w:t>
      </w:r>
      <w:r w:rsidR="006B2D8B">
        <w:rPr>
          <w:rFonts w:ascii="Garamond" w:hAnsi="Garamond"/>
          <w:lang w:val="sq-AL"/>
        </w:rPr>
        <w:t xml:space="preserve"> </w:t>
      </w:r>
      <w:r w:rsidRPr="006B2D8B">
        <w:rPr>
          <w:rFonts w:ascii="Garamond" w:hAnsi="Garamond"/>
          <w:lang w:val="sq-AL"/>
        </w:rPr>
        <w:t xml:space="preserve">111/2018, “Për kadastrën”, për të marrë të dhënat e nevojshme për pronën shtetërore që privatizohet, përfshirë kartelën dhe hartën </w:t>
      </w:r>
      <w:proofErr w:type="spellStart"/>
      <w:r w:rsidRPr="006B2D8B">
        <w:rPr>
          <w:rFonts w:ascii="Garamond" w:hAnsi="Garamond"/>
          <w:lang w:val="sq-AL"/>
        </w:rPr>
        <w:t>kadastrale</w:t>
      </w:r>
      <w:proofErr w:type="spellEnd"/>
      <w:r w:rsidRPr="006B2D8B">
        <w:rPr>
          <w:rFonts w:ascii="Garamond" w:hAnsi="Garamond"/>
          <w:lang w:val="sq-AL"/>
        </w:rPr>
        <w:t xml:space="preserve">, si edhe certifikatën e pronësisë ose vërtetimin për pasuritë në zonat </w:t>
      </w:r>
      <w:proofErr w:type="spellStart"/>
      <w:r w:rsidRPr="006B2D8B">
        <w:rPr>
          <w:rFonts w:ascii="Garamond" w:hAnsi="Garamond"/>
          <w:lang w:val="sq-AL"/>
        </w:rPr>
        <w:t>kadastrale</w:t>
      </w:r>
      <w:proofErr w:type="spellEnd"/>
      <w:r w:rsidRPr="006B2D8B">
        <w:rPr>
          <w:rFonts w:ascii="Garamond" w:hAnsi="Garamond"/>
          <w:lang w:val="sq-AL"/>
        </w:rPr>
        <w:t xml:space="preserve"> që nuk i janë nënshtruar regjistrimit fillestar. Kërkesës/aplikimit i bashkëlidhet një kopje e </w:t>
      </w:r>
      <w:proofErr w:type="spellStart"/>
      <w:r w:rsidRPr="006B2D8B">
        <w:rPr>
          <w:rFonts w:ascii="Garamond" w:hAnsi="Garamond"/>
          <w:lang w:val="sq-AL"/>
        </w:rPr>
        <w:t>genplanit</w:t>
      </w:r>
      <w:proofErr w:type="spellEnd"/>
      <w:r w:rsidRPr="006B2D8B">
        <w:rPr>
          <w:rFonts w:ascii="Garamond" w:hAnsi="Garamond"/>
          <w:lang w:val="sq-AL"/>
        </w:rPr>
        <w:t>/plan</w:t>
      </w:r>
      <w:r w:rsidR="006B2D8B">
        <w:rPr>
          <w:rFonts w:ascii="Garamond" w:hAnsi="Garamond"/>
          <w:lang w:val="sq-AL"/>
        </w:rPr>
        <w:t>-</w:t>
      </w:r>
      <w:r w:rsidRPr="006B2D8B">
        <w:rPr>
          <w:rFonts w:ascii="Garamond" w:hAnsi="Garamond"/>
          <w:lang w:val="sq-AL"/>
        </w:rPr>
        <w:t xml:space="preserve">rilevimit të përgatitur nga ekspertët vlerësues. Agjencia Shtetërore e Kadastrës, brenda afateve në fuqi të parashikuara nga legjislacioni për shërbimet </w:t>
      </w:r>
      <w:proofErr w:type="spellStart"/>
      <w:r w:rsidRPr="006B2D8B">
        <w:rPr>
          <w:rFonts w:ascii="Garamond" w:hAnsi="Garamond"/>
          <w:lang w:val="sq-AL"/>
        </w:rPr>
        <w:t>kadastrale</w:t>
      </w:r>
      <w:proofErr w:type="spellEnd"/>
      <w:r w:rsidRPr="006B2D8B">
        <w:rPr>
          <w:rFonts w:ascii="Garamond" w:hAnsi="Garamond"/>
          <w:lang w:val="sq-AL"/>
        </w:rPr>
        <w:t xml:space="preserve">, nga data e marrjes së kërkesës/aplikimit përcjell të dhënat që disponon për pronën përkatëse, përfshirë hartën treguese, kartelën e pasurisë, certifikatën e pronësisë ose vërtetimin </w:t>
      </w:r>
      <w:r w:rsidR="006B2D8B" w:rsidRPr="006B2D8B">
        <w:rPr>
          <w:rFonts w:ascii="Garamond" w:hAnsi="Garamond"/>
          <w:lang w:val="sq-AL"/>
        </w:rPr>
        <w:t>hipotekar</w:t>
      </w:r>
      <w:r w:rsidRPr="006B2D8B">
        <w:rPr>
          <w:rFonts w:ascii="Garamond" w:hAnsi="Garamond"/>
          <w:lang w:val="sq-AL"/>
        </w:rPr>
        <w:t xml:space="preserve"> dhe kufizimet e regjistruara që rrjedhin nga vendimet e Komisionit për Kthimin dhe Kompensimin e Pronave (</w:t>
      </w:r>
      <w:proofErr w:type="spellStart"/>
      <w:r w:rsidRPr="006B2D8B">
        <w:rPr>
          <w:rFonts w:ascii="Garamond" w:hAnsi="Garamond"/>
          <w:lang w:val="sq-AL"/>
        </w:rPr>
        <w:t>KKKP</w:t>
      </w:r>
      <w:proofErr w:type="spellEnd"/>
      <w:r w:rsidRPr="006B2D8B">
        <w:rPr>
          <w:rFonts w:ascii="Garamond" w:hAnsi="Garamond"/>
          <w:lang w:val="sq-AL"/>
        </w:rPr>
        <w:t>) dhe vendimet gjyqësore.”.</w:t>
      </w:r>
    </w:p>
    <w:p w14:paraId="32D246BD" w14:textId="15A49F93"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ç) Pikat 10, 11 e 12 ndryshohen, si më poshtë vijon: </w:t>
      </w:r>
    </w:p>
    <w:p w14:paraId="7435F43D" w14:textId="4195166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“10. Në rastet kur për vendndodhjen e pronës shtetërore që privatizohet çmimi i truallit nuk figuron në hartën e çmimeve, vlerësimi i pronës shtetërore kryhet sipas vlerës së tregut. Struktura përgjegjëse për privatizimin i vë në dispozicion komisionit të vlerësimit hartën e çmimeve të miratuar me vendim të Këshillit të Ministrave, të konfirmuar çdo 6 (gjashtë) muaj nga Agjencia e Trajtimit të Pronave (</w:t>
      </w:r>
      <w:proofErr w:type="spellStart"/>
      <w:r w:rsidRPr="006B2D8B">
        <w:rPr>
          <w:rFonts w:ascii="Garamond" w:hAnsi="Garamond"/>
          <w:lang w:val="sq-AL"/>
        </w:rPr>
        <w:t>ATP</w:t>
      </w:r>
      <w:proofErr w:type="spellEnd"/>
      <w:r w:rsidRPr="006B2D8B">
        <w:rPr>
          <w:rFonts w:ascii="Garamond" w:hAnsi="Garamond"/>
          <w:lang w:val="sq-AL"/>
        </w:rPr>
        <w:t>). Përcaktimi i vlerës së pronës shtetërore, në përputhje me hartën e çmimeve dhe legjislacionin në fuqi, si edhe përzgjedhja e metodologjisë së vlerësimit janë në përgjegjësinë e ekspertit vlerësues, i cili, në bazë të dokumentacionit, harton raportin përfundimtar të vlerësimit të pronës shtetërore.</w:t>
      </w:r>
    </w:p>
    <w:p w14:paraId="594F3CEE" w14:textId="0F88719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11. Afati i dorëzimit të raportit përfundimtar të vlerësimit nga eksperti është jo më shumë se 30 (tridhjetë) ditë nga data e marrjes së urdhrit për ngritjen e komisionit të vlerësimit nga ministri përgjegjës për ekonominë, për ndërtesat, ndërtimet dhe linjat e prodhimit/shërbimit, kur ato shiten </w:t>
      </w:r>
      <w:r w:rsidRPr="006B2D8B">
        <w:rPr>
          <w:rFonts w:ascii="Garamond" w:hAnsi="Garamond"/>
          <w:lang w:val="sq-AL"/>
        </w:rPr>
        <w:lastRenderedPageBreak/>
        <w:t>së bashku me ndërtesën, dhe jo më shumë se 20 (njëzet) ditë për makineritë, pajisjet, mjetet e transportit dhe elementet e tjera të ngjashme.</w:t>
      </w:r>
    </w:p>
    <w:p w14:paraId="137338E5" w14:textId="0079717D"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12. Pas plotësimit të dokumentacionit, sipas afatit të parashikuar në pikën 11 të këtij kreu, procedohet, si më poshtë vijon:</w:t>
      </w:r>
    </w:p>
    <w:p w14:paraId="16006282"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a) Komisioni i Vlerësimit, pasi merr të gjitha konfirmimet e nevojshme përgatit dokumentacionin tekniko-ligjor si dhe harton vendimin shoqërues, ku më pas ia përcjell strukturës përgjegjëse për privatizim. Në këtë vendim krahas përcaktimit të qartë të </w:t>
      </w:r>
      <w:proofErr w:type="spellStart"/>
      <w:r w:rsidRPr="006B2D8B">
        <w:rPr>
          <w:rFonts w:ascii="Garamond" w:hAnsi="Garamond"/>
          <w:lang w:val="sq-AL"/>
        </w:rPr>
        <w:t>të</w:t>
      </w:r>
      <w:proofErr w:type="spellEnd"/>
      <w:r w:rsidRPr="006B2D8B">
        <w:rPr>
          <w:rFonts w:ascii="Garamond" w:hAnsi="Garamond"/>
          <w:lang w:val="sq-AL"/>
        </w:rPr>
        <w:t xml:space="preserve"> dhënave identifikuese të pronës, si sipërfaqja e përgjithshme, ajo nën objekt dhe ajo funksionale, vlera e pronës shtetërore, si edhe përputhshmëria me dokumentacionin </w:t>
      </w:r>
      <w:proofErr w:type="spellStart"/>
      <w:r w:rsidRPr="006B2D8B">
        <w:rPr>
          <w:rFonts w:ascii="Garamond" w:hAnsi="Garamond"/>
          <w:lang w:val="sq-AL"/>
        </w:rPr>
        <w:t>kadastral</w:t>
      </w:r>
      <w:proofErr w:type="spellEnd"/>
      <w:r w:rsidRPr="006B2D8B">
        <w:rPr>
          <w:rFonts w:ascii="Garamond" w:hAnsi="Garamond"/>
          <w:lang w:val="sq-AL"/>
        </w:rPr>
        <w:t xml:space="preserve"> për pasuritë shtetërore si edhe për linjat e prodhimit/shërbimit; shprehet edhe për përmbushjen ose jo të kritereve tekniko-ligjore sipas legjislacionit në fuqi për privatizimin e pronës shtetërore. </w:t>
      </w:r>
    </w:p>
    <w:p w14:paraId="27CFD511" w14:textId="09C9E0AC"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b)</w:t>
      </w:r>
      <w:r w:rsidR="006B2D8B">
        <w:rPr>
          <w:rFonts w:ascii="Garamond" w:hAnsi="Garamond"/>
          <w:lang w:val="sq-AL"/>
        </w:rPr>
        <w:t xml:space="preserve"> </w:t>
      </w:r>
      <w:r w:rsidRPr="006B2D8B">
        <w:rPr>
          <w:rFonts w:ascii="Garamond" w:hAnsi="Garamond"/>
          <w:lang w:val="sq-AL"/>
        </w:rPr>
        <w:t>Struktura përgjegjëse për privatizimin, pas marrjes së vendimit të komisionit të vlerësimit për përmbushjen e kritereve tekniko-ligjore për privatizimin e pronës shtetërore sipas legjislacionit në fuqi, shqyrton dhe verifikon dokumentacionin e përcjellë me vendimin e këtij komisioni për vijimin e procedurave të privatizimit. Në rast se dokumentacioni rezulton</w:t>
      </w:r>
      <w:r w:rsidR="006B2D8B">
        <w:rPr>
          <w:rFonts w:ascii="Garamond" w:hAnsi="Garamond"/>
          <w:lang w:val="sq-AL"/>
        </w:rPr>
        <w:t xml:space="preserve"> </w:t>
      </w:r>
      <w:r w:rsidRPr="006B2D8B">
        <w:rPr>
          <w:rFonts w:ascii="Garamond" w:hAnsi="Garamond"/>
          <w:lang w:val="sq-AL"/>
        </w:rPr>
        <w:t>në përputhje me legjislacionin në fuqi, struktura përgjegjëse për privatizimin përgatit vlerësimin përfundimtar për përmbushjen e kritereve në referencë të shkronjës “a”, të pikës 12, të këtij kreu, ku propozon fillimin e procedurave të shitjes dhe ia dërgon ministrit përgjegjës për ekonominë. Në rast të kundërt, struktura përgjegjëse për privatizimin kërkon plotësimin e dokumentacionit apo saktësimin e tij</w:t>
      </w:r>
      <w:r w:rsidR="006B2D8B">
        <w:rPr>
          <w:rFonts w:ascii="Garamond" w:hAnsi="Garamond"/>
          <w:lang w:val="sq-AL"/>
        </w:rPr>
        <w:t>,</w:t>
      </w:r>
      <w:r w:rsidRPr="006B2D8B">
        <w:rPr>
          <w:rFonts w:ascii="Garamond" w:hAnsi="Garamond"/>
          <w:lang w:val="sq-AL"/>
        </w:rPr>
        <w:t xml:space="preserve"> në përputhje me kërkesat ligjore, duke e rikthyer dosjen pranë komisionit të vlerësimit me rekomandimet përkatëse. Pas miratimit të ministrit, vlerësimi përfundimtar dhe dokumentacioni tekniko-ligjor dërgohen sipas procedurave të brendshme administrative pranë strukturës përgjegjëse për shitjen e pronës shtetërore.”.</w:t>
      </w:r>
    </w:p>
    <w:p w14:paraId="54D44629" w14:textId="732E52E4"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5. Në kreun </w:t>
      </w:r>
      <w:proofErr w:type="spellStart"/>
      <w:r w:rsidRPr="006B2D8B">
        <w:rPr>
          <w:rFonts w:ascii="Garamond" w:hAnsi="Garamond"/>
          <w:lang w:val="sq-AL"/>
        </w:rPr>
        <w:t>III</w:t>
      </w:r>
      <w:proofErr w:type="spellEnd"/>
      <w:r w:rsidRPr="006B2D8B">
        <w:rPr>
          <w:rFonts w:ascii="Garamond" w:hAnsi="Garamond"/>
          <w:lang w:val="sq-AL"/>
        </w:rPr>
        <w:t xml:space="preserve"> bëhen këto ndryshime dhe shtesa:</w:t>
      </w:r>
    </w:p>
    <w:p w14:paraId="50E82547" w14:textId="49673DA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a) Pika 1 ndryshohet, si më poshtë vijon:</w:t>
      </w:r>
    </w:p>
    <w:p w14:paraId="72B21B74" w14:textId="7784236B"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“1. Struktura përgjegjëse për shitjen e pronës shtetërore pranon dosjen e vlerësimit përfundimtar për pronën shtetërore që do të privatizohet, të dërguar nga struktura përgjegjëse për privatizimin, pas miratimit të ministrit përgjegjës për ekonominë sipas shkronjës ”b”, të pikës 12, të kreut </w:t>
      </w:r>
      <w:proofErr w:type="spellStart"/>
      <w:r w:rsidRPr="006B2D8B">
        <w:rPr>
          <w:rFonts w:ascii="Garamond" w:hAnsi="Garamond"/>
          <w:lang w:val="sq-AL"/>
        </w:rPr>
        <w:t>II</w:t>
      </w:r>
      <w:proofErr w:type="spellEnd"/>
      <w:r w:rsidRPr="006B2D8B">
        <w:rPr>
          <w:rFonts w:ascii="Garamond" w:hAnsi="Garamond"/>
          <w:lang w:val="sq-AL"/>
        </w:rPr>
        <w:t xml:space="preserve">, të këtij vendimi. Para fillimit të procedurës së ankandit kërkohet informacion mbi vendimet e trajtimit të pronës </w:t>
      </w:r>
      <w:r w:rsidR="006B2D8B" w:rsidRPr="006B2D8B">
        <w:rPr>
          <w:rFonts w:ascii="Garamond" w:hAnsi="Garamond"/>
          <w:lang w:val="sq-AL"/>
        </w:rPr>
        <w:t>shtetërore</w:t>
      </w:r>
      <w:r w:rsidRPr="006B2D8B">
        <w:rPr>
          <w:rFonts w:ascii="Garamond" w:hAnsi="Garamond"/>
          <w:lang w:val="sq-AL"/>
        </w:rPr>
        <w:t xml:space="preserve"> nga </w:t>
      </w:r>
      <w:proofErr w:type="spellStart"/>
      <w:r w:rsidRPr="006B2D8B">
        <w:rPr>
          <w:rFonts w:ascii="Garamond" w:hAnsi="Garamond"/>
          <w:lang w:val="sq-AL"/>
        </w:rPr>
        <w:t>ATP</w:t>
      </w:r>
      <w:proofErr w:type="spellEnd"/>
      <w:r w:rsidRPr="006B2D8B">
        <w:rPr>
          <w:rFonts w:ascii="Garamond" w:hAnsi="Garamond"/>
          <w:lang w:val="sq-AL"/>
        </w:rPr>
        <w:t>-ja dhe vetëm më pas do të vazhdohet me ankandin nga struktura përgjegjëse për shitjen e saj.”.</w:t>
      </w:r>
    </w:p>
    <w:p w14:paraId="26EEE04E" w14:textId="75852306"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b) Në pikën 2 bëhen ndryshimet e mëposhtme:</w:t>
      </w:r>
    </w:p>
    <w:p w14:paraId="2322C0A3" w14:textId="2A920275"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i. Paragrafi i dytë, i shkronjës “a”, ndryshohet, si më poshtë vijon: </w:t>
      </w:r>
    </w:p>
    <w:p w14:paraId="79278F90"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“Në këtë rast, struktura përgjegjëse për shitjen e pronës shtetërore bën publikimin e njoftimit në faqen zyrtare të ministrisë përgjegjëse për ekonominë, në mjediset e pronës shtetërore dhe në Buletinin e Njoftimeve Zyrtare për një afat prej 20 (njëzet) ditësh, vetëm për pronarët e truallit.”.</w:t>
      </w:r>
    </w:p>
    <w:p w14:paraId="1E534464" w14:textId="0CC0A55C"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w:t>
      </w:r>
      <w:proofErr w:type="spellEnd"/>
      <w:r w:rsidRPr="006B2D8B">
        <w:rPr>
          <w:rFonts w:ascii="Garamond" w:hAnsi="Garamond"/>
          <w:lang w:val="sq-AL"/>
        </w:rPr>
        <w:t>.</w:t>
      </w:r>
      <w:r w:rsidR="006B2D8B">
        <w:rPr>
          <w:rFonts w:ascii="Garamond" w:hAnsi="Garamond"/>
          <w:lang w:val="sq-AL"/>
        </w:rPr>
        <w:t xml:space="preserve"> </w:t>
      </w:r>
      <w:r w:rsidRPr="006B2D8B">
        <w:rPr>
          <w:rFonts w:ascii="Garamond" w:hAnsi="Garamond"/>
          <w:lang w:val="sq-AL"/>
        </w:rPr>
        <w:t>Në shkronjën “b”, fjala “... komisioni ...” zëvendësohet me togfjalëshin “... komisioni i ankandit ...”.</w:t>
      </w:r>
    </w:p>
    <w:p w14:paraId="7B736500" w14:textId="234FC97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w:t>
      </w:r>
      <w:proofErr w:type="spellStart"/>
      <w:r w:rsidRPr="006B2D8B">
        <w:rPr>
          <w:rFonts w:ascii="Garamond" w:hAnsi="Garamond"/>
          <w:lang w:val="sq-AL"/>
        </w:rPr>
        <w:t>iii</w:t>
      </w:r>
      <w:proofErr w:type="spellEnd"/>
      <w:r w:rsidRPr="006B2D8B">
        <w:rPr>
          <w:rFonts w:ascii="Garamond" w:hAnsi="Garamond"/>
          <w:lang w:val="sq-AL"/>
        </w:rPr>
        <w:t>.</w:t>
      </w:r>
      <w:r w:rsidR="006B2D8B">
        <w:rPr>
          <w:rFonts w:ascii="Garamond" w:hAnsi="Garamond"/>
          <w:lang w:val="sq-AL"/>
        </w:rPr>
        <w:t xml:space="preserve"> </w:t>
      </w:r>
      <w:r w:rsidRPr="006B2D8B">
        <w:rPr>
          <w:rFonts w:ascii="Garamond" w:hAnsi="Garamond"/>
          <w:lang w:val="sq-AL"/>
        </w:rPr>
        <w:t xml:space="preserve">Shkronjat “c” dhe ”ç” ndryshohen, si më poshtë vijon: </w:t>
      </w:r>
    </w:p>
    <w:p w14:paraId="55359E04" w14:textId="3849393F"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“c) Në rastet kur ish-pronarët e truallit, pas afishimit të njoftimit sipas shkronjës “a” të kësaj pike, nuk paraqesin dokumentacionin e kërkuar sipas pikës 11, të këtij kreu, bëhet njoftim në Buletinin e Njoftimeve Zyrtare, në faqen zyrtare të ministrisë përgjegjëse për ekonominë dhe në mjediset e pronës shtetërore, duke u përcaktuar një afat i ri prej 15 (pesëmbëdhjetë) ditësh për dorëzimin e dokumentacionit ligjor. Nëse edhe brenda këtij afati të dytë dokumentacioni nuk paraqitet, prona shtetërore kalon për shitje me ankand, sipas procedurave të përcaktuara në këtë vendim. Në rast të realizimit të shitjes së objektit së bashku me truallin, vlera e truallit e përcaktuar sipas hartës së vlerës i kalon drejtpërdrejt</w:t>
      </w:r>
      <w:r w:rsidR="006B2D8B">
        <w:rPr>
          <w:rFonts w:ascii="Garamond" w:hAnsi="Garamond"/>
          <w:lang w:val="sq-AL"/>
        </w:rPr>
        <w:t xml:space="preserve"> </w:t>
      </w:r>
      <w:r w:rsidRPr="006B2D8B">
        <w:rPr>
          <w:rFonts w:ascii="Garamond" w:hAnsi="Garamond"/>
          <w:lang w:val="sq-AL"/>
        </w:rPr>
        <w:t>ish-pronarit të truallit.</w:t>
      </w:r>
    </w:p>
    <w:p w14:paraId="04FBE19D" w14:textId="17214D5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ç) Në rastet kur konfirmohet se objekti që privatizohet nuk ndodhet në truall të subjekteve të shpronësuara, si dhe në rastet kur Agjencia Shtetërore e Kadastrës nuk konfirmon pronësinë e truallit për objektin që privatizohet, objekti i nënshtrohet procedurës së shitjes me ankand, sipas përcaktimeve të këtij vendimi. Nëse në datën e zhvillimit të ankandit paraqitet</w:t>
      </w:r>
      <w:r w:rsidR="006B2D8B">
        <w:rPr>
          <w:rFonts w:ascii="Garamond" w:hAnsi="Garamond"/>
          <w:lang w:val="sq-AL"/>
        </w:rPr>
        <w:t xml:space="preserve"> </w:t>
      </w:r>
      <w:r w:rsidRPr="006B2D8B">
        <w:rPr>
          <w:rFonts w:ascii="Garamond" w:hAnsi="Garamond"/>
          <w:lang w:val="sq-AL"/>
        </w:rPr>
        <w:t xml:space="preserve">ish-pronari i truallit me dokumentacionin, sipas pikës 11, të këtij kreu, ai gëzon të drejtën e parablerjes me vlerën fillestare të objektit. Në rastet kur, gjatë periudhës së publikimit dhe para zhvillimit të ankandit, depozitohet pranë strukturës përgjegjëse për shitjen e pronës shtetërore kërkesa e ish-pronarit të </w:t>
      </w:r>
      <w:r w:rsidRPr="006B2D8B">
        <w:rPr>
          <w:rFonts w:ascii="Garamond" w:hAnsi="Garamond"/>
          <w:lang w:val="sq-AL"/>
        </w:rPr>
        <w:lastRenderedPageBreak/>
        <w:t>truallit, e shoqëruar me dokumentacionin përkatës të pronësisë, procedohet sipas shkronjës “a”, të pikës 2, të këtij kreu, pas konfirmimit të dokumentacionit të pronësisë, të depozituar nga ish-pronari i truallit, nga struktura përgjegjëse e shitjes.”.</w:t>
      </w:r>
    </w:p>
    <w:p w14:paraId="157B71A1" w14:textId="09C3C13B"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c) Pika 3 ndryshohet, si më poshtë vijon: </w:t>
      </w:r>
    </w:p>
    <w:p w14:paraId="3CFB43E3" w14:textId="46EFBA69"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“3. Në ankandet për shitjen e pasurive të shoqërive në likuidim e sipër, të cilat janë të përfshira në kapitalin e tyre, zbatohet e drejta e parablerjes për ish-pronarët e truallit, sipas ligjit nr.</w:t>
      </w:r>
      <w:r w:rsidR="006B2D8B">
        <w:rPr>
          <w:rFonts w:ascii="Garamond" w:hAnsi="Garamond"/>
          <w:lang w:val="sq-AL"/>
        </w:rPr>
        <w:t xml:space="preserve"> </w:t>
      </w:r>
      <w:r w:rsidRPr="006B2D8B">
        <w:rPr>
          <w:rFonts w:ascii="Garamond" w:hAnsi="Garamond"/>
          <w:lang w:val="sq-AL"/>
        </w:rPr>
        <w:t>133/2015, “Për trajtimin e pronës dhe përfundimin e procesit të kompensimit të pronave”, të ndryshuar. Procedura e shitjes kryhet sipas përcaktimeve të këtij kreu.”.</w:t>
      </w:r>
    </w:p>
    <w:p w14:paraId="4EEE81B7" w14:textId="64CE5058"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ç)</w:t>
      </w:r>
      <w:r w:rsidR="006B2D8B">
        <w:rPr>
          <w:rFonts w:ascii="Garamond" w:hAnsi="Garamond"/>
          <w:lang w:val="sq-AL"/>
        </w:rPr>
        <w:t xml:space="preserve"> </w:t>
      </w:r>
      <w:r w:rsidRPr="006B2D8B">
        <w:rPr>
          <w:rFonts w:ascii="Garamond" w:hAnsi="Garamond"/>
          <w:lang w:val="sq-AL"/>
        </w:rPr>
        <w:t xml:space="preserve">Pika 6 ndryshohet, si më poshtë vijon: </w:t>
      </w:r>
    </w:p>
    <w:p w14:paraId="40205827"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“6. Struktura përgjegjëse për shitjen e pronës shtetërore, pasi ka pranuar dokumentacionin për shitjen e pronës shtetërore, ndërmerr procedurat për publikimin e privatizimit të tij, si më poshtë vijon:</w:t>
      </w:r>
    </w:p>
    <w:p w14:paraId="17FD3348" w14:textId="7A1D73AF"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a)</w:t>
      </w:r>
      <w:r w:rsidR="006B2D8B">
        <w:rPr>
          <w:rFonts w:ascii="Garamond" w:hAnsi="Garamond"/>
          <w:lang w:val="sq-AL"/>
        </w:rPr>
        <w:t xml:space="preserve"> </w:t>
      </w:r>
      <w:r w:rsidRPr="006B2D8B">
        <w:rPr>
          <w:rFonts w:ascii="Garamond" w:hAnsi="Garamond"/>
          <w:lang w:val="sq-AL"/>
        </w:rPr>
        <w:t>Periudha e publikimit zgjat 10 (dhjetë) ditë nga data e botimit të parë dhe realizohet në Buletinin e Njoftimeve Publike, si dhe në faqen zyrtare të ministrisë përgjegjëse për ekonominë.</w:t>
      </w:r>
    </w:p>
    <w:p w14:paraId="67A51E68" w14:textId="1593D123"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b) Publikohet lista e pronave shtetërore që do të privatizohen në faqen zyrtare të ministrisë përgjegjëse për ekonominë, me të dhënat përkatëse për çdo objekt.</w:t>
      </w:r>
    </w:p>
    <w:p w14:paraId="448C6009" w14:textId="1E1A52DE"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c) Afishohet njoftimi për zhvillimin e ankandit në mjediset e pronës shtetërore dhe në mjediset e organit të njësisë së vetëqeverisjes vendore në territorin e të cilit ndodhet prona shtetërore që privatizohet, sipas të dhënave të përcjella nga struktura përgjegjëse për shitjen e pronës shtetërore.”.</w:t>
      </w:r>
    </w:p>
    <w:p w14:paraId="2016A885"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d) Paragrafi i pestë, i pikës 12, ndryshohet, si më poshtë vijon: </w:t>
      </w:r>
    </w:p>
    <w:p w14:paraId="120E1ECD" w14:textId="2F19D02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“Struktura përgjegjëse për shitjen e pronës shtetërore iu ofron për blerje bashkëpronarëve që gëzojnë të drejtën e parablerjes së objekteve. Në rast se ish-pronarët shprehen me shkrim se nuk janë dakord ta blejnë këtë sipërfaqe trualli, struktura përgjegjëse për shitjen e pronës shtetërore i propozon ministrit përgjegjës për ekonominë kalimin e kësaj prone shtetërore pranë Agjencisë së Trajtimit të Pronës për fond kompensimi për ish-pronarët.’’.</w:t>
      </w:r>
    </w:p>
    <w:p w14:paraId="66F7EA3E" w14:textId="36540A90"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dh) Shkronjat “a” dhe “b”, të pikës 18,</w:t>
      </w:r>
      <w:r w:rsidR="006B2D8B">
        <w:rPr>
          <w:rFonts w:ascii="Garamond" w:hAnsi="Garamond"/>
          <w:lang w:val="sq-AL"/>
        </w:rPr>
        <w:t xml:space="preserve"> </w:t>
      </w:r>
      <w:r w:rsidRPr="006B2D8B">
        <w:rPr>
          <w:rFonts w:ascii="Garamond" w:hAnsi="Garamond"/>
          <w:lang w:val="sq-AL"/>
        </w:rPr>
        <w:t xml:space="preserve">ndryshohen, si më poshtë vijon: </w:t>
      </w:r>
    </w:p>
    <w:p w14:paraId="32428B52" w14:textId="4B1A518D"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“a) Për objektet ndërtimore, të cilat kanë dalë në ankand jo më pak se 3 (tre) herë brenda një periudhe 12</w:t>
      </w:r>
      <w:r w:rsidR="006B2D8B">
        <w:rPr>
          <w:rFonts w:ascii="Garamond" w:hAnsi="Garamond"/>
          <w:lang w:val="sq-AL"/>
        </w:rPr>
        <w:t>-</w:t>
      </w:r>
      <w:r w:rsidR="006B2D8B" w:rsidRPr="006B2D8B">
        <w:rPr>
          <w:rFonts w:ascii="Garamond" w:hAnsi="Garamond"/>
          <w:lang w:val="sq-AL"/>
        </w:rPr>
        <w:t xml:space="preserve"> mujore</w:t>
      </w:r>
      <w:r w:rsidRPr="006B2D8B">
        <w:rPr>
          <w:rFonts w:ascii="Garamond" w:hAnsi="Garamond"/>
          <w:lang w:val="sq-AL"/>
        </w:rPr>
        <w:t xml:space="preserve"> (</w:t>
      </w:r>
      <w:proofErr w:type="spellStart"/>
      <w:r w:rsidRPr="006B2D8B">
        <w:rPr>
          <w:rFonts w:ascii="Garamond" w:hAnsi="Garamond"/>
          <w:lang w:val="sq-AL"/>
        </w:rPr>
        <w:t>dymbëdhjetëmujore</w:t>
      </w:r>
      <w:proofErr w:type="spellEnd"/>
      <w:r w:rsidR="006B2D8B">
        <w:rPr>
          <w:rFonts w:ascii="Garamond" w:hAnsi="Garamond"/>
          <w:lang w:val="sq-AL"/>
        </w:rPr>
        <w:t>)</w:t>
      </w:r>
      <w:r w:rsidRPr="006B2D8B">
        <w:rPr>
          <w:rFonts w:ascii="Garamond" w:hAnsi="Garamond"/>
          <w:lang w:val="sq-AL"/>
        </w:rPr>
        <w:t xml:space="preserve"> dhe nuk ka pasur shprehje interesi për blerjen e objektit, ministria përgjegjëse për ekonominë e dërgon dokumentacionin në Agjencinë e Trajtimit të Pronës për t’u përdorur si fond i kompensimit fizik’’;</w:t>
      </w:r>
    </w:p>
    <w:p w14:paraId="3DE79165" w14:textId="576A909C"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b) Makineritë, pajisjet, mjetet e xhiros, inventari ekonomik etj., të cilat nuk janë shitur, pasi janë zbatuar fazat e shitjes, sipas</w:t>
      </w:r>
      <w:r w:rsidR="006B2D8B">
        <w:rPr>
          <w:rFonts w:ascii="Garamond" w:hAnsi="Garamond"/>
          <w:lang w:val="sq-AL"/>
        </w:rPr>
        <w:t xml:space="preserve"> </w:t>
      </w:r>
      <w:proofErr w:type="spellStart"/>
      <w:r w:rsidRPr="006B2D8B">
        <w:rPr>
          <w:rFonts w:ascii="Garamond" w:hAnsi="Garamond"/>
          <w:lang w:val="sq-AL"/>
        </w:rPr>
        <w:t>VAM</w:t>
      </w:r>
      <w:proofErr w:type="spellEnd"/>
      <w:r w:rsidRPr="006B2D8B">
        <w:rPr>
          <w:rFonts w:ascii="Garamond" w:hAnsi="Garamond"/>
          <w:lang w:val="sq-AL"/>
        </w:rPr>
        <w:t xml:space="preserve">-it fillestar dhe </w:t>
      </w:r>
      <w:proofErr w:type="spellStart"/>
      <w:r w:rsidRPr="006B2D8B">
        <w:rPr>
          <w:rFonts w:ascii="Garamond" w:hAnsi="Garamond"/>
          <w:lang w:val="sq-AL"/>
        </w:rPr>
        <w:t>VAM</w:t>
      </w:r>
      <w:proofErr w:type="spellEnd"/>
      <w:r w:rsidRPr="006B2D8B">
        <w:rPr>
          <w:rFonts w:ascii="Garamond" w:hAnsi="Garamond"/>
          <w:lang w:val="sq-AL"/>
        </w:rPr>
        <w:t>-it të ulur kthehen nga struktura përgjegjëse për shitjen e pronës shtetërore në strukturën përgjegjëse për privatizim, për të cilat veprohet sipas ligjit nr.</w:t>
      </w:r>
      <w:r w:rsidR="006B2D8B">
        <w:rPr>
          <w:rFonts w:ascii="Garamond" w:hAnsi="Garamond"/>
          <w:lang w:val="sq-AL"/>
        </w:rPr>
        <w:t xml:space="preserve"> </w:t>
      </w:r>
      <w:r w:rsidRPr="006B2D8B">
        <w:rPr>
          <w:rFonts w:ascii="Garamond" w:hAnsi="Garamond"/>
          <w:lang w:val="sq-AL"/>
        </w:rPr>
        <w:t>10296, datë 8.7.2010, “Për menaxhimin financiar dhe kontrollin”, të ndryshuar, dhe udhëzimit nr.</w:t>
      </w:r>
      <w:r w:rsidR="006B2D8B">
        <w:rPr>
          <w:rFonts w:ascii="Garamond" w:hAnsi="Garamond"/>
          <w:lang w:val="sq-AL"/>
        </w:rPr>
        <w:t xml:space="preserve"> </w:t>
      </w:r>
      <w:r w:rsidRPr="006B2D8B">
        <w:rPr>
          <w:rFonts w:ascii="Garamond" w:hAnsi="Garamond"/>
          <w:lang w:val="sq-AL"/>
        </w:rPr>
        <w:t>30, datë 27.12.2011, të ministrit përgjegjës për financat, “Për menaxhimin e aktiveve të njësive të sektorit publik”, të ndryshuar, në zbatim të tij.”.</w:t>
      </w:r>
    </w:p>
    <w:p w14:paraId="5B9FF76E" w14:textId="72801095"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d) Pika 19 ndryshohet, si më poshtë vijon:</w:t>
      </w:r>
    </w:p>
    <w:p w14:paraId="25003C25" w14:textId="4583A0FF"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“19. Komisioni i ankandit kryesohet nga përfaqësues të strukturës përgjegjëse për shitjen e pronës shtetërore dhe përbëhet nga tre anëtarë. Anëtarët e komisionit pajisen me autorizimin përkatës dhe pjesëmarrja e tyre në datën dhe orën e caktuar për zhvillimin e ankandit është e detyrueshme. Në rast mosparaqitjeje të njërit prej anëtarëve në ditën e caktuar për zhvillimin e ankandit, drejtuesi i strukturës përgjegjëse për shitjen e pronës shtetërore plotëson komisionin me një anëtar tjetër dhe vijon procedurën e ankandit.”.</w:t>
      </w:r>
    </w:p>
    <w:p w14:paraId="23E166A6" w14:textId="484D7D02" w:rsidR="0071362C" w:rsidRPr="006B2D8B" w:rsidRDefault="0071362C" w:rsidP="0071362C">
      <w:pPr>
        <w:spacing w:after="0" w:line="240" w:lineRule="auto"/>
        <w:ind w:firstLine="284"/>
        <w:jc w:val="both"/>
        <w:rPr>
          <w:rFonts w:ascii="Garamond" w:hAnsi="Garamond"/>
          <w:lang w:val="sq-AL"/>
        </w:rPr>
      </w:pPr>
      <w:bookmarkStart w:id="0" w:name="_GoBack"/>
      <w:bookmarkEnd w:id="0"/>
      <w:r w:rsidRPr="006B2D8B">
        <w:rPr>
          <w:rFonts w:ascii="Garamond" w:hAnsi="Garamond"/>
          <w:lang w:val="sq-AL"/>
        </w:rPr>
        <w:t>ë)</w:t>
      </w:r>
      <w:r w:rsidR="006B2D8B">
        <w:rPr>
          <w:rFonts w:ascii="Garamond" w:hAnsi="Garamond"/>
          <w:lang w:val="sq-AL"/>
        </w:rPr>
        <w:t xml:space="preserve"> </w:t>
      </w:r>
      <w:r w:rsidRPr="006B2D8B">
        <w:rPr>
          <w:rFonts w:ascii="Garamond" w:hAnsi="Garamond"/>
          <w:lang w:val="sq-AL"/>
        </w:rPr>
        <w:t>Paragrafi i dytë, i pikës 24, shfuqizohet.</w:t>
      </w:r>
    </w:p>
    <w:p w14:paraId="192BAEAC" w14:textId="1DEA33A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g)</w:t>
      </w:r>
      <w:r w:rsidR="006B2D8B">
        <w:rPr>
          <w:rFonts w:ascii="Garamond" w:hAnsi="Garamond"/>
          <w:lang w:val="sq-AL"/>
        </w:rPr>
        <w:t xml:space="preserve"> </w:t>
      </w:r>
      <w:r w:rsidRPr="006B2D8B">
        <w:rPr>
          <w:rFonts w:ascii="Garamond" w:hAnsi="Garamond"/>
          <w:lang w:val="sq-AL"/>
        </w:rPr>
        <w:t xml:space="preserve">Në shkronjën “a”, të pikës 25, bëhen ndryshimet e mëposhtme: </w:t>
      </w:r>
    </w:p>
    <w:p w14:paraId="030E601A" w14:textId="4D9B3E9E"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i. Nënndarja “i” shfuqizohet. </w:t>
      </w:r>
    </w:p>
    <w:p w14:paraId="59898762" w14:textId="30A4539E"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w:t>
      </w:r>
      <w:proofErr w:type="spellEnd"/>
      <w:r w:rsidRPr="006B2D8B">
        <w:rPr>
          <w:rFonts w:ascii="Garamond" w:hAnsi="Garamond"/>
          <w:lang w:val="sq-AL"/>
        </w:rPr>
        <w:t>. Në nënndarjen “</w:t>
      </w:r>
      <w:proofErr w:type="spellStart"/>
      <w:r w:rsidRPr="006B2D8B">
        <w:rPr>
          <w:rFonts w:ascii="Garamond" w:hAnsi="Garamond"/>
          <w:lang w:val="sq-AL"/>
        </w:rPr>
        <w:t>ii</w:t>
      </w:r>
      <w:proofErr w:type="spellEnd"/>
      <w:r w:rsidRPr="006B2D8B">
        <w:rPr>
          <w:rFonts w:ascii="Garamond" w:hAnsi="Garamond"/>
          <w:lang w:val="sq-AL"/>
        </w:rPr>
        <w:t>”, togfjalëshi “... 30 (tridhjetë) ...” zëvendësohet me “... 35 (tridhjetë e pesë) ...”.</w:t>
      </w:r>
    </w:p>
    <w:p w14:paraId="1834A613" w14:textId="07D4219A"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gj) Paragrafi i parë,</w:t>
      </w:r>
      <w:r w:rsidR="006B2D8B">
        <w:rPr>
          <w:rFonts w:ascii="Garamond" w:hAnsi="Garamond"/>
          <w:lang w:val="sq-AL"/>
        </w:rPr>
        <w:t xml:space="preserve"> </w:t>
      </w:r>
      <w:r w:rsidRPr="006B2D8B">
        <w:rPr>
          <w:rFonts w:ascii="Garamond" w:hAnsi="Garamond"/>
          <w:lang w:val="sq-AL"/>
        </w:rPr>
        <w:t>i pikës 27, ndryshohet, si më poshtë vijon:</w:t>
      </w:r>
    </w:p>
    <w:p w14:paraId="7A6A5604" w14:textId="2E3AA2DD"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“Pas pagesës së vlerës së plotë të pronës shtetërore (objekti bashkë me truallin), drejtuesi i strukturës përgjegjëse për shitjen e pronës shtetërore nënshkruan kontratën e shitjes me blerësit privatë. Pas lidhjes së kontratës së shitjes kryhet dorëzimi i objektit në mënyrë të detyrueshme nga drejtuesi i institucionit/i ndërmarrjes/shoqërisë aksionare ose përfaqësuesi i autorizuar i tij, apo </w:t>
      </w:r>
      <w:r w:rsidRPr="006B2D8B">
        <w:rPr>
          <w:rFonts w:ascii="Garamond" w:hAnsi="Garamond"/>
          <w:lang w:val="sq-AL"/>
        </w:rPr>
        <w:lastRenderedPageBreak/>
        <w:t xml:space="preserve">përfaqësuesi i organit që ka në pronësi/përgjegjësi administrimi pronën shtetërore. Dorëzimi i objektit të kontratës bëhet te blerësi me procesverbal sipas </w:t>
      </w:r>
      <w:proofErr w:type="spellStart"/>
      <w:r w:rsidRPr="006B2D8B">
        <w:rPr>
          <w:rFonts w:ascii="Garamond" w:hAnsi="Garamond"/>
          <w:lang w:val="sq-AL"/>
        </w:rPr>
        <w:t>genplanit</w:t>
      </w:r>
      <w:proofErr w:type="spellEnd"/>
      <w:r w:rsidRPr="006B2D8B">
        <w:rPr>
          <w:rFonts w:ascii="Garamond" w:hAnsi="Garamond"/>
          <w:lang w:val="sq-AL"/>
        </w:rPr>
        <w:t xml:space="preserve"> bashkëlidhur kontratës së shitjes dhe 1 (një) kopje e procesverbalit dorëzohet brenda 7 (shtatë) ditëve pranë ministrisë përgjegjëse për ekonominë.”.</w:t>
      </w:r>
    </w:p>
    <w:p w14:paraId="3CA2BB89" w14:textId="27D351EF"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h)</w:t>
      </w:r>
      <w:r w:rsidR="006B2D8B">
        <w:rPr>
          <w:rFonts w:ascii="Garamond" w:hAnsi="Garamond"/>
          <w:lang w:val="sq-AL"/>
        </w:rPr>
        <w:t xml:space="preserve"> </w:t>
      </w:r>
      <w:r w:rsidRPr="006B2D8B">
        <w:rPr>
          <w:rFonts w:ascii="Garamond" w:hAnsi="Garamond"/>
          <w:lang w:val="sq-AL"/>
        </w:rPr>
        <w:t xml:space="preserve">Në fund të pikës 28 shtohet paragrafi, me këtë përmbajtje: </w:t>
      </w:r>
    </w:p>
    <w:p w14:paraId="2E0B7307" w14:textId="65C42443"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“Në rast se në dosjen e privatizimit të pronave shtetërore mungon dokumentacioni, struktura përgjegjëse për shitjen e pronës shtetërore ka të drejtë të kërkojë informacion dhe dokumentacion pranë Agjencisë Shtetërore të Kadastrës, Drejtorisë së Përgjithshme të Arkivave ose Arkivit Shtetëror Vendor, në juridiksionin e të cilëve ndodhet prona shtetërore.”.</w:t>
      </w:r>
    </w:p>
    <w:p w14:paraId="664D447D" w14:textId="2FB556F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i) Në pikën 29, fjalët “... kryetari i degës së shoqërive publike, në prefekturën përkatëse ...” hiqen.</w:t>
      </w:r>
    </w:p>
    <w:p w14:paraId="42466E7F" w14:textId="3D4F033A"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j) Në pikën 30, pas fjalës “... qira ...” shtohen fjalët “... ose </w:t>
      </w:r>
      <w:proofErr w:type="spellStart"/>
      <w:r w:rsidRPr="006B2D8B">
        <w:rPr>
          <w:rFonts w:ascii="Garamond" w:hAnsi="Garamond"/>
          <w:lang w:val="sq-AL"/>
        </w:rPr>
        <w:t>enfiteozë</w:t>
      </w:r>
      <w:proofErr w:type="spellEnd"/>
      <w:r w:rsidRPr="006B2D8B">
        <w:rPr>
          <w:rFonts w:ascii="Garamond" w:hAnsi="Garamond"/>
          <w:lang w:val="sq-AL"/>
        </w:rPr>
        <w:t xml:space="preserve"> ...”.</w:t>
      </w:r>
    </w:p>
    <w:p w14:paraId="4B05CB1F" w14:textId="6904863E"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k)</w:t>
      </w:r>
      <w:r w:rsidR="006B2D8B">
        <w:rPr>
          <w:rFonts w:ascii="Garamond" w:hAnsi="Garamond"/>
          <w:lang w:val="sq-AL"/>
        </w:rPr>
        <w:t xml:space="preserve"> </w:t>
      </w:r>
      <w:r w:rsidRPr="006B2D8B">
        <w:rPr>
          <w:rFonts w:ascii="Garamond" w:hAnsi="Garamond"/>
          <w:lang w:val="sq-AL"/>
        </w:rPr>
        <w:t>Pika 31 shfuqizohet.</w:t>
      </w:r>
    </w:p>
    <w:p w14:paraId="2E914785" w14:textId="035A700B"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l)</w:t>
      </w:r>
      <w:r w:rsidR="006B2D8B">
        <w:rPr>
          <w:rFonts w:ascii="Garamond" w:hAnsi="Garamond"/>
          <w:lang w:val="sq-AL"/>
        </w:rPr>
        <w:t xml:space="preserve"> </w:t>
      </w:r>
      <w:r w:rsidRPr="006B2D8B">
        <w:rPr>
          <w:rFonts w:ascii="Garamond" w:hAnsi="Garamond"/>
          <w:lang w:val="sq-AL"/>
        </w:rPr>
        <w:t>Në pikën 32 bëhen ndryshimet e mëposhtme:</w:t>
      </w:r>
    </w:p>
    <w:p w14:paraId="1E6F13F9" w14:textId="087F2A26"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i.</w:t>
      </w:r>
      <w:r w:rsidR="006B2D8B">
        <w:rPr>
          <w:rFonts w:ascii="Garamond" w:hAnsi="Garamond"/>
          <w:lang w:val="sq-AL"/>
        </w:rPr>
        <w:t xml:space="preserve"> </w:t>
      </w:r>
      <w:r w:rsidRPr="006B2D8B">
        <w:rPr>
          <w:rFonts w:ascii="Garamond" w:hAnsi="Garamond"/>
          <w:lang w:val="sq-AL"/>
        </w:rPr>
        <w:t xml:space="preserve">Në fjalinë e parë, të paragrafit të parë, pas fjalës “... kontraktuesit ...” shtohen fjalët “... ose subjektit të cilit i ka lindur ose i është transferuar e drejta e parablerjes ...” dhe pas fjalës “... qirasë ...” shtohen “... ose </w:t>
      </w:r>
      <w:proofErr w:type="spellStart"/>
      <w:r w:rsidRPr="006B2D8B">
        <w:rPr>
          <w:rFonts w:ascii="Garamond" w:hAnsi="Garamond"/>
          <w:lang w:val="sq-AL"/>
        </w:rPr>
        <w:t>enfiteozës</w:t>
      </w:r>
      <w:proofErr w:type="spellEnd"/>
      <w:r w:rsidRPr="006B2D8B">
        <w:rPr>
          <w:rFonts w:ascii="Garamond" w:hAnsi="Garamond"/>
          <w:lang w:val="sq-AL"/>
        </w:rPr>
        <w:t xml:space="preserve"> ...”.</w:t>
      </w:r>
    </w:p>
    <w:p w14:paraId="265DF68C" w14:textId="0F5F09AD"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w:t>
      </w:r>
      <w:proofErr w:type="spellEnd"/>
      <w:r w:rsidRPr="006B2D8B">
        <w:rPr>
          <w:rFonts w:ascii="Garamond" w:hAnsi="Garamond"/>
          <w:lang w:val="sq-AL"/>
        </w:rPr>
        <w:t>.</w:t>
      </w:r>
      <w:r w:rsidR="006B2D8B">
        <w:rPr>
          <w:rFonts w:ascii="Garamond" w:hAnsi="Garamond"/>
          <w:lang w:val="sq-AL"/>
        </w:rPr>
        <w:t xml:space="preserve"> </w:t>
      </w:r>
      <w:r w:rsidRPr="006B2D8B">
        <w:rPr>
          <w:rFonts w:ascii="Garamond" w:hAnsi="Garamond"/>
          <w:lang w:val="sq-AL"/>
        </w:rPr>
        <w:t xml:space="preserve">Në fjalinë e parë, të paragrafit të dytë, pas fjalëve “... në momentin e marrjes me qira ...” shtohen “... ose </w:t>
      </w:r>
      <w:proofErr w:type="spellStart"/>
      <w:r w:rsidRPr="006B2D8B">
        <w:rPr>
          <w:rFonts w:ascii="Garamond" w:hAnsi="Garamond"/>
          <w:lang w:val="sq-AL"/>
        </w:rPr>
        <w:t>enfiteozë</w:t>
      </w:r>
      <w:proofErr w:type="spellEnd"/>
      <w:r w:rsidRPr="006B2D8B">
        <w:rPr>
          <w:rFonts w:ascii="Garamond" w:hAnsi="Garamond"/>
          <w:lang w:val="sq-AL"/>
        </w:rPr>
        <w:t xml:space="preserve"> ...”.</w:t>
      </w:r>
    </w:p>
    <w:p w14:paraId="7DC83072" w14:textId="3E76A8A2"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iii</w:t>
      </w:r>
      <w:proofErr w:type="spellEnd"/>
      <w:r w:rsidRPr="006B2D8B">
        <w:rPr>
          <w:rFonts w:ascii="Garamond" w:hAnsi="Garamond"/>
          <w:lang w:val="sq-AL"/>
        </w:rPr>
        <w:t>. Në fjalinë e fundit të paragrafit të dytë, pas togfjalëshit</w:t>
      </w:r>
      <w:r w:rsidR="006B2D8B">
        <w:rPr>
          <w:rFonts w:ascii="Garamond" w:hAnsi="Garamond"/>
          <w:lang w:val="sq-AL"/>
        </w:rPr>
        <w:t xml:space="preserve"> </w:t>
      </w:r>
      <w:r w:rsidRPr="006B2D8B">
        <w:rPr>
          <w:rFonts w:ascii="Garamond" w:hAnsi="Garamond"/>
          <w:lang w:val="sq-AL"/>
        </w:rPr>
        <w:t xml:space="preserve">“... kontratës së qirasë ...” shtohen </w:t>
      </w:r>
      <w:r w:rsidR="00A5028D">
        <w:rPr>
          <w:rFonts w:ascii="Garamond" w:hAnsi="Garamond"/>
          <w:lang w:val="sq-AL"/>
        </w:rPr>
        <w:t>“</w:t>
      </w:r>
      <w:r w:rsidRPr="006B2D8B">
        <w:rPr>
          <w:rFonts w:ascii="Garamond" w:hAnsi="Garamond"/>
          <w:lang w:val="sq-AL"/>
        </w:rPr>
        <w:t xml:space="preserve">... ose </w:t>
      </w:r>
      <w:proofErr w:type="spellStart"/>
      <w:r w:rsidRPr="006B2D8B">
        <w:rPr>
          <w:rFonts w:ascii="Garamond" w:hAnsi="Garamond"/>
          <w:lang w:val="sq-AL"/>
        </w:rPr>
        <w:t>enfiteozës</w:t>
      </w:r>
      <w:proofErr w:type="spellEnd"/>
      <w:r w:rsidRPr="006B2D8B">
        <w:rPr>
          <w:rFonts w:ascii="Garamond" w:hAnsi="Garamond"/>
          <w:lang w:val="sq-AL"/>
        </w:rPr>
        <w:t xml:space="preserve"> ...” dhe fjalët “... bazuar dhe në vendimin e Komisionit të Shqyrtimit dhe Transparencës ...” hiqen.</w:t>
      </w:r>
    </w:p>
    <w:p w14:paraId="03F79295" w14:textId="4201A7A5"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iv</w:t>
      </w:r>
      <w:proofErr w:type="spellEnd"/>
      <w:r w:rsidRPr="006B2D8B">
        <w:rPr>
          <w:rFonts w:ascii="Garamond" w:hAnsi="Garamond"/>
          <w:lang w:val="sq-AL"/>
        </w:rPr>
        <w:t xml:space="preserve">. Në paragrafin e tretë, pas fjalës “... qiramarrësit ...” shtohen fjalët “... ose </w:t>
      </w:r>
      <w:proofErr w:type="spellStart"/>
      <w:r w:rsidRPr="006B2D8B">
        <w:rPr>
          <w:rFonts w:ascii="Garamond" w:hAnsi="Garamond"/>
          <w:lang w:val="sq-AL"/>
        </w:rPr>
        <w:t>enfiteozëmarrësit</w:t>
      </w:r>
      <w:proofErr w:type="spellEnd"/>
      <w:r w:rsidRPr="006B2D8B">
        <w:rPr>
          <w:rFonts w:ascii="Garamond" w:hAnsi="Garamond"/>
          <w:lang w:val="sq-AL"/>
        </w:rPr>
        <w:t xml:space="preserve"> ...” dhe pas fjalëve “... të cilin e kanë pasur me qira ...” shtohen “... ose </w:t>
      </w:r>
      <w:proofErr w:type="spellStart"/>
      <w:r w:rsidRPr="006B2D8B">
        <w:rPr>
          <w:rFonts w:ascii="Garamond" w:hAnsi="Garamond"/>
          <w:lang w:val="sq-AL"/>
        </w:rPr>
        <w:t>enfiteozë</w:t>
      </w:r>
      <w:proofErr w:type="spellEnd"/>
      <w:r w:rsidRPr="006B2D8B">
        <w:rPr>
          <w:rFonts w:ascii="Garamond" w:hAnsi="Garamond"/>
          <w:lang w:val="sq-AL"/>
        </w:rPr>
        <w:t xml:space="preserve"> ...”.</w:t>
      </w:r>
    </w:p>
    <w:p w14:paraId="7D49AB03" w14:textId="75797848"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ll)</w:t>
      </w:r>
      <w:r w:rsidR="00A5028D">
        <w:rPr>
          <w:rFonts w:ascii="Garamond" w:hAnsi="Garamond"/>
          <w:lang w:val="sq-AL"/>
        </w:rPr>
        <w:t xml:space="preserve"> </w:t>
      </w:r>
      <w:r w:rsidRPr="006B2D8B">
        <w:rPr>
          <w:rFonts w:ascii="Garamond" w:hAnsi="Garamond"/>
          <w:lang w:val="sq-AL"/>
        </w:rPr>
        <w:t xml:space="preserve">Në pikën 33, pas fjalës “... qira ...” shtohen fjalët “... ose </w:t>
      </w:r>
      <w:proofErr w:type="spellStart"/>
      <w:r w:rsidRPr="006B2D8B">
        <w:rPr>
          <w:rFonts w:ascii="Garamond" w:hAnsi="Garamond"/>
          <w:lang w:val="sq-AL"/>
        </w:rPr>
        <w:t>enfiteozë</w:t>
      </w:r>
      <w:proofErr w:type="spellEnd"/>
      <w:r w:rsidRPr="006B2D8B">
        <w:rPr>
          <w:rFonts w:ascii="Garamond" w:hAnsi="Garamond"/>
          <w:lang w:val="sq-AL"/>
        </w:rPr>
        <w:t xml:space="preserve"> ...” dhe pas fjalës “... qirasë ...” shtohen fjalët “... ose </w:t>
      </w:r>
      <w:proofErr w:type="spellStart"/>
      <w:r w:rsidRPr="006B2D8B">
        <w:rPr>
          <w:rFonts w:ascii="Garamond" w:hAnsi="Garamond"/>
          <w:lang w:val="sq-AL"/>
        </w:rPr>
        <w:t>enfiteozës</w:t>
      </w:r>
      <w:proofErr w:type="spellEnd"/>
      <w:r w:rsidRPr="006B2D8B">
        <w:rPr>
          <w:rFonts w:ascii="Garamond" w:hAnsi="Garamond"/>
          <w:lang w:val="sq-AL"/>
        </w:rPr>
        <w:t xml:space="preserve"> ...”.</w:t>
      </w:r>
    </w:p>
    <w:p w14:paraId="419C819A" w14:textId="5008696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m)</w:t>
      </w:r>
      <w:r w:rsidR="00A5028D">
        <w:rPr>
          <w:rFonts w:ascii="Garamond" w:hAnsi="Garamond"/>
          <w:lang w:val="sq-AL"/>
        </w:rPr>
        <w:t xml:space="preserve"> </w:t>
      </w:r>
      <w:r w:rsidRPr="006B2D8B">
        <w:rPr>
          <w:rFonts w:ascii="Garamond" w:hAnsi="Garamond"/>
          <w:lang w:val="sq-AL"/>
        </w:rPr>
        <w:t>Në pikën 34 bëhen ndryshimet e mëposhtme:</w:t>
      </w:r>
    </w:p>
    <w:p w14:paraId="19F1B94A" w14:textId="6DC06902"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i.</w:t>
      </w:r>
      <w:r w:rsidR="006B2D8B">
        <w:rPr>
          <w:rFonts w:ascii="Garamond" w:hAnsi="Garamond"/>
          <w:lang w:val="sq-AL"/>
        </w:rPr>
        <w:t xml:space="preserve"> </w:t>
      </w:r>
      <w:r w:rsidRPr="006B2D8B">
        <w:rPr>
          <w:rFonts w:ascii="Garamond" w:hAnsi="Garamond"/>
          <w:lang w:val="sq-AL"/>
        </w:rPr>
        <w:t xml:space="preserve">Në fjalinë hyrëse, pas fjalës “... qiramarrëse ...” dhe “... qira ...” shtohen përkatësisht “... ose </w:t>
      </w:r>
      <w:proofErr w:type="spellStart"/>
      <w:r w:rsidRPr="006B2D8B">
        <w:rPr>
          <w:rFonts w:ascii="Garamond" w:hAnsi="Garamond"/>
          <w:lang w:val="sq-AL"/>
        </w:rPr>
        <w:t>enfiteozëmarrëse</w:t>
      </w:r>
      <w:proofErr w:type="spellEnd"/>
      <w:r w:rsidRPr="006B2D8B">
        <w:rPr>
          <w:rFonts w:ascii="Garamond" w:hAnsi="Garamond"/>
          <w:lang w:val="sq-AL"/>
        </w:rPr>
        <w:t xml:space="preserve"> ...” dhe “... </w:t>
      </w:r>
      <w:proofErr w:type="spellStart"/>
      <w:r w:rsidRPr="006B2D8B">
        <w:rPr>
          <w:rFonts w:ascii="Garamond" w:hAnsi="Garamond"/>
          <w:lang w:val="sq-AL"/>
        </w:rPr>
        <w:t>enfiteozë</w:t>
      </w:r>
      <w:proofErr w:type="spellEnd"/>
      <w:r w:rsidRPr="006B2D8B">
        <w:rPr>
          <w:rFonts w:ascii="Garamond" w:hAnsi="Garamond"/>
          <w:lang w:val="sq-AL"/>
        </w:rPr>
        <w:t xml:space="preserve"> ...” dhe pas fjalëve “... në kuptimin e ligjit nr.</w:t>
      </w:r>
      <w:r w:rsidR="00A5028D">
        <w:rPr>
          <w:rFonts w:ascii="Garamond" w:hAnsi="Garamond"/>
          <w:lang w:val="sq-AL"/>
        </w:rPr>
        <w:t xml:space="preserve"> </w:t>
      </w:r>
      <w:r w:rsidRPr="006B2D8B">
        <w:rPr>
          <w:rFonts w:ascii="Garamond" w:hAnsi="Garamond"/>
          <w:lang w:val="sq-AL"/>
        </w:rPr>
        <w:t>8743, datë 22.2.2001, “Për pronat e paluajtshme të shtetit”...” shtohet fjala “të ndryshuar”.</w:t>
      </w:r>
    </w:p>
    <w:p w14:paraId="58C93F2F" w14:textId="039F0856"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w:t>
      </w:r>
      <w:proofErr w:type="spellEnd"/>
      <w:r w:rsidRPr="006B2D8B">
        <w:rPr>
          <w:rFonts w:ascii="Garamond" w:hAnsi="Garamond"/>
          <w:lang w:val="sq-AL"/>
        </w:rPr>
        <w:t xml:space="preserve">. Shkronjat “a” ndryshohet. si më poshtë vijon: </w:t>
      </w:r>
    </w:p>
    <w:p w14:paraId="3195F8DC"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“a) Qiramarrësi/</w:t>
      </w:r>
      <w:proofErr w:type="spellStart"/>
      <w:r w:rsidRPr="006B2D8B">
        <w:rPr>
          <w:rFonts w:ascii="Garamond" w:hAnsi="Garamond"/>
          <w:lang w:val="sq-AL"/>
        </w:rPr>
        <w:t>emfiteozëmarrësi</w:t>
      </w:r>
      <w:proofErr w:type="spellEnd"/>
      <w:r w:rsidRPr="006B2D8B">
        <w:rPr>
          <w:rFonts w:ascii="Garamond" w:hAnsi="Garamond"/>
          <w:lang w:val="sq-AL"/>
        </w:rPr>
        <w:t xml:space="preserve"> të ketë kryer investime në vlerë mbi 5 (pesë) milionë euro.”.</w:t>
      </w:r>
    </w:p>
    <w:p w14:paraId="74E963D0" w14:textId="793452C6"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iii</w:t>
      </w:r>
      <w:proofErr w:type="spellEnd"/>
      <w:r w:rsidRPr="006B2D8B">
        <w:rPr>
          <w:rFonts w:ascii="Garamond" w:hAnsi="Garamond"/>
          <w:lang w:val="sq-AL"/>
        </w:rPr>
        <w:t xml:space="preserve">. Në shkronjën “b”, pas fjalës “... qiramarrësi ...” dhe “... qirasë ...” shtohen përkatësisht “... ose </w:t>
      </w:r>
      <w:proofErr w:type="spellStart"/>
      <w:r w:rsidRPr="006B2D8B">
        <w:rPr>
          <w:rFonts w:ascii="Garamond" w:hAnsi="Garamond"/>
          <w:lang w:val="sq-AL"/>
        </w:rPr>
        <w:t>enfiteozëmarrësit</w:t>
      </w:r>
      <w:proofErr w:type="spellEnd"/>
      <w:r w:rsidRPr="006B2D8B">
        <w:rPr>
          <w:rFonts w:ascii="Garamond" w:hAnsi="Garamond"/>
          <w:lang w:val="sq-AL"/>
        </w:rPr>
        <w:t xml:space="preserve"> ...” dhe “... </w:t>
      </w:r>
      <w:proofErr w:type="spellStart"/>
      <w:r w:rsidRPr="006B2D8B">
        <w:rPr>
          <w:rFonts w:ascii="Garamond" w:hAnsi="Garamond"/>
          <w:lang w:val="sq-AL"/>
        </w:rPr>
        <w:t>enfiteozës</w:t>
      </w:r>
      <w:proofErr w:type="spellEnd"/>
      <w:r w:rsidRPr="006B2D8B">
        <w:rPr>
          <w:rFonts w:ascii="Garamond" w:hAnsi="Garamond"/>
          <w:lang w:val="sq-AL"/>
        </w:rPr>
        <w:t xml:space="preserve"> ...”.</w:t>
      </w:r>
    </w:p>
    <w:p w14:paraId="7E15F492"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n) Në pikën 34/2 bëhen shtesa dhe ndryshimi, si më poshtë: </w:t>
      </w:r>
    </w:p>
    <w:p w14:paraId="64CA8A5E" w14:textId="35C4420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i.</w:t>
      </w:r>
      <w:r w:rsidR="006B2D8B">
        <w:rPr>
          <w:rFonts w:ascii="Garamond" w:hAnsi="Garamond"/>
          <w:lang w:val="sq-AL"/>
        </w:rPr>
        <w:t xml:space="preserve"> </w:t>
      </w:r>
      <w:r w:rsidRPr="006B2D8B">
        <w:rPr>
          <w:rFonts w:ascii="Garamond" w:hAnsi="Garamond"/>
          <w:lang w:val="sq-AL"/>
        </w:rPr>
        <w:t xml:space="preserve">Pas fjalës “... qirasë ...” shtohen fjalët “... ose </w:t>
      </w:r>
      <w:proofErr w:type="spellStart"/>
      <w:r w:rsidRPr="006B2D8B">
        <w:rPr>
          <w:rFonts w:ascii="Garamond" w:hAnsi="Garamond"/>
          <w:lang w:val="sq-AL"/>
        </w:rPr>
        <w:t>enfiteozës</w:t>
      </w:r>
      <w:proofErr w:type="spellEnd"/>
      <w:r w:rsidRPr="006B2D8B">
        <w:rPr>
          <w:rFonts w:ascii="Garamond" w:hAnsi="Garamond"/>
          <w:lang w:val="sq-AL"/>
        </w:rPr>
        <w:t xml:space="preserve"> ...”.</w:t>
      </w:r>
    </w:p>
    <w:p w14:paraId="492B33C8" w14:textId="629B04B2"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w:t>
      </w:r>
      <w:proofErr w:type="spellEnd"/>
      <w:r w:rsidRPr="006B2D8B">
        <w:rPr>
          <w:rFonts w:ascii="Garamond" w:hAnsi="Garamond"/>
          <w:lang w:val="sq-AL"/>
        </w:rPr>
        <w:t xml:space="preserve">. Në shkronjën “a”, fjalët “... Drejtoria përgjegjëse për monitorimin e kontratave ...” zëvendësohen me “... </w:t>
      </w:r>
      <w:r w:rsidR="00A5028D" w:rsidRPr="006B2D8B">
        <w:rPr>
          <w:rFonts w:ascii="Garamond" w:hAnsi="Garamond"/>
          <w:lang w:val="sq-AL"/>
        </w:rPr>
        <w:t>Struktura</w:t>
      </w:r>
      <w:r w:rsidRPr="006B2D8B">
        <w:rPr>
          <w:rFonts w:ascii="Garamond" w:hAnsi="Garamond"/>
          <w:lang w:val="sq-AL"/>
        </w:rPr>
        <w:t xml:space="preserve"> përgjegjëse për monitorimin e kontratave ...”. </w:t>
      </w:r>
    </w:p>
    <w:p w14:paraId="37BD0235"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nj) Në pikën 34/3, pas fjalës “... qirasë ...” shtohen fjalët “... ose </w:t>
      </w:r>
      <w:proofErr w:type="spellStart"/>
      <w:r w:rsidRPr="006B2D8B">
        <w:rPr>
          <w:rFonts w:ascii="Garamond" w:hAnsi="Garamond"/>
          <w:lang w:val="sq-AL"/>
        </w:rPr>
        <w:t>enfiteozës</w:t>
      </w:r>
      <w:proofErr w:type="spellEnd"/>
      <w:r w:rsidRPr="006B2D8B">
        <w:rPr>
          <w:rFonts w:ascii="Garamond" w:hAnsi="Garamond"/>
          <w:lang w:val="sq-AL"/>
        </w:rPr>
        <w:t xml:space="preserve"> ...”.</w:t>
      </w:r>
    </w:p>
    <w:p w14:paraId="543634AA"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o) Në pikën 36 bëhet shtesa dhe ndryshimi, si më poshtë:</w:t>
      </w:r>
    </w:p>
    <w:p w14:paraId="19A4DF9E" w14:textId="7CAE0B09"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i. Shkronja “a” ndryshohet, si më poshtë vijon: </w:t>
      </w:r>
    </w:p>
    <w:p w14:paraId="18EC635C" w14:textId="1E5FB1AC"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“a) detyrimin e blerësit për të realizuar vlerën e plotë të investimit sipas plan</w:t>
      </w:r>
      <w:r w:rsidR="006B2D8B">
        <w:rPr>
          <w:rFonts w:ascii="Garamond" w:hAnsi="Garamond"/>
          <w:lang w:val="sq-AL"/>
        </w:rPr>
        <w:t>-</w:t>
      </w:r>
      <w:r w:rsidRPr="006B2D8B">
        <w:rPr>
          <w:rFonts w:ascii="Garamond" w:hAnsi="Garamond"/>
          <w:lang w:val="sq-AL"/>
        </w:rPr>
        <w:t>biznesit brenda afatit të parashikuar në kontratën e mëparshme të qirasë/</w:t>
      </w:r>
      <w:proofErr w:type="spellStart"/>
      <w:r w:rsidRPr="006B2D8B">
        <w:rPr>
          <w:rFonts w:ascii="Garamond" w:hAnsi="Garamond"/>
          <w:lang w:val="sq-AL"/>
        </w:rPr>
        <w:t>emfiteozës</w:t>
      </w:r>
      <w:proofErr w:type="spellEnd"/>
      <w:r w:rsidR="00A5028D">
        <w:rPr>
          <w:rFonts w:ascii="Garamond" w:hAnsi="Garamond"/>
          <w:lang w:val="sq-AL"/>
        </w:rPr>
        <w:t>,</w:t>
      </w:r>
      <w:r w:rsidRPr="006B2D8B">
        <w:rPr>
          <w:rFonts w:ascii="Garamond" w:hAnsi="Garamond"/>
          <w:lang w:val="sq-AL"/>
        </w:rPr>
        <w:t xml:space="preserve"> i cili pasqyrohet si kufizim në kartelën e pasurisë.</w:t>
      </w:r>
      <w:r w:rsidR="006B2D8B">
        <w:rPr>
          <w:rFonts w:ascii="Garamond" w:hAnsi="Garamond"/>
          <w:lang w:val="sq-AL"/>
        </w:rPr>
        <w:t xml:space="preserve"> </w:t>
      </w:r>
      <w:r w:rsidRPr="006B2D8B">
        <w:rPr>
          <w:rFonts w:ascii="Garamond" w:hAnsi="Garamond"/>
          <w:lang w:val="sq-AL"/>
        </w:rPr>
        <w:t>Përveç kësaj, të dyja palët duhet të vijojnë të përmbushin të gjitha detyrimet e tjera në përmbajtje të asaj kontrate, që kanë të bëjnë me çështjet teknike, ekonomike, të raportimit etj., me përjashtim të detyrimeve bazike të qirasë ngushtësisht si institut i Kodit Civil.”.</w:t>
      </w:r>
    </w:p>
    <w:p w14:paraId="3FAC8F9F" w14:textId="254BAE92"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w:t>
      </w:r>
      <w:proofErr w:type="spellEnd"/>
      <w:r w:rsidRPr="006B2D8B">
        <w:rPr>
          <w:rFonts w:ascii="Garamond" w:hAnsi="Garamond"/>
          <w:lang w:val="sq-AL"/>
        </w:rPr>
        <w:t xml:space="preserve">. Në shkronjat “b” dhe “ç”, pas fjalës ”... qirasë ...” shtohen fjalët “... ose </w:t>
      </w:r>
      <w:proofErr w:type="spellStart"/>
      <w:r w:rsidRPr="006B2D8B">
        <w:rPr>
          <w:rFonts w:ascii="Garamond" w:hAnsi="Garamond"/>
          <w:lang w:val="sq-AL"/>
        </w:rPr>
        <w:t>enfiteozës</w:t>
      </w:r>
      <w:proofErr w:type="spellEnd"/>
      <w:r w:rsidRPr="006B2D8B">
        <w:rPr>
          <w:rFonts w:ascii="Garamond" w:hAnsi="Garamond"/>
          <w:lang w:val="sq-AL"/>
        </w:rPr>
        <w:t xml:space="preserve"> ...”.</w:t>
      </w:r>
    </w:p>
    <w:p w14:paraId="7E2B6600" w14:textId="0E0E5BC8"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p) Në pikën 37, fjalët “... detyrimin e investimit ...” zëvendësohen me</w:t>
      </w:r>
      <w:r w:rsidR="006B2D8B">
        <w:rPr>
          <w:rFonts w:ascii="Garamond" w:hAnsi="Garamond"/>
          <w:lang w:val="sq-AL"/>
        </w:rPr>
        <w:t xml:space="preserve"> </w:t>
      </w:r>
      <w:r w:rsidRPr="006B2D8B">
        <w:rPr>
          <w:rFonts w:ascii="Garamond" w:hAnsi="Garamond"/>
          <w:lang w:val="sq-AL"/>
        </w:rPr>
        <w:t>“... vlerën e investimit sipas kontratës së qirasë/</w:t>
      </w:r>
      <w:proofErr w:type="spellStart"/>
      <w:r w:rsidRPr="006B2D8B">
        <w:rPr>
          <w:rFonts w:ascii="Garamond" w:hAnsi="Garamond"/>
          <w:lang w:val="sq-AL"/>
        </w:rPr>
        <w:t>emfiteozës</w:t>
      </w:r>
      <w:proofErr w:type="spellEnd"/>
      <w:r w:rsidRPr="006B2D8B">
        <w:rPr>
          <w:rFonts w:ascii="Garamond" w:hAnsi="Garamond"/>
          <w:lang w:val="sq-AL"/>
        </w:rPr>
        <w:t xml:space="preserve"> ...”.</w:t>
      </w:r>
    </w:p>
    <w:p w14:paraId="12F7BE27" w14:textId="49765421"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q) Në pikën 43, pas fjalës “... qirasë ...” shtohen fjalët ”... ose </w:t>
      </w:r>
      <w:proofErr w:type="spellStart"/>
      <w:r w:rsidRPr="006B2D8B">
        <w:rPr>
          <w:rFonts w:ascii="Garamond" w:hAnsi="Garamond"/>
          <w:lang w:val="sq-AL"/>
        </w:rPr>
        <w:t>enfiteozës</w:t>
      </w:r>
      <w:proofErr w:type="spellEnd"/>
      <w:r w:rsidRPr="006B2D8B">
        <w:rPr>
          <w:rFonts w:ascii="Garamond" w:hAnsi="Garamond"/>
          <w:lang w:val="sq-AL"/>
        </w:rPr>
        <w:t xml:space="preserve"> ...”</w:t>
      </w:r>
    </w:p>
    <w:p w14:paraId="40DDC6A3" w14:textId="4416163B"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6. Në shkronjën “a”, të pikës 4, të kreut </w:t>
      </w:r>
      <w:proofErr w:type="spellStart"/>
      <w:r w:rsidRPr="006B2D8B">
        <w:rPr>
          <w:rFonts w:ascii="Garamond" w:hAnsi="Garamond"/>
          <w:lang w:val="sq-AL"/>
        </w:rPr>
        <w:t>III</w:t>
      </w:r>
      <w:proofErr w:type="spellEnd"/>
      <w:r w:rsidRPr="006B2D8B">
        <w:rPr>
          <w:rFonts w:ascii="Garamond" w:hAnsi="Garamond"/>
          <w:lang w:val="sq-AL"/>
        </w:rPr>
        <w:t>/1, në fund të fjalëve “... të ligjit nr.</w:t>
      </w:r>
      <w:r w:rsidR="00A5028D">
        <w:rPr>
          <w:rFonts w:ascii="Garamond" w:hAnsi="Garamond"/>
          <w:lang w:val="sq-AL"/>
        </w:rPr>
        <w:t xml:space="preserve"> </w:t>
      </w:r>
      <w:r w:rsidRPr="006B2D8B">
        <w:rPr>
          <w:rFonts w:ascii="Garamond" w:hAnsi="Garamond"/>
          <w:lang w:val="sq-AL"/>
        </w:rPr>
        <w:t>8743, datë 22.2.2001, “Për pronat e paluajtshme të shtetit”, ...” shtohet fjala “të ndryshuar”.</w:t>
      </w:r>
    </w:p>
    <w:p w14:paraId="63C58801" w14:textId="435419EE"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7. Në kreun </w:t>
      </w:r>
      <w:proofErr w:type="spellStart"/>
      <w:r w:rsidRPr="006B2D8B">
        <w:rPr>
          <w:rFonts w:ascii="Garamond" w:hAnsi="Garamond"/>
          <w:lang w:val="sq-AL"/>
        </w:rPr>
        <w:t>IV</w:t>
      </w:r>
      <w:proofErr w:type="spellEnd"/>
      <w:r w:rsidRPr="006B2D8B">
        <w:rPr>
          <w:rFonts w:ascii="Garamond" w:hAnsi="Garamond"/>
          <w:lang w:val="sq-AL"/>
        </w:rPr>
        <w:t xml:space="preserve"> bëhen këto ndryshime dhe shtesa:</w:t>
      </w:r>
    </w:p>
    <w:p w14:paraId="05524AC2" w14:textId="636B628B"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a) Pikat 1, 2 dhe 3 ndryshohen, si më poshtë vijon: </w:t>
      </w:r>
    </w:p>
    <w:p w14:paraId="50AEEF40" w14:textId="578CC4D8"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lastRenderedPageBreak/>
        <w:t xml:space="preserve">“1. Pas lidhjes së kontratës së shitjes, kryhet dorëzimi i objektit në mënyrë të detyrueshme te blerësi nga drejtuesi i institucionit/ ndërmarrjes/ shoqërisë aksionare, ose përfaqësuesi i autorizuar i tij, që ka në pronësi/përgjegjësi administrimi pronën shtetërore. Midis palëve nënshkruhet procesverbali i dorëzimit, sipas </w:t>
      </w:r>
      <w:proofErr w:type="spellStart"/>
      <w:r w:rsidRPr="006B2D8B">
        <w:rPr>
          <w:rFonts w:ascii="Garamond" w:hAnsi="Garamond"/>
          <w:lang w:val="sq-AL"/>
        </w:rPr>
        <w:t>genplanit</w:t>
      </w:r>
      <w:proofErr w:type="spellEnd"/>
      <w:r w:rsidRPr="006B2D8B">
        <w:rPr>
          <w:rFonts w:ascii="Garamond" w:hAnsi="Garamond"/>
          <w:lang w:val="sq-AL"/>
        </w:rPr>
        <w:t xml:space="preserve"> bashkëlidhur kontratës së shitjes dhe 1 (një) kopje e procesverbalit dorëzohet pranë ministrisë përgjegjëse për ekonominë, brenda</w:t>
      </w:r>
      <w:r w:rsidR="006B2D8B">
        <w:rPr>
          <w:rFonts w:ascii="Garamond" w:hAnsi="Garamond"/>
          <w:lang w:val="sq-AL"/>
        </w:rPr>
        <w:t xml:space="preserve"> </w:t>
      </w:r>
      <w:r w:rsidRPr="006B2D8B">
        <w:rPr>
          <w:rFonts w:ascii="Garamond" w:hAnsi="Garamond"/>
          <w:lang w:val="sq-AL"/>
        </w:rPr>
        <w:t xml:space="preserve">7 (shtatë) ditëve nga data e nënshkrimit. </w:t>
      </w:r>
    </w:p>
    <w:p w14:paraId="1B3C7054" w14:textId="48F97D79"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2. Për diferencat fizike të lindura ndërmjet periudhës së vlerësimit dhe dorëzimit të objektit mbahet një procesverbal, në prani të drejtuesit të institucionit/ndërmarrjes/shoqërisë aksionare apo përfaqësuesit të tij që ka në pronësi/përgjegjësi administrimi objektin, mbi të cilin evidentohen diferencat fizike, duke pasqyruar edhe shkaqet e krijimit të kësaj diference. Ky procesverbal nënshkruhet nga përfaqësuesi i institucionit/ndërmarrjes/shoqërisë aksionare apo përfaqësuesit të tij, që ka në pronësi/administrim pronën dhe blerësit. Procesverbali bëhet pjesë e procedurës së dorëzimit të pronës.</w:t>
      </w:r>
    </w:p>
    <w:p w14:paraId="456AB64C" w14:textId="57365E74"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3. Institucioni administrues ose pronar i pronës, ku rezultojnë diferenca fizike sipas </w:t>
      </w:r>
      <w:r w:rsidR="00A5028D" w:rsidRPr="006B2D8B">
        <w:rPr>
          <w:rFonts w:ascii="Garamond" w:hAnsi="Garamond"/>
          <w:lang w:val="sq-AL"/>
        </w:rPr>
        <w:t>procesverbalit</w:t>
      </w:r>
      <w:r w:rsidRPr="006B2D8B">
        <w:rPr>
          <w:rFonts w:ascii="Garamond" w:hAnsi="Garamond"/>
          <w:lang w:val="sq-AL"/>
        </w:rPr>
        <w:t xml:space="preserve"> të dorëzimit, në çdo rast ka detyrimin të nxjerrë përgjegjësitë ligjore dhe të bëjë zhdëmtimet e nevojshme në favor të institucionit.”.</w:t>
      </w:r>
    </w:p>
    <w:p w14:paraId="21BBFE73" w14:textId="6CB68AE2"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b) Pikat 5 e 6 ndryshohen, si më poshtë vijon: </w:t>
      </w:r>
    </w:p>
    <w:p w14:paraId="2FF28BE4"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“5. Në rastet kur për blerjen e objektit janë shpallur fitues bashkëpronarë, me të drejtën e parablerjes apo të ankandit dhe në çastin e nënshkrimit të kontratës, njëri nga bashkëpronarët refuzon nënshkrimin e saj, atëherë zbatohen dispozitat e përcaktuara në Kodin Civil të Republikës së Shqipërisë.</w:t>
      </w:r>
    </w:p>
    <w:p w14:paraId="5D0FB4C3" w14:textId="7777777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6. Procesverbali i nënshkruar dorëzohet në ministrinë përgjegjëse për ekonominë. Pas marrjes së procesverbalit, struktura përgjegjëse për shitjen e pronës shtetërore ia kthen vlerën e munguar blerësit, duke u bazuar në diferencat e përligjura, të evidentuara në procesverbalet përkatëse. Drejtuesi i institucionit/ ndërmarrjes/ shoqërisë aksionare ose përfaqësuesi i autorizuar i tij, që ka në pronësi/përgjegjësi administrimi pronën shtetërore që privatizohet, ka të drejtë të marrë ekspertë për dorëzimin e pronës shtetërore, kur vërehen mungesa fizike në njësinë e inventarit. Gjatë procesit të dorëzimit, blerësi ka të drejtë të marrë pjesë ose të autorizojë një përfaqësues të tij.”.</w:t>
      </w:r>
    </w:p>
    <w:p w14:paraId="3044E100" w14:textId="6B5830F9"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c)</w:t>
      </w:r>
      <w:r w:rsidR="006B2D8B">
        <w:rPr>
          <w:rFonts w:ascii="Garamond" w:hAnsi="Garamond"/>
          <w:lang w:val="sq-AL"/>
        </w:rPr>
        <w:t xml:space="preserve"> </w:t>
      </w:r>
      <w:r w:rsidRPr="006B2D8B">
        <w:rPr>
          <w:rFonts w:ascii="Garamond" w:hAnsi="Garamond"/>
          <w:lang w:val="sq-AL"/>
        </w:rPr>
        <w:t>Pika 12 shfuqizohet.</w:t>
      </w:r>
    </w:p>
    <w:p w14:paraId="7559921F" w14:textId="2814C3E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ç)</w:t>
      </w:r>
      <w:r w:rsidR="006B2D8B">
        <w:rPr>
          <w:rFonts w:ascii="Garamond" w:hAnsi="Garamond"/>
          <w:lang w:val="sq-AL"/>
        </w:rPr>
        <w:t xml:space="preserve"> </w:t>
      </w:r>
      <w:r w:rsidRPr="006B2D8B">
        <w:rPr>
          <w:rFonts w:ascii="Garamond" w:hAnsi="Garamond"/>
          <w:lang w:val="sq-AL"/>
        </w:rPr>
        <w:t xml:space="preserve">Pika 14 ndryshohet, si më poshtë vijon: </w:t>
      </w:r>
    </w:p>
    <w:p w14:paraId="3EBC15A7" w14:textId="31790F52"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 xml:space="preserve"> “14. Ngarkohet ministria përgjegjëse për ekonominë të hartojë udhëzimet përkatëse, në zbatim të pikave 1, 2, 3, 4 dhe 6 të kreut I, të kreut </w:t>
      </w:r>
      <w:proofErr w:type="spellStart"/>
      <w:r w:rsidRPr="006B2D8B">
        <w:rPr>
          <w:rFonts w:ascii="Garamond" w:hAnsi="Garamond"/>
          <w:lang w:val="sq-AL"/>
        </w:rPr>
        <w:t>II</w:t>
      </w:r>
      <w:proofErr w:type="spellEnd"/>
      <w:r w:rsidRPr="006B2D8B">
        <w:rPr>
          <w:rFonts w:ascii="Garamond" w:hAnsi="Garamond"/>
          <w:lang w:val="sq-AL"/>
        </w:rPr>
        <w:t xml:space="preserve">, të pikave 2, 4, 6, 10, 20, 24, 27, 31, 32, 34, 36, 37 të kreut </w:t>
      </w:r>
      <w:proofErr w:type="spellStart"/>
      <w:r w:rsidRPr="006B2D8B">
        <w:rPr>
          <w:rFonts w:ascii="Garamond" w:hAnsi="Garamond"/>
          <w:lang w:val="sq-AL"/>
        </w:rPr>
        <w:t>III</w:t>
      </w:r>
      <w:proofErr w:type="spellEnd"/>
      <w:r w:rsidRPr="006B2D8B">
        <w:rPr>
          <w:rFonts w:ascii="Garamond" w:hAnsi="Garamond"/>
          <w:lang w:val="sq-AL"/>
        </w:rPr>
        <w:t xml:space="preserve"> dhe të kreut </w:t>
      </w:r>
      <w:proofErr w:type="spellStart"/>
      <w:r w:rsidRPr="006B2D8B">
        <w:rPr>
          <w:rFonts w:ascii="Garamond" w:hAnsi="Garamond"/>
          <w:lang w:val="sq-AL"/>
        </w:rPr>
        <w:t>III</w:t>
      </w:r>
      <w:proofErr w:type="spellEnd"/>
      <w:r w:rsidRPr="006B2D8B">
        <w:rPr>
          <w:rFonts w:ascii="Garamond" w:hAnsi="Garamond"/>
          <w:lang w:val="sq-AL"/>
        </w:rPr>
        <w:t>/1 të këtij vendimi.”.</w:t>
      </w:r>
    </w:p>
    <w:p w14:paraId="6038FF6C" w14:textId="2F8870A5" w:rsidR="0071362C" w:rsidRPr="006B2D8B" w:rsidRDefault="0071362C" w:rsidP="0071362C">
      <w:pPr>
        <w:spacing w:after="0" w:line="240" w:lineRule="auto"/>
        <w:ind w:firstLine="284"/>
        <w:jc w:val="both"/>
        <w:rPr>
          <w:rFonts w:ascii="Garamond" w:hAnsi="Garamond"/>
          <w:lang w:val="sq-AL"/>
        </w:rPr>
      </w:pPr>
      <w:proofErr w:type="spellStart"/>
      <w:r w:rsidRPr="006B2D8B">
        <w:rPr>
          <w:rFonts w:ascii="Garamond" w:hAnsi="Garamond"/>
          <w:lang w:val="sq-AL"/>
        </w:rPr>
        <w:t>II</w:t>
      </w:r>
      <w:proofErr w:type="spellEnd"/>
      <w:r w:rsidRPr="006B2D8B">
        <w:rPr>
          <w:rFonts w:ascii="Garamond" w:hAnsi="Garamond"/>
          <w:lang w:val="sq-AL"/>
        </w:rPr>
        <w:t>. DISPOZITA KALIMTARE DHE TË FUNDIT</w:t>
      </w:r>
    </w:p>
    <w:p w14:paraId="279BB391" w14:textId="27900B8C"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1. Për të gjitha kërkesat e nisura dhe të papërfunduara para hyrjes në fuqi të këtij vendimi, do të zbatohen dispozitat e këtij vendimi.</w:t>
      </w:r>
    </w:p>
    <w:p w14:paraId="2D717DC8" w14:textId="5BD27CA7" w:rsidR="0071362C" w:rsidRPr="006B2D8B" w:rsidRDefault="0071362C" w:rsidP="00A5028D">
      <w:pPr>
        <w:spacing w:after="0" w:line="240" w:lineRule="auto"/>
        <w:ind w:firstLine="284"/>
        <w:jc w:val="both"/>
        <w:rPr>
          <w:rFonts w:ascii="Garamond" w:hAnsi="Garamond"/>
          <w:lang w:val="sq-AL"/>
        </w:rPr>
      </w:pPr>
      <w:r w:rsidRPr="006B2D8B">
        <w:rPr>
          <w:rFonts w:ascii="Garamond" w:hAnsi="Garamond"/>
          <w:lang w:val="sq-AL"/>
        </w:rPr>
        <w:t xml:space="preserve"> 2. Ngarkohet Ministria e Ekonomisë dhe Inovacionit për zbatimin e këtij vendimi.</w:t>
      </w:r>
    </w:p>
    <w:p w14:paraId="0A4AA1D8" w14:textId="0C4D8F97" w:rsidR="0071362C" w:rsidRPr="006B2D8B" w:rsidRDefault="0071362C" w:rsidP="0071362C">
      <w:pPr>
        <w:spacing w:after="0" w:line="240" w:lineRule="auto"/>
        <w:ind w:firstLine="284"/>
        <w:jc w:val="both"/>
        <w:rPr>
          <w:rFonts w:ascii="Garamond" w:hAnsi="Garamond"/>
          <w:lang w:val="sq-AL"/>
        </w:rPr>
      </w:pPr>
      <w:r w:rsidRPr="006B2D8B">
        <w:rPr>
          <w:rFonts w:ascii="Garamond" w:hAnsi="Garamond"/>
          <w:lang w:val="sq-AL"/>
        </w:rPr>
        <w:t>Ky vendim hyn në fuqi pas botimit në Fletoren Zyrtare.</w:t>
      </w:r>
    </w:p>
    <w:p w14:paraId="582CCAF3" w14:textId="0CCAF6B0" w:rsidR="001B4FD9" w:rsidRPr="006B2D8B" w:rsidRDefault="001B4FD9" w:rsidP="0071362C">
      <w:pPr>
        <w:spacing w:after="0" w:line="240" w:lineRule="auto"/>
        <w:ind w:firstLine="284"/>
        <w:jc w:val="both"/>
        <w:rPr>
          <w:rFonts w:ascii="Garamond" w:hAnsi="Garamond"/>
          <w:lang w:val="sq-AL"/>
        </w:rPr>
      </w:pPr>
    </w:p>
    <w:p w14:paraId="302E374C" w14:textId="77777777" w:rsidR="00CF5787" w:rsidRPr="006B2D8B" w:rsidRDefault="00CF5787" w:rsidP="00CF5787">
      <w:pPr>
        <w:ind w:firstLine="284"/>
        <w:contextualSpacing/>
        <w:jc w:val="right"/>
        <w:rPr>
          <w:rFonts w:ascii="Garamond" w:hAnsi="Garamond"/>
          <w:szCs w:val="28"/>
          <w:lang w:val="sq-AL"/>
        </w:rPr>
      </w:pPr>
      <w:r w:rsidRPr="006B2D8B">
        <w:rPr>
          <w:rFonts w:ascii="Garamond" w:hAnsi="Garamond"/>
          <w:szCs w:val="28"/>
          <w:lang w:val="sq-AL"/>
        </w:rPr>
        <w:t>ZËVENDËSKRYEMINISTËR</w:t>
      </w:r>
    </w:p>
    <w:p w14:paraId="780C1FCB" w14:textId="77777777" w:rsidR="00CF5787" w:rsidRPr="006B2D8B" w:rsidRDefault="00CF5787" w:rsidP="00CF5787">
      <w:pPr>
        <w:ind w:firstLine="284"/>
        <w:contextualSpacing/>
        <w:jc w:val="right"/>
        <w:rPr>
          <w:rFonts w:ascii="Garamond" w:hAnsi="Garamond"/>
          <w:b/>
          <w:szCs w:val="28"/>
          <w:lang w:val="sq-AL"/>
        </w:rPr>
      </w:pPr>
      <w:r w:rsidRPr="006B2D8B">
        <w:rPr>
          <w:rFonts w:ascii="Garamond" w:hAnsi="Garamond"/>
          <w:b/>
          <w:szCs w:val="28"/>
          <w:lang w:val="sq-AL"/>
        </w:rPr>
        <w:t xml:space="preserve">Albana </w:t>
      </w:r>
      <w:proofErr w:type="spellStart"/>
      <w:r w:rsidRPr="006B2D8B">
        <w:rPr>
          <w:rFonts w:ascii="Garamond" w:hAnsi="Garamond"/>
          <w:b/>
          <w:szCs w:val="28"/>
          <w:lang w:val="sq-AL"/>
        </w:rPr>
        <w:t>Koçiu</w:t>
      </w:r>
      <w:proofErr w:type="spellEnd"/>
    </w:p>
    <w:p w14:paraId="61666499" w14:textId="77777777" w:rsidR="00CF5787" w:rsidRPr="006B2D8B" w:rsidRDefault="00CF5787" w:rsidP="0071362C">
      <w:pPr>
        <w:spacing w:after="0" w:line="240" w:lineRule="auto"/>
        <w:ind w:firstLine="284"/>
        <w:jc w:val="both"/>
        <w:rPr>
          <w:rFonts w:ascii="Garamond" w:hAnsi="Garamond"/>
          <w:lang w:val="sq-AL"/>
        </w:rPr>
      </w:pPr>
    </w:p>
    <w:sectPr w:rsidR="00CF5787" w:rsidRPr="006B2D8B" w:rsidSect="00A5028D">
      <w:headerReference w:type="default" r:id="rId13"/>
      <w:footerReference w:type="default" r:id="rId14"/>
      <w:pgSz w:w="11906" w:h="16838" w:code="9"/>
      <w:pgMar w:top="990" w:right="1440" w:bottom="63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E1751" w14:textId="77777777" w:rsidR="006B2D8B" w:rsidRDefault="006B2D8B" w:rsidP="00194B1B">
      <w:pPr>
        <w:spacing w:after="0" w:line="240" w:lineRule="auto"/>
      </w:pPr>
      <w:r>
        <w:separator/>
      </w:r>
    </w:p>
  </w:endnote>
  <w:endnote w:type="continuationSeparator" w:id="0">
    <w:p w14:paraId="24D05990" w14:textId="77777777" w:rsidR="006B2D8B" w:rsidRDefault="006B2D8B" w:rsidP="00194B1B">
      <w:pPr>
        <w:spacing w:after="0" w:line="240" w:lineRule="auto"/>
      </w:pPr>
      <w:r>
        <w:continuationSeparator/>
      </w:r>
    </w:p>
  </w:endnote>
  <w:endnote w:type="continuationNotice" w:id="1">
    <w:p w14:paraId="2DBE7FB2" w14:textId="77777777" w:rsidR="006B2D8B" w:rsidRDefault="006B2D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06479711"/>
      <w:docPartObj>
        <w:docPartGallery w:val="Page Numbers (Bottom of Page)"/>
        <w:docPartUnique/>
      </w:docPartObj>
    </w:sdtPr>
    <w:sdtEndPr>
      <w:rPr>
        <w:noProof/>
      </w:rPr>
    </w:sdtEndPr>
    <w:sdtContent>
      <w:p w14:paraId="582CCB0F" w14:textId="77777777" w:rsidR="006B2D8B" w:rsidRPr="008E3E71" w:rsidRDefault="006B2D8B">
        <w:pPr>
          <w:pStyle w:val="Footer"/>
          <w:jc w:val="right"/>
          <w:rPr>
            <w:rFonts w:ascii="Times New Roman" w:hAnsi="Times New Roman" w:cs="Times New Roman"/>
          </w:rPr>
        </w:pPr>
        <w:r w:rsidRPr="008E3E71">
          <w:rPr>
            <w:rFonts w:ascii="Times New Roman" w:hAnsi="Times New Roman" w:cs="Times New Roman"/>
          </w:rPr>
          <w:fldChar w:fldCharType="begin"/>
        </w:r>
        <w:r w:rsidRPr="008E3E71">
          <w:rPr>
            <w:rFonts w:ascii="Times New Roman" w:hAnsi="Times New Roman" w:cs="Times New Roman"/>
          </w:rPr>
          <w:instrText xml:space="preserve"> PAGE   \* MERGEFORMAT </w:instrText>
        </w:r>
        <w:r w:rsidRPr="008E3E71">
          <w:rPr>
            <w:rFonts w:ascii="Times New Roman" w:hAnsi="Times New Roman" w:cs="Times New Roman"/>
          </w:rPr>
          <w:fldChar w:fldCharType="separate"/>
        </w:r>
        <w:r>
          <w:rPr>
            <w:rFonts w:ascii="Times New Roman" w:hAnsi="Times New Roman" w:cs="Times New Roman"/>
            <w:noProof/>
          </w:rPr>
          <w:t>2</w:t>
        </w:r>
        <w:r w:rsidRPr="008E3E71">
          <w:rPr>
            <w:rFonts w:ascii="Times New Roman" w:hAnsi="Times New Roman" w:cs="Times New Roman"/>
            <w:noProof/>
          </w:rPr>
          <w:fldChar w:fldCharType="end"/>
        </w:r>
      </w:p>
    </w:sdtContent>
  </w:sdt>
  <w:p w14:paraId="582CCB10" w14:textId="77777777" w:rsidR="006B2D8B" w:rsidRDefault="006B2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E0EE9" w14:textId="77777777" w:rsidR="006B2D8B" w:rsidRDefault="006B2D8B" w:rsidP="00194B1B">
      <w:pPr>
        <w:spacing w:after="0" w:line="240" w:lineRule="auto"/>
      </w:pPr>
      <w:r>
        <w:separator/>
      </w:r>
    </w:p>
  </w:footnote>
  <w:footnote w:type="continuationSeparator" w:id="0">
    <w:p w14:paraId="281C525E" w14:textId="77777777" w:rsidR="006B2D8B" w:rsidRDefault="006B2D8B" w:rsidP="00194B1B">
      <w:pPr>
        <w:spacing w:after="0" w:line="240" w:lineRule="auto"/>
      </w:pPr>
      <w:r>
        <w:continuationSeparator/>
      </w:r>
    </w:p>
  </w:footnote>
  <w:footnote w:type="continuationNotice" w:id="1">
    <w:p w14:paraId="05AC8E12" w14:textId="77777777" w:rsidR="006B2D8B" w:rsidRDefault="006B2D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84FB4" w14:textId="77777777" w:rsidR="006B2D8B" w:rsidRDefault="006B2D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419A9"/>
    <w:multiLevelType w:val="hybridMultilevel"/>
    <w:tmpl w:val="6E6CC47E"/>
    <w:lvl w:ilvl="0" w:tplc="C3E00F82">
      <w:start w:val="1"/>
      <w:numFmt w:val="lowerRoman"/>
      <w:lvlText w:val="%1."/>
      <w:lvlJc w:val="left"/>
      <w:pPr>
        <w:ind w:left="1800" w:hanging="720"/>
      </w:pPr>
      <w:rPr>
        <w:rFonts w:hint="default"/>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AF25A3"/>
    <w:multiLevelType w:val="hybridMultilevel"/>
    <w:tmpl w:val="8FDED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60886"/>
    <w:multiLevelType w:val="hybridMultilevel"/>
    <w:tmpl w:val="E1B2F6F8"/>
    <w:lvl w:ilvl="0" w:tplc="0498B0A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004940"/>
    <w:multiLevelType w:val="hybridMultilevel"/>
    <w:tmpl w:val="019069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0423ED"/>
    <w:multiLevelType w:val="hybridMultilevel"/>
    <w:tmpl w:val="76D2D45A"/>
    <w:lvl w:ilvl="0" w:tplc="ADF2CAC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B167F6"/>
    <w:multiLevelType w:val="hybridMultilevel"/>
    <w:tmpl w:val="C6BA426E"/>
    <w:lvl w:ilvl="0" w:tplc="EEF49B8C">
      <w:start w:val="1"/>
      <w:numFmt w:val="lowerRoman"/>
      <w:lvlText w:val="%1."/>
      <w:lvlJc w:val="left"/>
      <w:pPr>
        <w:ind w:left="2235" w:hanging="72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6" w15:restartNumberingAfterBreak="0">
    <w:nsid w:val="235065C0"/>
    <w:multiLevelType w:val="hybridMultilevel"/>
    <w:tmpl w:val="944CC116"/>
    <w:lvl w:ilvl="0" w:tplc="90DA9D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06097E"/>
    <w:multiLevelType w:val="hybridMultilevel"/>
    <w:tmpl w:val="6FC2071E"/>
    <w:lvl w:ilvl="0" w:tplc="9834AA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D45C2"/>
    <w:multiLevelType w:val="hybridMultilevel"/>
    <w:tmpl w:val="5E5C891C"/>
    <w:lvl w:ilvl="0" w:tplc="2AFA1AFA">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511386"/>
    <w:multiLevelType w:val="hybridMultilevel"/>
    <w:tmpl w:val="4D2E4AC4"/>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E870EF6"/>
    <w:multiLevelType w:val="hybridMultilevel"/>
    <w:tmpl w:val="1494E76A"/>
    <w:lvl w:ilvl="0" w:tplc="A3428AF4">
      <w:start w:val="5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EE3835"/>
    <w:multiLevelType w:val="hybridMultilevel"/>
    <w:tmpl w:val="4C1C3A2C"/>
    <w:lvl w:ilvl="0" w:tplc="F3D270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392474"/>
    <w:multiLevelType w:val="hybridMultilevel"/>
    <w:tmpl w:val="5016DF72"/>
    <w:lvl w:ilvl="0" w:tplc="4D7639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3742834"/>
    <w:multiLevelType w:val="hybridMultilevel"/>
    <w:tmpl w:val="8638B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5E3341"/>
    <w:multiLevelType w:val="hybridMultilevel"/>
    <w:tmpl w:val="DD4A16A4"/>
    <w:lvl w:ilvl="0" w:tplc="1B445A0C">
      <w:start w:val="1"/>
      <w:numFmt w:val="lowerRoman"/>
      <w:lvlText w:val="%1."/>
      <w:lvlJc w:val="left"/>
      <w:pPr>
        <w:ind w:left="2520" w:hanging="720"/>
      </w:pPr>
      <w:rPr>
        <w:rFonts w:hint="default"/>
        <w:i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705E05CE"/>
    <w:multiLevelType w:val="hybridMultilevel"/>
    <w:tmpl w:val="DB70E75A"/>
    <w:lvl w:ilvl="0" w:tplc="C83429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F82574"/>
    <w:multiLevelType w:val="hybridMultilevel"/>
    <w:tmpl w:val="80B62B4C"/>
    <w:lvl w:ilvl="0" w:tplc="7EECC7F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7340B9"/>
    <w:multiLevelType w:val="hybridMultilevel"/>
    <w:tmpl w:val="76225F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BD85AC9"/>
    <w:multiLevelType w:val="multilevel"/>
    <w:tmpl w:val="B170900A"/>
    <w:lvl w:ilvl="0">
      <w:start w:val="1"/>
      <w:numFmt w:val="decimal"/>
      <w:lvlText w:val="%1."/>
      <w:lvlJc w:val="left"/>
      <w:pPr>
        <w:tabs>
          <w:tab w:val="num" w:pos="360"/>
        </w:tabs>
        <w:ind w:left="360" w:hanging="360"/>
      </w:pPr>
      <w:rPr>
        <w:rFonts w:ascii="Times New Roman" w:eastAsiaTheme="minorHAnsi" w:hAnsi="Times New Roman" w:cs="Times New Roman" w:hint="default"/>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7DE17A3B"/>
    <w:multiLevelType w:val="hybridMultilevel"/>
    <w:tmpl w:val="217CDEE2"/>
    <w:lvl w:ilvl="0" w:tplc="4028CC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17"/>
  </w:num>
  <w:num w:numId="4">
    <w:abstractNumId w:val="3"/>
  </w:num>
  <w:num w:numId="5">
    <w:abstractNumId w:val="10"/>
  </w:num>
  <w:num w:numId="6">
    <w:abstractNumId w:val="11"/>
  </w:num>
  <w:num w:numId="7">
    <w:abstractNumId w:val="19"/>
  </w:num>
  <w:num w:numId="8">
    <w:abstractNumId w:val="16"/>
  </w:num>
  <w:num w:numId="9">
    <w:abstractNumId w:val="6"/>
  </w:num>
  <w:num w:numId="10">
    <w:abstractNumId w:val="15"/>
  </w:num>
  <w:num w:numId="11">
    <w:abstractNumId w:val="2"/>
  </w:num>
  <w:num w:numId="12">
    <w:abstractNumId w:val="5"/>
  </w:num>
  <w:num w:numId="13">
    <w:abstractNumId w:val="4"/>
  </w:num>
  <w:num w:numId="14">
    <w:abstractNumId w:val="7"/>
  </w:num>
  <w:num w:numId="15">
    <w:abstractNumId w:val="13"/>
  </w:num>
  <w:num w:numId="16">
    <w:abstractNumId w:val="12"/>
  </w:num>
  <w:num w:numId="17">
    <w:abstractNumId w:val="1"/>
  </w:num>
  <w:num w:numId="18">
    <w:abstractNumId w:val="0"/>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5A2"/>
    <w:rsid w:val="00003E2F"/>
    <w:rsid w:val="00005592"/>
    <w:rsid w:val="0001602E"/>
    <w:rsid w:val="0002270A"/>
    <w:rsid w:val="00023EF2"/>
    <w:rsid w:val="00025A8E"/>
    <w:rsid w:val="00025D16"/>
    <w:rsid w:val="00040407"/>
    <w:rsid w:val="00046977"/>
    <w:rsid w:val="000572E4"/>
    <w:rsid w:val="00060DA1"/>
    <w:rsid w:val="00076A3D"/>
    <w:rsid w:val="0008102C"/>
    <w:rsid w:val="00085E20"/>
    <w:rsid w:val="00085FB0"/>
    <w:rsid w:val="000A6DE5"/>
    <w:rsid w:val="000B1F75"/>
    <w:rsid w:val="000C0465"/>
    <w:rsid w:val="000D6FD6"/>
    <w:rsid w:val="000D7630"/>
    <w:rsid w:val="000E2DC4"/>
    <w:rsid w:val="000F12BD"/>
    <w:rsid w:val="000F1FB7"/>
    <w:rsid w:val="000F24E4"/>
    <w:rsid w:val="000F43A9"/>
    <w:rsid w:val="000F5E88"/>
    <w:rsid w:val="000F62B4"/>
    <w:rsid w:val="00114022"/>
    <w:rsid w:val="00114A59"/>
    <w:rsid w:val="0012698C"/>
    <w:rsid w:val="00132871"/>
    <w:rsid w:val="00134055"/>
    <w:rsid w:val="00134456"/>
    <w:rsid w:val="001418CE"/>
    <w:rsid w:val="00143198"/>
    <w:rsid w:val="00147374"/>
    <w:rsid w:val="00160DFC"/>
    <w:rsid w:val="0017558E"/>
    <w:rsid w:val="001868A7"/>
    <w:rsid w:val="0019364B"/>
    <w:rsid w:val="00194B1B"/>
    <w:rsid w:val="001974EF"/>
    <w:rsid w:val="001A1FE5"/>
    <w:rsid w:val="001B4FD9"/>
    <w:rsid w:val="001B51B9"/>
    <w:rsid w:val="001B5A14"/>
    <w:rsid w:val="001C36F4"/>
    <w:rsid w:val="001E20F1"/>
    <w:rsid w:val="001E79D2"/>
    <w:rsid w:val="00204EF2"/>
    <w:rsid w:val="00211C55"/>
    <w:rsid w:val="00214CBC"/>
    <w:rsid w:val="00224FF4"/>
    <w:rsid w:val="00231B04"/>
    <w:rsid w:val="002323A5"/>
    <w:rsid w:val="00235A9C"/>
    <w:rsid w:val="002378C2"/>
    <w:rsid w:val="00246297"/>
    <w:rsid w:val="00254120"/>
    <w:rsid w:val="00263DB1"/>
    <w:rsid w:val="00266DCF"/>
    <w:rsid w:val="0027267A"/>
    <w:rsid w:val="002733E4"/>
    <w:rsid w:val="00274A92"/>
    <w:rsid w:val="00274C45"/>
    <w:rsid w:val="00275326"/>
    <w:rsid w:val="00275DD4"/>
    <w:rsid w:val="00277271"/>
    <w:rsid w:val="00280FB7"/>
    <w:rsid w:val="002833EA"/>
    <w:rsid w:val="002877C6"/>
    <w:rsid w:val="002912EC"/>
    <w:rsid w:val="00291D22"/>
    <w:rsid w:val="00291E49"/>
    <w:rsid w:val="002A216F"/>
    <w:rsid w:val="002B405F"/>
    <w:rsid w:val="002B5D09"/>
    <w:rsid w:val="002B7857"/>
    <w:rsid w:val="002D2E7A"/>
    <w:rsid w:val="002E4A6F"/>
    <w:rsid w:val="002F16F7"/>
    <w:rsid w:val="002F375E"/>
    <w:rsid w:val="002F4ACD"/>
    <w:rsid w:val="00300DEB"/>
    <w:rsid w:val="00303E5E"/>
    <w:rsid w:val="00313B9E"/>
    <w:rsid w:val="00316088"/>
    <w:rsid w:val="00316DD7"/>
    <w:rsid w:val="00320B66"/>
    <w:rsid w:val="00321695"/>
    <w:rsid w:val="00322690"/>
    <w:rsid w:val="0032528D"/>
    <w:rsid w:val="003303E8"/>
    <w:rsid w:val="0033125F"/>
    <w:rsid w:val="00333515"/>
    <w:rsid w:val="00340DA5"/>
    <w:rsid w:val="00345BB5"/>
    <w:rsid w:val="00352E11"/>
    <w:rsid w:val="003538A8"/>
    <w:rsid w:val="0036489D"/>
    <w:rsid w:val="00365FE7"/>
    <w:rsid w:val="003716BF"/>
    <w:rsid w:val="00383EF4"/>
    <w:rsid w:val="00387856"/>
    <w:rsid w:val="003A5C4B"/>
    <w:rsid w:val="003B1F6D"/>
    <w:rsid w:val="003B664F"/>
    <w:rsid w:val="003E034D"/>
    <w:rsid w:val="003E0688"/>
    <w:rsid w:val="003E4A70"/>
    <w:rsid w:val="00422DC7"/>
    <w:rsid w:val="004305A2"/>
    <w:rsid w:val="00431E6E"/>
    <w:rsid w:val="0043212F"/>
    <w:rsid w:val="0043482B"/>
    <w:rsid w:val="0044602E"/>
    <w:rsid w:val="00447046"/>
    <w:rsid w:val="0045717F"/>
    <w:rsid w:val="00457523"/>
    <w:rsid w:val="004777A7"/>
    <w:rsid w:val="004803D4"/>
    <w:rsid w:val="004822F5"/>
    <w:rsid w:val="0048783A"/>
    <w:rsid w:val="00496743"/>
    <w:rsid w:val="004B719C"/>
    <w:rsid w:val="004C0705"/>
    <w:rsid w:val="004E6591"/>
    <w:rsid w:val="004E7610"/>
    <w:rsid w:val="00501474"/>
    <w:rsid w:val="00516B04"/>
    <w:rsid w:val="0052337E"/>
    <w:rsid w:val="0054026F"/>
    <w:rsid w:val="00540396"/>
    <w:rsid w:val="00541B11"/>
    <w:rsid w:val="00541CAA"/>
    <w:rsid w:val="005421FC"/>
    <w:rsid w:val="00543BBF"/>
    <w:rsid w:val="005528C0"/>
    <w:rsid w:val="005655E9"/>
    <w:rsid w:val="00573734"/>
    <w:rsid w:val="00586845"/>
    <w:rsid w:val="00587B3F"/>
    <w:rsid w:val="005A194F"/>
    <w:rsid w:val="005A6D46"/>
    <w:rsid w:val="005B3C6B"/>
    <w:rsid w:val="005B7630"/>
    <w:rsid w:val="005B7C02"/>
    <w:rsid w:val="005D0914"/>
    <w:rsid w:val="005D61F6"/>
    <w:rsid w:val="005E1B49"/>
    <w:rsid w:val="005E503B"/>
    <w:rsid w:val="005F4947"/>
    <w:rsid w:val="006019F3"/>
    <w:rsid w:val="00603605"/>
    <w:rsid w:val="00604B49"/>
    <w:rsid w:val="006176C7"/>
    <w:rsid w:val="00622068"/>
    <w:rsid w:val="00630844"/>
    <w:rsid w:val="006331BB"/>
    <w:rsid w:val="00641140"/>
    <w:rsid w:val="00642A61"/>
    <w:rsid w:val="00657BC5"/>
    <w:rsid w:val="00661F61"/>
    <w:rsid w:val="006827DB"/>
    <w:rsid w:val="00683DA8"/>
    <w:rsid w:val="0068668C"/>
    <w:rsid w:val="00686E7B"/>
    <w:rsid w:val="006A200F"/>
    <w:rsid w:val="006B2D8B"/>
    <w:rsid w:val="006B5396"/>
    <w:rsid w:val="006C4465"/>
    <w:rsid w:val="006D1162"/>
    <w:rsid w:val="006D1CD8"/>
    <w:rsid w:val="006F4965"/>
    <w:rsid w:val="007031B4"/>
    <w:rsid w:val="0071362C"/>
    <w:rsid w:val="00715B6A"/>
    <w:rsid w:val="007166F5"/>
    <w:rsid w:val="007175E7"/>
    <w:rsid w:val="007212A2"/>
    <w:rsid w:val="00722FCC"/>
    <w:rsid w:val="0072583F"/>
    <w:rsid w:val="00763331"/>
    <w:rsid w:val="00782AB8"/>
    <w:rsid w:val="007835AD"/>
    <w:rsid w:val="00797F82"/>
    <w:rsid w:val="007A33F3"/>
    <w:rsid w:val="007A70F6"/>
    <w:rsid w:val="007A744E"/>
    <w:rsid w:val="007D6CE4"/>
    <w:rsid w:val="007E6D9C"/>
    <w:rsid w:val="007F2DC6"/>
    <w:rsid w:val="008139F8"/>
    <w:rsid w:val="0081547A"/>
    <w:rsid w:val="00826E53"/>
    <w:rsid w:val="0083095D"/>
    <w:rsid w:val="00842BB7"/>
    <w:rsid w:val="008518DC"/>
    <w:rsid w:val="00852C6D"/>
    <w:rsid w:val="00852CB6"/>
    <w:rsid w:val="008613D9"/>
    <w:rsid w:val="00865867"/>
    <w:rsid w:val="00890357"/>
    <w:rsid w:val="00895768"/>
    <w:rsid w:val="008A0457"/>
    <w:rsid w:val="008A3773"/>
    <w:rsid w:val="008A79B4"/>
    <w:rsid w:val="008B008B"/>
    <w:rsid w:val="008B03AD"/>
    <w:rsid w:val="008E2E52"/>
    <w:rsid w:val="008E3E71"/>
    <w:rsid w:val="008E407C"/>
    <w:rsid w:val="008F69A5"/>
    <w:rsid w:val="00900F1A"/>
    <w:rsid w:val="009051DA"/>
    <w:rsid w:val="0091484E"/>
    <w:rsid w:val="009268AF"/>
    <w:rsid w:val="00941B63"/>
    <w:rsid w:val="0095632A"/>
    <w:rsid w:val="00971A3B"/>
    <w:rsid w:val="00980097"/>
    <w:rsid w:val="009904A0"/>
    <w:rsid w:val="009B6A5A"/>
    <w:rsid w:val="009C3B1D"/>
    <w:rsid w:val="009C4A9D"/>
    <w:rsid w:val="009D1016"/>
    <w:rsid w:val="009F1AFC"/>
    <w:rsid w:val="009F2C44"/>
    <w:rsid w:val="00A04FC1"/>
    <w:rsid w:val="00A20F42"/>
    <w:rsid w:val="00A24670"/>
    <w:rsid w:val="00A266CD"/>
    <w:rsid w:val="00A32535"/>
    <w:rsid w:val="00A362C6"/>
    <w:rsid w:val="00A40A4D"/>
    <w:rsid w:val="00A5028D"/>
    <w:rsid w:val="00A613D8"/>
    <w:rsid w:val="00A67DDE"/>
    <w:rsid w:val="00A71FEC"/>
    <w:rsid w:val="00A73543"/>
    <w:rsid w:val="00A83D44"/>
    <w:rsid w:val="00A8480D"/>
    <w:rsid w:val="00AA1CE1"/>
    <w:rsid w:val="00AA78DF"/>
    <w:rsid w:val="00AB0CD2"/>
    <w:rsid w:val="00AB35F7"/>
    <w:rsid w:val="00AB5BAE"/>
    <w:rsid w:val="00AE765C"/>
    <w:rsid w:val="00B0149C"/>
    <w:rsid w:val="00B02CB5"/>
    <w:rsid w:val="00B04549"/>
    <w:rsid w:val="00B12619"/>
    <w:rsid w:val="00B178B3"/>
    <w:rsid w:val="00B305E4"/>
    <w:rsid w:val="00B3709D"/>
    <w:rsid w:val="00B50C7C"/>
    <w:rsid w:val="00B652DC"/>
    <w:rsid w:val="00B74A83"/>
    <w:rsid w:val="00B77977"/>
    <w:rsid w:val="00B877DB"/>
    <w:rsid w:val="00B907F7"/>
    <w:rsid w:val="00BA2B2E"/>
    <w:rsid w:val="00BB1012"/>
    <w:rsid w:val="00BF20C6"/>
    <w:rsid w:val="00BF2E31"/>
    <w:rsid w:val="00BF3510"/>
    <w:rsid w:val="00BF4A32"/>
    <w:rsid w:val="00BF6149"/>
    <w:rsid w:val="00C01390"/>
    <w:rsid w:val="00C11041"/>
    <w:rsid w:val="00C11C1F"/>
    <w:rsid w:val="00C140B6"/>
    <w:rsid w:val="00C308BA"/>
    <w:rsid w:val="00C3679C"/>
    <w:rsid w:val="00C4432F"/>
    <w:rsid w:val="00C47836"/>
    <w:rsid w:val="00C52E49"/>
    <w:rsid w:val="00C55024"/>
    <w:rsid w:val="00C556BC"/>
    <w:rsid w:val="00C60033"/>
    <w:rsid w:val="00C67B37"/>
    <w:rsid w:val="00C67F3E"/>
    <w:rsid w:val="00C727A9"/>
    <w:rsid w:val="00C728AF"/>
    <w:rsid w:val="00C72A48"/>
    <w:rsid w:val="00C83B7F"/>
    <w:rsid w:val="00C85077"/>
    <w:rsid w:val="00CA1634"/>
    <w:rsid w:val="00CC0BD3"/>
    <w:rsid w:val="00CC4067"/>
    <w:rsid w:val="00CC45EE"/>
    <w:rsid w:val="00CC59CA"/>
    <w:rsid w:val="00CC702C"/>
    <w:rsid w:val="00CD2877"/>
    <w:rsid w:val="00CD7F57"/>
    <w:rsid w:val="00CE5CD8"/>
    <w:rsid w:val="00CE7679"/>
    <w:rsid w:val="00CF24CD"/>
    <w:rsid w:val="00CF4E85"/>
    <w:rsid w:val="00CF5787"/>
    <w:rsid w:val="00D21924"/>
    <w:rsid w:val="00D417D5"/>
    <w:rsid w:val="00D50936"/>
    <w:rsid w:val="00D52F42"/>
    <w:rsid w:val="00D57C8C"/>
    <w:rsid w:val="00D6014F"/>
    <w:rsid w:val="00D63656"/>
    <w:rsid w:val="00D64041"/>
    <w:rsid w:val="00D8047D"/>
    <w:rsid w:val="00D841AD"/>
    <w:rsid w:val="00D92B02"/>
    <w:rsid w:val="00D95793"/>
    <w:rsid w:val="00D958BE"/>
    <w:rsid w:val="00DA531F"/>
    <w:rsid w:val="00DB3895"/>
    <w:rsid w:val="00DB5F43"/>
    <w:rsid w:val="00DC13A6"/>
    <w:rsid w:val="00DC1515"/>
    <w:rsid w:val="00DC6288"/>
    <w:rsid w:val="00DD37C9"/>
    <w:rsid w:val="00DD52AA"/>
    <w:rsid w:val="00DD6509"/>
    <w:rsid w:val="00DF0691"/>
    <w:rsid w:val="00E10499"/>
    <w:rsid w:val="00E120F6"/>
    <w:rsid w:val="00E13389"/>
    <w:rsid w:val="00E16F99"/>
    <w:rsid w:val="00E249EE"/>
    <w:rsid w:val="00E26ABE"/>
    <w:rsid w:val="00E2719A"/>
    <w:rsid w:val="00E34709"/>
    <w:rsid w:val="00E377DB"/>
    <w:rsid w:val="00E4546B"/>
    <w:rsid w:val="00E46E76"/>
    <w:rsid w:val="00E72872"/>
    <w:rsid w:val="00E820B4"/>
    <w:rsid w:val="00EB383C"/>
    <w:rsid w:val="00EB5F58"/>
    <w:rsid w:val="00EC316B"/>
    <w:rsid w:val="00ED0AEC"/>
    <w:rsid w:val="00ED5436"/>
    <w:rsid w:val="00EE42A0"/>
    <w:rsid w:val="00EF04FE"/>
    <w:rsid w:val="00EF0DB2"/>
    <w:rsid w:val="00F03956"/>
    <w:rsid w:val="00F147ED"/>
    <w:rsid w:val="00F26608"/>
    <w:rsid w:val="00F277F5"/>
    <w:rsid w:val="00F33A79"/>
    <w:rsid w:val="00F35BC7"/>
    <w:rsid w:val="00F46AE0"/>
    <w:rsid w:val="00F54250"/>
    <w:rsid w:val="00F5593D"/>
    <w:rsid w:val="00F93A5A"/>
    <w:rsid w:val="00F93C59"/>
    <w:rsid w:val="00F94FFA"/>
    <w:rsid w:val="00FA0F1F"/>
    <w:rsid w:val="00FA68B5"/>
    <w:rsid w:val="00FB4E66"/>
    <w:rsid w:val="00FD0196"/>
    <w:rsid w:val="00FD2977"/>
    <w:rsid w:val="00FD400D"/>
    <w:rsid w:val="00FF22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2CCA24"/>
  <w15:chartTrackingRefBased/>
  <w15:docId w15:val="{0017FC0E-5CC1-4AF0-A16C-B724EE76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05A2"/>
    <w:rPr>
      <w:lang w:val="en-US"/>
    </w:rPr>
  </w:style>
  <w:style w:type="paragraph" w:styleId="Heading1">
    <w:name w:val="heading 1"/>
    <w:basedOn w:val="Normal"/>
    <w:next w:val="Normal"/>
    <w:link w:val="Heading1Char"/>
    <w:uiPriority w:val="9"/>
    <w:qFormat/>
    <w:rsid w:val="00430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0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05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05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05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0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5A2"/>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4305A2"/>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4305A2"/>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4305A2"/>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4305A2"/>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4305A2"/>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4305A2"/>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4305A2"/>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4305A2"/>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430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5A2"/>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430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5A2"/>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4305A2"/>
    <w:pPr>
      <w:spacing w:before="160"/>
      <w:jc w:val="center"/>
    </w:pPr>
    <w:rPr>
      <w:i/>
      <w:iCs/>
      <w:color w:val="404040" w:themeColor="text1" w:themeTint="BF"/>
    </w:rPr>
  </w:style>
  <w:style w:type="character" w:customStyle="1" w:styleId="QuoteChar">
    <w:name w:val="Quote Char"/>
    <w:basedOn w:val="DefaultParagraphFont"/>
    <w:link w:val="Quote"/>
    <w:uiPriority w:val="29"/>
    <w:rsid w:val="004305A2"/>
    <w:rPr>
      <w:i/>
      <w:iCs/>
      <w:color w:val="404040" w:themeColor="text1" w:themeTint="BF"/>
      <w:lang w:val="sq-AL"/>
    </w:rPr>
  </w:style>
  <w:style w:type="paragraph" w:styleId="ListParagraph">
    <w:name w:val="List Paragraph"/>
    <w:basedOn w:val="Normal"/>
    <w:uiPriority w:val="34"/>
    <w:qFormat/>
    <w:rsid w:val="004305A2"/>
    <w:pPr>
      <w:ind w:left="720"/>
      <w:contextualSpacing/>
    </w:pPr>
  </w:style>
  <w:style w:type="character" w:styleId="IntenseEmphasis">
    <w:name w:val="Intense Emphasis"/>
    <w:basedOn w:val="DefaultParagraphFont"/>
    <w:uiPriority w:val="21"/>
    <w:qFormat/>
    <w:rsid w:val="004305A2"/>
    <w:rPr>
      <w:i/>
      <w:iCs/>
      <w:color w:val="0F4761" w:themeColor="accent1" w:themeShade="BF"/>
    </w:rPr>
  </w:style>
  <w:style w:type="paragraph" w:styleId="IntenseQuote">
    <w:name w:val="Intense Quote"/>
    <w:basedOn w:val="Normal"/>
    <w:next w:val="Normal"/>
    <w:link w:val="IntenseQuoteChar"/>
    <w:uiPriority w:val="30"/>
    <w:qFormat/>
    <w:rsid w:val="00430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05A2"/>
    <w:rPr>
      <w:i/>
      <w:iCs/>
      <w:color w:val="0F4761" w:themeColor="accent1" w:themeShade="BF"/>
      <w:lang w:val="sq-AL"/>
    </w:rPr>
  </w:style>
  <w:style w:type="character" w:styleId="IntenseReference">
    <w:name w:val="Intense Reference"/>
    <w:basedOn w:val="DefaultParagraphFont"/>
    <w:uiPriority w:val="32"/>
    <w:qFormat/>
    <w:rsid w:val="004305A2"/>
    <w:rPr>
      <w:b/>
      <w:bCs/>
      <w:smallCaps/>
      <w:color w:val="0F4761" w:themeColor="accent1" w:themeShade="BF"/>
      <w:spacing w:val="5"/>
    </w:rPr>
  </w:style>
  <w:style w:type="paragraph" w:customStyle="1" w:styleId="BodyA">
    <w:name w:val="Body A"/>
    <w:rsid w:val="004305A2"/>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14:textOutline w14:w="12700" w14:cap="flat" w14:cmpd="sng" w14:algn="ctr">
        <w14:noFill/>
        <w14:prstDash w14:val="solid"/>
        <w14:miter w14:lim="400000"/>
      </w14:textOutline>
      <w14:ligatures w14:val="none"/>
    </w:rPr>
  </w:style>
  <w:style w:type="paragraph" w:styleId="NormalWeb">
    <w:name w:val="Normal (Web)"/>
    <w:basedOn w:val="Normal"/>
    <w:uiPriority w:val="99"/>
    <w:unhideWhenUsed/>
    <w:rsid w:val="004305A2"/>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980097"/>
    <w:rPr>
      <w:b/>
      <w:bCs/>
    </w:rPr>
  </w:style>
  <w:style w:type="character" w:styleId="CommentReference">
    <w:name w:val="annotation reference"/>
    <w:basedOn w:val="DefaultParagraphFont"/>
    <w:uiPriority w:val="99"/>
    <w:semiHidden/>
    <w:unhideWhenUsed/>
    <w:rsid w:val="005655E9"/>
    <w:rPr>
      <w:sz w:val="16"/>
      <w:szCs w:val="16"/>
    </w:rPr>
  </w:style>
  <w:style w:type="paragraph" w:styleId="CommentText">
    <w:name w:val="annotation text"/>
    <w:basedOn w:val="Normal"/>
    <w:link w:val="CommentTextChar"/>
    <w:uiPriority w:val="99"/>
    <w:unhideWhenUsed/>
    <w:rsid w:val="005655E9"/>
    <w:pPr>
      <w:spacing w:line="240" w:lineRule="auto"/>
    </w:pPr>
    <w:rPr>
      <w:sz w:val="20"/>
      <w:szCs w:val="20"/>
    </w:rPr>
  </w:style>
  <w:style w:type="character" w:customStyle="1" w:styleId="CommentTextChar">
    <w:name w:val="Comment Text Char"/>
    <w:basedOn w:val="DefaultParagraphFont"/>
    <w:link w:val="CommentText"/>
    <w:uiPriority w:val="99"/>
    <w:rsid w:val="005655E9"/>
    <w:rPr>
      <w:sz w:val="20"/>
      <w:szCs w:val="20"/>
      <w:lang w:val="en-US"/>
    </w:rPr>
  </w:style>
  <w:style w:type="paragraph" w:styleId="CommentSubject">
    <w:name w:val="annotation subject"/>
    <w:basedOn w:val="CommentText"/>
    <w:next w:val="CommentText"/>
    <w:link w:val="CommentSubjectChar"/>
    <w:uiPriority w:val="99"/>
    <w:semiHidden/>
    <w:unhideWhenUsed/>
    <w:rsid w:val="005655E9"/>
    <w:rPr>
      <w:b/>
      <w:bCs/>
    </w:rPr>
  </w:style>
  <w:style w:type="character" w:customStyle="1" w:styleId="CommentSubjectChar">
    <w:name w:val="Comment Subject Char"/>
    <w:basedOn w:val="CommentTextChar"/>
    <w:link w:val="CommentSubject"/>
    <w:uiPriority w:val="99"/>
    <w:semiHidden/>
    <w:rsid w:val="005655E9"/>
    <w:rPr>
      <w:b/>
      <w:bCs/>
      <w:sz w:val="20"/>
      <w:szCs w:val="20"/>
      <w:lang w:val="en-US"/>
    </w:rPr>
  </w:style>
  <w:style w:type="paragraph" w:styleId="Header">
    <w:name w:val="header"/>
    <w:basedOn w:val="Normal"/>
    <w:link w:val="HeaderChar"/>
    <w:uiPriority w:val="99"/>
    <w:unhideWhenUsed/>
    <w:rsid w:val="00194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B1B"/>
    <w:rPr>
      <w:lang w:val="en-US"/>
    </w:rPr>
  </w:style>
  <w:style w:type="paragraph" w:styleId="Footer">
    <w:name w:val="footer"/>
    <w:basedOn w:val="Normal"/>
    <w:link w:val="FooterChar"/>
    <w:uiPriority w:val="99"/>
    <w:unhideWhenUsed/>
    <w:rsid w:val="00194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B1B"/>
    <w:rPr>
      <w:lang w:val="en-US"/>
    </w:rPr>
  </w:style>
  <w:style w:type="paragraph" w:styleId="Revision">
    <w:name w:val="Revision"/>
    <w:hidden/>
    <w:uiPriority w:val="99"/>
    <w:semiHidden/>
    <w:rsid w:val="005D61F6"/>
    <w:pPr>
      <w:spacing w:after="0" w:line="240" w:lineRule="auto"/>
    </w:pPr>
    <w:rPr>
      <w:lang w:val="en-US"/>
    </w:rPr>
  </w:style>
  <w:style w:type="paragraph" w:styleId="BalloonText">
    <w:name w:val="Balloon Text"/>
    <w:basedOn w:val="Normal"/>
    <w:link w:val="BalloonTextChar"/>
    <w:uiPriority w:val="99"/>
    <w:semiHidden/>
    <w:unhideWhenUsed/>
    <w:rsid w:val="00AB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BAE"/>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760311">
      <w:bodyDiv w:val="1"/>
      <w:marLeft w:val="0"/>
      <w:marRight w:val="0"/>
      <w:marTop w:val="0"/>
      <w:marBottom w:val="0"/>
      <w:divBdr>
        <w:top w:val="none" w:sz="0" w:space="0" w:color="auto"/>
        <w:left w:val="none" w:sz="0" w:space="0" w:color="auto"/>
        <w:bottom w:val="none" w:sz="0" w:space="0" w:color="auto"/>
        <w:right w:val="none" w:sz="0" w:space="0" w:color="auto"/>
      </w:divBdr>
    </w:div>
    <w:div w:id="595558164">
      <w:bodyDiv w:val="1"/>
      <w:marLeft w:val="0"/>
      <w:marRight w:val="0"/>
      <w:marTop w:val="0"/>
      <w:marBottom w:val="0"/>
      <w:divBdr>
        <w:top w:val="none" w:sz="0" w:space="0" w:color="auto"/>
        <w:left w:val="none" w:sz="0" w:space="0" w:color="auto"/>
        <w:bottom w:val="none" w:sz="0" w:space="0" w:color="auto"/>
        <w:right w:val="none" w:sz="0" w:space="0" w:color="auto"/>
      </w:divBdr>
    </w:div>
    <w:div w:id="663514160">
      <w:bodyDiv w:val="1"/>
      <w:marLeft w:val="0"/>
      <w:marRight w:val="0"/>
      <w:marTop w:val="0"/>
      <w:marBottom w:val="0"/>
      <w:divBdr>
        <w:top w:val="none" w:sz="0" w:space="0" w:color="auto"/>
        <w:left w:val="none" w:sz="0" w:space="0" w:color="auto"/>
        <w:bottom w:val="none" w:sz="0" w:space="0" w:color="auto"/>
        <w:right w:val="none" w:sz="0" w:space="0" w:color="auto"/>
      </w:divBdr>
      <w:divsChild>
        <w:div w:id="1096287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2860046">
      <w:bodyDiv w:val="1"/>
      <w:marLeft w:val="0"/>
      <w:marRight w:val="0"/>
      <w:marTop w:val="0"/>
      <w:marBottom w:val="0"/>
      <w:divBdr>
        <w:top w:val="none" w:sz="0" w:space="0" w:color="auto"/>
        <w:left w:val="none" w:sz="0" w:space="0" w:color="auto"/>
        <w:bottom w:val="none" w:sz="0" w:space="0" w:color="auto"/>
        <w:right w:val="none" w:sz="0" w:space="0" w:color="auto"/>
      </w:divBdr>
      <w:divsChild>
        <w:div w:id="1868904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442959">
      <w:bodyDiv w:val="1"/>
      <w:marLeft w:val="0"/>
      <w:marRight w:val="0"/>
      <w:marTop w:val="0"/>
      <w:marBottom w:val="0"/>
      <w:divBdr>
        <w:top w:val="none" w:sz="0" w:space="0" w:color="auto"/>
        <w:left w:val="none" w:sz="0" w:space="0" w:color="auto"/>
        <w:bottom w:val="none" w:sz="0" w:space="0" w:color="auto"/>
        <w:right w:val="none" w:sz="0" w:space="0" w:color="auto"/>
      </w:divBdr>
      <w:divsChild>
        <w:div w:id="677738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5258751">
      <w:bodyDiv w:val="1"/>
      <w:marLeft w:val="0"/>
      <w:marRight w:val="0"/>
      <w:marTop w:val="0"/>
      <w:marBottom w:val="0"/>
      <w:divBdr>
        <w:top w:val="none" w:sz="0" w:space="0" w:color="auto"/>
        <w:left w:val="none" w:sz="0" w:space="0" w:color="auto"/>
        <w:bottom w:val="none" w:sz="0" w:space="0" w:color="auto"/>
        <w:right w:val="none" w:sz="0" w:space="0" w:color="auto"/>
      </w:divBdr>
    </w:div>
    <w:div w:id="1691485718">
      <w:bodyDiv w:val="1"/>
      <w:marLeft w:val="0"/>
      <w:marRight w:val="0"/>
      <w:marTop w:val="0"/>
      <w:marBottom w:val="0"/>
      <w:divBdr>
        <w:top w:val="none" w:sz="0" w:space="0" w:color="auto"/>
        <w:left w:val="none" w:sz="0" w:space="0" w:color="auto"/>
        <w:bottom w:val="none" w:sz="0" w:space="0" w:color="auto"/>
        <w:right w:val="none" w:sz="0" w:space="0" w:color="auto"/>
      </w:divBdr>
    </w:div>
    <w:div w:id="196793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579</Nr_x002e__x0020_akti>
    <Data_x0020_e_x0020_Krijimit xmlns="0e656187-b300-4fb0-8bf4-3a50f872073c">2026-07-24T06:46:03Z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disa ndryshime dhe shtesa në vendimin nr.926, datë 29.12.2014, të këshillit të Ministrave, “Për kriteret e vlerësimit të pronës shtetërore, që privatizohet apo transformohet, dhe procedurën e shitjes”, të ndryshuar</Titulli>
    <Modifikuesi xmlns="0e656187-b300-4fb0-8bf4-3a50f872073c">ermira.bukaci</Modifikuesi>
    <Nr_x002e__x0020_prot_x0020_QBZ xmlns="0e656187-b300-4fb0-8bf4-3a50f872073c">1665</Nr_x002e__x0020_prot_x0020_QBZ>
    <Data_x0020_e_x0020_Modifikimit xmlns="0e656187-b300-4fb0-8bf4-3a50f872073c">2026-07-24T08:22:13Z</Data_x0020_e_x0020_Modifikimit>
    <Dekretuar xmlns="0e656187-b300-4fb0-8bf4-3a50f872073c">false</Dekretuar>
    <Data xmlns="0e656187-b300-4fb0-8bf4-3a50f872073c">2026-07-22T00:00:00Z</Data>
    <Nr_x002e__x0020_protokolli_x0020_i_x0020_aktit xmlns="0e656187-b300-4fb0-8bf4-3a50f872073c">4361/3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18F76477C84252BE02EB09D71C41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D18F76477C84252BE02EB09D71C41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1D450-3857-4010-98E7-FF7FF3428CC4}">
  <ds:schemaRefs>
    <ds:schemaRef ds:uri="http://purl.org/dc/elements/1.1/"/>
    <ds:schemaRef ds:uri="http://purl.org/dc/terms/"/>
    <ds:schemaRef ds:uri="http://purl.org/dc/dcmitype/"/>
    <ds:schemaRef ds:uri="http://www.w3.org/XML/1998/namespac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37167FF-0FB8-47D2-8AED-48E30E8A32EB}">
  <ds:schemaRefs>
    <ds:schemaRef ds:uri="http://schemas.microsoft.com/sharepoint/v3/contenttype/forms"/>
  </ds:schemaRefs>
</ds:datastoreItem>
</file>

<file path=customXml/itemProps3.xml><?xml version="1.0" encoding="utf-8"?>
<ds:datastoreItem xmlns:ds="http://schemas.openxmlformats.org/officeDocument/2006/customXml" ds:itemID="{D77FF1F8-4DF0-4DC2-9024-A1A64ECF5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524953-222B-4EAC-80DA-FF84C1E0C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EC824AF-C917-4423-81D7-287F5BC43A9B}">
  <ds:schemaRefs>
    <ds:schemaRef ds:uri="http://schemas.microsoft.com/sharepoint/v3/contenttype/forms"/>
  </ds:schemaRefs>
</ds:datastoreItem>
</file>

<file path=customXml/itemProps6.xml><?xml version="1.0" encoding="utf-8"?>
<ds:datastoreItem xmlns:ds="http://schemas.openxmlformats.org/officeDocument/2006/customXml" ds:itemID="{47D4B69B-73D7-47BF-A724-4A2A2C95738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17</TotalTime>
  <Pages>6</Pages>
  <Words>3657</Words>
  <Characters>20846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Për disa ndryshime dhe shtesa në vendimin nr.926, datë 29.12.2014, të këshillit të Ministrave, “Për kriteret e vlerësimit të pronës shtetërore, që privatizohet apo transformohet, dhe procedurën e shitjes”, të ndryshuar</vt:lpstr>
    </vt:vector>
  </TitlesOfParts>
  <Company/>
  <LinksUpToDate>false</LinksUpToDate>
  <CharactersWithSpaces>24455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nr.926, datë 29.12.2014, të këshillit të Ministrave, “Për kriteret e vlerësimit të pronës shtetërore, që privatizohet apo transformohet, dhe procedurën e shitjes”, të ndryshuar</dc:title>
  <dc:creator>Gjinovefa Arizaj</dc:creator>
  <cp:lastModifiedBy>Alma Lisaku</cp:lastModifiedBy>
  <cp:revision>8</cp:revision>
  <cp:lastPrinted>2026-07-22T08:01:00Z</cp:lastPrinted>
  <dcterms:created xsi:type="dcterms:W3CDTF">2026-07-24T06:52:00Z</dcterms:created>
  <dcterms:modified xsi:type="dcterms:W3CDTF">2026-07-24T09:14:00Z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0x0101008606BFB0C5C48342AAD8853D338F8349</vt:lpwstr>
  </property>
</Properties>
</file>