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492E1" w14:textId="77777777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jc w:val="center"/>
        <w:rPr>
          <w:rFonts w:ascii="Garamond" w:eastAsiaTheme="minorEastAsia" w:hAnsi="Garamond" w:cs="Calibri"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b/>
          <w:bCs/>
          <w:kern w:val="0"/>
          <w:szCs w:val="28"/>
          <w:lang w:eastAsia="en-GB"/>
        </w:rPr>
        <w:t>VENDIM</w:t>
      </w:r>
    </w:p>
    <w:p w14:paraId="0AB3B74E" w14:textId="77777777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jc w:val="center"/>
        <w:rPr>
          <w:rFonts w:ascii="Garamond" w:eastAsiaTheme="minorEastAsia" w:hAnsi="Garamond" w:cs="Calibri"/>
          <w:b/>
          <w:bCs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b/>
          <w:bCs/>
          <w:kern w:val="0"/>
          <w:szCs w:val="28"/>
          <w:lang w:eastAsia="en-GB"/>
        </w:rPr>
        <w:t xml:space="preserve"> Nr. 588, datë 22.7.2026</w:t>
      </w:r>
    </w:p>
    <w:p w14:paraId="2B8BDE97" w14:textId="77777777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jc w:val="left"/>
        <w:rPr>
          <w:rFonts w:ascii="Garamond" w:eastAsiaTheme="minorEastAsia" w:hAnsi="Garamond" w:cs="Calibri"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b/>
          <w:bCs/>
          <w:kern w:val="0"/>
          <w:szCs w:val="28"/>
          <w:lang w:eastAsia="en-GB"/>
        </w:rPr>
        <w:t xml:space="preserve"> </w:t>
      </w:r>
    </w:p>
    <w:p w14:paraId="2FE703A0" w14:textId="77777777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jc w:val="center"/>
        <w:rPr>
          <w:rFonts w:ascii="Garamond" w:eastAsiaTheme="minorEastAsia" w:hAnsi="Garamond" w:cs="Calibri"/>
          <w:b/>
          <w:bCs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b/>
          <w:bCs/>
          <w:kern w:val="0"/>
          <w:szCs w:val="28"/>
          <w:lang w:eastAsia="en-GB"/>
        </w:rPr>
        <w:t xml:space="preserve">PËR MARRJEN E MASAVE PËR HARTIMIN E LEGJISLACIONIT NË FUSHËN PENALE, NË KUADËR TË PROCESIT TË INTEGRIMIT EVROPIAN </w:t>
      </w:r>
    </w:p>
    <w:p w14:paraId="4C82D084" w14:textId="77777777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jc w:val="left"/>
        <w:rPr>
          <w:rFonts w:ascii="Garamond" w:eastAsiaTheme="minorEastAsia" w:hAnsi="Garamond" w:cs="Calibri"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 </w:t>
      </w:r>
    </w:p>
    <w:p w14:paraId="5186250E" w14:textId="1208569F" w:rsidR="00CF5EC4" w:rsidRPr="00150F52" w:rsidRDefault="00CF5EC4" w:rsidP="00150F52">
      <w:pPr>
        <w:autoSpaceDE w:val="0"/>
        <w:autoSpaceDN w:val="0"/>
        <w:adjustRightInd w:val="0"/>
        <w:spacing w:after="0" w:line="240" w:lineRule="auto"/>
        <w:ind w:left="0" w:right="0" w:firstLine="284"/>
        <w:rPr>
          <w:rFonts w:ascii="Garamond" w:eastAsiaTheme="minorEastAsia" w:hAnsi="Garamond" w:cs="Calibri"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>Në mbështetje të nenit 100 të Kushtetutës</w:t>
      </w:r>
      <w:r w:rsidR="00150F52">
        <w:rPr>
          <w:rFonts w:ascii="Garamond" w:eastAsiaTheme="minorEastAsia" w:hAnsi="Garamond" w:cs="Calibri"/>
          <w:kern w:val="0"/>
          <w:szCs w:val="28"/>
          <w:lang w:eastAsia="en-GB"/>
        </w:rPr>
        <w:t>;</w:t>
      </w: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 të ligjit nr.</w:t>
      </w:r>
      <w:r w:rsid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 </w:t>
      </w: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>87/2025, “Për buxhetin e vitit 2026”, të ndryshuar</w:t>
      </w:r>
      <w:r w:rsidR="00150F52">
        <w:rPr>
          <w:rFonts w:ascii="Garamond" w:eastAsiaTheme="minorEastAsia" w:hAnsi="Garamond" w:cs="Calibri"/>
          <w:kern w:val="0"/>
          <w:szCs w:val="28"/>
          <w:lang w:eastAsia="en-GB"/>
        </w:rPr>
        <w:t>;</w:t>
      </w: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 të ligjit nr.</w:t>
      </w:r>
      <w:r w:rsid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 </w:t>
      </w: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>9000, datë 30.1.2003, “Për organizimin dhe funksionimin e Këshillit të Ministrave”, dhe të pikës 5, të nenit 16, të ligjit nr.</w:t>
      </w:r>
      <w:r w:rsid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 </w:t>
      </w: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>90/2012, “Për organizimin dhe funksionimin e administratës shtetërore”, me propozimin e ministrit të Drejtësisë, Këshilli i Ministrave</w:t>
      </w:r>
    </w:p>
    <w:p w14:paraId="22486068" w14:textId="77777777" w:rsidR="00CF5EC4" w:rsidRPr="00150F52" w:rsidRDefault="00CF5EC4" w:rsidP="00150F52">
      <w:pPr>
        <w:autoSpaceDE w:val="0"/>
        <w:autoSpaceDN w:val="0"/>
        <w:adjustRightInd w:val="0"/>
        <w:spacing w:after="0" w:line="240" w:lineRule="auto"/>
        <w:ind w:left="0" w:right="0" w:firstLine="284"/>
        <w:rPr>
          <w:rFonts w:ascii="Garamond" w:eastAsiaTheme="minorEastAsia" w:hAnsi="Garamond" w:cs="Calibri"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 </w:t>
      </w:r>
    </w:p>
    <w:p w14:paraId="4DA732D9" w14:textId="77777777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jc w:val="center"/>
        <w:rPr>
          <w:rFonts w:ascii="Garamond" w:eastAsiaTheme="minorEastAsia" w:hAnsi="Garamond" w:cs="Calibri"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bCs/>
          <w:kern w:val="0"/>
          <w:szCs w:val="28"/>
          <w:lang w:eastAsia="en-GB"/>
        </w:rPr>
        <w:t xml:space="preserve">VENDOSI: </w:t>
      </w:r>
    </w:p>
    <w:p w14:paraId="22568A19" w14:textId="77777777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jc w:val="left"/>
        <w:rPr>
          <w:rFonts w:ascii="Garamond" w:eastAsiaTheme="minorEastAsia" w:hAnsi="Garamond" w:cs="Calibri"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b/>
          <w:bCs/>
          <w:kern w:val="0"/>
          <w:szCs w:val="28"/>
          <w:lang w:eastAsia="en-GB"/>
        </w:rPr>
        <w:t xml:space="preserve"> </w:t>
      </w:r>
    </w:p>
    <w:p w14:paraId="6CFC9DB2" w14:textId="77777777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rPr>
          <w:rFonts w:ascii="Garamond" w:eastAsiaTheme="minorEastAsia" w:hAnsi="Garamond" w:cs="Calibri"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>1. Marrjen e masave për hartimin, konsolidimin dhe finalizimin e projektit përfundimtar të Kodit Penal të ri, të ndryshimeve në Kodin e Procedurës Penale, si dhe të akteve të tjera të legjislacionit penal, që preken nga këto ndryshime, në kuadër të procesit të integrimit evropian dhe reformimit të politikës penale në Republikën e Shqipërisë.</w:t>
      </w:r>
    </w:p>
    <w:p w14:paraId="323AB3D8" w14:textId="5EBBF7D4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rPr>
          <w:rFonts w:ascii="Garamond" w:eastAsiaTheme="minorEastAsia" w:hAnsi="Garamond" w:cs="Calibri"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2. Ministri i Drejtësisë organizon e ndjek procesin e hartimit të </w:t>
      </w:r>
      <w:proofErr w:type="spellStart"/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>projektakteve</w:t>
      </w:r>
      <w:proofErr w:type="spellEnd"/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 dhe të dokumentacionit shoqërues, sipas pikës 1 të kë</w:t>
      </w:r>
      <w:r w:rsidR="00150F52">
        <w:rPr>
          <w:rFonts w:ascii="Garamond" w:eastAsiaTheme="minorEastAsia" w:hAnsi="Garamond" w:cs="Calibri"/>
          <w:kern w:val="0"/>
          <w:szCs w:val="28"/>
          <w:lang w:eastAsia="en-GB"/>
        </w:rPr>
        <w:t>tij vendimi.</w:t>
      </w:r>
    </w:p>
    <w:p w14:paraId="11123AD1" w14:textId="7F71774C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rPr>
          <w:rFonts w:ascii="Garamond" w:eastAsiaTheme="minorEastAsia" w:hAnsi="Garamond" w:cs="Calibri"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3. Për realizimin e procesit sipas këtij vendimi, pranë Ministrisë së Drejtësisë funksionojnë grupe pune </w:t>
      </w:r>
      <w:proofErr w:type="spellStart"/>
      <w:r w:rsidRPr="00150F52">
        <w:rPr>
          <w:rFonts w:ascii="Garamond" w:eastAsiaTheme="minorEastAsia" w:hAnsi="Garamond" w:cs="Calibri"/>
          <w:i/>
          <w:iCs/>
          <w:kern w:val="0"/>
          <w:szCs w:val="28"/>
          <w:lang w:eastAsia="en-GB"/>
        </w:rPr>
        <w:t>ad</w:t>
      </w:r>
      <w:proofErr w:type="spellEnd"/>
      <w:r w:rsidRPr="00150F52">
        <w:rPr>
          <w:rFonts w:ascii="Garamond" w:eastAsiaTheme="minorEastAsia" w:hAnsi="Garamond" w:cs="Calibri"/>
          <w:i/>
          <w:iCs/>
          <w:kern w:val="0"/>
          <w:szCs w:val="28"/>
          <w:lang w:eastAsia="en-GB"/>
        </w:rPr>
        <w:t xml:space="preserve"> </w:t>
      </w:r>
      <w:proofErr w:type="spellStart"/>
      <w:r w:rsidRPr="00150F52">
        <w:rPr>
          <w:rFonts w:ascii="Garamond" w:eastAsiaTheme="minorEastAsia" w:hAnsi="Garamond" w:cs="Calibri"/>
          <w:i/>
          <w:iCs/>
          <w:kern w:val="0"/>
          <w:szCs w:val="28"/>
          <w:lang w:eastAsia="en-GB"/>
        </w:rPr>
        <w:t>hoc</w:t>
      </w:r>
      <w:proofErr w:type="spellEnd"/>
      <w:r w:rsidRPr="00150F52">
        <w:rPr>
          <w:rFonts w:ascii="Garamond" w:eastAsiaTheme="minorEastAsia" w:hAnsi="Garamond" w:cs="Calibri"/>
          <w:i/>
          <w:iCs/>
          <w:kern w:val="0"/>
          <w:szCs w:val="28"/>
          <w:lang w:eastAsia="en-GB"/>
        </w:rPr>
        <w:t xml:space="preserve">, </w:t>
      </w: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>të krijuara me urdhër të ministrit të Drejtësisë në ushtrim të kompetencave të tij, për hartimin e projektit përfundimtar të Kodit Penal të ri, të ndryshimeve në Kodin e Procedurës Penale dhe të akteve të tjera të lidhura, në përputhje me pikën 1, të nenit 12, të ligjit nr.</w:t>
      </w:r>
      <w:r w:rsid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 </w:t>
      </w: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>9000, datë 30.1.2003, “Për organizimin dhe funksioni</w:t>
      </w:r>
      <w:r w:rsidR="00150F52">
        <w:rPr>
          <w:rFonts w:ascii="Garamond" w:eastAsiaTheme="minorEastAsia" w:hAnsi="Garamond" w:cs="Calibri"/>
          <w:kern w:val="0"/>
          <w:szCs w:val="28"/>
          <w:lang w:eastAsia="en-GB"/>
        </w:rPr>
        <w:t>min e Këshillit të Ministrave”.</w:t>
      </w:r>
    </w:p>
    <w:p w14:paraId="03671322" w14:textId="3196ED45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rPr>
          <w:rFonts w:ascii="Garamond" w:eastAsiaTheme="minorEastAsia" w:hAnsi="Garamond" w:cs="Calibri"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4. Grupet e punës përbëhen nga ekspertë të strukturave të hartimit të akteve në Ministrinë e Drejtësisë dhe institucione të tjera të interesuara, si dhe nga ekspertë të jashtëm, të fushës akademike, vendas e të huaj, me përvojë në hartimin e </w:t>
      </w:r>
      <w:proofErr w:type="spellStart"/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>projektakteve</w:t>
      </w:r>
      <w:proofErr w:type="spellEnd"/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 me rëndësi të veçantë. Grupet e punës asistohen nga një sekretariat teknik, përbërja dhe funksionimi i të cilit përcaktohen me urdhër të ministrit të Drejtësisë, me punonjës të Ministrisë së Drejtësisë ose ekspertë të jashtëm, ose punonjës nga strukturat përgjegjëse për kodifikimin</w:t>
      </w:r>
      <w:r w:rsidR="00150F52">
        <w:rPr>
          <w:rFonts w:ascii="Garamond" w:eastAsiaTheme="minorEastAsia" w:hAnsi="Garamond" w:cs="Calibri"/>
          <w:kern w:val="0"/>
          <w:szCs w:val="28"/>
          <w:lang w:eastAsia="en-GB"/>
        </w:rPr>
        <w:t>.</w:t>
      </w:r>
    </w:p>
    <w:p w14:paraId="2455C377" w14:textId="30B1BECD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rPr>
          <w:rFonts w:ascii="Garamond" w:eastAsiaTheme="minorEastAsia" w:hAnsi="Garamond" w:cs="Calibri"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5. Ekspertët e jashtëm në grupet e punës dhe anëtarët e sekretariatit teknik shpërblehen në përputhje me legjislacionin në fuqi. Vlera totale për secilin ekspert të jashtëm është jo më shumë se 3 000 000 (tre milionë) lekë për një akt, vlerë e cila përballohet nga buxheti </w:t>
      </w:r>
      <w:r w:rsid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i Ministrisë së Drejtësisë për </w:t>
      </w: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>vitin 2026. Numri i ekspertëve të jashtëm dhe masa konkrete e shpërblimit përcaktohet nga ministri i Drejtësisë, bazuar në kontributin real, të dokumentuar, sipas sugjerimit të drejtuesve të grupit të punës ose në dokumentin e dorëzimi</w:t>
      </w:r>
      <w:r w:rsidR="00150F52">
        <w:rPr>
          <w:rFonts w:ascii="Garamond" w:eastAsiaTheme="minorEastAsia" w:hAnsi="Garamond" w:cs="Calibri"/>
          <w:kern w:val="0"/>
          <w:szCs w:val="28"/>
          <w:lang w:eastAsia="en-GB"/>
        </w:rPr>
        <w:t>t të produktit për secilin akt.</w:t>
      </w:r>
    </w:p>
    <w:p w14:paraId="093863FB" w14:textId="7D0E6AC8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rPr>
          <w:rFonts w:ascii="Garamond" w:eastAsiaTheme="minorEastAsia" w:hAnsi="Garamond" w:cs="Calibri"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 6. </w:t>
      </w:r>
      <w:proofErr w:type="spellStart"/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>Projektaktet</w:t>
      </w:r>
      <w:proofErr w:type="spellEnd"/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 dhe dokumentet shoqëruese të hartuara në kuadër të këtij vendimi paraqiten për shqyrtim e miratim në Këshillin e Ministrave nga ministri i Drejtësisë, në përputhje me procedurat e paraqitjes, shqyrtimit dhe vendimmarrjes, të parashikuara në ligjin nr.</w:t>
      </w:r>
      <w:r w:rsid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 </w:t>
      </w: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>9000, datë 30.1.2003, “Për organizimin dhe funksionimin e Këshillit të Ministrave”, dhe në</w:t>
      </w:r>
      <w:r w:rsid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 </w:t>
      </w: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>vendimin nr.</w:t>
      </w:r>
      <w:r w:rsid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 </w:t>
      </w: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584, datë 28.8.2003, të Këshillit të Ministrave, “Për miratimin e rregullores së Këshillit të Ministrave”, të ndryshuar. </w:t>
      </w:r>
    </w:p>
    <w:p w14:paraId="53604D0E" w14:textId="5C9CA8A7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rPr>
          <w:rFonts w:ascii="Garamond" w:eastAsiaTheme="minorEastAsia" w:hAnsi="Garamond" w:cs="Calibri"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>7. Efektet financiare përballohen nga buxheti i miratuar për vitin 2026, për Ministrinë e Drejtësisë, në zërin “</w:t>
      </w:r>
      <w:r w:rsidRPr="006F0291">
        <w:rPr>
          <w:rFonts w:ascii="Garamond" w:eastAsiaTheme="minorEastAsia" w:hAnsi="Garamond" w:cs="Calibri"/>
          <w:kern w:val="0"/>
          <w:szCs w:val="28"/>
          <w:lang w:eastAsia="en-GB"/>
        </w:rPr>
        <w:t xml:space="preserve">Shpenzime </w:t>
      </w:r>
      <w:proofErr w:type="spellStart"/>
      <w:r w:rsidRPr="006F0291">
        <w:rPr>
          <w:rFonts w:ascii="Garamond" w:eastAsiaTheme="minorEastAsia" w:hAnsi="Garamond" w:cs="Calibri"/>
          <w:kern w:val="0"/>
          <w:szCs w:val="28"/>
          <w:lang w:eastAsia="en-GB"/>
        </w:rPr>
        <w:t>kor</w:t>
      </w:r>
      <w:r w:rsidR="00064EA6" w:rsidRPr="006F0291">
        <w:rPr>
          <w:rFonts w:ascii="Garamond" w:eastAsiaTheme="minorEastAsia" w:hAnsi="Garamond" w:cs="Calibri"/>
          <w:kern w:val="0"/>
          <w:szCs w:val="28"/>
          <w:lang w:eastAsia="en-GB"/>
        </w:rPr>
        <w:t>r</w:t>
      </w:r>
      <w:r w:rsidRPr="006F0291">
        <w:rPr>
          <w:rFonts w:ascii="Garamond" w:eastAsiaTheme="minorEastAsia" w:hAnsi="Garamond" w:cs="Calibri"/>
          <w:kern w:val="0"/>
          <w:szCs w:val="28"/>
          <w:lang w:eastAsia="en-GB"/>
        </w:rPr>
        <w:t>ente</w:t>
      </w:r>
      <w:proofErr w:type="spellEnd"/>
      <w:r w:rsidRPr="006F0291">
        <w:rPr>
          <w:rFonts w:ascii="Garamond" w:eastAsiaTheme="minorEastAsia" w:hAnsi="Garamond" w:cs="Calibri"/>
          <w:kern w:val="0"/>
          <w:szCs w:val="28"/>
          <w:lang w:eastAsia="en-GB"/>
        </w:rPr>
        <w:t>”,</w:t>
      </w:r>
      <w:bookmarkStart w:id="0" w:name="_GoBack"/>
      <w:bookmarkEnd w:id="0"/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 xml:space="preserve"> të programit 01110, “Planifi</w:t>
      </w:r>
      <w:r w:rsidR="00150F52">
        <w:rPr>
          <w:rFonts w:ascii="Garamond" w:eastAsiaTheme="minorEastAsia" w:hAnsi="Garamond" w:cs="Calibri"/>
          <w:kern w:val="0"/>
          <w:szCs w:val="28"/>
          <w:lang w:eastAsia="en-GB"/>
        </w:rPr>
        <w:t>kim, menaxhim dhe administrim”.</w:t>
      </w:r>
    </w:p>
    <w:p w14:paraId="3078E6C2" w14:textId="77777777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rPr>
          <w:rFonts w:ascii="Garamond" w:eastAsiaTheme="minorEastAsia" w:hAnsi="Garamond" w:cs="Calibri"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>8. Ngarkohet Ministria e Drejtësisë për zbatimin e këtij vendimi.</w:t>
      </w:r>
    </w:p>
    <w:p w14:paraId="18CC3881" w14:textId="2F1905D5" w:rsidR="00CF5EC4" w:rsidRPr="00150F52" w:rsidRDefault="00CF5EC4" w:rsidP="00150F52">
      <w:pPr>
        <w:autoSpaceDE w:val="0"/>
        <w:autoSpaceDN w:val="0"/>
        <w:adjustRightInd w:val="0"/>
        <w:spacing w:after="0" w:line="240" w:lineRule="auto"/>
        <w:ind w:left="0" w:right="0" w:firstLine="284"/>
        <w:rPr>
          <w:rFonts w:ascii="Garamond" w:eastAsiaTheme="minorEastAsia" w:hAnsi="Garamond" w:cs="Calibri"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kern w:val="0"/>
          <w:szCs w:val="28"/>
          <w:lang w:eastAsia="en-GB"/>
        </w:rPr>
        <w:t>Ky vendim hyn në fuqi p</w:t>
      </w:r>
      <w:r w:rsidR="00150F52">
        <w:rPr>
          <w:rFonts w:ascii="Garamond" w:eastAsiaTheme="minorEastAsia" w:hAnsi="Garamond" w:cs="Calibri"/>
          <w:kern w:val="0"/>
          <w:szCs w:val="28"/>
          <w:lang w:eastAsia="en-GB"/>
        </w:rPr>
        <w:t>as botimit në Fletoren Zyrtare.</w:t>
      </w:r>
    </w:p>
    <w:p w14:paraId="6DA0613C" w14:textId="77777777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jc w:val="right"/>
        <w:rPr>
          <w:rFonts w:ascii="Garamond" w:eastAsiaTheme="minorEastAsia" w:hAnsi="Garamond" w:cs="Calibri"/>
          <w:b/>
          <w:bCs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bCs/>
          <w:kern w:val="0"/>
          <w:szCs w:val="28"/>
          <w:lang w:eastAsia="en-GB"/>
        </w:rPr>
        <w:t>ZËVENDËSKRYEMINISTËR</w:t>
      </w:r>
    </w:p>
    <w:p w14:paraId="3CBF39BA" w14:textId="77777777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jc w:val="right"/>
        <w:rPr>
          <w:rFonts w:ascii="Garamond" w:eastAsiaTheme="minorEastAsia" w:hAnsi="Garamond" w:cs="Calibri"/>
          <w:b/>
          <w:bCs/>
          <w:kern w:val="0"/>
          <w:szCs w:val="28"/>
          <w:lang w:eastAsia="en-GB"/>
        </w:rPr>
      </w:pPr>
      <w:r w:rsidRPr="00150F52">
        <w:rPr>
          <w:rFonts w:ascii="Garamond" w:eastAsiaTheme="minorEastAsia" w:hAnsi="Garamond" w:cs="Calibri"/>
          <w:b/>
          <w:bCs/>
          <w:kern w:val="0"/>
          <w:szCs w:val="28"/>
          <w:lang w:eastAsia="en-GB"/>
        </w:rPr>
        <w:t xml:space="preserve">Albana </w:t>
      </w:r>
      <w:proofErr w:type="spellStart"/>
      <w:r w:rsidRPr="00150F52">
        <w:rPr>
          <w:rFonts w:ascii="Garamond" w:eastAsiaTheme="minorEastAsia" w:hAnsi="Garamond" w:cs="Calibri"/>
          <w:b/>
          <w:bCs/>
          <w:kern w:val="0"/>
          <w:szCs w:val="28"/>
          <w:lang w:eastAsia="en-GB"/>
        </w:rPr>
        <w:t>Koçiu</w:t>
      </w:r>
      <w:proofErr w:type="spellEnd"/>
    </w:p>
    <w:p w14:paraId="0F166306" w14:textId="77777777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jc w:val="center"/>
        <w:rPr>
          <w:rFonts w:ascii="Garamond" w:eastAsiaTheme="minorEastAsia" w:hAnsi="Garamond" w:cs="Calibri"/>
          <w:b/>
          <w:bCs/>
          <w:kern w:val="0"/>
          <w:szCs w:val="28"/>
          <w:lang w:eastAsia="en-GB"/>
        </w:rPr>
      </w:pPr>
    </w:p>
    <w:p w14:paraId="68E19779" w14:textId="77777777" w:rsidR="00CF5EC4" w:rsidRPr="00150F52" w:rsidRDefault="00CF5EC4" w:rsidP="00CF5EC4">
      <w:pPr>
        <w:autoSpaceDE w:val="0"/>
        <w:autoSpaceDN w:val="0"/>
        <w:adjustRightInd w:val="0"/>
        <w:spacing w:after="0" w:line="240" w:lineRule="auto"/>
        <w:ind w:left="0" w:right="0" w:firstLine="284"/>
        <w:jc w:val="left"/>
        <w:rPr>
          <w:rFonts w:ascii="Garamond" w:eastAsiaTheme="minorEastAsia" w:hAnsi="Garamond" w:cs="Calibri"/>
          <w:kern w:val="0"/>
          <w:szCs w:val="28"/>
          <w:lang w:eastAsia="en-GB"/>
        </w:rPr>
      </w:pPr>
    </w:p>
    <w:p w14:paraId="7E88EA54" w14:textId="04F220AE" w:rsidR="00EA525D" w:rsidRPr="00150F52" w:rsidRDefault="00EA525D" w:rsidP="00150F52">
      <w:pPr>
        <w:spacing w:after="0" w:line="240" w:lineRule="auto"/>
        <w:ind w:left="0" w:firstLine="0"/>
        <w:rPr>
          <w:sz w:val="28"/>
        </w:rPr>
      </w:pPr>
    </w:p>
    <w:sectPr w:rsidR="00EA525D" w:rsidRPr="00150F52" w:rsidSect="00A81BC6">
      <w:headerReference w:type="default" r:id="rId12"/>
      <w:footerReference w:type="default" r:id="rId13"/>
      <w:pgSz w:w="11906" w:h="16838" w:code="9"/>
      <w:pgMar w:top="1440" w:right="1440" w:bottom="8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0DC919" w14:textId="77777777" w:rsidR="006F0291" w:rsidRDefault="006F0291" w:rsidP="009D0E96">
      <w:pPr>
        <w:spacing w:after="0" w:line="240" w:lineRule="auto"/>
      </w:pPr>
      <w:r>
        <w:separator/>
      </w:r>
    </w:p>
  </w:endnote>
  <w:endnote w:type="continuationSeparator" w:id="0">
    <w:p w14:paraId="4421E25D" w14:textId="77777777" w:rsidR="006F0291" w:rsidRDefault="006F0291" w:rsidP="009D0E96">
      <w:pPr>
        <w:spacing w:after="0" w:line="240" w:lineRule="auto"/>
      </w:pPr>
      <w:r>
        <w:continuationSeparator/>
      </w:r>
    </w:p>
  </w:endnote>
  <w:endnote w:type="continuationNotice" w:id="1">
    <w:p w14:paraId="0FA8919A" w14:textId="77777777" w:rsidR="006F0291" w:rsidRDefault="006F02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8EA5D" w14:textId="3DC587B9" w:rsidR="006F0291" w:rsidRDefault="006F0291" w:rsidP="00CF5E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160B67" w14:textId="77777777" w:rsidR="006F0291" w:rsidRDefault="006F0291" w:rsidP="009D0E96">
      <w:pPr>
        <w:spacing w:after="0" w:line="240" w:lineRule="auto"/>
      </w:pPr>
      <w:r>
        <w:separator/>
      </w:r>
    </w:p>
  </w:footnote>
  <w:footnote w:type="continuationSeparator" w:id="0">
    <w:p w14:paraId="24A366A7" w14:textId="77777777" w:rsidR="006F0291" w:rsidRDefault="006F0291" w:rsidP="009D0E96">
      <w:pPr>
        <w:spacing w:after="0" w:line="240" w:lineRule="auto"/>
      </w:pPr>
      <w:r>
        <w:continuationSeparator/>
      </w:r>
    </w:p>
  </w:footnote>
  <w:footnote w:type="continuationNotice" w:id="1">
    <w:p w14:paraId="12B11CF8" w14:textId="77777777" w:rsidR="006F0291" w:rsidRDefault="006F02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7917DD" w14:textId="77777777" w:rsidR="006F0291" w:rsidRDefault="006F02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871C0"/>
    <w:multiLevelType w:val="hybridMultilevel"/>
    <w:tmpl w:val="383A9A14"/>
    <w:lvl w:ilvl="0" w:tplc="7F928C62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A668C7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164F2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38270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B87F1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0834E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E62AA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DAD79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0E7BE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25D"/>
    <w:rsid w:val="00002C5B"/>
    <w:rsid w:val="000267D2"/>
    <w:rsid w:val="0002734C"/>
    <w:rsid w:val="00064EA6"/>
    <w:rsid w:val="000D5824"/>
    <w:rsid w:val="000D5AE7"/>
    <w:rsid w:val="000D6C22"/>
    <w:rsid w:val="000F7F67"/>
    <w:rsid w:val="00150F52"/>
    <w:rsid w:val="0017092F"/>
    <w:rsid w:val="00185C53"/>
    <w:rsid w:val="00187FB8"/>
    <w:rsid w:val="00196CDE"/>
    <w:rsid w:val="00207E1B"/>
    <w:rsid w:val="00283175"/>
    <w:rsid w:val="00291070"/>
    <w:rsid w:val="00292457"/>
    <w:rsid w:val="00300511"/>
    <w:rsid w:val="00315354"/>
    <w:rsid w:val="004126AD"/>
    <w:rsid w:val="00484379"/>
    <w:rsid w:val="004C26CB"/>
    <w:rsid w:val="00510020"/>
    <w:rsid w:val="00564059"/>
    <w:rsid w:val="00573736"/>
    <w:rsid w:val="005B23EA"/>
    <w:rsid w:val="005B2F20"/>
    <w:rsid w:val="005D538E"/>
    <w:rsid w:val="00641779"/>
    <w:rsid w:val="006F0291"/>
    <w:rsid w:val="00761A5D"/>
    <w:rsid w:val="00777427"/>
    <w:rsid w:val="007F4BAC"/>
    <w:rsid w:val="00883F52"/>
    <w:rsid w:val="008B1A73"/>
    <w:rsid w:val="00964993"/>
    <w:rsid w:val="00997C38"/>
    <w:rsid w:val="009A7E53"/>
    <w:rsid w:val="009D0E96"/>
    <w:rsid w:val="009F4FB8"/>
    <w:rsid w:val="00A15B30"/>
    <w:rsid w:val="00A16612"/>
    <w:rsid w:val="00A81BC6"/>
    <w:rsid w:val="00AE3E1A"/>
    <w:rsid w:val="00B07B7F"/>
    <w:rsid w:val="00B302EF"/>
    <w:rsid w:val="00B83999"/>
    <w:rsid w:val="00BC3E09"/>
    <w:rsid w:val="00C05659"/>
    <w:rsid w:val="00C9309C"/>
    <w:rsid w:val="00CB3E90"/>
    <w:rsid w:val="00CF5EC4"/>
    <w:rsid w:val="00D24DC3"/>
    <w:rsid w:val="00D749EA"/>
    <w:rsid w:val="00D85E15"/>
    <w:rsid w:val="00DA194C"/>
    <w:rsid w:val="00DB4391"/>
    <w:rsid w:val="00DD52AA"/>
    <w:rsid w:val="00E13350"/>
    <w:rsid w:val="00E27D69"/>
    <w:rsid w:val="00E34F0A"/>
    <w:rsid w:val="00EA525D"/>
    <w:rsid w:val="00F0138B"/>
    <w:rsid w:val="00FF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8EA27"/>
  <w15:docId w15:val="{24A10B1A-4E1A-DE45-A392-9F84D59F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46" w:line="268" w:lineRule="auto"/>
      <w:ind w:left="770" w:right="382" w:hanging="10"/>
      <w:jc w:val="both"/>
    </w:pPr>
    <w:rPr>
      <w:rFonts w:ascii="Times New Roman" w:eastAsia="Times New Roman" w:hAnsi="Times New Roman" w:cs="Times New Roman"/>
      <w:color w:val="000000"/>
      <w:lang w:val="sq-AL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24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0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E96"/>
    <w:rPr>
      <w:rFonts w:ascii="Times New Roman" w:eastAsia="Times New Roman" w:hAnsi="Times New Roman" w:cs="Times New Roman"/>
      <w:color w:val="000000"/>
      <w:lang w:val="en" w:eastAsia="en"/>
    </w:rPr>
  </w:style>
  <w:style w:type="paragraph" w:styleId="Footer">
    <w:name w:val="footer"/>
    <w:basedOn w:val="Normal"/>
    <w:link w:val="FooterChar"/>
    <w:uiPriority w:val="99"/>
    <w:unhideWhenUsed/>
    <w:rsid w:val="009D0E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E96"/>
    <w:rPr>
      <w:rFonts w:ascii="Times New Roman" w:eastAsia="Times New Roman" w:hAnsi="Times New Roman" w:cs="Times New Roman"/>
      <w:color w:val="000000"/>
      <w:lang w:val="en" w:eastAsia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BC6"/>
    <w:rPr>
      <w:rFonts w:ascii="Segoe UI" w:eastAsia="Times New Roman" w:hAnsi="Segoe UI" w:cs="Segoe UI"/>
      <w:color w:val="000000"/>
      <w:sz w:val="18"/>
      <w:szCs w:val="18"/>
      <w:lang w:val="en" w:eastAsia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A9632F30ED4A1FB60AD4CE302DC1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588</Nr_x002e__x0020_akti>
    <Data_x0020_e_x0020_Krijimit xmlns="0e656187-b300-4fb0-8bf4-3a50f872073c">2026-07-24T06:46:03Z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Për marrjen e masave për hartimin e legjislacionit në fushën penale, në kuadër të procesit të integrimit evropian</Titulli>
    <Modifikuesi xmlns="0e656187-b300-4fb0-8bf4-3a50f872073c">Fjora.Cahani</Modifikuesi>
    <Nr_x002e__x0020_prot_x0020_QBZ xmlns="0e656187-b300-4fb0-8bf4-3a50f872073c">1674</Nr_x002e__x0020_prot_x0020_QBZ>
    <Data_x0020_e_x0020_Modifikimit xmlns="0e656187-b300-4fb0-8bf4-3a50f872073c">2026-07-24T09:02:55Z</Data_x0020_e_x0020_Modifikimit>
    <Dekretuar xmlns="0e656187-b300-4fb0-8bf4-3a50f872073c">false</Dekretuar>
    <Data xmlns="0e656187-b300-4fb0-8bf4-3a50f872073c">2026-07-22T00:00:00Z</Data>
    <Nr_x002e__x0020_protokolli_x0020_i_x0020_aktit xmlns="0e656187-b300-4fb0-8bf4-3a50f872073c">4382/1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A9632F30ED4A1FB60AD4CE302DC1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DB45953-1C75-4448-9C56-BEF8D5A8DF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98BE1D-83DD-4646-A1DD-DDD2A5080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AB2DB11-ED2C-4F3E-8CDE-3443E05BF761}">
  <ds:schemaRefs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D50B7E9-1FBF-42DB-8FA0-76C0928EA2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4D1351-0141-46BC-ABF2-42F482372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për hartimin e legjislacionit në fushën penale, në kuadër të procesit të integrimit evropian</vt:lpstr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për hartimin e legjislacionit në fushën penale, në kuadër të procesit të integrimit evropian</dc:title>
  <dc:creator>Ilir Bejko</dc:creator>
  <cp:lastModifiedBy>Amarilda Muja</cp:lastModifiedBy>
  <cp:revision>7</cp:revision>
  <cp:lastPrinted>2026-07-22T08:14:00Z</cp:lastPrinted>
  <dcterms:created xsi:type="dcterms:W3CDTF">2026-07-24T06:50:00Z</dcterms:created>
  <dcterms:modified xsi:type="dcterms:W3CDTF">2026-07-24T09:17:00Z</dcterms:modified>
</cp:coreProperties>
</file>