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C5F2D" w14:textId="77777777" w:rsidR="00A530B0" w:rsidRPr="00D62566" w:rsidRDefault="00A530B0" w:rsidP="00A530B0">
      <w:pPr>
        <w:spacing w:after="0" w:line="240" w:lineRule="auto"/>
        <w:ind w:firstLine="284"/>
        <w:jc w:val="center"/>
        <w:rPr>
          <w:rFonts w:ascii="Garamond" w:hAnsi="Garamond" w:cs="Times New Roman"/>
          <w:b/>
          <w:bCs/>
        </w:rPr>
      </w:pPr>
      <w:r w:rsidRPr="00D62566">
        <w:rPr>
          <w:rFonts w:ascii="Garamond" w:hAnsi="Garamond" w:cs="Times New Roman"/>
          <w:b/>
          <w:bCs/>
        </w:rPr>
        <w:t>VENDIM</w:t>
      </w:r>
    </w:p>
    <w:p w14:paraId="73DBFF03" w14:textId="77777777" w:rsidR="00A530B0" w:rsidRPr="00D62566" w:rsidRDefault="00A530B0" w:rsidP="00A530B0">
      <w:pPr>
        <w:spacing w:after="0" w:line="240" w:lineRule="auto"/>
        <w:ind w:firstLine="284"/>
        <w:jc w:val="center"/>
        <w:rPr>
          <w:rFonts w:ascii="Garamond" w:hAnsi="Garamond" w:cs="Times New Roman"/>
        </w:rPr>
      </w:pPr>
      <w:r w:rsidRPr="00D62566">
        <w:rPr>
          <w:rFonts w:ascii="Garamond" w:hAnsi="Garamond" w:cs="Times New Roman"/>
          <w:b/>
          <w:bCs/>
        </w:rPr>
        <w:t>Nr. 631, datë 30.7.2026</w:t>
      </w:r>
    </w:p>
    <w:p w14:paraId="59D302BC" w14:textId="77777777" w:rsidR="00A530B0" w:rsidRPr="00D62566" w:rsidRDefault="00A530B0" w:rsidP="00A530B0">
      <w:pPr>
        <w:spacing w:after="0" w:line="240" w:lineRule="auto"/>
        <w:ind w:firstLine="284"/>
        <w:jc w:val="center"/>
        <w:rPr>
          <w:rFonts w:ascii="Garamond" w:hAnsi="Garamond" w:cs="Times New Roman"/>
        </w:rPr>
      </w:pPr>
    </w:p>
    <w:p w14:paraId="5F37370A" w14:textId="7BB5E00B" w:rsidR="00A530B0" w:rsidRPr="00D62566" w:rsidRDefault="00A530B0" w:rsidP="00B22AB1">
      <w:pPr>
        <w:spacing w:after="0" w:line="240" w:lineRule="auto"/>
        <w:ind w:firstLine="284"/>
        <w:jc w:val="center"/>
        <w:rPr>
          <w:rFonts w:ascii="Garamond" w:hAnsi="Garamond" w:cs="Times New Roman"/>
          <w:b/>
          <w:bCs/>
        </w:rPr>
      </w:pPr>
      <w:r w:rsidRPr="00D62566">
        <w:rPr>
          <w:rFonts w:ascii="Garamond" w:hAnsi="Garamond" w:cs="Times New Roman"/>
          <w:b/>
          <w:bCs/>
        </w:rPr>
        <w:t>PËR</w:t>
      </w:r>
      <w:r w:rsidR="00B22AB1" w:rsidRPr="00D62566">
        <w:rPr>
          <w:rFonts w:ascii="Garamond" w:hAnsi="Garamond" w:cs="Times New Roman"/>
          <w:b/>
          <w:bCs/>
        </w:rPr>
        <w:t xml:space="preserve"> </w:t>
      </w:r>
      <w:r w:rsidRPr="00D62566">
        <w:rPr>
          <w:rFonts w:ascii="Garamond" w:hAnsi="Garamond"/>
          <w:b/>
          <w:bCs/>
        </w:rPr>
        <w:t>KRIJIMIN E INSTITUTIT KOMBËTAR ONKOLOGJIK, SI STRUKTURË SHËNDETËSORE UNIVERSITARE  DHE KËRKIMORE-SHKENCORE</w:t>
      </w:r>
    </w:p>
    <w:p w14:paraId="644751EC" w14:textId="77777777" w:rsidR="00A530B0" w:rsidRPr="00D62566" w:rsidRDefault="00A530B0" w:rsidP="00A530B0">
      <w:pPr>
        <w:pStyle w:val="NoSpacing"/>
        <w:ind w:firstLine="284"/>
        <w:jc w:val="center"/>
        <w:rPr>
          <w:rFonts w:ascii="Garamond" w:hAnsi="Garamond"/>
          <w:b/>
          <w:bCs/>
          <w:lang w:val="sq-AL"/>
        </w:rPr>
      </w:pPr>
    </w:p>
    <w:p w14:paraId="1F1EBC07" w14:textId="40C91B33" w:rsidR="00A530B0" w:rsidRPr="00D62566" w:rsidRDefault="00A530B0" w:rsidP="00A530B0">
      <w:pPr>
        <w:spacing w:after="0" w:line="240" w:lineRule="auto"/>
        <w:ind w:firstLine="284"/>
        <w:jc w:val="both"/>
        <w:rPr>
          <w:rFonts w:ascii="Garamond" w:hAnsi="Garamond" w:cs="Times New Roman"/>
          <w:i/>
          <w:iCs/>
        </w:rPr>
      </w:pPr>
      <w:r w:rsidRPr="00D62566">
        <w:rPr>
          <w:rFonts w:ascii="Garamond" w:hAnsi="Garamond" w:cs="Times New Roman"/>
        </w:rPr>
        <w:t>Në mbështetje të nenit 100 të Kushtetutës</w:t>
      </w:r>
      <w:r w:rsidR="00D62566">
        <w:rPr>
          <w:rFonts w:ascii="Garamond" w:hAnsi="Garamond" w:cs="Times New Roman"/>
        </w:rPr>
        <w:t>;</w:t>
      </w:r>
      <w:r w:rsidRPr="00D62566">
        <w:rPr>
          <w:rFonts w:ascii="Garamond" w:hAnsi="Garamond" w:cs="Times New Roman"/>
        </w:rPr>
        <w:t xml:space="preserve"> të pikës 7, të nenit 12, të  ligjit nr.</w:t>
      </w:r>
      <w:r w:rsidR="00D62566">
        <w:rPr>
          <w:rFonts w:ascii="Garamond" w:hAnsi="Garamond" w:cs="Times New Roman"/>
        </w:rPr>
        <w:t xml:space="preserve"> </w:t>
      </w:r>
      <w:r w:rsidRPr="00D62566">
        <w:rPr>
          <w:rFonts w:ascii="Garamond" w:hAnsi="Garamond" w:cs="Times New Roman"/>
        </w:rPr>
        <w:t>109/2024, “Për shkencën dhe kërkimin shkencor në Republikën e Shqipërisë”, dhe të nenit 28, të ligjit nr.</w:t>
      </w:r>
      <w:r w:rsidR="00D62566">
        <w:rPr>
          <w:rFonts w:ascii="Garamond" w:hAnsi="Garamond" w:cs="Times New Roman"/>
        </w:rPr>
        <w:t xml:space="preserve"> </w:t>
      </w:r>
      <w:r w:rsidRPr="00D62566">
        <w:rPr>
          <w:rFonts w:ascii="Garamond" w:hAnsi="Garamond" w:cs="Times New Roman"/>
        </w:rPr>
        <w:t xml:space="preserve">80/2015, “Për arsimin e lartë dhe kërkimin shkencor në institucionet e arsimit të lartë në Republikën e Shqipërisë”, me propozimin e ministrit të Arsimit dhe të ministrit të Shëndetësisë dhe Mirëqenies  Sociale, Këshilli i Ministrave </w:t>
      </w:r>
    </w:p>
    <w:p w14:paraId="79202498" w14:textId="77777777" w:rsidR="00A530B0" w:rsidRPr="00D62566" w:rsidRDefault="00A530B0" w:rsidP="00A530B0">
      <w:pPr>
        <w:spacing w:after="0" w:line="240" w:lineRule="auto"/>
        <w:ind w:firstLine="284"/>
        <w:jc w:val="center"/>
        <w:rPr>
          <w:rFonts w:ascii="Garamond" w:hAnsi="Garamond" w:cs="Times New Roman"/>
          <w:b/>
          <w:bCs/>
        </w:rPr>
      </w:pPr>
    </w:p>
    <w:p w14:paraId="6128C311" w14:textId="77777777" w:rsidR="00A530B0" w:rsidRPr="00D62566" w:rsidRDefault="00A530B0" w:rsidP="00A530B0">
      <w:pPr>
        <w:spacing w:after="0" w:line="240" w:lineRule="auto"/>
        <w:ind w:firstLine="284"/>
        <w:jc w:val="center"/>
        <w:rPr>
          <w:rFonts w:ascii="Garamond" w:hAnsi="Garamond" w:cs="Times New Roman"/>
          <w:bCs/>
        </w:rPr>
      </w:pPr>
      <w:r w:rsidRPr="00D62566">
        <w:rPr>
          <w:rFonts w:ascii="Garamond" w:hAnsi="Garamond" w:cs="Times New Roman"/>
          <w:bCs/>
        </w:rPr>
        <w:t>VENDOSI:</w:t>
      </w:r>
    </w:p>
    <w:p w14:paraId="73D05A16" w14:textId="77777777" w:rsidR="00A530B0" w:rsidRPr="00D62566" w:rsidRDefault="00A530B0" w:rsidP="00A530B0">
      <w:pPr>
        <w:spacing w:after="0" w:line="240" w:lineRule="auto"/>
        <w:ind w:firstLine="284"/>
        <w:jc w:val="center"/>
        <w:rPr>
          <w:rFonts w:ascii="Garamond" w:hAnsi="Garamond" w:cs="Times New Roman"/>
          <w:b/>
          <w:bCs/>
        </w:rPr>
      </w:pPr>
    </w:p>
    <w:p w14:paraId="1B1CE1F3" w14:textId="77777777" w:rsidR="00A530B0" w:rsidRPr="00D62566" w:rsidRDefault="00A530B0" w:rsidP="00A530B0">
      <w:pPr>
        <w:pStyle w:val="ListParagraph"/>
        <w:spacing w:after="0" w:line="240" w:lineRule="auto"/>
        <w:ind w:left="0" w:firstLine="284"/>
        <w:rPr>
          <w:rFonts w:ascii="Garamond" w:hAnsi="Garamond"/>
          <w:bCs/>
        </w:rPr>
      </w:pPr>
      <w:r w:rsidRPr="00D62566">
        <w:rPr>
          <w:rFonts w:ascii="Garamond" w:hAnsi="Garamond"/>
          <w:bCs/>
        </w:rPr>
        <w:t>I. KRIJIMI, STATUSI DHE MISIONI I INSTITUTIT</w:t>
      </w:r>
    </w:p>
    <w:p w14:paraId="3E14E6BE"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1. Krijimin e Institutit Kombëtar Onkologjik, si strukturë shëndetësore universitare dhe kërkimore-shkencore, në vijim “Instituti”, në fushën e onkologjisë, si person juridik në varësi të ministrisë përgjegjëse për shëndetësinë, për ofrimin e kujdesit shëndetësor terciar, mësimdhënien universitare e pasuniversitare, si pjesë e Universitetit të Mjekësisë Tiranë, si dhe kërkimin shkencor dhe inovacionin.</w:t>
      </w:r>
    </w:p>
    <w:p w14:paraId="42E4DB18"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2. Instituti ka për mision integrimin e veprimtarisë klinike, akademike dhe kërkimore në fushën e onkologjisë, përmes ofrimit të shërbimeve të specializuara shëndetësore, zhvillimit të arsimit mjekësor dhe edukimit profesional, si dhe avancimit të kërkimit shkencor dhe inovacionit në bashkëpunim me institucionet e arsimit të lartë dhe të kërkimit shkencor.</w:t>
      </w:r>
    </w:p>
    <w:p w14:paraId="60B5F9EA"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3. Instituti ushtron veprimtarinë, në përputhje me standardet dhe udhëzimet kombëtare për cilësinë e kujdesit onkologjik, duke synuar harmonizimin me praktikat më të mira të qendrave onkologjike me standarde të njohura ndërkombëtare.</w:t>
      </w:r>
    </w:p>
    <w:p w14:paraId="404169D0"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4. Instituti raporton pranë ministrit përgjegjës për shëndetësinë për treguesit e </w:t>
      </w:r>
      <w:proofErr w:type="spellStart"/>
      <w:r w:rsidRPr="00D62566">
        <w:rPr>
          <w:rFonts w:ascii="Garamond" w:hAnsi="Garamond"/>
        </w:rPr>
        <w:t>performancës</w:t>
      </w:r>
      <w:proofErr w:type="spellEnd"/>
      <w:r w:rsidRPr="00D62566">
        <w:rPr>
          <w:rFonts w:ascii="Garamond" w:hAnsi="Garamond"/>
        </w:rPr>
        <w:t xml:space="preserve"> dhe cilësinë e shërbimeve të ofruara.</w:t>
      </w:r>
    </w:p>
    <w:p w14:paraId="2885284E" w14:textId="74209C6D"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5. Instituti ka personalitet juridik publik dhe ushtron veprimtarinë e tij, duke shërbyer njëkohësisht</w:t>
      </w:r>
      <w:r w:rsidR="00D62566">
        <w:rPr>
          <w:rFonts w:ascii="Garamond" w:hAnsi="Garamond"/>
        </w:rPr>
        <w:t>,</w:t>
      </w:r>
      <w:r w:rsidRPr="00D62566">
        <w:rPr>
          <w:rFonts w:ascii="Garamond" w:hAnsi="Garamond"/>
        </w:rPr>
        <w:t xml:space="preserve"> si:</w:t>
      </w:r>
    </w:p>
    <w:p w14:paraId="176806B7"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a) institut kërkimor dhe shkencor në fushën e onkologjisë;</w:t>
      </w:r>
    </w:p>
    <w:p w14:paraId="0CD64DCF" w14:textId="77777777" w:rsidR="00A530B0" w:rsidRPr="00D62566" w:rsidRDefault="00A530B0" w:rsidP="00A530B0">
      <w:pPr>
        <w:pStyle w:val="pf0"/>
        <w:spacing w:before="0" w:beforeAutospacing="0" w:after="0" w:afterAutospacing="0"/>
        <w:ind w:firstLine="284"/>
        <w:jc w:val="both"/>
        <w:rPr>
          <w:rFonts w:ascii="Garamond" w:hAnsi="Garamond" w:cs="Segoe UI"/>
          <w:lang w:val="sq-AL"/>
        </w:rPr>
      </w:pPr>
      <w:r w:rsidRPr="00D62566">
        <w:rPr>
          <w:rFonts w:ascii="Garamond" w:hAnsi="Garamond" w:cs="Segoe UI"/>
          <w:lang w:val="sq-AL"/>
        </w:rPr>
        <w:t>b) institut kombëtar reference në fushën e onkologjisë, i cili siguron ekspertizë të specializuar klinike dhe shkencore, mbështet unifikimin e praktikave profesionale dhe harton standarde, udhëzime e protokolle klinike për diagnostikimin, trajtimin dhe ndjekjen e sëmundjeve tumorale;</w:t>
      </w:r>
    </w:p>
    <w:p w14:paraId="1473C1F0"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c) institut për ofrimin e shërbimit spitalor onkologjik për Qarkun e Tiranës, duke garantuar diagnostikimin, trajtimin dhe ndjekjen klinike të pacientëve;</w:t>
      </w:r>
    </w:p>
    <w:p w14:paraId="37E3CF75"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ç) institut me funksione diagnostikuese e trajtuese, si dhe funksione mësimore e kërkimore-shkencore në fushën e onkologjisë, si pjesë e Universitetit të Mjekësisë, Tiranë, dhe në bashkëpunim me /ose universitete të tjera; </w:t>
      </w:r>
    </w:p>
    <w:p w14:paraId="399A88FB"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d) institut koordinues i Rrjetit Kombëtar të Sëmundjeve Tumorale, duke siguruar bashkëpunimin funksional ndërmjet Institutit dhe strukturave onkologjike në spitalet rajonale dhe vendore; </w:t>
      </w:r>
    </w:p>
    <w:p w14:paraId="7885D7FA" w14:textId="5ACEBBC3"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dh)</w:t>
      </w:r>
      <w:r w:rsidR="00D62566">
        <w:rPr>
          <w:rFonts w:ascii="Garamond" w:hAnsi="Garamond"/>
        </w:rPr>
        <w:t xml:space="preserve"> </w:t>
      </w:r>
      <w:r w:rsidRPr="00D62566">
        <w:rPr>
          <w:rFonts w:ascii="Garamond" w:hAnsi="Garamond"/>
        </w:rPr>
        <w:t>institut që bashkërendon veprimtarinë me institucione të tjera publike dhe private që ofrojnë shërbime onkologjike, me qëllim garantimin e standardeve të unifikuara të diagnostikimit dhe trajtimit.</w:t>
      </w:r>
    </w:p>
    <w:p w14:paraId="41BB8702"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6. Instituti koordinon Rrjetin Kombëtar të Sëmundjeve Tumorale, që është  tërësia e strukturave shëndetësore publike dhe universitare që ofrojnë shërbime për parandalimin, diagnostikimin, trajtimin dhe ndjekjen e sëmundjeve tumorale dhe shërbimit </w:t>
      </w:r>
      <w:proofErr w:type="spellStart"/>
      <w:r w:rsidRPr="00D62566">
        <w:rPr>
          <w:rFonts w:ascii="Garamond" w:hAnsi="Garamond"/>
        </w:rPr>
        <w:t>paliativ</w:t>
      </w:r>
      <w:proofErr w:type="spellEnd"/>
      <w:r w:rsidRPr="00D62566">
        <w:rPr>
          <w:rFonts w:ascii="Garamond" w:hAnsi="Garamond"/>
        </w:rPr>
        <w:t>,  në nivel qendror dhe nivel qarku. Rrjeti Kombëtar i Sëmundjeve Tumorale përfshin:</w:t>
      </w:r>
    </w:p>
    <w:p w14:paraId="523734DD"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a) Institutin, si qendër kombëtare reference dhe koordinuese e rrjetit;</w:t>
      </w:r>
    </w:p>
    <w:p w14:paraId="2AF3D3A9"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b) shërbimet dhe njësitë onkologjike pranë spitaleve universitare, rajonale dhe vendore;</w:t>
      </w:r>
    </w:p>
    <w:p w14:paraId="670BB7E9"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lastRenderedPageBreak/>
        <w:t xml:space="preserve">c) strukturat </w:t>
      </w:r>
      <w:proofErr w:type="spellStart"/>
      <w:r w:rsidRPr="00D62566">
        <w:rPr>
          <w:rFonts w:ascii="Garamond" w:hAnsi="Garamond"/>
        </w:rPr>
        <w:t>diagnostike</w:t>
      </w:r>
      <w:proofErr w:type="spellEnd"/>
      <w:r w:rsidRPr="00D62566">
        <w:rPr>
          <w:rFonts w:ascii="Garamond" w:hAnsi="Garamond"/>
        </w:rPr>
        <w:t xml:space="preserve"> dhe laboratorike që kontribuojnë në diagnostikimin dhe monitorimin e sëmundjeve tumorale;</w:t>
      </w:r>
    </w:p>
    <w:p w14:paraId="479B445B"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ç) strukturat e trajtimit onkologjik, përfshirë onkologjinë mjekësore, kirurgjinë onkologjike, radioterapinë dhe shërbimet e tjera të lidhura me trajtimin e kancerit;</w:t>
      </w:r>
    </w:p>
    <w:p w14:paraId="2A9A2150"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d) strukturat e rehabilitimit dhe kujdesit </w:t>
      </w:r>
      <w:proofErr w:type="spellStart"/>
      <w:r w:rsidRPr="00D62566">
        <w:rPr>
          <w:rFonts w:ascii="Garamond" w:hAnsi="Garamond"/>
        </w:rPr>
        <w:t>paliativ</w:t>
      </w:r>
      <w:proofErr w:type="spellEnd"/>
      <w:r w:rsidRPr="00D62566">
        <w:rPr>
          <w:rFonts w:ascii="Garamond" w:hAnsi="Garamond"/>
        </w:rPr>
        <w:t xml:space="preserve"> për pacientët onkologjikë;</w:t>
      </w:r>
    </w:p>
    <w:p w14:paraId="75FCD420"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 xml:space="preserve">dh) strukturat e mbështetjes klinike dhe shkencore, sistemet e referimit dhe </w:t>
      </w:r>
      <w:proofErr w:type="spellStart"/>
      <w:r w:rsidRPr="00D62566">
        <w:rPr>
          <w:rFonts w:ascii="Garamond" w:hAnsi="Garamond" w:cs="Times New Roman"/>
        </w:rPr>
        <w:t>kundërreferimit</w:t>
      </w:r>
      <w:proofErr w:type="spellEnd"/>
      <w:r w:rsidRPr="00D62566">
        <w:rPr>
          <w:rFonts w:ascii="Garamond" w:hAnsi="Garamond" w:cs="Times New Roman"/>
        </w:rPr>
        <w:t xml:space="preserve"> të pacientëve;</w:t>
      </w:r>
    </w:p>
    <w:p w14:paraId="7F62B633"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i/>
          <w:iCs/>
        </w:rPr>
        <w:t>e) tumor-</w:t>
      </w:r>
      <w:proofErr w:type="spellStart"/>
      <w:r w:rsidRPr="00D62566">
        <w:rPr>
          <w:rFonts w:ascii="Garamond" w:hAnsi="Garamond"/>
          <w:i/>
          <w:iCs/>
        </w:rPr>
        <w:t>board</w:t>
      </w:r>
      <w:proofErr w:type="spellEnd"/>
      <w:r w:rsidRPr="00D62566">
        <w:rPr>
          <w:rFonts w:ascii="Garamond" w:hAnsi="Garamond"/>
          <w:iCs/>
        </w:rPr>
        <w:t>-et</w:t>
      </w:r>
      <w:r w:rsidRPr="00D62566">
        <w:rPr>
          <w:rFonts w:ascii="Garamond" w:hAnsi="Garamond"/>
        </w:rPr>
        <w:t xml:space="preserve"> </w:t>
      </w:r>
      <w:proofErr w:type="spellStart"/>
      <w:r w:rsidRPr="00D62566">
        <w:rPr>
          <w:rFonts w:ascii="Garamond" w:hAnsi="Garamond"/>
        </w:rPr>
        <w:t>multidisiplinare</w:t>
      </w:r>
      <w:proofErr w:type="spellEnd"/>
      <w:r w:rsidRPr="00D62566">
        <w:rPr>
          <w:rFonts w:ascii="Garamond" w:hAnsi="Garamond"/>
        </w:rPr>
        <w:t xml:space="preserve"> që janë mekanizma të detyrueshëm konsultimi për rastet onkologjike komplekse. Organizimi dhe funksionimi i tyre përcaktohen në statutin e Institutit dhe në aktet e ministrit përgjegjës për shëndetësinë.</w:t>
      </w:r>
    </w:p>
    <w:p w14:paraId="08F4B5FF"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 7. Rregullat e hollësishme për organizimin, funksionimin, raportimin, treguesit e </w:t>
      </w:r>
      <w:proofErr w:type="spellStart"/>
      <w:r w:rsidRPr="00D62566">
        <w:rPr>
          <w:rFonts w:ascii="Garamond" w:hAnsi="Garamond"/>
        </w:rPr>
        <w:t>performancës</w:t>
      </w:r>
      <w:proofErr w:type="spellEnd"/>
      <w:r w:rsidRPr="00D62566">
        <w:rPr>
          <w:rFonts w:ascii="Garamond" w:hAnsi="Garamond"/>
        </w:rPr>
        <w:t xml:space="preserve">, referimin dhe </w:t>
      </w:r>
      <w:proofErr w:type="spellStart"/>
      <w:r w:rsidRPr="00D62566">
        <w:rPr>
          <w:rFonts w:ascii="Garamond" w:hAnsi="Garamond"/>
        </w:rPr>
        <w:t>kundërreferimin</w:t>
      </w:r>
      <w:proofErr w:type="spellEnd"/>
      <w:r w:rsidRPr="00D62566">
        <w:rPr>
          <w:rFonts w:ascii="Garamond" w:hAnsi="Garamond"/>
        </w:rPr>
        <w:t>, si dhe përgjegjësitë e strukturave pjesëmarrëse në Rrjetin Kombëtar të Sëmundjeve Tumorale miratohen me urdhër të ministrit përgjegjës për shëndetësinë.</w:t>
      </w:r>
    </w:p>
    <w:p w14:paraId="2EF6A7AB"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8. Instituti kryen detyrat e përcaktuara në këtë vendim dhe në statutin e tij i cili miratohet me urdhër të përbashkët të ministrit të Shëndetësisë dhe Mirëqenies Sociale dhe ministrit të Arsimit.</w:t>
      </w:r>
    </w:p>
    <w:p w14:paraId="478B0F28" w14:textId="77777777" w:rsidR="00A530B0" w:rsidRPr="00D62566" w:rsidRDefault="00A530B0" w:rsidP="00A530B0">
      <w:pPr>
        <w:spacing w:after="0" w:line="240" w:lineRule="auto"/>
        <w:ind w:firstLine="284"/>
        <w:rPr>
          <w:rFonts w:ascii="Garamond" w:hAnsi="Garamond" w:cs="Times New Roman"/>
          <w:bCs/>
        </w:rPr>
      </w:pPr>
      <w:proofErr w:type="spellStart"/>
      <w:r w:rsidRPr="00D62566">
        <w:rPr>
          <w:rFonts w:ascii="Garamond" w:hAnsi="Garamond" w:cs="Times New Roman"/>
          <w:bCs/>
        </w:rPr>
        <w:t>II</w:t>
      </w:r>
      <w:proofErr w:type="spellEnd"/>
      <w:r w:rsidRPr="00D62566">
        <w:rPr>
          <w:rFonts w:ascii="Garamond" w:hAnsi="Garamond" w:cs="Times New Roman"/>
          <w:bCs/>
        </w:rPr>
        <w:t>. FUNKSIONET KOORDINUESE TË INSTITUTIT</w:t>
      </w:r>
    </w:p>
    <w:p w14:paraId="3CD148AC"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1. Instituti shërben si institucion koordinues i Rrjetit Kombëtar të Sëmundjeve Tumorale, duke siguruar lidhjen funksionale ndërmjet shërbimit spitalor onkologjik universitar dhe strukturave onkologjike në nivel qarku.</w:t>
      </w:r>
    </w:p>
    <w:p w14:paraId="43DDD1D7"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2. Instituti mbështet dhe koordinon zhvillimin dhe zbatimin e programeve të diagnostikimit të hershëm, menaxhimit të riskut, si dhe të kujdesit </w:t>
      </w:r>
      <w:proofErr w:type="spellStart"/>
      <w:r w:rsidRPr="00D62566">
        <w:rPr>
          <w:rFonts w:ascii="Garamond" w:hAnsi="Garamond"/>
        </w:rPr>
        <w:t>paliativ</w:t>
      </w:r>
      <w:proofErr w:type="spellEnd"/>
      <w:r w:rsidRPr="00D62566">
        <w:rPr>
          <w:rFonts w:ascii="Garamond" w:hAnsi="Garamond"/>
        </w:rPr>
        <w:t xml:space="preserve"> për pacientët onkologjikë, në përputhje me politikat dhe strategjitë kombëtare të shëndetësisë.</w:t>
      </w:r>
    </w:p>
    <w:p w14:paraId="2FC7F967"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3. Instituti koordinon shërbimin onkologjik kombëtar dhe, në këtë kuadër:</w:t>
      </w:r>
    </w:p>
    <w:p w14:paraId="25B7A528" w14:textId="77777777" w:rsidR="00A530B0" w:rsidRPr="00D62566" w:rsidRDefault="00A530B0" w:rsidP="00A530B0">
      <w:pPr>
        <w:pStyle w:val="pf0"/>
        <w:spacing w:before="0" w:beforeAutospacing="0" w:after="0" w:afterAutospacing="0"/>
        <w:ind w:firstLine="284"/>
        <w:jc w:val="both"/>
        <w:rPr>
          <w:rFonts w:ascii="Garamond" w:hAnsi="Garamond" w:cs="Segoe UI"/>
          <w:lang w:val="sq-AL"/>
        </w:rPr>
      </w:pPr>
      <w:r w:rsidRPr="00D62566">
        <w:rPr>
          <w:rFonts w:ascii="Garamond" w:hAnsi="Garamond" w:cs="Segoe UI"/>
          <w:lang w:val="sq-AL"/>
        </w:rPr>
        <w:t>a) orienton zhvillimin dhe organizimin e shërbimeve onkologjike në nivel kombëtar, universitar, rajonal dhe vendor, dhe mbështet funksionimin e integruar të Rrjetit Kombëtar të Sëmundjeve Tumorale;</w:t>
      </w:r>
    </w:p>
    <w:p w14:paraId="1147C6FA" w14:textId="77777777" w:rsidR="00A530B0" w:rsidRPr="00D62566" w:rsidRDefault="00A530B0" w:rsidP="00A530B0">
      <w:pPr>
        <w:pStyle w:val="pf0"/>
        <w:spacing w:before="0" w:beforeAutospacing="0" w:after="0" w:afterAutospacing="0"/>
        <w:ind w:firstLine="284"/>
        <w:jc w:val="both"/>
        <w:rPr>
          <w:rFonts w:ascii="Garamond" w:hAnsi="Garamond"/>
          <w:lang w:val="sq-AL"/>
        </w:rPr>
      </w:pPr>
      <w:r w:rsidRPr="00D62566">
        <w:rPr>
          <w:rFonts w:ascii="Garamond" w:hAnsi="Garamond"/>
          <w:lang w:val="sq-AL"/>
        </w:rPr>
        <w:t>b) harton dhe përditëson udhëzime, standarde dhe protokolle të unifikuara për diagnostikimin, trajtimin dhe ndjekjen e pacientëve onkologjikë, përfshirë rrugët e integruara diagnostiko-terapeutike dhe asistencën e pacientit;</w:t>
      </w:r>
    </w:p>
    <w:p w14:paraId="09A91753"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c) mbështet zhvillimin e vendimmarrjes klinike </w:t>
      </w:r>
      <w:proofErr w:type="spellStart"/>
      <w:r w:rsidRPr="00D62566">
        <w:rPr>
          <w:rFonts w:ascii="Garamond" w:hAnsi="Garamond"/>
        </w:rPr>
        <w:t>multidisiplinare</w:t>
      </w:r>
      <w:proofErr w:type="spellEnd"/>
      <w:r w:rsidRPr="00D62566">
        <w:rPr>
          <w:rFonts w:ascii="Garamond" w:hAnsi="Garamond"/>
        </w:rPr>
        <w:t xml:space="preserve"> përmes </w:t>
      </w:r>
      <w:r w:rsidRPr="00D62566">
        <w:rPr>
          <w:rFonts w:ascii="Garamond" w:hAnsi="Garamond"/>
          <w:i/>
          <w:iCs/>
        </w:rPr>
        <w:t>tumor-</w:t>
      </w:r>
      <w:proofErr w:type="spellStart"/>
      <w:r w:rsidRPr="00D62566">
        <w:rPr>
          <w:rFonts w:ascii="Garamond" w:hAnsi="Garamond"/>
          <w:i/>
          <w:iCs/>
        </w:rPr>
        <w:t>board</w:t>
      </w:r>
      <w:proofErr w:type="spellEnd"/>
      <w:r w:rsidRPr="00D62566">
        <w:rPr>
          <w:rFonts w:ascii="Garamond" w:hAnsi="Garamond"/>
          <w:i/>
          <w:iCs/>
        </w:rPr>
        <w:t>-</w:t>
      </w:r>
      <w:r w:rsidRPr="00D62566">
        <w:rPr>
          <w:rFonts w:ascii="Garamond" w:hAnsi="Garamond"/>
        </w:rPr>
        <w:t xml:space="preserve">eve dhe koordinon bashkëpunimin profesional, ndërmjet strukturave onkologjike rajonale; </w:t>
      </w:r>
    </w:p>
    <w:p w14:paraId="36F08EF7"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ç) përcakton mekanizmat e referimit dhe </w:t>
      </w:r>
      <w:proofErr w:type="spellStart"/>
      <w:r w:rsidRPr="00D62566">
        <w:rPr>
          <w:rFonts w:ascii="Garamond" w:hAnsi="Garamond"/>
        </w:rPr>
        <w:t>kundërreferimit</w:t>
      </w:r>
      <w:proofErr w:type="spellEnd"/>
      <w:r w:rsidRPr="00D62566">
        <w:rPr>
          <w:rFonts w:ascii="Garamond" w:hAnsi="Garamond"/>
        </w:rPr>
        <w:t xml:space="preserve"> të pacientëve ndërmjet niveleve të sistemit shëndetësor, të cilët bazohen në protokolle të unifikuara klinike, që sigurojnë vazhdimësinë e kujdesit dhe shpërndarjen e drejtë të rasteve sipas nivelit të </w:t>
      </w:r>
      <w:proofErr w:type="spellStart"/>
      <w:r w:rsidRPr="00D62566">
        <w:rPr>
          <w:rFonts w:ascii="Garamond" w:hAnsi="Garamond"/>
        </w:rPr>
        <w:t>kompleksitetit</w:t>
      </w:r>
      <w:proofErr w:type="spellEnd"/>
      <w:r w:rsidRPr="00D62566">
        <w:rPr>
          <w:rFonts w:ascii="Garamond" w:hAnsi="Garamond"/>
        </w:rPr>
        <w:t>;</w:t>
      </w:r>
    </w:p>
    <w:p w14:paraId="45A95BF8"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d) ofron mbështetje profesionale për njësitë onkologjike rajonale përmes </w:t>
      </w:r>
      <w:proofErr w:type="spellStart"/>
      <w:r w:rsidRPr="00D62566">
        <w:rPr>
          <w:rFonts w:ascii="Garamond" w:hAnsi="Garamond"/>
        </w:rPr>
        <w:t>konsulencës</w:t>
      </w:r>
      <w:proofErr w:type="spellEnd"/>
      <w:r w:rsidRPr="00D62566">
        <w:rPr>
          <w:rFonts w:ascii="Garamond" w:hAnsi="Garamond"/>
        </w:rPr>
        <w:t xml:space="preserve"> klinike, trajnimeve dhe programeve të edukimit të vazhdueshëm profesional.</w:t>
      </w:r>
    </w:p>
    <w:p w14:paraId="0D3A0274"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4. Instituti bashkëpunon me Institutin e Shëndetit Publik për funksionimin dhe zhvillimin e Regjistrit Kombëtar të Kancerit, duke siguruar raportimin e të dhënave mbi rastet e kancerit dhe përdorimin e tyre për analizë epidemiologjike, planifikim shërbimesh dhe zhvillim politikash shëndetësore, në përputhje me legjislacionin për mbrojtjen e të dhënave personale.</w:t>
      </w:r>
    </w:p>
    <w:p w14:paraId="057CC8F4"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5. Institucionet shëndetësore private, që ofrojnë shërbime onkologjike, zbatojnë standardet kombëtare klinike dhe raportojnë të dhënat epidemiologjike në Regjistrin Kombëtar të Kancerit, në përputhje me legjislacionin në fuqi për kujdesin shëndetësor dhe shëndetin publik.</w:t>
      </w:r>
    </w:p>
    <w:p w14:paraId="1F35DD95"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6. Instituti harton, përditëson dhe miraton teknikisht udhëzuesit dhe protokollet klinike diagnostiko-terapeutike për sëmundjet tumorale dhe i depoziton ato pranë ministrisë përgjegjëse për shëndetësinë. Protokollet hyjnë në fuqi dhe bëhen të detyrueshme pas miratimit të tyre me urdhër të ministrit përgjegjës për shëndetësinë.</w:t>
      </w:r>
    </w:p>
    <w:p w14:paraId="708265A8" w14:textId="77777777" w:rsidR="00A530B0" w:rsidRPr="00D62566" w:rsidRDefault="00A530B0" w:rsidP="00A530B0">
      <w:pPr>
        <w:pStyle w:val="pf0"/>
        <w:spacing w:before="0" w:beforeAutospacing="0" w:after="0" w:afterAutospacing="0"/>
        <w:ind w:firstLine="284"/>
        <w:jc w:val="both"/>
        <w:rPr>
          <w:rFonts w:ascii="Garamond" w:hAnsi="Garamond" w:cs="Segoe UI"/>
          <w:lang w:val="sq-AL"/>
        </w:rPr>
      </w:pPr>
      <w:r w:rsidRPr="00D62566">
        <w:rPr>
          <w:rFonts w:ascii="Garamond" w:hAnsi="Garamond" w:cs="Segoe UI"/>
          <w:lang w:val="sq-AL"/>
        </w:rPr>
        <w:t>7. Ministria përgjegjëse për shëndetësinë ushtron monitorimin institucional e politik mbi mbarëvajtjen e Rrjetit Kombëtar të Sëmundjeve Tumorale, si dhe miraton Planin Kombëtar të Kontrollit të Kancerit, të propozuar nga Instituti.</w:t>
      </w:r>
    </w:p>
    <w:p w14:paraId="5582D7A4" w14:textId="77777777" w:rsidR="00A530B0" w:rsidRPr="00D62566" w:rsidRDefault="00A530B0" w:rsidP="00A530B0">
      <w:pPr>
        <w:spacing w:after="0" w:line="240" w:lineRule="auto"/>
        <w:ind w:firstLine="284"/>
        <w:rPr>
          <w:rFonts w:ascii="Garamond" w:hAnsi="Garamond" w:cs="Times New Roman"/>
          <w:bCs/>
        </w:rPr>
      </w:pPr>
      <w:proofErr w:type="spellStart"/>
      <w:r w:rsidRPr="00D62566">
        <w:rPr>
          <w:rFonts w:ascii="Garamond" w:hAnsi="Garamond" w:cs="Times New Roman"/>
          <w:bCs/>
        </w:rPr>
        <w:t>III</w:t>
      </w:r>
      <w:proofErr w:type="spellEnd"/>
      <w:r w:rsidRPr="00D62566">
        <w:rPr>
          <w:rFonts w:ascii="Garamond" w:hAnsi="Garamond" w:cs="Times New Roman"/>
          <w:bCs/>
        </w:rPr>
        <w:t>. FUNKSIONI MËSIMOR DHE KËRKIMOR-SHKENCOR</w:t>
      </w:r>
    </w:p>
    <w:p w14:paraId="179780ED"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lastRenderedPageBreak/>
        <w:t>1.  Instituti, në cilësinë e strukturës shëndetësore universitare, sipas legjislacionit në fuqi për arsimin e lartë dhe për shëndetësinë, ushtron veprimtari mësimore, praktike dhe kërkimore-shkencore, si pjesë e Universitetit të Mjekësisë, Tiranë, si dhe bashkëpunon me institucione të tjera të arsimit të lartë, vendas ose të huaj.</w:t>
      </w:r>
    </w:p>
    <w:p w14:paraId="2A39CF7A"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2. Instituti kryen procedurat e regjistrimit në Regjistrin Kombëtar të Institucioneve, Instituteve dhe Njësive të Veçanta të Kërkimit Shkencor, në përputhje me legjislacionin në fuqi për shkencën dhe kërkimin shkencor.</w:t>
      </w:r>
    </w:p>
    <w:p w14:paraId="06D94AD3" w14:textId="6DB2FA1B"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 xml:space="preserve"> 3.  Instituti zhvillon dhe koordinon bashkëpunimin shkencor dhe profesional me institucione homologe ndërkombëtare, organizata ndërkombëtare dhe rrjete </w:t>
      </w:r>
      <w:r w:rsidR="00D62566" w:rsidRPr="00D62566">
        <w:rPr>
          <w:rFonts w:ascii="Garamond" w:hAnsi="Garamond" w:cs="Times New Roman"/>
        </w:rPr>
        <w:t>evropiane</w:t>
      </w:r>
      <w:r w:rsidRPr="00D62566">
        <w:rPr>
          <w:rFonts w:ascii="Garamond" w:hAnsi="Garamond" w:cs="Times New Roman"/>
        </w:rPr>
        <w:t xml:space="preserve"> të kërkimit dhe trajtimit të kancerit, me qëllim përmirësimin e praktikës klinike, zhvillimin e kërkimit shkencor dhe transferimin e teknologjive të avancuara në fushën e onkologjisë.</w:t>
      </w:r>
    </w:p>
    <w:p w14:paraId="5918296A" w14:textId="77777777" w:rsidR="00A530B0" w:rsidRPr="00D62566" w:rsidRDefault="00A530B0" w:rsidP="00A530B0">
      <w:pPr>
        <w:spacing w:after="0" w:line="240" w:lineRule="auto"/>
        <w:ind w:firstLine="284"/>
        <w:rPr>
          <w:rFonts w:ascii="Garamond" w:hAnsi="Garamond" w:cs="Times New Roman"/>
          <w:bCs/>
        </w:rPr>
      </w:pPr>
      <w:proofErr w:type="spellStart"/>
      <w:r w:rsidRPr="00D62566">
        <w:rPr>
          <w:rFonts w:ascii="Garamond" w:hAnsi="Garamond" w:cs="Times New Roman"/>
          <w:bCs/>
        </w:rPr>
        <w:t>IV</w:t>
      </w:r>
      <w:proofErr w:type="spellEnd"/>
      <w:r w:rsidRPr="00D62566">
        <w:rPr>
          <w:rFonts w:ascii="Garamond" w:hAnsi="Garamond" w:cs="Times New Roman"/>
          <w:bCs/>
        </w:rPr>
        <w:t>. ORGANIZIMI I BRENDSHËM I INSTITUTIT</w:t>
      </w:r>
    </w:p>
    <w:p w14:paraId="0EF99A28"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Instituti organizohet në organet drejtuese, njësitë e kërkimit shkencor dhe në njësinë e shërbimit spitalor, si më poshtë vijon:</w:t>
      </w:r>
    </w:p>
    <w:p w14:paraId="189BB16C" w14:textId="77777777" w:rsidR="00A530B0" w:rsidRPr="00D62566" w:rsidRDefault="00A530B0" w:rsidP="00A530B0">
      <w:pPr>
        <w:spacing w:after="0" w:line="240" w:lineRule="auto"/>
        <w:ind w:firstLine="284"/>
        <w:rPr>
          <w:rFonts w:ascii="Garamond" w:hAnsi="Garamond" w:cs="Times New Roman"/>
          <w:b/>
          <w:bCs/>
        </w:rPr>
      </w:pPr>
      <w:r w:rsidRPr="00D62566">
        <w:rPr>
          <w:rFonts w:ascii="Garamond" w:hAnsi="Garamond" w:cs="Times New Roman"/>
          <w:b/>
          <w:bCs/>
        </w:rPr>
        <w:t>A. Organet drejtuese</w:t>
      </w:r>
    </w:p>
    <w:p w14:paraId="27F23B40" w14:textId="3357E9A8"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1. Këshilli Shkencor i Institutit është organi më i lartë vendimmarrës i institucionit, i cili drejton, orienton dhe vlerëson veprimtarinë kërkimore-shkencore dhe akademike të tij. Këshilli Shkencor përbëhet nga jo më pak se 5 anëtarë dhe kryesohet nga drejtuesi i Institutit. Përbërja, organizimi, mënyra e përzgjedhjes dhe kompetencat e tjera të Këshillit Shkencor përcaktohen në rregulloren e miratuar nga Këshilli Shkencor, në përputhje me  ligjin nr.</w:t>
      </w:r>
      <w:r w:rsidR="00D62566">
        <w:rPr>
          <w:rFonts w:ascii="Garamond" w:hAnsi="Garamond" w:cs="Times New Roman"/>
        </w:rPr>
        <w:t xml:space="preserve"> </w:t>
      </w:r>
      <w:r w:rsidRPr="00D62566">
        <w:rPr>
          <w:rFonts w:ascii="Garamond" w:hAnsi="Garamond" w:cs="Times New Roman"/>
        </w:rPr>
        <w:t>109/2024, “Për shkencën dhe kërkimin shkencor në Republikën e Shqipërisë”.</w:t>
      </w:r>
    </w:p>
    <w:p w14:paraId="12D7D6E0"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 xml:space="preserve">2. Bordi i Administrimit është organi kolegjial përgjegjës për mbikëqyrjen administrative dhe menaxhimin e burimeve financiare e të </w:t>
      </w:r>
      <w:proofErr w:type="spellStart"/>
      <w:r w:rsidRPr="00D62566">
        <w:rPr>
          <w:rFonts w:ascii="Garamond" w:hAnsi="Garamond" w:cs="Times New Roman"/>
        </w:rPr>
        <w:t>aseteve</w:t>
      </w:r>
      <w:proofErr w:type="spellEnd"/>
      <w:r w:rsidRPr="00D62566">
        <w:rPr>
          <w:rFonts w:ascii="Garamond" w:hAnsi="Garamond" w:cs="Times New Roman"/>
        </w:rPr>
        <w:t xml:space="preserve"> të institucionit. Ai përcakton politikat kryesore të zhvillimit institucional, miraton projektbuxhetin dhe mbikëqyr përdorimin e fondeve, në përputhje me objektivat afatgjatë. Organizimi dhe funksionimi i Bordit të Administrimit përcaktohen në statutin e institutit.</w:t>
      </w:r>
    </w:p>
    <w:p w14:paraId="7D5B13EE"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3. Drejtuesi i Institutit është autoriteti ekzekutiv, administrativ dhe shkencor i institucionit, i cili emërohet nga ministri përgjegjës për shëndetësinë, bazuar në kriteret akademike dhe procedurat sipas legjislacionit në fuqi. Drejtuesi i Institutit është kryetar i Këshillit Shkencor. Kompetencat dhe detyrat e drejtuesit të institucionit përcaktohen në statutin e institutit.</w:t>
      </w:r>
    </w:p>
    <w:p w14:paraId="2A189962"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 xml:space="preserve">4. Organet drejtuese të Institutit mbështeten nga stafi administrativ i Institutit, i cili është pjesë e strukturës organizative dhe e numrit të punonjësve të miratuar për institucionin. </w:t>
      </w:r>
    </w:p>
    <w:p w14:paraId="0CC10B43" w14:textId="77777777" w:rsidR="00A530B0" w:rsidRPr="00D62566" w:rsidRDefault="00A530B0" w:rsidP="00A530B0">
      <w:pPr>
        <w:spacing w:after="0" w:line="240" w:lineRule="auto"/>
        <w:ind w:firstLine="284"/>
        <w:rPr>
          <w:rFonts w:ascii="Garamond" w:hAnsi="Garamond" w:cs="Times New Roman"/>
          <w:b/>
          <w:bCs/>
        </w:rPr>
      </w:pPr>
      <w:r w:rsidRPr="00D62566">
        <w:rPr>
          <w:rFonts w:ascii="Garamond" w:hAnsi="Garamond" w:cs="Times New Roman"/>
          <w:b/>
          <w:bCs/>
        </w:rPr>
        <w:t>B. Njësitë e kërkimit shkencor</w:t>
      </w:r>
    </w:p>
    <w:p w14:paraId="64D9C7D4" w14:textId="77777777" w:rsidR="00A530B0" w:rsidRPr="00D62566" w:rsidRDefault="00A530B0" w:rsidP="00A530B0">
      <w:pPr>
        <w:tabs>
          <w:tab w:val="left" w:pos="720"/>
        </w:tabs>
        <w:spacing w:after="0" w:line="240" w:lineRule="auto"/>
        <w:ind w:firstLine="284"/>
        <w:jc w:val="both"/>
        <w:rPr>
          <w:rFonts w:ascii="Garamond" w:hAnsi="Garamond" w:cs="Times New Roman"/>
        </w:rPr>
      </w:pPr>
      <w:r w:rsidRPr="00D62566">
        <w:rPr>
          <w:rFonts w:ascii="Garamond" w:hAnsi="Garamond" w:cs="Times New Roman"/>
        </w:rPr>
        <w:t xml:space="preserve">1. Qendra Kombëtare e Epidemiologjisë Onkologjike dhe Parandalimit është njësi e kërkimit shkencor, përgjegjëse për koordinimin dhe zhvillimin e studimeve mbi popullatën për shpërndarjen e sëmundjeve tumorale në Republikën e Shqipërisë dhe menaxhimin teknik të </w:t>
      </w:r>
      <w:proofErr w:type="spellStart"/>
      <w:r w:rsidRPr="00D62566">
        <w:rPr>
          <w:rFonts w:ascii="Garamond" w:hAnsi="Garamond" w:cs="Times New Roman"/>
        </w:rPr>
        <w:t>të</w:t>
      </w:r>
      <w:proofErr w:type="spellEnd"/>
      <w:r w:rsidRPr="00D62566">
        <w:rPr>
          <w:rFonts w:ascii="Garamond" w:hAnsi="Garamond" w:cs="Times New Roman"/>
        </w:rPr>
        <w:t xml:space="preserve"> dhënave të Regjistrit Kombëtar të Kancerit. Ajo hulumton mbi faktorët e riskut mjedisor, profesional e gjenetik, udhëheq shkencërisht programet kombëtare të </w:t>
      </w:r>
      <w:proofErr w:type="spellStart"/>
      <w:r w:rsidRPr="00D62566">
        <w:rPr>
          <w:rFonts w:ascii="Garamond" w:hAnsi="Garamond" w:cs="Times New Roman"/>
        </w:rPr>
        <w:t>depistimit</w:t>
      </w:r>
      <w:proofErr w:type="spellEnd"/>
      <w:r w:rsidRPr="00D62566">
        <w:rPr>
          <w:rFonts w:ascii="Garamond" w:hAnsi="Garamond" w:cs="Times New Roman"/>
        </w:rPr>
        <w:t xml:space="preserve"> (</w:t>
      </w:r>
      <w:proofErr w:type="spellStart"/>
      <w:r w:rsidRPr="00D62566">
        <w:rPr>
          <w:rFonts w:ascii="Garamond" w:hAnsi="Garamond" w:cs="Times New Roman"/>
          <w:i/>
          <w:iCs/>
        </w:rPr>
        <w:t>screening</w:t>
      </w:r>
      <w:proofErr w:type="spellEnd"/>
      <w:r w:rsidRPr="00D62566">
        <w:rPr>
          <w:rFonts w:ascii="Garamond" w:hAnsi="Garamond" w:cs="Times New Roman"/>
        </w:rPr>
        <w:t>) dhe koordinon Rrjetin Kombëtar të Sëmundjeve Tumorale, duke siguruar bashkëpunimin me Institutin e Shëndetit Publik dhe strukturat rajonale.</w:t>
      </w:r>
    </w:p>
    <w:p w14:paraId="11D3FC97" w14:textId="77777777" w:rsidR="00A530B0" w:rsidRPr="00D62566" w:rsidRDefault="00A530B0" w:rsidP="00A530B0">
      <w:pPr>
        <w:tabs>
          <w:tab w:val="left" w:pos="720"/>
        </w:tabs>
        <w:spacing w:after="0" w:line="240" w:lineRule="auto"/>
        <w:ind w:firstLine="284"/>
        <w:jc w:val="both"/>
        <w:rPr>
          <w:rFonts w:ascii="Garamond" w:hAnsi="Garamond" w:cs="Times New Roman"/>
        </w:rPr>
      </w:pPr>
      <w:r w:rsidRPr="00D62566">
        <w:rPr>
          <w:rFonts w:ascii="Garamond" w:hAnsi="Garamond" w:cs="Times New Roman"/>
        </w:rPr>
        <w:t xml:space="preserve">2. Qendra e Kërkimit Onkologjik Klinik dhe Terapive të Reja është njësi e kërkimit shkencor, përgjegjëse për ushtrimin e funksionit diagnostikues e trajtues, funksioneve mësimore e kërkimore-shkencore, si dhe për </w:t>
      </w:r>
      <w:proofErr w:type="spellStart"/>
      <w:r w:rsidRPr="00D62566">
        <w:rPr>
          <w:rFonts w:ascii="Garamond" w:hAnsi="Garamond" w:cs="Times New Roman"/>
        </w:rPr>
        <w:t>iniciimin</w:t>
      </w:r>
      <w:proofErr w:type="spellEnd"/>
      <w:r w:rsidRPr="00D62566">
        <w:rPr>
          <w:rFonts w:ascii="Garamond" w:hAnsi="Garamond" w:cs="Times New Roman"/>
        </w:rPr>
        <w:t xml:space="preserve">, </w:t>
      </w:r>
      <w:proofErr w:type="spellStart"/>
      <w:r w:rsidRPr="00D62566">
        <w:rPr>
          <w:rFonts w:ascii="Garamond" w:hAnsi="Garamond" w:cs="Times New Roman"/>
        </w:rPr>
        <w:t>negociimin</w:t>
      </w:r>
      <w:proofErr w:type="spellEnd"/>
      <w:r w:rsidRPr="00D62566">
        <w:rPr>
          <w:rFonts w:ascii="Garamond" w:hAnsi="Garamond" w:cs="Times New Roman"/>
        </w:rPr>
        <w:t xml:space="preserve">, </w:t>
      </w:r>
      <w:proofErr w:type="spellStart"/>
      <w:r w:rsidRPr="00D62566">
        <w:rPr>
          <w:rFonts w:ascii="Garamond" w:hAnsi="Garamond" w:cs="Times New Roman"/>
        </w:rPr>
        <w:t>formalizimin</w:t>
      </w:r>
      <w:proofErr w:type="spellEnd"/>
      <w:r w:rsidRPr="00D62566">
        <w:rPr>
          <w:rFonts w:ascii="Garamond" w:hAnsi="Garamond" w:cs="Times New Roman"/>
        </w:rPr>
        <w:t xml:space="preserve"> dhe menaxhimin e studimeve klinike (provave të medikamenteve) në fushën e onkologjisë. Ajo shërben si urë lidhëse midis kërkimit laboratorik dhe pacientit përmes studimit të mutacioneve gjenetike (mjekësisë së personalizuar), vlerëson teknologjitë e reja terapeutike dhe menaxhon marrëdhëniet kërkimore me Universitetin e Mjekësisë Tiranë, Qendrën Spitalore Universitare “Nënë Tereza”, si dhe me institucionet homologe ndërkombëtare. </w:t>
      </w:r>
    </w:p>
    <w:p w14:paraId="0C8DE7E7" w14:textId="77777777" w:rsidR="00A530B0" w:rsidRPr="00D62566" w:rsidRDefault="00A530B0" w:rsidP="00A530B0">
      <w:pPr>
        <w:spacing w:after="0" w:line="240" w:lineRule="auto"/>
        <w:ind w:firstLine="284"/>
        <w:rPr>
          <w:rFonts w:ascii="Garamond" w:hAnsi="Garamond" w:cs="Times New Roman"/>
          <w:b/>
          <w:bCs/>
        </w:rPr>
      </w:pPr>
      <w:r w:rsidRPr="00D62566">
        <w:rPr>
          <w:rFonts w:ascii="Garamond" w:hAnsi="Garamond" w:cs="Times New Roman"/>
          <w:b/>
          <w:bCs/>
        </w:rPr>
        <w:t xml:space="preserve">C. Shërbimi Spitalor Universitar Onkologjik </w:t>
      </w:r>
    </w:p>
    <w:p w14:paraId="3B06417D"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 xml:space="preserve">Shërbimi Spitalor Universitar Onkologjik është struktura e Institutit, përgjegjëse për ofrimin e shërbimeve të specializuara të integruara të diagnostikimit, trajtimit dhe ndjekjes së pacientëve onkologjikë, si dhe shërben si bazë klinike universitare për zhvillimin e veprimtarisë mësimore, </w:t>
      </w:r>
      <w:r w:rsidRPr="00D62566">
        <w:rPr>
          <w:rFonts w:ascii="Garamond" w:hAnsi="Garamond" w:cs="Times New Roman"/>
        </w:rPr>
        <w:lastRenderedPageBreak/>
        <w:t xml:space="preserve">specializimeve dhe kërkimit shkencor si pjesë e Universiteti të Mjekësisë, Tiranë, dhe/ose në bashkëpunim me institucione të tjera të arsimit të lartë. Në përbërje të tij përfshihen strukturat e diagnostikimit, kujdesit mjekësor, kirurgjikal, radioterapisë dhe kujdesit </w:t>
      </w:r>
      <w:proofErr w:type="spellStart"/>
      <w:r w:rsidRPr="00D62566">
        <w:rPr>
          <w:rFonts w:ascii="Garamond" w:hAnsi="Garamond" w:cs="Times New Roman"/>
        </w:rPr>
        <w:t>paliativ</w:t>
      </w:r>
      <w:proofErr w:type="spellEnd"/>
      <w:r w:rsidRPr="00D62566">
        <w:rPr>
          <w:rFonts w:ascii="Garamond" w:hAnsi="Garamond" w:cs="Times New Roman"/>
        </w:rPr>
        <w:t>, si dhe farmacia spitalore onkologjike, e cila siguron menaxhimin dhe shpërndarjen e barnave specifike, në përputhje me legjislacionin dhe standardet në fuqi.</w:t>
      </w:r>
    </w:p>
    <w:p w14:paraId="7A0B3791" w14:textId="77777777" w:rsidR="00A530B0" w:rsidRPr="00D62566" w:rsidRDefault="00A530B0" w:rsidP="00A530B0">
      <w:pPr>
        <w:spacing w:after="0" w:line="240" w:lineRule="auto"/>
        <w:ind w:firstLine="284"/>
        <w:rPr>
          <w:rFonts w:ascii="Garamond" w:hAnsi="Garamond" w:cs="Times New Roman"/>
          <w:b/>
          <w:bCs/>
        </w:rPr>
      </w:pPr>
      <w:r w:rsidRPr="00D62566">
        <w:rPr>
          <w:rFonts w:ascii="Garamond" w:hAnsi="Garamond" w:cs="Times New Roman"/>
          <w:b/>
          <w:bCs/>
        </w:rPr>
        <w:t>Ç. Organet këshillimore dhe strukturat ndërlidhëse</w:t>
      </w:r>
    </w:p>
    <w:p w14:paraId="1B5FA9BE"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rPr>
        <w:t xml:space="preserve">1. Komiteti i Etikës është organ këshillimor për çështje të kërkimit shkencor, </w:t>
      </w:r>
      <w:proofErr w:type="spellStart"/>
      <w:r w:rsidRPr="00D62566">
        <w:rPr>
          <w:rFonts w:ascii="Garamond" w:hAnsi="Garamond" w:cs="Times New Roman"/>
        </w:rPr>
        <w:t>bioetikës</w:t>
      </w:r>
      <w:proofErr w:type="spellEnd"/>
      <w:r w:rsidRPr="00D62566">
        <w:rPr>
          <w:rFonts w:ascii="Garamond" w:hAnsi="Garamond" w:cs="Times New Roman"/>
        </w:rPr>
        <w:t xml:space="preserve"> dhe respektimit të parimeve të integritetit shkencor në studimet me subjektet njerëzore apo materialet biologjike. Përbërja dhe mënyra e funksionimit të tij përcaktohen në statutin e Institutit, në përputhje me legjislacionin në fuqi për kërkimin shkencor dhe atë shëndetësor.</w:t>
      </w:r>
    </w:p>
    <w:p w14:paraId="3FFF9F70" w14:textId="77777777" w:rsidR="00A530B0" w:rsidRPr="00D62566" w:rsidRDefault="00A530B0" w:rsidP="00A530B0">
      <w:pPr>
        <w:spacing w:after="0" w:line="240" w:lineRule="auto"/>
        <w:ind w:firstLine="284"/>
        <w:jc w:val="both"/>
        <w:rPr>
          <w:rFonts w:ascii="Garamond" w:hAnsi="Garamond" w:cs="Times New Roman"/>
        </w:rPr>
      </w:pPr>
      <w:r w:rsidRPr="00D62566">
        <w:rPr>
          <w:rFonts w:ascii="Garamond" w:hAnsi="Garamond" w:cs="Times New Roman"/>
          <w:i/>
          <w:iCs/>
        </w:rPr>
        <w:t>2. Tumor-</w:t>
      </w:r>
      <w:proofErr w:type="spellStart"/>
      <w:r w:rsidRPr="00D62566">
        <w:rPr>
          <w:rFonts w:ascii="Garamond" w:hAnsi="Garamond" w:cs="Times New Roman"/>
          <w:i/>
          <w:iCs/>
        </w:rPr>
        <w:t>board</w:t>
      </w:r>
      <w:proofErr w:type="spellEnd"/>
      <w:r w:rsidRPr="00D62566">
        <w:rPr>
          <w:rFonts w:ascii="Garamond" w:hAnsi="Garamond" w:cs="Times New Roman"/>
          <w:iCs/>
        </w:rPr>
        <w:t>-et</w:t>
      </w:r>
      <w:r w:rsidRPr="00D62566">
        <w:rPr>
          <w:rFonts w:ascii="Garamond" w:hAnsi="Garamond" w:cs="Times New Roman"/>
        </w:rPr>
        <w:t xml:space="preserve"> (Konsultat </w:t>
      </w:r>
      <w:proofErr w:type="spellStart"/>
      <w:r w:rsidRPr="00D62566">
        <w:rPr>
          <w:rFonts w:ascii="Garamond" w:hAnsi="Garamond" w:cs="Times New Roman"/>
        </w:rPr>
        <w:t>multidisiplinare</w:t>
      </w:r>
      <w:proofErr w:type="spellEnd"/>
      <w:r w:rsidRPr="00D62566">
        <w:rPr>
          <w:rFonts w:ascii="Garamond" w:hAnsi="Garamond" w:cs="Times New Roman"/>
        </w:rPr>
        <w:t>) në të gjitha strukturat shëndetësore spitalore, që ofrojnë kujdes onkologjik në vend, janë pjesë funksionale dhe ndërlidhëse e Rrjetit Kombëtar të Sëmundjeve Tumorale që koordinohet nga Instituti, duke shërbyer si mekanizëm i detyrueshëm konsultimi dhe vendimmarrjeje klinike për rastet onkologjike.</w:t>
      </w:r>
    </w:p>
    <w:p w14:paraId="4C94551E" w14:textId="77777777" w:rsidR="00A530B0" w:rsidRPr="00D62566" w:rsidRDefault="00A530B0" w:rsidP="00A530B0">
      <w:pPr>
        <w:spacing w:after="0" w:line="240" w:lineRule="auto"/>
        <w:ind w:firstLine="284"/>
        <w:rPr>
          <w:rFonts w:ascii="Garamond" w:hAnsi="Garamond" w:cs="Times New Roman"/>
          <w:bCs/>
        </w:rPr>
      </w:pPr>
      <w:r w:rsidRPr="00D62566">
        <w:rPr>
          <w:rFonts w:ascii="Garamond" w:hAnsi="Garamond" w:cs="Times New Roman"/>
          <w:bCs/>
        </w:rPr>
        <w:t xml:space="preserve">V. FINANCIMI DHE MARRËDHËNIET E PUNËS </w:t>
      </w:r>
    </w:p>
    <w:p w14:paraId="71923A09"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1. Financimi i Institutit Kombëtar Onkologjik realizohet përmes:</w:t>
      </w:r>
    </w:p>
    <w:p w14:paraId="11C958D1" w14:textId="7254A283"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a) fondeve të buxhetit të shtetit, të </w:t>
      </w:r>
      <w:proofErr w:type="spellStart"/>
      <w:r w:rsidRPr="00D62566">
        <w:rPr>
          <w:rFonts w:ascii="Garamond" w:hAnsi="Garamond"/>
        </w:rPr>
        <w:t>alokuara</w:t>
      </w:r>
      <w:proofErr w:type="spellEnd"/>
      <w:r w:rsidRPr="00D62566">
        <w:rPr>
          <w:rFonts w:ascii="Garamond" w:hAnsi="Garamond"/>
        </w:rPr>
        <w:t xml:space="preserve"> </w:t>
      </w:r>
      <w:r w:rsidR="00D62566" w:rsidRPr="00D62566">
        <w:rPr>
          <w:rFonts w:ascii="Garamond" w:hAnsi="Garamond"/>
        </w:rPr>
        <w:t>për</w:t>
      </w:r>
      <w:r w:rsidRPr="00D62566">
        <w:rPr>
          <w:rFonts w:ascii="Garamond" w:hAnsi="Garamond"/>
        </w:rPr>
        <w:t xml:space="preserve"> funksionimin administrativ të Institutit;</w:t>
      </w:r>
    </w:p>
    <w:p w14:paraId="746112FA"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b) fondeve të </w:t>
      </w:r>
      <w:proofErr w:type="spellStart"/>
      <w:r w:rsidRPr="00D62566">
        <w:rPr>
          <w:rFonts w:ascii="Garamond" w:hAnsi="Garamond"/>
        </w:rPr>
        <w:t>alokuara</w:t>
      </w:r>
      <w:proofErr w:type="spellEnd"/>
      <w:r w:rsidRPr="00D62566">
        <w:rPr>
          <w:rFonts w:ascii="Garamond" w:hAnsi="Garamond"/>
        </w:rPr>
        <w:t xml:space="preserve"> nga Fondi i Sigurimit të Detyrueshëm të Kujdesit Shëndetësor për shërbimet spitalore, sipas legjislacionit të posaçëm për financimin e shërbimeve spitalore;</w:t>
      </w:r>
    </w:p>
    <w:p w14:paraId="4B2204D8"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c) fondeve për kërkimin shkencor dhe inovacionin, sipas legjislacionit të posaçëm për shkencën dhe kërkimin shkencor;</w:t>
      </w:r>
    </w:p>
    <w:p w14:paraId="7320AE67"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ç)  të ardhurave nga projekte kombëtare dhe ndërkombëtare;</w:t>
      </w:r>
    </w:p>
    <w:p w14:paraId="47CFA0C0"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d) donacioneve dhe </w:t>
      </w:r>
      <w:proofErr w:type="spellStart"/>
      <w:r w:rsidRPr="00D62566">
        <w:rPr>
          <w:rFonts w:ascii="Garamond" w:hAnsi="Garamond"/>
        </w:rPr>
        <w:t>granteve</w:t>
      </w:r>
      <w:proofErr w:type="spellEnd"/>
      <w:r w:rsidRPr="00D62566">
        <w:rPr>
          <w:rFonts w:ascii="Garamond" w:hAnsi="Garamond"/>
        </w:rPr>
        <w:t>;</w:t>
      </w:r>
    </w:p>
    <w:p w14:paraId="0356BEFE" w14:textId="2391513C"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dh)</w:t>
      </w:r>
      <w:r w:rsidR="00D62566">
        <w:rPr>
          <w:rFonts w:ascii="Garamond" w:hAnsi="Garamond"/>
        </w:rPr>
        <w:t xml:space="preserve"> </w:t>
      </w:r>
      <w:r w:rsidRPr="00D62566">
        <w:rPr>
          <w:rFonts w:ascii="Garamond" w:hAnsi="Garamond"/>
        </w:rPr>
        <w:t>burimeve të tjera, në përputhje me legjislacionin në fuqi.</w:t>
      </w:r>
    </w:p>
    <w:p w14:paraId="31E9D690"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2. Instituti përbëhet nga këto kategori personeli: </w:t>
      </w:r>
    </w:p>
    <w:p w14:paraId="72D9264E" w14:textId="77777777" w:rsidR="00A530B0" w:rsidRPr="00D62566" w:rsidRDefault="00A530B0" w:rsidP="00A530B0">
      <w:pPr>
        <w:pStyle w:val="ListParagraph"/>
        <w:tabs>
          <w:tab w:val="left" w:pos="720"/>
        </w:tabs>
        <w:spacing w:after="0" w:line="240" w:lineRule="auto"/>
        <w:ind w:left="0" w:firstLine="284"/>
        <w:jc w:val="both"/>
        <w:rPr>
          <w:rFonts w:ascii="Garamond" w:hAnsi="Garamond"/>
        </w:rPr>
      </w:pPr>
      <w:r w:rsidRPr="00D62566">
        <w:rPr>
          <w:rFonts w:ascii="Garamond" w:hAnsi="Garamond"/>
        </w:rPr>
        <w:t>a) Personel kërkimor-shkencor;</w:t>
      </w:r>
    </w:p>
    <w:p w14:paraId="0F9F6FEE" w14:textId="77777777" w:rsidR="00A530B0" w:rsidRPr="00D62566" w:rsidRDefault="00A530B0" w:rsidP="00A530B0">
      <w:pPr>
        <w:pStyle w:val="ListParagraph"/>
        <w:tabs>
          <w:tab w:val="left" w:pos="720"/>
        </w:tabs>
        <w:spacing w:after="0" w:line="240" w:lineRule="auto"/>
        <w:ind w:left="0" w:firstLine="284"/>
        <w:jc w:val="both"/>
        <w:rPr>
          <w:rFonts w:ascii="Garamond" w:hAnsi="Garamond"/>
        </w:rPr>
      </w:pPr>
      <w:r w:rsidRPr="00D62566">
        <w:rPr>
          <w:rFonts w:ascii="Garamond" w:hAnsi="Garamond"/>
        </w:rPr>
        <w:t>b) Personel akademik;</w:t>
      </w:r>
    </w:p>
    <w:p w14:paraId="7295BF05" w14:textId="77777777" w:rsidR="00A530B0" w:rsidRPr="00D62566" w:rsidRDefault="00A530B0" w:rsidP="00A530B0">
      <w:pPr>
        <w:pStyle w:val="ListParagraph"/>
        <w:tabs>
          <w:tab w:val="left" w:pos="720"/>
        </w:tabs>
        <w:spacing w:after="0" w:line="240" w:lineRule="auto"/>
        <w:ind w:left="0" w:firstLine="284"/>
        <w:jc w:val="both"/>
        <w:rPr>
          <w:rFonts w:ascii="Garamond" w:hAnsi="Garamond"/>
        </w:rPr>
      </w:pPr>
      <w:r w:rsidRPr="00D62566">
        <w:rPr>
          <w:rFonts w:ascii="Garamond" w:hAnsi="Garamond"/>
        </w:rPr>
        <w:t xml:space="preserve">c) Personel mjek dhe punonjës të tjerë me arsim të lartë, teknik të shkencave mjekësore dhe </w:t>
      </w:r>
      <w:proofErr w:type="spellStart"/>
      <w:r w:rsidRPr="00D62566">
        <w:rPr>
          <w:rFonts w:ascii="Garamond" w:hAnsi="Garamond"/>
        </w:rPr>
        <w:t>ndihmësteknikë</w:t>
      </w:r>
      <w:proofErr w:type="spellEnd"/>
      <w:r w:rsidRPr="00D62566">
        <w:rPr>
          <w:rFonts w:ascii="Garamond" w:hAnsi="Garamond"/>
        </w:rPr>
        <w:t>;</w:t>
      </w:r>
    </w:p>
    <w:p w14:paraId="75CE208B"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ç)  Personel administrativ dhe mbështetës.</w:t>
      </w:r>
    </w:p>
    <w:p w14:paraId="7FC36CE7" w14:textId="77777777" w:rsidR="00A530B0" w:rsidRPr="00D62566" w:rsidRDefault="00A530B0" w:rsidP="00A530B0">
      <w:pPr>
        <w:pStyle w:val="ListParagraph"/>
        <w:spacing w:after="0" w:line="240" w:lineRule="auto"/>
        <w:ind w:left="0" w:firstLine="284"/>
        <w:jc w:val="both"/>
        <w:rPr>
          <w:rFonts w:ascii="Garamond" w:hAnsi="Garamond"/>
          <w:strike/>
        </w:rPr>
      </w:pPr>
      <w:r w:rsidRPr="00D62566">
        <w:rPr>
          <w:rFonts w:ascii="Garamond" w:hAnsi="Garamond"/>
        </w:rPr>
        <w:t xml:space="preserve"> 3. Marrëdhëniet e punës së personelit të institutit rregullohen, sipas dispozitave të Kodit të Punës. </w:t>
      </w:r>
    </w:p>
    <w:p w14:paraId="0735D63A" w14:textId="77777777" w:rsidR="00A530B0" w:rsidRPr="00D62566" w:rsidRDefault="00A530B0" w:rsidP="00A530B0">
      <w:pPr>
        <w:pStyle w:val="ListParagraph"/>
        <w:spacing w:after="0" w:line="240" w:lineRule="auto"/>
        <w:ind w:left="0" w:firstLine="284"/>
        <w:jc w:val="both"/>
        <w:rPr>
          <w:rFonts w:ascii="Garamond" w:hAnsi="Garamond"/>
          <w:color w:val="EE0000"/>
        </w:rPr>
      </w:pPr>
      <w:r w:rsidRPr="00D62566">
        <w:rPr>
          <w:rFonts w:ascii="Garamond" w:hAnsi="Garamond"/>
        </w:rPr>
        <w:t>4. Numri i punonjësve, përfshirë drejtorin dhe punonjësit e kërkimit shkencor, është brenda numrit të përgjithshëm të punonjësve të miratuar për ministrinë përgjegjëse për shëndetësinë. Numri i punonjësve të shërbimit mjekësor dhe organika e institutit miratohen me urdhër të ministrit përgjegjës për shëndetësinë.</w:t>
      </w:r>
    </w:p>
    <w:p w14:paraId="37682FBC"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 5. Pagat e personelit të Institutit përcaktohen, në bazë të vendimeve përkatëse të Këshillit të Ministrave.  </w:t>
      </w:r>
    </w:p>
    <w:p w14:paraId="32FC0FC5" w14:textId="77777777" w:rsidR="00A530B0" w:rsidRPr="00D62566" w:rsidRDefault="00A530B0" w:rsidP="00A530B0">
      <w:pPr>
        <w:spacing w:after="0" w:line="240" w:lineRule="auto"/>
        <w:ind w:firstLine="284"/>
        <w:rPr>
          <w:rFonts w:ascii="Garamond" w:hAnsi="Garamond" w:cs="Times New Roman"/>
          <w:bCs/>
        </w:rPr>
      </w:pPr>
      <w:proofErr w:type="spellStart"/>
      <w:r w:rsidRPr="00D62566">
        <w:rPr>
          <w:rFonts w:ascii="Garamond" w:hAnsi="Garamond" w:cs="Times New Roman"/>
          <w:bCs/>
        </w:rPr>
        <w:t>VI</w:t>
      </w:r>
      <w:proofErr w:type="spellEnd"/>
      <w:r w:rsidRPr="00D62566">
        <w:rPr>
          <w:rFonts w:ascii="Garamond" w:hAnsi="Garamond" w:cs="Times New Roman"/>
          <w:bCs/>
        </w:rPr>
        <w:t>. DISPOZITA TË FUNDIT DHE TRANZITORE</w:t>
      </w:r>
    </w:p>
    <w:p w14:paraId="0AF5D58E"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1. Selia e Institutit është në Tiranë dhe stema e Institutit përbëhet nga stema e Republikës dhe shënimet: “Republika e Shqipërisë, Instituti Kombëtar Onkologjik”.</w:t>
      </w:r>
    </w:p>
    <w:p w14:paraId="140E6C06" w14:textId="36CDA06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2. Vula e Institutit ka formën dhe </w:t>
      </w:r>
      <w:bookmarkStart w:id="0" w:name="_GoBack"/>
      <w:r w:rsidRPr="00D62566">
        <w:rPr>
          <w:rFonts w:ascii="Garamond" w:hAnsi="Garamond"/>
        </w:rPr>
        <w:t>elemen</w:t>
      </w:r>
      <w:bookmarkEnd w:id="0"/>
      <w:r w:rsidRPr="00D62566">
        <w:rPr>
          <w:rFonts w:ascii="Garamond" w:hAnsi="Garamond"/>
        </w:rPr>
        <w:t>tet e përcaktuara në pikën 2</w:t>
      </w:r>
      <w:r w:rsidR="00D62566">
        <w:rPr>
          <w:rFonts w:ascii="Garamond" w:hAnsi="Garamond"/>
        </w:rPr>
        <w:t>,</w:t>
      </w:r>
      <w:r w:rsidRPr="00D62566">
        <w:rPr>
          <w:rFonts w:ascii="Garamond" w:hAnsi="Garamond"/>
        </w:rPr>
        <w:t xml:space="preserve"> të  vendimit nr.</w:t>
      </w:r>
      <w:r w:rsidR="00D62566">
        <w:rPr>
          <w:rFonts w:ascii="Garamond" w:hAnsi="Garamond"/>
        </w:rPr>
        <w:t xml:space="preserve"> </w:t>
      </w:r>
      <w:r w:rsidRPr="00D62566">
        <w:rPr>
          <w:rFonts w:ascii="Garamond" w:hAnsi="Garamond"/>
        </w:rPr>
        <w:t>390, datë 6.8.1993, të Këshillit të Ministrave, “Për rregullat e prodhimit, administrimit, kontrollit dhe ruajtjes së vulave zyrtare”, të ndryshuar.</w:t>
      </w:r>
    </w:p>
    <w:p w14:paraId="0852E7F1"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 3. Drejtuesi i Institutit emërohet brenda (30) tridhjetë ditëve nga hyrja në fuqi e këtij vendimi.</w:t>
      </w:r>
    </w:p>
    <w:p w14:paraId="6F98C025" w14:textId="77777777" w:rsidR="00A530B0" w:rsidRPr="00D62566" w:rsidRDefault="00A530B0" w:rsidP="00A530B0">
      <w:pPr>
        <w:pStyle w:val="ListParagraph"/>
        <w:spacing w:after="0" w:line="240" w:lineRule="auto"/>
        <w:ind w:left="0" w:firstLine="284"/>
        <w:jc w:val="both"/>
        <w:rPr>
          <w:rFonts w:ascii="Garamond" w:hAnsi="Garamond"/>
          <w:b/>
          <w:bCs/>
        </w:rPr>
      </w:pPr>
      <w:r w:rsidRPr="00D62566">
        <w:rPr>
          <w:rFonts w:ascii="Garamond" w:hAnsi="Garamond"/>
        </w:rPr>
        <w:t>4. Personeli ekzistues i shërbimit onkologjik që integrohet në Institut vijon marrëdhëniet e punës pa ndërprerje, në përputhje me Kodin e Punës dhe rregullimet e përcaktuara në aktet nënligjore dhe marrëveshjet përkatëse.</w:t>
      </w:r>
    </w:p>
    <w:p w14:paraId="5210431A" w14:textId="77777777" w:rsidR="00A530B0" w:rsidRPr="00D62566" w:rsidRDefault="00A530B0" w:rsidP="00A530B0">
      <w:pPr>
        <w:pStyle w:val="pf0"/>
        <w:spacing w:before="0" w:beforeAutospacing="0" w:after="0" w:afterAutospacing="0"/>
        <w:ind w:firstLine="284"/>
        <w:jc w:val="both"/>
        <w:rPr>
          <w:rFonts w:ascii="Garamond" w:hAnsi="Garamond" w:cs="Segoe UI"/>
          <w:lang w:val="sq-AL"/>
        </w:rPr>
      </w:pPr>
      <w:r w:rsidRPr="00D62566">
        <w:rPr>
          <w:rFonts w:ascii="Garamond" w:hAnsi="Garamond" w:cs="Segoe UI"/>
          <w:lang w:val="sq-AL"/>
        </w:rPr>
        <w:t xml:space="preserve">5. Të gjitha </w:t>
      </w:r>
      <w:proofErr w:type="spellStart"/>
      <w:r w:rsidRPr="00D62566">
        <w:rPr>
          <w:rFonts w:ascii="Garamond" w:hAnsi="Garamond" w:cs="Segoe UI"/>
          <w:lang w:val="sq-AL"/>
        </w:rPr>
        <w:t>asetet</w:t>
      </w:r>
      <w:proofErr w:type="spellEnd"/>
      <w:r w:rsidRPr="00D62566">
        <w:rPr>
          <w:rFonts w:ascii="Garamond" w:hAnsi="Garamond" w:cs="Segoe UI"/>
          <w:lang w:val="sq-AL"/>
        </w:rPr>
        <w:t>, infrastruktura fizike, pajisjet mjekësore, burimet njerëzore dhe detyrimet e Shërbimit të Onkologjisë pranë Qendrës Spitalore Universitare “Nënë Tereza” (</w:t>
      </w:r>
      <w:proofErr w:type="spellStart"/>
      <w:r w:rsidRPr="00D62566">
        <w:rPr>
          <w:rFonts w:ascii="Garamond" w:hAnsi="Garamond" w:cs="Segoe UI"/>
          <w:lang w:val="sq-AL"/>
        </w:rPr>
        <w:t>QSUNT</w:t>
      </w:r>
      <w:proofErr w:type="spellEnd"/>
      <w:r w:rsidRPr="00D62566">
        <w:rPr>
          <w:rFonts w:ascii="Garamond" w:hAnsi="Garamond" w:cs="Segoe UI"/>
          <w:lang w:val="sq-AL"/>
        </w:rPr>
        <w:t>) i transferohen Institutit brenda periudhës kalimtare, e cila përfundon më 31 dhjetor 2026.</w:t>
      </w:r>
    </w:p>
    <w:p w14:paraId="54EB196E" w14:textId="77777777" w:rsidR="00A530B0" w:rsidRPr="00D62566" w:rsidRDefault="00A530B0" w:rsidP="00A530B0">
      <w:pPr>
        <w:pStyle w:val="pf0"/>
        <w:spacing w:before="0" w:beforeAutospacing="0" w:after="0" w:afterAutospacing="0"/>
        <w:ind w:firstLine="284"/>
        <w:jc w:val="both"/>
        <w:rPr>
          <w:rFonts w:ascii="Garamond" w:hAnsi="Garamond" w:cs="Segoe UI"/>
          <w:lang w:val="sq-AL"/>
        </w:rPr>
      </w:pPr>
    </w:p>
    <w:p w14:paraId="5A3B7AC2"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lastRenderedPageBreak/>
        <w:t>6. Marrëdhëniet ndërmjet Institutit dhe Qendrës Spitalore Universitare “Nënë Tereza” gjatë periudhës tranzitore dhe pas përfundimit të  saj rregullohen me urdhër të ministrit përgjegjës për shëndetësinë, i cili përcakton modelin e bashkëpunimit, detyrimet, përgjegjësitë, mënyrën e përdorimit dhe administrimit të burimeve të përbashkëta, si dhe ndarjen e kostove përkatëse ndërmjet palëve. Për zbatimin e këtij vendimi gjatë periudhës tranzitore, ministri përgjegjës për shëndetësinë ngre një grup pune ndërinstitucional, i cili koordinon dhe ndjek procesin, si dhe garanton vazhdimësinë e pandërprerë të shërbimeve.</w:t>
      </w:r>
    </w:p>
    <w:p w14:paraId="36E15099"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7. Pajisjet e </w:t>
      </w:r>
      <w:proofErr w:type="spellStart"/>
      <w:r w:rsidRPr="00D62566">
        <w:rPr>
          <w:rFonts w:ascii="Garamond" w:hAnsi="Garamond"/>
        </w:rPr>
        <w:t>akseleratorit</w:t>
      </w:r>
      <w:proofErr w:type="spellEnd"/>
      <w:r w:rsidRPr="00D62566">
        <w:rPr>
          <w:rFonts w:ascii="Garamond" w:hAnsi="Garamond"/>
        </w:rPr>
        <w:t xml:space="preserve">  janë në pronësi dhe administrohen nga </w:t>
      </w:r>
      <w:proofErr w:type="spellStart"/>
      <w:r w:rsidRPr="00D62566">
        <w:rPr>
          <w:rFonts w:ascii="Garamond" w:hAnsi="Garamond"/>
        </w:rPr>
        <w:t>QSUNT</w:t>
      </w:r>
      <w:proofErr w:type="spellEnd"/>
      <w:r w:rsidRPr="00D62566">
        <w:rPr>
          <w:rFonts w:ascii="Garamond" w:hAnsi="Garamond"/>
        </w:rPr>
        <w:t xml:space="preserve">-ja, si dhe përdoren edhe në funksion të ofrimit të shërbimeve për pacientët e Institutit. Modalitetet e përdorimit, përfshirë planifikimin, prioritetet dhe </w:t>
      </w:r>
      <w:proofErr w:type="spellStart"/>
      <w:r w:rsidRPr="00D62566">
        <w:rPr>
          <w:rFonts w:ascii="Garamond" w:hAnsi="Garamond"/>
        </w:rPr>
        <w:t>aksesin</w:t>
      </w:r>
      <w:proofErr w:type="spellEnd"/>
      <w:r w:rsidRPr="00D62566">
        <w:rPr>
          <w:rFonts w:ascii="Garamond" w:hAnsi="Garamond"/>
        </w:rPr>
        <w:t>, përcaktohen me marrëveshje ndërinstitucionale ndërmjet palëve.</w:t>
      </w:r>
    </w:p>
    <w:p w14:paraId="7CDDDB8A"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8. Deri në fillimin e funksionimit të plotë të Institutit, sipas përcaktimeve të këtij vendimi, shërbimi onkologjik, pjesë e </w:t>
      </w:r>
      <w:proofErr w:type="spellStart"/>
      <w:r w:rsidRPr="00D62566">
        <w:rPr>
          <w:rFonts w:ascii="Garamond" w:hAnsi="Garamond"/>
        </w:rPr>
        <w:t>QSUT</w:t>
      </w:r>
      <w:proofErr w:type="spellEnd"/>
      <w:r w:rsidRPr="00D62566">
        <w:rPr>
          <w:rFonts w:ascii="Garamond" w:hAnsi="Garamond"/>
        </w:rPr>
        <w:t>-së, do të vazhdojë të funksionojë sipas strukturave dhe organikave të miratuara.</w:t>
      </w:r>
    </w:p>
    <w:p w14:paraId="663C34CB"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 xml:space="preserve">9. Instituti i nënshtrohet </w:t>
      </w:r>
      <w:proofErr w:type="spellStart"/>
      <w:r w:rsidRPr="00D62566">
        <w:rPr>
          <w:rFonts w:ascii="Garamond" w:hAnsi="Garamond"/>
        </w:rPr>
        <w:t>auditimit</w:t>
      </w:r>
      <w:proofErr w:type="spellEnd"/>
      <w:r w:rsidRPr="00D62566">
        <w:rPr>
          <w:rFonts w:ascii="Garamond" w:hAnsi="Garamond"/>
        </w:rPr>
        <w:t xml:space="preserve"> të brendshëm dhe të jashtëm financiar, si dhe vlerësimeve periodike të </w:t>
      </w:r>
      <w:proofErr w:type="spellStart"/>
      <w:r w:rsidRPr="00D62566">
        <w:rPr>
          <w:rFonts w:ascii="Garamond" w:hAnsi="Garamond"/>
        </w:rPr>
        <w:t>performancës</w:t>
      </w:r>
      <w:proofErr w:type="spellEnd"/>
      <w:r w:rsidRPr="00D62566">
        <w:rPr>
          <w:rFonts w:ascii="Garamond" w:hAnsi="Garamond"/>
        </w:rPr>
        <w:t xml:space="preserve"> institucionale, në përputhje me legjislacionin në fuqi.</w:t>
      </w:r>
    </w:p>
    <w:p w14:paraId="2EC22CBC"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10. Instituti siguron transparencën e veprimtarisë së tij në përputhje me legjislacionin në fuqi për llogaridhënien publike.</w:t>
      </w:r>
    </w:p>
    <w:p w14:paraId="6A3AEBBB" w14:textId="77777777" w:rsidR="00A530B0" w:rsidRPr="00D62566" w:rsidRDefault="00A530B0" w:rsidP="00A530B0">
      <w:pPr>
        <w:pStyle w:val="ListParagraph"/>
        <w:spacing w:after="0" w:line="240" w:lineRule="auto"/>
        <w:ind w:left="0" w:firstLine="284"/>
        <w:jc w:val="both"/>
        <w:rPr>
          <w:rFonts w:ascii="Garamond" w:hAnsi="Garamond"/>
        </w:rPr>
      </w:pPr>
      <w:r w:rsidRPr="00D62566">
        <w:rPr>
          <w:rFonts w:ascii="Garamond" w:hAnsi="Garamond"/>
        </w:rPr>
        <w:t>11. Ngarkohen Ministria e Shëndetësisë dhe Mirëqenies Sociale dhe Ministria e Arsimit për zbatimin e këtij vendimi.</w:t>
      </w:r>
    </w:p>
    <w:p w14:paraId="7172510D" w14:textId="7977393F" w:rsidR="00A530B0" w:rsidRPr="00D62566" w:rsidRDefault="00A530B0" w:rsidP="00A530B0">
      <w:pPr>
        <w:spacing w:after="0" w:line="240" w:lineRule="auto"/>
        <w:ind w:firstLine="284"/>
        <w:jc w:val="both"/>
        <w:rPr>
          <w:rFonts w:ascii="Garamond" w:hAnsi="Garamond" w:cs="Times New Roman"/>
          <w:strike/>
        </w:rPr>
      </w:pPr>
      <w:r w:rsidRPr="00D62566">
        <w:rPr>
          <w:rFonts w:ascii="Garamond" w:hAnsi="Garamond" w:cs="Times New Roman"/>
        </w:rPr>
        <w:t>Ky ven</w:t>
      </w:r>
      <w:r w:rsidR="00D62566">
        <w:rPr>
          <w:rFonts w:ascii="Garamond" w:hAnsi="Garamond" w:cs="Times New Roman"/>
        </w:rPr>
        <w:t>dim hyn në fuqi pas botimit në Fletoren Zyrtare</w:t>
      </w:r>
      <w:r w:rsidRPr="00D62566">
        <w:rPr>
          <w:rFonts w:ascii="Garamond" w:hAnsi="Garamond" w:cs="Times New Roman"/>
        </w:rPr>
        <w:t>.</w:t>
      </w:r>
    </w:p>
    <w:p w14:paraId="499C640C" w14:textId="77777777" w:rsidR="00A530B0" w:rsidRPr="00D62566" w:rsidRDefault="00A530B0" w:rsidP="00A530B0">
      <w:pPr>
        <w:spacing w:after="0" w:line="240" w:lineRule="auto"/>
        <w:ind w:firstLine="284"/>
        <w:jc w:val="right"/>
        <w:rPr>
          <w:rFonts w:ascii="Garamond" w:hAnsi="Garamond" w:cs="Times New Roman"/>
          <w:bCs/>
          <w:color w:val="000000"/>
          <w:kern w:val="0"/>
          <w:szCs w:val="28"/>
          <w14:ligatures w14:val="none"/>
        </w:rPr>
      </w:pPr>
    </w:p>
    <w:p w14:paraId="0FB6F1CF" w14:textId="77777777" w:rsidR="00A530B0" w:rsidRPr="00D62566" w:rsidRDefault="00A530B0" w:rsidP="00A530B0">
      <w:pPr>
        <w:spacing w:after="0" w:line="240" w:lineRule="auto"/>
        <w:ind w:firstLine="284"/>
        <w:jc w:val="right"/>
        <w:rPr>
          <w:rFonts w:ascii="Garamond" w:hAnsi="Garamond"/>
        </w:rPr>
      </w:pPr>
      <w:r w:rsidRPr="00D62566">
        <w:rPr>
          <w:rFonts w:ascii="Garamond" w:hAnsi="Garamond" w:cs="Times New Roman"/>
          <w:bCs/>
          <w:color w:val="000000"/>
          <w:kern w:val="0"/>
          <w:szCs w:val="28"/>
          <w14:ligatures w14:val="none"/>
        </w:rPr>
        <w:t>KRYEMINISTËR</w:t>
      </w:r>
    </w:p>
    <w:p w14:paraId="786756AE" w14:textId="77777777" w:rsidR="00A530B0" w:rsidRPr="00D62566" w:rsidRDefault="00A530B0" w:rsidP="00A530B0">
      <w:pPr>
        <w:spacing w:after="0" w:line="240" w:lineRule="auto"/>
        <w:ind w:firstLine="284"/>
        <w:jc w:val="right"/>
        <w:rPr>
          <w:rFonts w:ascii="Garamond" w:hAnsi="Garamond" w:cs="Times New Roman"/>
          <w:b/>
          <w:bCs/>
        </w:rPr>
      </w:pPr>
      <w:r w:rsidRPr="00D62566">
        <w:rPr>
          <w:rFonts w:ascii="Garamond" w:hAnsi="Garamond" w:cs="Times New Roman"/>
          <w:b/>
          <w:bCs/>
        </w:rPr>
        <w:t xml:space="preserve"> Edi </w:t>
      </w:r>
      <w:proofErr w:type="spellStart"/>
      <w:r w:rsidRPr="00D62566">
        <w:rPr>
          <w:rFonts w:ascii="Garamond" w:hAnsi="Garamond" w:cs="Times New Roman"/>
          <w:b/>
          <w:bCs/>
        </w:rPr>
        <w:t>Rama</w:t>
      </w:r>
      <w:proofErr w:type="spellEnd"/>
    </w:p>
    <w:p w14:paraId="2F75522A" w14:textId="77777777" w:rsidR="00A530B0" w:rsidRPr="00D62566" w:rsidRDefault="00A530B0" w:rsidP="00A530B0">
      <w:pPr>
        <w:spacing w:after="0" w:line="240" w:lineRule="auto"/>
        <w:ind w:firstLine="284"/>
        <w:jc w:val="right"/>
        <w:rPr>
          <w:rFonts w:ascii="Garamond" w:hAnsi="Garamond"/>
        </w:rPr>
      </w:pPr>
    </w:p>
    <w:p w14:paraId="4F78D49E" w14:textId="77777777" w:rsidR="00A530B0" w:rsidRPr="00D62566" w:rsidRDefault="00A530B0" w:rsidP="00A530B0"/>
    <w:sectPr w:rsidR="00A530B0" w:rsidRPr="00D62566" w:rsidSect="0012308D">
      <w:headerReference w:type="default" r:id="rId11"/>
      <w:footerReference w:type="default" r:id="rId12"/>
      <w:pgSz w:w="11906" w:h="16838" w:code="9"/>
      <w:pgMar w:top="1440" w:right="1440" w:bottom="1350" w:left="1440" w:header="720" w:footer="35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2B6A9" w14:textId="77777777" w:rsidR="00464914" w:rsidRDefault="00464914" w:rsidP="00E537DB">
      <w:pPr>
        <w:spacing w:after="0" w:line="240" w:lineRule="auto"/>
      </w:pPr>
      <w:r>
        <w:separator/>
      </w:r>
    </w:p>
  </w:endnote>
  <w:endnote w:type="continuationSeparator" w:id="0">
    <w:p w14:paraId="6F22B6AA" w14:textId="77777777" w:rsidR="00464914" w:rsidRDefault="00464914" w:rsidP="00E537DB">
      <w:pPr>
        <w:spacing w:after="0" w:line="240" w:lineRule="auto"/>
      </w:pPr>
      <w:r>
        <w:continuationSeparator/>
      </w:r>
    </w:p>
  </w:endnote>
  <w:endnote w:type="continuationNotice" w:id="1">
    <w:p w14:paraId="1770951B" w14:textId="77777777" w:rsidR="00580D94" w:rsidRDefault="00580D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83349158"/>
      <w:docPartObj>
        <w:docPartGallery w:val="Page Numbers (Bottom of Page)"/>
        <w:docPartUnique/>
      </w:docPartObj>
    </w:sdtPr>
    <w:sdtEndPr>
      <w:rPr>
        <w:noProof/>
      </w:rPr>
    </w:sdtEndPr>
    <w:sdtContent>
      <w:p w14:paraId="6F22B6AB" w14:textId="35EDC072" w:rsidR="00464914" w:rsidRPr="00E537DB" w:rsidRDefault="00464914">
        <w:pPr>
          <w:pStyle w:val="Footer"/>
          <w:jc w:val="right"/>
          <w:rPr>
            <w:rFonts w:ascii="Times New Roman" w:hAnsi="Times New Roman" w:cs="Times New Roman"/>
          </w:rPr>
        </w:pPr>
        <w:r w:rsidRPr="00E537DB">
          <w:rPr>
            <w:rFonts w:ascii="Times New Roman" w:hAnsi="Times New Roman" w:cs="Times New Roman"/>
          </w:rPr>
          <w:fldChar w:fldCharType="begin"/>
        </w:r>
        <w:r w:rsidRPr="00E537DB">
          <w:rPr>
            <w:rFonts w:ascii="Times New Roman" w:hAnsi="Times New Roman" w:cs="Times New Roman"/>
          </w:rPr>
          <w:instrText xml:space="preserve"> PAGE   \* MERGEFORMAT </w:instrText>
        </w:r>
        <w:r w:rsidRPr="00E537DB">
          <w:rPr>
            <w:rFonts w:ascii="Times New Roman" w:hAnsi="Times New Roman" w:cs="Times New Roman"/>
          </w:rPr>
          <w:fldChar w:fldCharType="separate"/>
        </w:r>
        <w:r w:rsidR="00D62566">
          <w:rPr>
            <w:rFonts w:ascii="Times New Roman" w:hAnsi="Times New Roman" w:cs="Times New Roman"/>
            <w:noProof/>
          </w:rPr>
          <w:t>5</w:t>
        </w:r>
        <w:r w:rsidRPr="00E537DB">
          <w:rPr>
            <w:rFonts w:ascii="Times New Roman" w:hAnsi="Times New Roman" w:cs="Times New Roman"/>
            <w:noProof/>
          </w:rPr>
          <w:fldChar w:fldCharType="end"/>
        </w:r>
      </w:p>
    </w:sdtContent>
  </w:sdt>
  <w:p w14:paraId="6F22B6AC" w14:textId="77777777" w:rsidR="00464914" w:rsidRDefault="004649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2B6A7" w14:textId="77777777" w:rsidR="00464914" w:rsidRDefault="00464914" w:rsidP="00E537DB">
      <w:pPr>
        <w:spacing w:after="0" w:line="240" w:lineRule="auto"/>
      </w:pPr>
      <w:r>
        <w:separator/>
      </w:r>
    </w:p>
  </w:footnote>
  <w:footnote w:type="continuationSeparator" w:id="0">
    <w:p w14:paraId="6F22B6A8" w14:textId="77777777" w:rsidR="00464914" w:rsidRDefault="00464914" w:rsidP="00E537DB">
      <w:pPr>
        <w:spacing w:after="0" w:line="240" w:lineRule="auto"/>
      </w:pPr>
      <w:r>
        <w:continuationSeparator/>
      </w:r>
    </w:p>
  </w:footnote>
  <w:footnote w:type="continuationNotice" w:id="1">
    <w:p w14:paraId="1F497CBC" w14:textId="77777777" w:rsidR="00580D94" w:rsidRDefault="00580D9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13F83" w14:textId="77777777" w:rsidR="00580D94" w:rsidRDefault="00580D9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5474"/>
    <w:multiLevelType w:val="multilevel"/>
    <w:tmpl w:val="055CE19C"/>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D5620"/>
    <w:multiLevelType w:val="hybridMultilevel"/>
    <w:tmpl w:val="4E28B24E"/>
    <w:lvl w:ilvl="0" w:tplc="059217FC">
      <w:start w:val="1"/>
      <w:numFmt w:val="decimal"/>
      <w:lvlText w:val="%1."/>
      <w:lvlJc w:val="left"/>
      <w:pPr>
        <w:ind w:left="360" w:hanging="360"/>
      </w:pPr>
      <w:rPr>
        <w:rFonts w:hint="default"/>
        <w:strike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D06391"/>
    <w:multiLevelType w:val="hybridMultilevel"/>
    <w:tmpl w:val="BD92117C"/>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0454C5"/>
    <w:multiLevelType w:val="multilevel"/>
    <w:tmpl w:val="5B7E58F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lowerLetter"/>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EE75831"/>
    <w:multiLevelType w:val="hybridMultilevel"/>
    <w:tmpl w:val="96B6703A"/>
    <w:lvl w:ilvl="0" w:tplc="EA3A700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900B0"/>
    <w:multiLevelType w:val="hybridMultilevel"/>
    <w:tmpl w:val="C562C4E0"/>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92011CD"/>
    <w:multiLevelType w:val="hybridMultilevel"/>
    <w:tmpl w:val="62107CC0"/>
    <w:lvl w:ilvl="0" w:tplc="FFFFFFFF">
      <w:start w:val="1"/>
      <w:numFmt w:val="decimal"/>
      <w:lvlText w:val="%1."/>
      <w:lvlJc w:val="left"/>
      <w:pPr>
        <w:ind w:left="360" w:hanging="360"/>
      </w:pPr>
      <w:rPr>
        <w:b w:val="0"/>
        <w:bCs w:val="0"/>
      </w:rPr>
    </w:lvl>
    <w:lvl w:ilvl="1" w:tplc="FFFFFFFF">
      <w:start w:val="1"/>
      <w:numFmt w:val="lowerLetter"/>
      <w:lvlText w:val="%2)"/>
      <w:lvlJc w:val="left"/>
      <w:pPr>
        <w:ind w:left="644"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0E1064"/>
    <w:multiLevelType w:val="hybridMultilevel"/>
    <w:tmpl w:val="868C075C"/>
    <w:lvl w:ilvl="0" w:tplc="529474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50F"/>
    <w:multiLevelType w:val="hybridMultilevel"/>
    <w:tmpl w:val="70C23170"/>
    <w:lvl w:ilvl="0" w:tplc="9C8E7FA6">
      <w:start w:val="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61F18"/>
    <w:multiLevelType w:val="multilevel"/>
    <w:tmpl w:val="437A301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EE11A13"/>
    <w:multiLevelType w:val="hybridMultilevel"/>
    <w:tmpl w:val="D4147E9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8152B3"/>
    <w:multiLevelType w:val="hybridMultilevel"/>
    <w:tmpl w:val="B9C0944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0870BE"/>
    <w:multiLevelType w:val="hybridMultilevel"/>
    <w:tmpl w:val="E93A0306"/>
    <w:lvl w:ilvl="0" w:tplc="7DD26D46">
      <w:start w:val="1"/>
      <w:numFmt w:val="lowerLetter"/>
      <w:lvlText w:val="%1)"/>
      <w:lvlJc w:val="left"/>
      <w:pPr>
        <w:ind w:left="720" w:hanging="360"/>
      </w:pPr>
    </w:lvl>
    <w:lvl w:ilvl="1" w:tplc="A950114A">
      <w:start w:val="1"/>
      <w:numFmt w:val="lowerLetter"/>
      <w:lvlText w:val="%2)"/>
      <w:lvlJc w:val="left"/>
      <w:pPr>
        <w:ind w:left="720" w:hanging="360"/>
      </w:pPr>
    </w:lvl>
    <w:lvl w:ilvl="2" w:tplc="BAA0280C">
      <w:start w:val="1"/>
      <w:numFmt w:val="lowerLetter"/>
      <w:lvlText w:val="%3)"/>
      <w:lvlJc w:val="left"/>
      <w:pPr>
        <w:ind w:left="720" w:hanging="360"/>
      </w:pPr>
    </w:lvl>
    <w:lvl w:ilvl="3" w:tplc="DBEEECD8">
      <w:start w:val="1"/>
      <w:numFmt w:val="lowerLetter"/>
      <w:lvlText w:val="%4)"/>
      <w:lvlJc w:val="left"/>
      <w:pPr>
        <w:ind w:left="720" w:hanging="360"/>
      </w:pPr>
    </w:lvl>
    <w:lvl w:ilvl="4" w:tplc="C2E69938">
      <w:start w:val="1"/>
      <w:numFmt w:val="lowerLetter"/>
      <w:lvlText w:val="%5)"/>
      <w:lvlJc w:val="left"/>
      <w:pPr>
        <w:ind w:left="720" w:hanging="360"/>
      </w:pPr>
    </w:lvl>
    <w:lvl w:ilvl="5" w:tplc="701E9244">
      <w:start w:val="1"/>
      <w:numFmt w:val="lowerLetter"/>
      <w:lvlText w:val="%6)"/>
      <w:lvlJc w:val="left"/>
      <w:pPr>
        <w:ind w:left="720" w:hanging="360"/>
      </w:pPr>
    </w:lvl>
    <w:lvl w:ilvl="6" w:tplc="B82CE690">
      <w:start w:val="1"/>
      <w:numFmt w:val="lowerLetter"/>
      <w:lvlText w:val="%7)"/>
      <w:lvlJc w:val="left"/>
      <w:pPr>
        <w:ind w:left="720" w:hanging="360"/>
      </w:pPr>
    </w:lvl>
    <w:lvl w:ilvl="7" w:tplc="AA82C9C2">
      <w:start w:val="1"/>
      <w:numFmt w:val="lowerLetter"/>
      <w:lvlText w:val="%8)"/>
      <w:lvlJc w:val="left"/>
      <w:pPr>
        <w:ind w:left="720" w:hanging="360"/>
      </w:pPr>
    </w:lvl>
    <w:lvl w:ilvl="8" w:tplc="C35C1224">
      <w:start w:val="1"/>
      <w:numFmt w:val="lowerLetter"/>
      <w:lvlText w:val="%9)"/>
      <w:lvlJc w:val="left"/>
      <w:pPr>
        <w:ind w:left="720" w:hanging="360"/>
      </w:pPr>
    </w:lvl>
  </w:abstractNum>
  <w:abstractNum w:abstractNumId="13" w15:restartNumberingAfterBreak="0">
    <w:nsid w:val="33741EA0"/>
    <w:multiLevelType w:val="hybridMultilevel"/>
    <w:tmpl w:val="D0AAA068"/>
    <w:lvl w:ilvl="0" w:tplc="572E1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280683"/>
    <w:multiLevelType w:val="hybridMultilevel"/>
    <w:tmpl w:val="A66E545C"/>
    <w:lvl w:ilvl="0" w:tplc="B8205B60">
      <w:start w:val="1"/>
      <w:numFmt w:val="decimal"/>
      <w:lvlText w:val="%1."/>
      <w:lvlJc w:val="left"/>
      <w:pPr>
        <w:ind w:left="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0B3698"/>
    <w:multiLevelType w:val="multilevel"/>
    <w:tmpl w:val="437A301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C290018"/>
    <w:multiLevelType w:val="hybridMultilevel"/>
    <w:tmpl w:val="A7A6FF8A"/>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4E1117E0"/>
    <w:multiLevelType w:val="hybridMultilevel"/>
    <w:tmpl w:val="4288F0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28681F"/>
    <w:multiLevelType w:val="hybridMultilevel"/>
    <w:tmpl w:val="63C866FA"/>
    <w:lvl w:ilvl="0" w:tplc="134458AA">
      <w:start w:val="1"/>
      <w:numFmt w:val="lowerLetter"/>
      <w:lvlText w:val="%1)"/>
      <w:lvlJc w:val="left"/>
      <w:pPr>
        <w:ind w:left="720" w:hanging="360"/>
      </w:pPr>
    </w:lvl>
    <w:lvl w:ilvl="1" w:tplc="F970E854">
      <w:start w:val="1"/>
      <w:numFmt w:val="lowerLetter"/>
      <w:lvlText w:val="%2)"/>
      <w:lvlJc w:val="left"/>
      <w:pPr>
        <w:ind w:left="720" w:hanging="360"/>
      </w:pPr>
    </w:lvl>
    <w:lvl w:ilvl="2" w:tplc="6CB24BA2">
      <w:start w:val="1"/>
      <w:numFmt w:val="lowerLetter"/>
      <w:lvlText w:val="%3)"/>
      <w:lvlJc w:val="left"/>
      <w:pPr>
        <w:ind w:left="720" w:hanging="360"/>
      </w:pPr>
    </w:lvl>
    <w:lvl w:ilvl="3" w:tplc="1A82774E">
      <w:start w:val="1"/>
      <w:numFmt w:val="lowerLetter"/>
      <w:lvlText w:val="%4)"/>
      <w:lvlJc w:val="left"/>
      <w:pPr>
        <w:ind w:left="720" w:hanging="360"/>
      </w:pPr>
    </w:lvl>
    <w:lvl w:ilvl="4" w:tplc="5192AED2">
      <w:start w:val="1"/>
      <w:numFmt w:val="lowerLetter"/>
      <w:lvlText w:val="%5)"/>
      <w:lvlJc w:val="left"/>
      <w:pPr>
        <w:ind w:left="720" w:hanging="360"/>
      </w:pPr>
    </w:lvl>
    <w:lvl w:ilvl="5" w:tplc="3E3038C0">
      <w:start w:val="1"/>
      <w:numFmt w:val="lowerLetter"/>
      <w:lvlText w:val="%6)"/>
      <w:lvlJc w:val="left"/>
      <w:pPr>
        <w:ind w:left="720" w:hanging="360"/>
      </w:pPr>
    </w:lvl>
    <w:lvl w:ilvl="6" w:tplc="76D08632">
      <w:start w:val="1"/>
      <w:numFmt w:val="lowerLetter"/>
      <w:lvlText w:val="%7)"/>
      <w:lvlJc w:val="left"/>
      <w:pPr>
        <w:ind w:left="720" w:hanging="360"/>
      </w:pPr>
    </w:lvl>
    <w:lvl w:ilvl="7" w:tplc="B48286A2">
      <w:start w:val="1"/>
      <w:numFmt w:val="lowerLetter"/>
      <w:lvlText w:val="%8)"/>
      <w:lvlJc w:val="left"/>
      <w:pPr>
        <w:ind w:left="720" w:hanging="360"/>
      </w:pPr>
    </w:lvl>
    <w:lvl w:ilvl="8" w:tplc="821E521C">
      <w:start w:val="1"/>
      <w:numFmt w:val="lowerLetter"/>
      <w:lvlText w:val="%9)"/>
      <w:lvlJc w:val="left"/>
      <w:pPr>
        <w:ind w:left="720" w:hanging="360"/>
      </w:pPr>
    </w:lvl>
  </w:abstractNum>
  <w:abstractNum w:abstractNumId="19" w15:restartNumberingAfterBreak="0">
    <w:nsid w:val="5022689B"/>
    <w:multiLevelType w:val="hybridMultilevel"/>
    <w:tmpl w:val="4AD2E52E"/>
    <w:lvl w:ilvl="0" w:tplc="9F6468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26B9A"/>
    <w:multiLevelType w:val="hybridMultilevel"/>
    <w:tmpl w:val="05F86C7E"/>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EF557E"/>
    <w:multiLevelType w:val="hybridMultilevel"/>
    <w:tmpl w:val="1B8E8500"/>
    <w:lvl w:ilvl="0" w:tplc="04090017">
      <w:start w:val="1"/>
      <w:numFmt w:val="lowerLetter"/>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B0175A7"/>
    <w:multiLevelType w:val="multilevel"/>
    <w:tmpl w:val="437A301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B7B3971"/>
    <w:multiLevelType w:val="hybridMultilevel"/>
    <w:tmpl w:val="EC8C5658"/>
    <w:lvl w:ilvl="0" w:tplc="0409000F">
      <w:start w:val="1"/>
      <w:numFmt w:val="decimal"/>
      <w:lvlText w:val="%1."/>
      <w:lvlJc w:val="left"/>
      <w:pPr>
        <w:ind w:left="360" w:hanging="360"/>
      </w:pPr>
      <w:rPr>
        <w:b w:val="0"/>
        <w:bCs w:val="0"/>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31328AF"/>
    <w:multiLevelType w:val="hybridMultilevel"/>
    <w:tmpl w:val="576AD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3F6487"/>
    <w:multiLevelType w:val="hybridMultilevel"/>
    <w:tmpl w:val="53CE8AEA"/>
    <w:lvl w:ilvl="0" w:tplc="94CCDC40">
      <w:start w:val="1"/>
      <w:numFmt w:val="lowerLetter"/>
      <w:lvlText w:val="%1)"/>
      <w:lvlJc w:val="left"/>
      <w:pPr>
        <w:ind w:left="1140" w:hanging="360"/>
      </w:pPr>
      <w:rPr>
        <w:rFonts w:hint="default"/>
        <w:b w:val="0"/>
        <w:bCs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6" w15:restartNumberingAfterBreak="0">
    <w:nsid w:val="67741F97"/>
    <w:multiLevelType w:val="hybridMultilevel"/>
    <w:tmpl w:val="F904AB04"/>
    <w:lvl w:ilvl="0" w:tplc="56E88BC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530B88"/>
    <w:multiLevelType w:val="hybridMultilevel"/>
    <w:tmpl w:val="43987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7342DE"/>
    <w:multiLevelType w:val="hybridMultilevel"/>
    <w:tmpl w:val="E0F6D6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DC55D2"/>
    <w:multiLevelType w:val="hybridMultilevel"/>
    <w:tmpl w:val="3FCCCE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C619CA"/>
    <w:multiLevelType w:val="hybridMultilevel"/>
    <w:tmpl w:val="62107CC0"/>
    <w:lvl w:ilvl="0" w:tplc="0409000F">
      <w:start w:val="1"/>
      <w:numFmt w:val="decimal"/>
      <w:lvlText w:val="%1."/>
      <w:lvlJc w:val="left"/>
      <w:pPr>
        <w:ind w:left="360" w:hanging="360"/>
      </w:pPr>
      <w:rPr>
        <w:b w:val="0"/>
        <w:bCs w:val="0"/>
      </w:rPr>
    </w:lvl>
    <w:lvl w:ilvl="1" w:tplc="4FB8A950">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0"/>
  </w:num>
  <w:num w:numId="2">
    <w:abstractNumId w:val="10"/>
  </w:num>
  <w:num w:numId="3">
    <w:abstractNumId w:val="27"/>
  </w:num>
  <w:num w:numId="4">
    <w:abstractNumId w:val="21"/>
  </w:num>
  <w:num w:numId="5">
    <w:abstractNumId w:val="4"/>
  </w:num>
  <w:num w:numId="6">
    <w:abstractNumId w:val="25"/>
  </w:num>
  <w:num w:numId="7">
    <w:abstractNumId w:val="20"/>
  </w:num>
  <w:num w:numId="8">
    <w:abstractNumId w:val="7"/>
  </w:num>
  <w:num w:numId="9">
    <w:abstractNumId w:val="28"/>
  </w:num>
  <w:num w:numId="10">
    <w:abstractNumId w:val="11"/>
  </w:num>
  <w:num w:numId="11">
    <w:abstractNumId w:val="26"/>
  </w:num>
  <w:num w:numId="12">
    <w:abstractNumId w:val="29"/>
  </w:num>
  <w:num w:numId="13">
    <w:abstractNumId w:val="13"/>
  </w:num>
  <w:num w:numId="14">
    <w:abstractNumId w:val="5"/>
  </w:num>
  <w:num w:numId="15">
    <w:abstractNumId w:val="2"/>
  </w:num>
  <w:num w:numId="16">
    <w:abstractNumId w:val="23"/>
  </w:num>
  <w:num w:numId="17">
    <w:abstractNumId w:val="6"/>
  </w:num>
  <w:num w:numId="18">
    <w:abstractNumId w:val="24"/>
  </w:num>
  <w:num w:numId="19">
    <w:abstractNumId w:val="14"/>
  </w:num>
  <w:num w:numId="20">
    <w:abstractNumId w:val="18"/>
  </w:num>
  <w:num w:numId="21">
    <w:abstractNumId w:val="12"/>
  </w:num>
  <w:num w:numId="22">
    <w:abstractNumId w:val="8"/>
  </w:num>
  <w:num w:numId="23">
    <w:abstractNumId w:val="9"/>
  </w:num>
  <w:num w:numId="24">
    <w:abstractNumId w:val="16"/>
  </w:num>
  <w:num w:numId="25">
    <w:abstractNumId w:val="3"/>
  </w:num>
  <w:num w:numId="26">
    <w:abstractNumId w:val="15"/>
  </w:num>
  <w:num w:numId="27">
    <w:abstractNumId w:val="22"/>
  </w:num>
  <w:num w:numId="28">
    <w:abstractNumId w:val="17"/>
  </w:num>
  <w:num w:numId="29">
    <w:abstractNumId w:val="1"/>
  </w:num>
  <w:num w:numId="30">
    <w:abstractNumId w:val="0"/>
  </w:num>
  <w:num w:numId="3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94"/>
    <w:rsid w:val="0000273D"/>
    <w:rsid w:val="00003819"/>
    <w:rsid w:val="00011D61"/>
    <w:rsid w:val="00012228"/>
    <w:rsid w:val="000175DD"/>
    <w:rsid w:val="000176F1"/>
    <w:rsid w:val="00021572"/>
    <w:rsid w:val="00022655"/>
    <w:rsid w:val="0002287C"/>
    <w:rsid w:val="000234CD"/>
    <w:rsid w:val="00033368"/>
    <w:rsid w:val="00034689"/>
    <w:rsid w:val="00044822"/>
    <w:rsid w:val="00044D6F"/>
    <w:rsid w:val="000452C8"/>
    <w:rsid w:val="00051E81"/>
    <w:rsid w:val="00054128"/>
    <w:rsid w:val="00061467"/>
    <w:rsid w:val="0006287A"/>
    <w:rsid w:val="000651E7"/>
    <w:rsid w:val="000767BD"/>
    <w:rsid w:val="00077EF1"/>
    <w:rsid w:val="00082609"/>
    <w:rsid w:val="00084B02"/>
    <w:rsid w:val="00086360"/>
    <w:rsid w:val="0009045C"/>
    <w:rsid w:val="000A29F1"/>
    <w:rsid w:val="000A2CC4"/>
    <w:rsid w:val="000B041E"/>
    <w:rsid w:val="000B2967"/>
    <w:rsid w:val="000B3817"/>
    <w:rsid w:val="000B46E0"/>
    <w:rsid w:val="000C048E"/>
    <w:rsid w:val="000C1960"/>
    <w:rsid w:val="000C63DA"/>
    <w:rsid w:val="000C69B7"/>
    <w:rsid w:val="000D5FB9"/>
    <w:rsid w:val="000D785C"/>
    <w:rsid w:val="000E0054"/>
    <w:rsid w:val="000E123A"/>
    <w:rsid w:val="000E3D8D"/>
    <w:rsid w:val="000E512D"/>
    <w:rsid w:val="000F1F1F"/>
    <w:rsid w:val="000F3B57"/>
    <w:rsid w:val="00100062"/>
    <w:rsid w:val="00105096"/>
    <w:rsid w:val="00105E42"/>
    <w:rsid w:val="00105F4F"/>
    <w:rsid w:val="00106293"/>
    <w:rsid w:val="001148CA"/>
    <w:rsid w:val="00115833"/>
    <w:rsid w:val="00120CB5"/>
    <w:rsid w:val="00121DAF"/>
    <w:rsid w:val="0012308D"/>
    <w:rsid w:val="001276E4"/>
    <w:rsid w:val="00132A88"/>
    <w:rsid w:val="001366F6"/>
    <w:rsid w:val="0013751A"/>
    <w:rsid w:val="00166C43"/>
    <w:rsid w:val="001672CC"/>
    <w:rsid w:val="00172C98"/>
    <w:rsid w:val="0017579F"/>
    <w:rsid w:val="001771B5"/>
    <w:rsid w:val="001833F2"/>
    <w:rsid w:val="00184D52"/>
    <w:rsid w:val="0019025D"/>
    <w:rsid w:val="00190751"/>
    <w:rsid w:val="00193673"/>
    <w:rsid w:val="0019566B"/>
    <w:rsid w:val="00195794"/>
    <w:rsid w:val="00196A70"/>
    <w:rsid w:val="001A6620"/>
    <w:rsid w:val="001A6667"/>
    <w:rsid w:val="001B1EF2"/>
    <w:rsid w:val="001B29FE"/>
    <w:rsid w:val="001C2BE6"/>
    <w:rsid w:val="001C42A2"/>
    <w:rsid w:val="001D2258"/>
    <w:rsid w:val="001D70D8"/>
    <w:rsid w:val="001E4895"/>
    <w:rsid w:val="001E5B02"/>
    <w:rsid w:val="001F1482"/>
    <w:rsid w:val="001F3094"/>
    <w:rsid w:val="001F59F9"/>
    <w:rsid w:val="00204A70"/>
    <w:rsid w:val="00204CAE"/>
    <w:rsid w:val="00217B9F"/>
    <w:rsid w:val="0022267F"/>
    <w:rsid w:val="0022443E"/>
    <w:rsid w:val="00225890"/>
    <w:rsid w:val="00245954"/>
    <w:rsid w:val="002464AD"/>
    <w:rsid w:val="00247EB1"/>
    <w:rsid w:val="00250AE9"/>
    <w:rsid w:val="002539EB"/>
    <w:rsid w:val="00261297"/>
    <w:rsid w:val="00262D4E"/>
    <w:rsid w:val="002637F7"/>
    <w:rsid w:val="00267CE4"/>
    <w:rsid w:val="0027233D"/>
    <w:rsid w:val="00272DA2"/>
    <w:rsid w:val="00275A33"/>
    <w:rsid w:val="002768F2"/>
    <w:rsid w:val="0028043F"/>
    <w:rsid w:val="002843A0"/>
    <w:rsid w:val="00290105"/>
    <w:rsid w:val="0029087B"/>
    <w:rsid w:val="00294CDF"/>
    <w:rsid w:val="002A06B8"/>
    <w:rsid w:val="002A0BE7"/>
    <w:rsid w:val="002A76ED"/>
    <w:rsid w:val="002C1236"/>
    <w:rsid w:val="002C5611"/>
    <w:rsid w:val="002C5FC2"/>
    <w:rsid w:val="002C6E82"/>
    <w:rsid w:val="002D1DE2"/>
    <w:rsid w:val="002D59B3"/>
    <w:rsid w:val="002E119C"/>
    <w:rsid w:val="002E1C32"/>
    <w:rsid w:val="002E1FAF"/>
    <w:rsid w:val="002E263C"/>
    <w:rsid w:val="002E3291"/>
    <w:rsid w:val="002E3480"/>
    <w:rsid w:val="002E4B92"/>
    <w:rsid w:val="002E558B"/>
    <w:rsid w:val="002E6231"/>
    <w:rsid w:val="002F335B"/>
    <w:rsid w:val="002F36A7"/>
    <w:rsid w:val="002F4BF2"/>
    <w:rsid w:val="003011E6"/>
    <w:rsid w:val="0030241A"/>
    <w:rsid w:val="00307DA1"/>
    <w:rsid w:val="0031215B"/>
    <w:rsid w:val="00325372"/>
    <w:rsid w:val="00326879"/>
    <w:rsid w:val="00334570"/>
    <w:rsid w:val="00335C57"/>
    <w:rsid w:val="00343E70"/>
    <w:rsid w:val="00355AE5"/>
    <w:rsid w:val="00356257"/>
    <w:rsid w:val="0036045D"/>
    <w:rsid w:val="00363249"/>
    <w:rsid w:val="00366B14"/>
    <w:rsid w:val="0037160C"/>
    <w:rsid w:val="003723F3"/>
    <w:rsid w:val="0037547D"/>
    <w:rsid w:val="00376F87"/>
    <w:rsid w:val="003925C4"/>
    <w:rsid w:val="003A0BC5"/>
    <w:rsid w:val="003A5553"/>
    <w:rsid w:val="003B3166"/>
    <w:rsid w:val="003B3F2F"/>
    <w:rsid w:val="003B4039"/>
    <w:rsid w:val="003B4AC0"/>
    <w:rsid w:val="003C04DC"/>
    <w:rsid w:val="003C7AB5"/>
    <w:rsid w:val="003D0212"/>
    <w:rsid w:val="003D123F"/>
    <w:rsid w:val="003D249E"/>
    <w:rsid w:val="003D398B"/>
    <w:rsid w:val="003E151C"/>
    <w:rsid w:val="003E4472"/>
    <w:rsid w:val="003F5E64"/>
    <w:rsid w:val="003F6C06"/>
    <w:rsid w:val="00417D12"/>
    <w:rsid w:val="00422EFF"/>
    <w:rsid w:val="004274C4"/>
    <w:rsid w:val="00434C54"/>
    <w:rsid w:val="00437993"/>
    <w:rsid w:val="004408D5"/>
    <w:rsid w:val="00457130"/>
    <w:rsid w:val="00460001"/>
    <w:rsid w:val="004632B9"/>
    <w:rsid w:val="00464371"/>
    <w:rsid w:val="00464914"/>
    <w:rsid w:val="004678EE"/>
    <w:rsid w:val="0048299D"/>
    <w:rsid w:val="004913D2"/>
    <w:rsid w:val="004A1520"/>
    <w:rsid w:val="004A5DBB"/>
    <w:rsid w:val="004B318A"/>
    <w:rsid w:val="004B610F"/>
    <w:rsid w:val="004C2748"/>
    <w:rsid w:val="004D0374"/>
    <w:rsid w:val="004D618C"/>
    <w:rsid w:val="004D71AD"/>
    <w:rsid w:val="004E0200"/>
    <w:rsid w:val="004E4137"/>
    <w:rsid w:val="004F0837"/>
    <w:rsid w:val="004F2CA3"/>
    <w:rsid w:val="004F325B"/>
    <w:rsid w:val="00501302"/>
    <w:rsid w:val="0050644F"/>
    <w:rsid w:val="00516687"/>
    <w:rsid w:val="00516EC0"/>
    <w:rsid w:val="00517E3B"/>
    <w:rsid w:val="0052090D"/>
    <w:rsid w:val="00523076"/>
    <w:rsid w:val="00524B47"/>
    <w:rsid w:val="00525417"/>
    <w:rsid w:val="0053011C"/>
    <w:rsid w:val="005314B0"/>
    <w:rsid w:val="00531D61"/>
    <w:rsid w:val="005322E5"/>
    <w:rsid w:val="0053274E"/>
    <w:rsid w:val="00532AAF"/>
    <w:rsid w:val="00536803"/>
    <w:rsid w:val="00545D2F"/>
    <w:rsid w:val="00546BB2"/>
    <w:rsid w:val="005473D7"/>
    <w:rsid w:val="00551070"/>
    <w:rsid w:val="005530B4"/>
    <w:rsid w:val="00572418"/>
    <w:rsid w:val="00580D94"/>
    <w:rsid w:val="00582B5D"/>
    <w:rsid w:val="00584D74"/>
    <w:rsid w:val="00585E00"/>
    <w:rsid w:val="005972BA"/>
    <w:rsid w:val="005A0C06"/>
    <w:rsid w:val="005A401B"/>
    <w:rsid w:val="005B159F"/>
    <w:rsid w:val="005B6857"/>
    <w:rsid w:val="005C0210"/>
    <w:rsid w:val="005C31DD"/>
    <w:rsid w:val="005C4868"/>
    <w:rsid w:val="005C4E91"/>
    <w:rsid w:val="005C5233"/>
    <w:rsid w:val="005C6CDA"/>
    <w:rsid w:val="005D167B"/>
    <w:rsid w:val="005D1687"/>
    <w:rsid w:val="005D318C"/>
    <w:rsid w:val="005D5C75"/>
    <w:rsid w:val="005D75A7"/>
    <w:rsid w:val="005E1E9A"/>
    <w:rsid w:val="005E2D8F"/>
    <w:rsid w:val="005E3AF4"/>
    <w:rsid w:val="005E752A"/>
    <w:rsid w:val="005F14C3"/>
    <w:rsid w:val="005F32EB"/>
    <w:rsid w:val="005F44C1"/>
    <w:rsid w:val="005F5BDA"/>
    <w:rsid w:val="006001A1"/>
    <w:rsid w:val="006040E0"/>
    <w:rsid w:val="0060555D"/>
    <w:rsid w:val="006176F3"/>
    <w:rsid w:val="00623DF6"/>
    <w:rsid w:val="00625778"/>
    <w:rsid w:val="00632D48"/>
    <w:rsid w:val="006336B7"/>
    <w:rsid w:val="006416C1"/>
    <w:rsid w:val="00645320"/>
    <w:rsid w:val="006610A2"/>
    <w:rsid w:val="00662EF4"/>
    <w:rsid w:val="00667D0F"/>
    <w:rsid w:val="00670EFB"/>
    <w:rsid w:val="00671105"/>
    <w:rsid w:val="0067248D"/>
    <w:rsid w:val="00675394"/>
    <w:rsid w:val="006832DE"/>
    <w:rsid w:val="00683492"/>
    <w:rsid w:val="00683F7D"/>
    <w:rsid w:val="006871C4"/>
    <w:rsid w:val="00690BAE"/>
    <w:rsid w:val="00691882"/>
    <w:rsid w:val="00695C56"/>
    <w:rsid w:val="0069692F"/>
    <w:rsid w:val="006A61FF"/>
    <w:rsid w:val="006A6DE1"/>
    <w:rsid w:val="006C09CC"/>
    <w:rsid w:val="006C17B4"/>
    <w:rsid w:val="006D0E99"/>
    <w:rsid w:val="006D42EB"/>
    <w:rsid w:val="006F3B75"/>
    <w:rsid w:val="006F439D"/>
    <w:rsid w:val="00700077"/>
    <w:rsid w:val="00700EF8"/>
    <w:rsid w:val="0070167E"/>
    <w:rsid w:val="00702132"/>
    <w:rsid w:val="00710E37"/>
    <w:rsid w:val="0071294A"/>
    <w:rsid w:val="00725B46"/>
    <w:rsid w:val="00747755"/>
    <w:rsid w:val="00757A64"/>
    <w:rsid w:val="007603FE"/>
    <w:rsid w:val="00760824"/>
    <w:rsid w:val="00762D0B"/>
    <w:rsid w:val="00764A33"/>
    <w:rsid w:val="007708D1"/>
    <w:rsid w:val="00776D40"/>
    <w:rsid w:val="0077706D"/>
    <w:rsid w:val="00782775"/>
    <w:rsid w:val="00783E2E"/>
    <w:rsid w:val="007843B2"/>
    <w:rsid w:val="007858EB"/>
    <w:rsid w:val="00787C24"/>
    <w:rsid w:val="0079230F"/>
    <w:rsid w:val="007949C1"/>
    <w:rsid w:val="00795540"/>
    <w:rsid w:val="007A17F6"/>
    <w:rsid w:val="007A21F2"/>
    <w:rsid w:val="007A359D"/>
    <w:rsid w:val="007A7B73"/>
    <w:rsid w:val="007A7E6C"/>
    <w:rsid w:val="007A7F52"/>
    <w:rsid w:val="007B3672"/>
    <w:rsid w:val="007B3B16"/>
    <w:rsid w:val="007B599D"/>
    <w:rsid w:val="007C54A5"/>
    <w:rsid w:val="007C7B8B"/>
    <w:rsid w:val="007D4F5A"/>
    <w:rsid w:val="007D5F20"/>
    <w:rsid w:val="007E34D4"/>
    <w:rsid w:val="007E4B74"/>
    <w:rsid w:val="007E5E17"/>
    <w:rsid w:val="007E75CB"/>
    <w:rsid w:val="007E7D87"/>
    <w:rsid w:val="007F11DD"/>
    <w:rsid w:val="007F45F3"/>
    <w:rsid w:val="00804B45"/>
    <w:rsid w:val="008120BA"/>
    <w:rsid w:val="00812BE0"/>
    <w:rsid w:val="00816D75"/>
    <w:rsid w:val="008173EA"/>
    <w:rsid w:val="00817F3D"/>
    <w:rsid w:val="0082115D"/>
    <w:rsid w:val="00824D98"/>
    <w:rsid w:val="008300F8"/>
    <w:rsid w:val="00833500"/>
    <w:rsid w:val="00835429"/>
    <w:rsid w:val="008413E2"/>
    <w:rsid w:val="00842922"/>
    <w:rsid w:val="00842FB7"/>
    <w:rsid w:val="008559CC"/>
    <w:rsid w:val="008560A6"/>
    <w:rsid w:val="00862843"/>
    <w:rsid w:val="00862D3A"/>
    <w:rsid w:val="008702DC"/>
    <w:rsid w:val="008730C4"/>
    <w:rsid w:val="0088249A"/>
    <w:rsid w:val="00886C68"/>
    <w:rsid w:val="008926FA"/>
    <w:rsid w:val="008A4F8E"/>
    <w:rsid w:val="008A549B"/>
    <w:rsid w:val="008B1458"/>
    <w:rsid w:val="008B3C0D"/>
    <w:rsid w:val="008B73D4"/>
    <w:rsid w:val="008C1AD4"/>
    <w:rsid w:val="008D694B"/>
    <w:rsid w:val="008D6EE0"/>
    <w:rsid w:val="008E641C"/>
    <w:rsid w:val="008F438E"/>
    <w:rsid w:val="00902281"/>
    <w:rsid w:val="009065C9"/>
    <w:rsid w:val="00907EE4"/>
    <w:rsid w:val="009116D0"/>
    <w:rsid w:val="00912876"/>
    <w:rsid w:val="009156B1"/>
    <w:rsid w:val="009238AF"/>
    <w:rsid w:val="00924F19"/>
    <w:rsid w:val="0092669A"/>
    <w:rsid w:val="00933697"/>
    <w:rsid w:val="00937597"/>
    <w:rsid w:val="00944E32"/>
    <w:rsid w:val="0094750F"/>
    <w:rsid w:val="00950568"/>
    <w:rsid w:val="00955004"/>
    <w:rsid w:val="009631A2"/>
    <w:rsid w:val="0096601D"/>
    <w:rsid w:val="00967DD7"/>
    <w:rsid w:val="00970484"/>
    <w:rsid w:val="00970A87"/>
    <w:rsid w:val="00973EBD"/>
    <w:rsid w:val="0097569F"/>
    <w:rsid w:val="0097614C"/>
    <w:rsid w:val="0098102A"/>
    <w:rsid w:val="00983B5C"/>
    <w:rsid w:val="00984DB7"/>
    <w:rsid w:val="00991EFC"/>
    <w:rsid w:val="0099352F"/>
    <w:rsid w:val="009953E9"/>
    <w:rsid w:val="00997A8C"/>
    <w:rsid w:val="009A16FD"/>
    <w:rsid w:val="009A19F0"/>
    <w:rsid w:val="009A238D"/>
    <w:rsid w:val="009B230A"/>
    <w:rsid w:val="009C1778"/>
    <w:rsid w:val="009C246D"/>
    <w:rsid w:val="009C4D61"/>
    <w:rsid w:val="009C6D61"/>
    <w:rsid w:val="009D6C75"/>
    <w:rsid w:val="009F13FD"/>
    <w:rsid w:val="009F57A1"/>
    <w:rsid w:val="00A03BB2"/>
    <w:rsid w:val="00A068AC"/>
    <w:rsid w:val="00A11A83"/>
    <w:rsid w:val="00A12386"/>
    <w:rsid w:val="00A142A1"/>
    <w:rsid w:val="00A14944"/>
    <w:rsid w:val="00A1593F"/>
    <w:rsid w:val="00A220A9"/>
    <w:rsid w:val="00A26CED"/>
    <w:rsid w:val="00A31C5C"/>
    <w:rsid w:val="00A33430"/>
    <w:rsid w:val="00A33EAC"/>
    <w:rsid w:val="00A340E8"/>
    <w:rsid w:val="00A40577"/>
    <w:rsid w:val="00A43FC1"/>
    <w:rsid w:val="00A464CF"/>
    <w:rsid w:val="00A51C39"/>
    <w:rsid w:val="00A530B0"/>
    <w:rsid w:val="00A5362C"/>
    <w:rsid w:val="00A57EC3"/>
    <w:rsid w:val="00A61827"/>
    <w:rsid w:val="00A71AF8"/>
    <w:rsid w:val="00A74C7F"/>
    <w:rsid w:val="00A8120C"/>
    <w:rsid w:val="00A8275B"/>
    <w:rsid w:val="00A84185"/>
    <w:rsid w:val="00A92AED"/>
    <w:rsid w:val="00AA3451"/>
    <w:rsid w:val="00AB16A6"/>
    <w:rsid w:val="00AB1D15"/>
    <w:rsid w:val="00AB30DA"/>
    <w:rsid w:val="00AC078E"/>
    <w:rsid w:val="00AE1D43"/>
    <w:rsid w:val="00AE4EDF"/>
    <w:rsid w:val="00AF1017"/>
    <w:rsid w:val="00B02134"/>
    <w:rsid w:val="00B067B1"/>
    <w:rsid w:val="00B07A78"/>
    <w:rsid w:val="00B10E8E"/>
    <w:rsid w:val="00B22AB1"/>
    <w:rsid w:val="00B2741A"/>
    <w:rsid w:val="00B345CF"/>
    <w:rsid w:val="00B42C81"/>
    <w:rsid w:val="00B43B6E"/>
    <w:rsid w:val="00B44203"/>
    <w:rsid w:val="00B47AC1"/>
    <w:rsid w:val="00B50931"/>
    <w:rsid w:val="00B57BA5"/>
    <w:rsid w:val="00B6038F"/>
    <w:rsid w:val="00B620A5"/>
    <w:rsid w:val="00B650F5"/>
    <w:rsid w:val="00B65697"/>
    <w:rsid w:val="00B74376"/>
    <w:rsid w:val="00B7627E"/>
    <w:rsid w:val="00B85199"/>
    <w:rsid w:val="00B9438C"/>
    <w:rsid w:val="00BA03B8"/>
    <w:rsid w:val="00BA2AD1"/>
    <w:rsid w:val="00BA43E2"/>
    <w:rsid w:val="00BA5FA4"/>
    <w:rsid w:val="00BA72B9"/>
    <w:rsid w:val="00BB02A7"/>
    <w:rsid w:val="00BB065E"/>
    <w:rsid w:val="00BB0BDE"/>
    <w:rsid w:val="00BB74C8"/>
    <w:rsid w:val="00BB7A28"/>
    <w:rsid w:val="00BC0694"/>
    <w:rsid w:val="00BC1B34"/>
    <w:rsid w:val="00BC765E"/>
    <w:rsid w:val="00BD0ED6"/>
    <w:rsid w:val="00BD5188"/>
    <w:rsid w:val="00BE43D3"/>
    <w:rsid w:val="00BE7CE8"/>
    <w:rsid w:val="00BF183F"/>
    <w:rsid w:val="00BF3444"/>
    <w:rsid w:val="00C03AA3"/>
    <w:rsid w:val="00C12543"/>
    <w:rsid w:val="00C1375A"/>
    <w:rsid w:val="00C141AC"/>
    <w:rsid w:val="00C16E83"/>
    <w:rsid w:val="00C20ABB"/>
    <w:rsid w:val="00C3232F"/>
    <w:rsid w:val="00C326F4"/>
    <w:rsid w:val="00C35BA5"/>
    <w:rsid w:val="00C360AE"/>
    <w:rsid w:val="00C406EA"/>
    <w:rsid w:val="00C56B20"/>
    <w:rsid w:val="00C639C4"/>
    <w:rsid w:val="00C70C95"/>
    <w:rsid w:val="00C72620"/>
    <w:rsid w:val="00C73843"/>
    <w:rsid w:val="00C73D7C"/>
    <w:rsid w:val="00C76AFE"/>
    <w:rsid w:val="00C83AF3"/>
    <w:rsid w:val="00C83B90"/>
    <w:rsid w:val="00C97341"/>
    <w:rsid w:val="00C9740C"/>
    <w:rsid w:val="00CA042B"/>
    <w:rsid w:val="00CB2366"/>
    <w:rsid w:val="00CB26F8"/>
    <w:rsid w:val="00CB2782"/>
    <w:rsid w:val="00CB5483"/>
    <w:rsid w:val="00CC7AC6"/>
    <w:rsid w:val="00CD0954"/>
    <w:rsid w:val="00CD1622"/>
    <w:rsid w:val="00CD41AC"/>
    <w:rsid w:val="00CD547E"/>
    <w:rsid w:val="00CE473B"/>
    <w:rsid w:val="00CE488F"/>
    <w:rsid w:val="00CF0277"/>
    <w:rsid w:val="00CF3AFB"/>
    <w:rsid w:val="00D062B8"/>
    <w:rsid w:val="00D07A0D"/>
    <w:rsid w:val="00D11996"/>
    <w:rsid w:val="00D21FAD"/>
    <w:rsid w:val="00D22C56"/>
    <w:rsid w:val="00D234D2"/>
    <w:rsid w:val="00D30537"/>
    <w:rsid w:val="00D32BAA"/>
    <w:rsid w:val="00D37335"/>
    <w:rsid w:val="00D475E0"/>
    <w:rsid w:val="00D52982"/>
    <w:rsid w:val="00D57732"/>
    <w:rsid w:val="00D62566"/>
    <w:rsid w:val="00D65FDE"/>
    <w:rsid w:val="00D83EF3"/>
    <w:rsid w:val="00D87F42"/>
    <w:rsid w:val="00D948BC"/>
    <w:rsid w:val="00D96306"/>
    <w:rsid w:val="00DA05F6"/>
    <w:rsid w:val="00DA0C7B"/>
    <w:rsid w:val="00DB1A54"/>
    <w:rsid w:val="00DB1AF3"/>
    <w:rsid w:val="00DB7D0F"/>
    <w:rsid w:val="00DB7EB2"/>
    <w:rsid w:val="00DC1E6E"/>
    <w:rsid w:val="00DC2910"/>
    <w:rsid w:val="00DC5537"/>
    <w:rsid w:val="00DC6606"/>
    <w:rsid w:val="00DD4113"/>
    <w:rsid w:val="00DD4873"/>
    <w:rsid w:val="00DE6C8C"/>
    <w:rsid w:val="00DF081C"/>
    <w:rsid w:val="00DF43F2"/>
    <w:rsid w:val="00DF5D84"/>
    <w:rsid w:val="00DF70F9"/>
    <w:rsid w:val="00E063DE"/>
    <w:rsid w:val="00E11E6B"/>
    <w:rsid w:val="00E16D68"/>
    <w:rsid w:val="00E17099"/>
    <w:rsid w:val="00E1789A"/>
    <w:rsid w:val="00E17D42"/>
    <w:rsid w:val="00E20ACD"/>
    <w:rsid w:val="00E210E0"/>
    <w:rsid w:val="00E213A9"/>
    <w:rsid w:val="00E22459"/>
    <w:rsid w:val="00E22C21"/>
    <w:rsid w:val="00E26B93"/>
    <w:rsid w:val="00E329D3"/>
    <w:rsid w:val="00E42895"/>
    <w:rsid w:val="00E44506"/>
    <w:rsid w:val="00E51D71"/>
    <w:rsid w:val="00E52C2E"/>
    <w:rsid w:val="00E537DB"/>
    <w:rsid w:val="00E6429F"/>
    <w:rsid w:val="00E64F6D"/>
    <w:rsid w:val="00E716E0"/>
    <w:rsid w:val="00E71BD9"/>
    <w:rsid w:val="00E749B6"/>
    <w:rsid w:val="00E7587E"/>
    <w:rsid w:val="00E812DA"/>
    <w:rsid w:val="00E839C3"/>
    <w:rsid w:val="00E86BFB"/>
    <w:rsid w:val="00E90397"/>
    <w:rsid w:val="00E915C0"/>
    <w:rsid w:val="00EB6D18"/>
    <w:rsid w:val="00EB79CB"/>
    <w:rsid w:val="00EC0806"/>
    <w:rsid w:val="00EC0B32"/>
    <w:rsid w:val="00EC123F"/>
    <w:rsid w:val="00EC63B9"/>
    <w:rsid w:val="00ED0303"/>
    <w:rsid w:val="00ED08E5"/>
    <w:rsid w:val="00ED417D"/>
    <w:rsid w:val="00ED63FB"/>
    <w:rsid w:val="00EE2508"/>
    <w:rsid w:val="00EE25F3"/>
    <w:rsid w:val="00EE5DB1"/>
    <w:rsid w:val="00EE6DC6"/>
    <w:rsid w:val="00EF39B1"/>
    <w:rsid w:val="00EF3AFA"/>
    <w:rsid w:val="00EF48F1"/>
    <w:rsid w:val="00EF4A71"/>
    <w:rsid w:val="00EF71E1"/>
    <w:rsid w:val="00F075B1"/>
    <w:rsid w:val="00F10EDD"/>
    <w:rsid w:val="00F11909"/>
    <w:rsid w:val="00F1229B"/>
    <w:rsid w:val="00F13C92"/>
    <w:rsid w:val="00F2461F"/>
    <w:rsid w:val="00F2675B"/>
    <w:rsid w:val="00F31B08"/>
    <w:rsid w:val="00F36F62"/>
    <w:rsid w:val="00F4515C"/>
    <w:rsid w:val="00F4797A"/>
    <w:rsid w:val="00F47AAC"/>
    <w:rsid w:val="00F531F4"/>
    <w:rsid w:val="00F54865"/>
    <w:rsid w:val="00F57ED2"/>
    <w:rsid w:val="00F62299"/>
    <w:rsid w:val="00F6551F"/>
    <w:rsid w:val="00F718E8"/>
    <w:rsid w:val="00F735A5"/>
    <w:rsid w:val="00F7418A"/>
    <w:rsid w:val="00F74A2F"/>
    <w:rsid w:val="00F74DBD"/>
    <w:rsid w:val="00F77E2B"/>
    <w:rsid w:val="00F8002D"/>
    <w:rsid w:val="00F81510"/>
    <w:rsid w:val="00F84BBD"/>
    <w:rsid w:val="00F866AE"/>
    <w:rsid w:val="00F92FDD"/>
    <w:rsid w:val="00F968B5"/>
    <w:rsid w:val="00FA1FF4"/>
    <w:rsid w:val="00FA7698"/>
    <w:rsid w:val="00FB6769"/>
    <w:rsid w:val="00FC5448"/>
    <w:rsid w:val="00FC65FE"/>
    <w:rsid w:val="00FC66BA"/>
    <w:rsid w:val="00FC7660"/>
    <w:rsid w:val="00FD0C4F"/>
    <w:rsid w:val="00FD0F64"/>
    <w:rsid w:val="00FD6059"/>
    <w:rsid w:val="00FE3249"/>
    <w:rsid w:val="00FE5044"/>
    <w:rsid w:val="00FF1BEA"/>
    <w:rsid w:val="00FF290A"/>
    <w:rsid w:val="00FF2B50"/>
    <w:rsid w:val="00FF6E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22B5F1"/>
  <w15:chartTrackingRefBased/>
  <w15:docId w15:val="{C5D41982-A218-465A-B9C9-F0C37972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BC06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6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6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6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6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6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6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6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6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6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6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6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6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6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6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6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6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694"/>
    <w:rPr>
      <w:rFonts w:eastAsiaTheme="majorEastAsia" w:cstheme="majorBidi"/>
      <w:color w:val="272727" w:themeColor="text1" w:themeTint="D8"/>
    </w:rPr>
  </w:style>
  <w:style w:type="paragraph" w:styleId="Title">
    <w:name w:val="Title"/>
    <w:basedOn w:val="Normal"/>
    <w:next w:val="Normal"/>
    <w:link w:val="TitleChar"/>
    <w:uiPriority w:val="10"/>
    <w:qFormat/>
    <w:rsid w:val="00BC06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6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6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694"/>
    <w:pPr>
      <w:spacing w:before="160"/>
      <w:jc w:val="center"/>
    </w:pPr>
    <w:rPr>
      <w:i/>
      <w:iCs/>
      <w:color w:val="404040" w:themeColor="text1" w:themeTint="BF"/>
    </w:rPr>
  </w:style>
  <w:style w:type="character" w:customStyle="1" w:styleId="QuoteChar">
    <w:name w:val="Quote Char"/>
    <w:basedOn w:val="DefaultParagraphFont"/>
    <w:link w:val="Quote"/>
    <w:uiPriority w:val="29"/>
    <w:rsid w:val="00BC0694"/>
    <w:rPr>
      <w:i/>
      <w:iCs/>
      <w:color w:val="404040" w:themeColor="text1" w:themeTint="BF"/>
    </w:rPr>
  </w:style>
  <w:style w:type="paragraph" w:styleId="ListParagraph">
    <w:name w:val="List Paragraph"/>
    <w:basedOn w:val="Normal"/>
    <w:uiPriority w:val="34"/>
    <w:qFormat/>
    <w:rsid w:val="00BC0694"/>
    <w:pPr>
      <w:ind w:left="720"/>
      <w:contextualSpacing/>
    </w:pPr>
  </w:style>
  <w:style w:type="character" w:styleId="IntenseEmphasis">
    <w:name w:val="Intense Emphasis"/>
    <w:basedOn w:val="DefaultParagraphFont"/>
    <w:uiPriority w:val="21"/>
    <w:qFormat/>
    <w:rsid w:val="00BC0694"/>
    <w:rPr>
      <w:i/>
      <w:iCs/>
      <w:color w:val="0F4761" w:themeColor="accent1" w:themeShade="BF"/>
    </w:rPr>
  </w:style>
  <w:style w:type="paragraph" w:styleId="IntenseQuote">
    <w:name w:val="Intense Quote"/>
    <w:basedOn w:val="Normal"/>
    <w:next w:val="Normal"/>
    <w:link w:val="IntenseQuoteChar"/>
    <w:uiPriority w:val="30"/>
    <w:qFormat/>
    <w:rsid w:val="00BC0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694"/>
    <w:rPr>
      <w:i/>
      <w:iCs/>
      <w:color w:val="0F4761" w:themeColor="accent1" w:themeShade="BF"/>
    </w:rPr>
  </w:style>
  <w:style w:type="character" w:styleId="IntenseReference">
    <w:name w:val="Intense Reference"/>
    <w:basedOn w:val="DefaultParagraphFont"/>
    <w:uiPriority w:val="32"/>
    <w:qFormat/>
    <w:rsid w:val="00BC0694"/>
    <w:rPr>
      <w:b/>
      <w:bCs/>
      <w:smallCaps/>
      <w:color w:val="0F4761" w:themeColor="accent1" w:themeShade="BF"/>
      <w:spacing w:val="5"/>
    </w:rPr>
  </w:style>
  <w:style w:type="paragraph" w:styleId="NormalWeb">
    <w:name w:val="Normal (Web)"/>
    <w:basedOn w:val="Normal"/>
    <w:uiPriority w:val="99"/>
    <w:semiHidden/>
    <w:unhideWhenUsed/>
    <w:rsid w:val="00F8002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8002D"/>
    <w:rPr>
      <w:b/>
      <w:bCs/>
    </w:rPr>
  </w:style>
  <w:style w:type="paragraph" w:styleId="NoSpacing">
    <w:name w:val="No Spacing"/>
    <w:uiPriority w:val="1"/>
    <w:qFormat/>
    <w:rsid w:val="000234CD"/>
    <w:pPr>
      <w:spacing w:after="0" w:line="240" w:lineRule="auto"/>
    </w:pPr>
  </w:style>
  <w:style w:type="paragraph" w:styleId="Revision">
    <w:name w:val="Revision"/>
    <w:hidden/>
    <w:uiPriority w:val="99"/>
    <w:semiHidden/>
    <w:rsid w:val="00247EB1"/>
    <w:pPr>
      <w:spacing w:after="0" w:line="240" w:lineRule="auto"/>
    </w:pPr>
  </w:style>
  <w:style w:type="character" w:styleId="CommentReference">
    <w:name w:val="annotation reference"/>
    <w:basedOn w:val="DefaultParagraphFont"/>
    <w:uiPriority w:val="99"/>
    <w:semiHidden/>
    <w:unhideWhenUsed/>
    <w:rsid w:val="00BB0BDE"/>
    <w:rPr>
      <w:sz w:val="16"/>
      <w:szCs w:val="16"/>
    </w:rPr>
  </w:style>
  <w:style w:type="paragraph" w:styleId="CommentText">
    <w:name w:val="annotation text"/>
    <w:basedOn w:val="Normal"/>
    <w:link w:val="CommentTextChar"/>
    <w:uiPriority w:val="99"/>
    <w:unhideWhenUsed/>
    <w:rsid w:val="00BB0BDE"/>
    <w:pPr>
      <w:spacing w:line="240" w:lineRule="auto"/>
    </w:pPr>
    <w:rPr>
      <w:sz w:val="20"/>
      <w:szCs w:val="20"/>
    </w:rPr>
  </w:style>
  <w:style w:type="character" w:customStyle="1" w:styleId="CommentTextChar">
    <w:name w:val="Comment Text Char"/>
    <w:basedOn w:val="DefaultParagraphFont"/>
    <w:link w:val="CommentText"/>
    <w:uiPriority w:val="99"/>
    <w:rsid w:val="00BB0BDE"/>
    <w:rPr>
      <w:sz w:val="20"/>
      <w:szCs w:val="20"/>
    </w:rPr>
  </w:style>
  <w:style w:type="paragraph" w:styleId="CommentSubject">
    <w:name w:val="annotation subject"/>
    <w:basedOn w:val="CommentText"/>
    <w:next w:val="CommentText"/>
    <w:link w:val="CommentSubjectChar"/>
    <w:uiPriority w:val="99"/>
    <w:semiHidden/>
    <w:unhideWhenUsed/>
    <w:rsid w:val="00BB0BDE"/>
    <w:rPr>
      <w:b/>
      <w:bCs/>
    </w:rPr>
  </w:style>
  <w:style w:type="character" w:customStyle="1" w:styleId="CommentSubjectChar">
    <w:name w:val="Comment Subject Char"/>
    <w:basedOn w:val="CommentTextChar"/>
    <w:link w:val="CommentSubject"/>
    <w:uiPriority w:val="99"/>
    <w:semiHidden/>
    <w:rsid w:val="00BB0BDE"/>
    <w:rPr>
      <w:b/>
      <w:bCs/>
      <w:sz w:val="20"/>
      <w:szCs w:val="20"/>
    </w:rPr>
  </w:style>
  <w:style w:type="paragraph" w:styleId="BalloonText">
    <w:name w:val="Balloon Text"/>
    <w:basedOn w:val="Normal"/>
    <w:link w:val="BalloonTextChar"/>
    <w:uiPriority w:val="99"/>
    <w:semiHidden/>
    <w:unhideWhenUsed/>
    <w:rsid w:val="00817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3EA"/>
    <w:rPr>
      <w:rFonts w:ascii="Segoe UI" w:hAnsi="Segoe UI" w:cs="Segoe UI"/>
      <w:sz w:val="18"/>
      <w:szCs w:val="18"/>
    </w:rPr>
  </w:style>
  <w:style w:type="paragraph" w:customStyle="1" w:styleId="Default">
    <w:name w:val="Default"/>
    <w:rsid w:val="001771B5"/>
    <w:pPr>
      <w:autoSpaceDE w:val="0"/>
      <w:autoSpaceDN w:val="0"/>
      <w:adjustRightInd w:val="0"/>
      <w:spacing w:after="0" w:line="240" w:lineRule="auto"/>
    </w:pPr>
    <w:rPr>
      <w:rFonts w:ascii="Times New Roman" w:hAnsi="Times New Roman" w:cs="Times New Roman"/>
      <w:color w:val="000000"/>
      <w:kern w:val="0"/>
    </w:rPr>
  </w:style>
  <w:style w:type="character" w:customStyle="1" w:styleId="cf01">
    <w:name w:val="cf01"/>
    <w:basedOn w:val="DefaultParagraphFont"/>
    <w:rsid w:val="00022655"/>
    <w:rPr>
      <w:rFonts w:ascii="Segoe UI" w:hAnsi="Segoe UI" w:cs="Segoe UI" w:hint="default"/>
      <w:sz w:val="18"/>
      <w:szCs w:val="18"/>
    </w:rPr>
  </w:style>
  <w:style w:type="paragraph" w:customStyle="1" w:styleId="pf0">
    <w:name w:val="pf0"/>
    <w:basedOn w:val="Normal"/>
    <w:rsid w:val="00E2245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Header">
    <w:name w:val="header"/>
    <w:basedOn w:val="Normal"/>
    <w:link w:val="HeaderChar"/>
    <w:uiPriority w:val="99"/>
    <w:unhideWhenUsed/>
    <w:rsid w:val="00E53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7DB"/>
  </w:style>
  <w:style w:type="paragraph" w:styleId="Footer">
    <w:name w:val="footer"/>
    <w:basedOn w:val="Normal"/>
    <w:link w:val="FooterChar"/>
    <w:uiPriority w:val="99"/>
    <w:unhideWhenUsed/>
    <w:rsid w:val="00E53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7734">
      <w:bodyDiv w:val="1"/>
      <w:marLeft w:val="0"/>
      <w:marRight w:val="0"/>
      <w:marTop w:val="0"/>
      <w:marBottom w:val="0"/>
      <w:divBdr>
        <w:top w:val="none" w:sz="0" w:space="0" w:color="auto"/>
        <w:left w:val="none" w:sz="0" w:space="0" w:color="auto"/>
        <w:bottom w:val="none" w:sz="0" w:space="0" w:color="auto"/>
        <w:right w:val="none" w:sz="0" w:space="0" w:color="auto"/>
      </w:divBdr>
    </w:div>
    <w:div w:id="172767710">
      <w:bodyDiv w:val="1"/>
      <w:marLeft w:val="0"/>
      <w:marRight w:val="0"/>
      <w:marTop w:val="0"/>
      <w:marBottom w:val="0"/>
      <w:divBdr>
        <w:top w:val="none" w:sz="0" w:space="0" w:color="auto"/>
        <w:left w:val="none" w:sz="0" w:space="0" w:color="auto"/>
        <w:bottom w:val="none" w:sz="0" w:space="0" w:color="auto"/>
        <w:right w:val="none" w:sz="0" w:space="0" w:color="auto"/>
      </w:divBdr>
    </w:div>
    <w:div w:id="238832768">
      <w:bodyDiv w:val="1"/>
      <w:marLeft w:val="0"/>
      <w:marRight w:val="0"/>
      <w:marTop w:val="0"/>
      <w:marBottom w:val="0"/>
      <w:divBdr>
        <w:top w:val="none" w:sz="0" w:space="0" w:color="auto"/>
        <w:left w:val="none" w:sz="0" w:space="0" w:color="auto"/>
        <w:bottom w:val="none" w:sz="0" w:space="0" w:color="auto"/>
        <w:right w:val="none" w:sz="0" w:space="0" w:color="auto"/>
      </w:divBdr>
      <w:divsChild>
        <w:div w:id="987593614">
          <w:marLeft w:val="0"/>
          <w:marRight w:val="0"/>
          <w:marTop w:val="240"/>
          <w:marBottom w:val="240"/>
          <w:divBdr>
            <w:top w:val="none" w:sz="0" w:space="0" w:color="auto"/>
            <w:left w:val="none" w:sz="0" w:space="0" w:color="auto"/>
            <w:bottom w:val="none" w:sz="0" w:space="0" w:color="auto"/>
            <w:right w:val="none" w:sz="0" w:space="0" w:color="auto"/>
          </w:divBdr>
        </w:div>
        <w:div w:id="915020942">
          <w:marLeft w:val="0"/>
          <w:marRight w:val="0"/>
          <w:marTop w:val="240"/>
          <w:marBottom w:val="240"/>
          <w:divBdr>
            <w:top w:val="none" w:sz="0" w:space="0" w:color="auto"/>
            <w:left w:val="none" w:sz="0" w:space="0" w:color="auto"/>
            <w:bottom w:val="none" w:sz="0" w:space="0" w:color="auto"/>
            <w:right w:val="none" w:sz="0" w:space="0" w:color="auto"/>
          </w:divBdr>
        </w:div>
        <w:div w:id="235432041">
          <w:marLeft w:val="0"/>
          <w:marRight w:val="0"/>
          <w:marTop w:val="240"/>
          <w:marBottom w:val="240"/>
          <w:divBdr>
            <w:top w:val="none" w:sz="0" w:space="0" w:color="auto"/>
            <w:left w:val="none" w:sz="0" w:space="0" w:color="auto"/>
            <w:bottom w:val="none" w:sz="0" w:space="0" w:color="auto"/>
            <w:right w:val="none" w:sz="0" w:space="0" w:color="auto"/>
          </w:divBdr>
        </w:div>
        <w:div w:id="727190978">
          <w:marLeft w:val="0"/>
          <w:marRight w:val="0"/>
          <w:marTop w:val="240"/>
          <w:marBottom w:val="240"/>
          <w:divBdr>
            <w:top w:val="none" w:sz="0" w:space="0" w:color="auto"/>
            <w:left w:val="none" w:sz="0" w:space="0" w:color="auto"/>
            <w:bottom w:val="none" w:sz="0" w:space="0" w:color="auto"/>
            <w:right w:val="none" w:sz="0" w:space="0" w:color="auto"/>
          </w:divBdr>
        </w:div>
        <w:div w:id="1259676865">
          <w:marLeft w:val="0"/>
          <w:marRight w:val="0"/>
          <w:marTop w:val="240"/>
          <w:marBottom w:val="240"/>
          <w:divBdr>
            <w:top w:val="none" w:sz="0" w:space="0" w:color="auto"/>
            <w:left w:val="none" w:sz="0" w:space="0" w:color="auto"/>
            <w:bottom w:val="none" w:sz="0" w:space="0" w:color="auto"/>
            <w:right w:val="none" w:sz="0" w:space="0" w:color="auto"/>
          </w:divBdr>
        </w:div>
      </w:divsChild>
    </w:div>
    <w:div w:id="244846498">
      <w:bodyDiv w:val="1"/>
      <w:marLeft w:val="0"/>
      <w:marRight w:val="0"/>
      <w:marTop w:val="0"/>
      <w:marBottom w:val="0"/>
      <w:divBdr>
        <w:top w:val="none" w:sz="0" w:space="0" w:color="auto"/>
        <w:left w:val="none" w:sz="0" w:space="0" w:color="auto"/>
        <w:bottom w:val="none" w:sz="0" w:space="0" w:color="auto"/>
        <w:right w:val="none" w:sz="0" w:space="0" w:color="auto"/>
      </w:divBdr>
      <w:divsChild>
        <w:div w:id="1525442931">
          <w:marLeft w:val="0"/>
          <w:marRight w:val="0"/>
          <w:marTop w:val="240"/>
          <w:marBottom w:val="240"/>
          <w:divBdr>
            <w:top w:val="none" w:sz="0" w:space="0" w:color="auto"/>
            <w:left w:val="none" w:sz="0" w:space="0" w:color="auto"/>
            <w:bottom w:val="none" w:sz="0" w:space="0" w:color="auto"/>
            <w:right w:val="none" w:sz="0" w:space="0" w:color="auto"/>
          </w:divBdr>
        </w:div>
        <w:div w:id="2124493868">
          <w:marLeft w:val="0"/>
          <w:marRight w:val="0"/>
          <w:marTop w:val="240"/>
          <w:marBottom w:val="240"/>
          <w:divBdr>
            <w:top w:val="none" w:sz="0" w:space="0" w:color="auto"/>
            <w:left w:val="none" w:sz="0" w:space="0" w:color="auto"/>
            <w:bottom w:val="none" w:sz="0" w:space="0" w:color="auto"/>
            <w:right w:val="none" w:sz="0" w:space="0" w:color="auto"/>
          </w:divBdr>
        </w:div>
        <w:div w:id="174853145">
          <w:marLeft w:val="0"/>
          <w:marRight w:val="0"/>
          <w:marTop w:val="240"/>
          <w:marBottom w:val="240"/>
          <w:divBdr>
            <w:top w:val="none" w:sz="0" w:space="0" w:color="auto"/>
            <w:left w:val="none" w:sz="0" w:space="0" w:color="auto"/>
            <w:bottom w:val="none" w:sz="0" w:space="0" w:color="auto"/>
            <w:right w:val="none" w:sz="0" w:space="0" w:color="auto"/>
          </w:divBdr>
        </w:div>
        <w:div w:id="856970712">
          <w:marLeft w:val="0"/>
          <w:marRight w:val="0"/>
          <w:marTop w:val="240"/>
          <w:marBottom w:val="240"/>
          <w:divBdr>
            <w:top w:val="none" w:sz="0" w:space="0" w:color="auto"/>
            <w:left w:val="none" w:sz="0" w:space="0" w:color="auto"/>
            <w:bottom w:val="none" w:sz="0" w:space="0" w:color="auto"/>
            <w:right w:val="none" w:sz="0" w:space="0" w:color="auto"/>
          </w:divBdr>
        </w:div>
        <w:div w:id="1665283269">
          <w:marLeft w:val="0"/>
          <w:marRight w:val="0"/>
          <w:marTop w:val="240"/>
          <w:marBottom w:val="240"/>
          <w:divBdr>
            <w:top w:val="none" w:sz="0" w:space="0" w:color="auto"/>
            <w:left w:val="none" w:sz="0" w:space="0" w:color="auto"/>
            <w:bottom w:val="none" w:sz="0" w:space="0" w:color="auto"/>
            <w:right w:val="none" w:sz="0" w:space="0" w:color="auto"/>
          </w:divBdr>
        </w:div>
        <w:div w:id="2056586344">
          <w:marLeft w:val="0"/>
          <w:marRight w:val="0"/>
          <w:marTop w:val="240"/>
          <w:marBottom w:val="240"/>
          <w:divBdr>
            <w:top w:val="none" w:sz="0" w:space="0" w:color="auto"/>
            <w:left w:val="none" w:sz="0" w:space="0" w:color="auto"/>
            <w:bottom w:val="none" w:sz="0" w:space="0" w:color="auto"/>
            <w:right w:val="none" w:sz="0" w:space="0" w:color="auto"/>
          </w:divBdr>
        </w:div>
      </w:divsChild>
    </w:div>
    <w:div w:id="349648382">
      <w:bodyDiv w:val="1"/>
      <w:marLeft w:val="0"/>
      <w:marRight w:val="0"/>
      <w:marTop w:val="0"/>
      <w:marBottom w:val="0"/>
      <w:divBdr>
        <w:top w:val="none" w:sz="0" w:space="0" w:color="auto"/>
        <w:left w:val="none" w:sz="0" w:space="0" w:color="auto"/>
        <w:bottom w:val="none" w:sz="0" w:space="0" w:color="auto"/>
        <w:right w:val="none" w:sz="0" w:space="0" w:color="auto"/>
      </w:divBdr>
    </w:div>
    <w:div w:id="593825481">
      <w:bodyDiv w:val="1"/>
      <w:marLeft w:val="0"/>
      <w:marRight w:val="0"/>
      <w:marTop w:val="0"/>
      <w:marBottom w:val="0"/>
      <w:divBdr>
        <w:top w:val="none" w:sz="0" w:space="0" w:color="auto"/>
        <w:left w:val="none" w:sz="0" w:space="0" w:color="auto"/>
        <w:bottom w:val="none" w:sz="0" w:space="0" w:color="auto"/>
        <w:right w:val="none" w:sz="0" w:space="0" w:color="auto"/>
      </w:divBdr>
    </w:div>
    <w:div w:id="741636566">
      <w:bodyDiv w:val="1"/>
      <w:marLeft w:val="0"/>
      <w:marRight w:val="0"/>
      <w:marTop w:val="0"/>
      <w:marBottom w:val="0"/>
      <w:divBdr>
        <w:top w:val="none" w:sz="0" w:space="0" w:color="auto"/>
        <w:left w:val="none" w:sz="0" w:space="0" w:color="auto"/>
        <w:bottom w:val="none" w:sz="0" w:space="0" w:color="auto"/>
        <w:right w:val="none" w:sz="0" w:space="0" w:color="auto"/>
      </w:divBdr>
      <w:divsChild>
        <w:div w:id="239104361">
          <w:marLeft w:val="0"/>
          <w:marRight w:val="0"/>
          <w:marTop w:val="240"/>
          <w:marBottom w:val="240"/>
          <w:divBdr>
            <w:top w:val="none" w:sz="0" w:space="0" w:color="auto"/>
            <w:left w:val="none" w:sz="0" w:space="0" w:color="auto"/>
            <w:bottom w:val="none" w:sz="0" w:space="0" w:color="auto"/>
            <w:right w:val="none" w:sz="0" w:space="0" w:color="auto"/>
          </w:divBdr>
        </w:div>
        <w:div w:id="1639799206">
          <w:marLeft w:val="0"/>
          <w:marRight w:val="0"/>
          <w:marTop w:val="240"/>
          <w:marBottom w:val="240"/>
          <w:divBdr>
            <w:top w:val="none" w:sz="0" w:space="0" w:color="auto"/>
            <w:left w:val="none" w:sz="0" w:space="0" w:color="auto"/>
            <w:bottom w:val="none" w:sz="0" w:space="0" w:color="auto"/>
            <w:right w:val="none" w:sz="0" w:space="0" w:color="auto"/>
          </w:divBdr>
        </w:div>
        <w:div w:id="1446194962">
          <w:marLeft w:val="0"/>
          <w:marRight w:val="0"/>
          <w:marTop w:val="240"/>
          <w:marBottom w:val="240"/>
          <w:divBdr>
            <w:top w:val="none" w:sz="0" w:space="0" w:color="auto"/>
            <w:left w:val="none" w:sz="0" w:space="0" w:color="auto"/>
            <w:bottom w:val="none" w:sz="0" w:space="0" w:color="auto"/>
            <w:right w:val="none" w:sz="0" w:space="0" w:color="auto"/>
          </w:divBdr>
        </w:div>
        <w:div w:id="1248617934">
          <w:marLeft w:val="0"/>
          <w:marRight w:val="0"/>
          <w:marTop w:val="240"/>
          <w:marBottom w:val="240"/>
          <w:divBdr>
            <w:top w:val="none" w:sz="0" w:space="0" w:color="auto"/>
            <w:left w:val="none" w:sz="0" w:space="0" w:color="auto"/>
            <w:bottom w:val="none" w:sz="0" w:space="0" w:color="auto"/>
            <w:right w:val="none" w:sz="0" w:space="0" w:color="auto"/>
          </w:divBdr>
        </w:div>
        <w:div w:id="670253600">
          <w:marLeft w:val="0"/>
          <w:marRight w:val="0"/>
          <w:marTop w:val="240"/>
          <w:marBottom w:val="240"/>
          <w:divBdr>
            <w:top w:val="none" w:sz="0" w:space="0" w:color="auto"/>
            <w:left w:val="none" w:sz="0" w:space="0" w:color="auto"/>
            <w:bottom w:val="none" w:sz="0" w:space="0" w:color="auto"/>
            <w:right w:val="none" w:sz="0" w:space="0" w:color="auto"/>
          </w:divBdr>
        </w:div>
        <w:div w:id="1870097420">
          <w:marLeft w:val="0"/>
          <w:marRight w:val="0"/>
          <w:marTop w:val="240"/>
          <w:marBottom w:val="240"/>
          <w:divBdr>
            <w:top w:val="none" w:sz="0" w:space="0" w:color="auto"/>
            <w:left w:val="none" w:sz="0" w:space="0" w:color="auto"/>
            <w:bottom w:val="none" w:sz="0" w:space="0" w:color="auto"/>
            <w:right w:val="none" w:sz="0" w:space="0" w:color="auto"/>
          </w:divBdr>
        </w:div>
        <w:div w:id="938679105">
          <w:marLeft w:val="0"/>
          <w:marRight w:val="0"/>
          <w:marTop w:val="240"/>
          <w:marBottom w:val="240"/>
          <w:divBdr>
            <w:top w:val="none" w:sz="0" w:space="0" w:color="auto"/>
            <w:left w:val="none" w:sz="0" w:space="0" w:color="auto"/>
            <w:bottom w:val="none" w:sz="0" w:space="0" w:color="auto"/>
            <w:right w:val="none" w:sz="0" w:space="0" w:color="auto"/>
          </w:divBdr>
        </w:div>
      </w:divsChild>
    </w:div>
    <w:div w:id="949236898">
      <w:bodyDiv w:val="1"/>
      <w:marLeft w:val="0"/>
      <w:marRight w:val="0"/>
      <w:marTop w:val="0"/>
      <w:marBottom w:val="0"/>
      <w:divBdr>
        <w:top w:val="none" w:sz="0" w:space="0" w:color="auto"/>
        <w:left w:val="none" w:sz="0" w:space="0" w:color="auto"/>
        <w:bottom w:val="none" w:sz="0" w:space="0" w:color="auto"/>
        <w:right w:val="none" w:sz="0" w:space="0" w:color="auto"/>
      </w:divBdr>
    </w:div>
    <w:div w:id="1169104964">
      <w:bodyDiv w:val="1"/>
      <w:marLeft w:val="0"/>
      <w:marRight w:val="0"/>
      <w:marTop w:val="0"/>
      <w:marBottom w:val="0"/>
      <w:divBdr>
        <w:top w:val="none" w:sz="0" w:space="0" w:color="auto"/>
        <w:left w:val="none" w:sz="0" w:space="0" w:color="auto"/>
        <w:bottom w:val="none" w:sz="0" w:space="0" w:color="auto"/>
        <w:right w:val="none" w:sz="0" w:space="0" w:color="auto"/>
      </w:divBdr>
    </w:div>
    <w:div w:id="1260871405">
      <w:bodyDiv w:val="1"/>
      <w:marLeft w:val="0"/>
      <w:marRight w:val="0"/>
      <w:marTop w:val="0"/>
      <w:marBottom w:val="0"/>
      <w:divBdr>
        <w:top w:val="none" w:sz="0" w:space="0" w:color="auto"/>
        <w:left w:val="none" w:sz="0" w:space="0" w:color="auto"/>
        <w:bottom w:val="none" w:sz="0" w:space="0" w:color="auto"/>
        <w:right w:val="none" w:sz="0" w:space="0" w:color="auto"/>
      </w:divBdr>
    </w:div>
    <w:div w:id="1306544792">
      <w:bodyDiv w:val="1"/>
      <w:marLeft w:val="0"/>
      <w:marRight w:val="0"/>
      <w:marTop w:val="0"/>
      <w:marBottom w:val="0"/>
      <w:divBdr>
        <w:top w:val="none" w:sz="0" w:space="0" w:color="auto"/>
        <w:left w:val="none" w:sz="0" w:space="0" w:color="auto"/>
        <w:bottom w:val="none" w:sz="0" w:space="0" w:color="auto"/>
        <w:right w:val="none" w:sz="0" w:space="0" w:color="auto"/>
      </w:divBdr>
    </w:div>
    <w:div w:id="1336612400">
      <w:bodyDiv w:val="1"/>
      <w:marLeft w:val="0"/>
      <w:marRight w:val="0"/>
      <w:marTop w:val="0"/>
      <w:marBottom w:val="0"/>
      <w:divBdr>
        <w:top w:val="none" w:sz="0" w:space="0" w:color="auto"/>
        <w:left w:val="none" w:sz="0" w:space="0" w:color="auto"/>
        <w:bottom w:val="none" w:sz="0" w:space="0" w:color="auto"/>
        <w:right w:val="none" w:sz="0" w:space="0" w:color="auto"/>
      </w:divBdr>
    </w:div>
    <w:div w:id="1529485302">
      <w:bodyDiv w:val="1"/>
      <w:marLeft w:val="0"/>
      <w:marRight w:val="0"/>
      <w:marTop w:val="0"/>
      <w:marBottom w:val="0"/>
      <w:divBdr>
        <w:top w:val="none" w:sz="0" w:space="0" w:color="auto"/>
        <w:left w:val="none" w:sz="0" w:space="0" w:color="auto"/>
        <w:bottom w:val="none" w:sz="0" w:space="0" w:color="auto"/>
        <w:right w:val="none" w:sz="0" w:space="0" w:color="auto"/>
      </w:divBdr>
    </w:div>
    <w:div w:id="1779715713">
      <w:bodyDiv w:val="1"/>
      <w:marLeft w:val="0"/>
      <w:marRight w:val="0"/>
      <w:marTop w:val="0"/>
      <w:marBottom w:val="0"/>
      <w:divBdr>
        <w:top w:val="none" w:sz="0" w:space="0" w:color="auto"/>
        <w:left w:val="none" w:sz="0" w:space="0" w:color="auto"/>
        <w:bottom w:val="none" w:sz="0" w:space="0" w:color="auto"/>
        <w:right w:val="none" w:sz="0" w:space="0" w:color="auto"/>
      </w:divBdr>
      <w:divsChild>
        <w:div w:id="886719258">
          <w:marLeft w:val="0"/>
          <w:marRight w:val="0"/>
          <w:marTop w:val="240"/>
          <w:marBottom w:val="240"/>
          <w:divBdr>
            <w:top w:val="none" w:sz="0" w:space="0" w:color="auto"/>
            <w:left w:val="none" w:sz="0" w:space="0" w:color="auto"/>
            <w:bottom w:val="none" w:sz="0" w:space="0" w:color="auto"/>
            <w:right w:val="none" w:sz="0" w:space="0" w:color="auto"/>
          </w:divBdr>
        </w:div>
        <w:div w:id="1430539415">
          <w:marLeft w:val="0"/>
          <w:marRight w:val="0"/>
          <w:marTop w:val="240"/>
          <w:marBottom w:val="240"/>
          <w:divBdr>
            <w:top w:val="none" w:sz="0" w:space="0" w:color="auto"/>
            <w:left w:val="none" w:sz="0" w:space="0" w:color="auto"/>
            <w:bottom w:val="none" w:sz="0" w:space="0" w:color="auto"/>
            <w:right w:val="none" w:sz="0" w:space="0" w:color="auto"/>
          </w:divBdr>
        </w:div>
      </w:divsChild>
    </w:div>
    <w:div w:id="1808694781">
      <w:bodyDiv w:val="1"/>
      <w:marLeft w:val="0"/>
      <w:marRight w:val="0"/>
      <w:marTop w:val="0"/>
      <w:marBottom w:val="0"/>
      <w:divBdr>
        <w:top w:val="none" w:sz="0" w:space="0" w:color="auto"/>
        <w:left w:val="none" w:sz="0" w:space="0" w:color="auto"/>
        <w:bottom w:val="none" w:sz="0" w:space="0" w:color="auto"/>
        <w:right w:val="none" w:sz="0" w:space="0" w:color="auto"/>
      </w:divBdr>
    </w:div>
    <w:div w:id="1867866094">
      <w:bodyDiv w:val="1"/>
      <w:marLeft w:val="0"/>
      <w:marRight w:val="0"/>
      <w:marTop w:val="0"/>
      <w:marBottom w:val="0"/>
      <w:divBdr>
        <w:top w:val="none" w:sz="0" w:space="0" w:color="auto"/>
        <w:left w:val="none" w:sz="0" w:space="0" w:color="auto"/>
        <w:bottom w:val="none" w:sz="0" w:space="0" w:color="auto"/>
        <w:right w:val="none" w:sz="0" w:space="0" w:color="auto"/>
      </w:divBdr>
    </w:div>
    <w:div w:id="187769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C511A75B84E48F3AEDBF43159AD79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631</Nr_x002e__x0020_akti>
    <Data_x0020_e_x0020_Krijimit xmlns="0e656187-b300-4fb0-8bf4-3a50f872073c">2026-08-04T07:50:43Z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krijimin e Institutit Kombëtar Onkologjik, si strukturë shëndetësore universitare dhe kërkimore-shkencore</Titulli>
    <Modifikuesi xmlns="0e656187-b300-4fb0-8bf4-3a50f872073c">keisina.zace</Modifikuesi>
    <Nr_x002e__x0020_prot_x0020_QBZ xmlns="0e656187-b300-4fb0-8bf4-3a50f872073c">1800</Nr_x002e__x0020_prot_x0020_QBZ>
    <Data_x0020_e_x0020_Modifikimit xmlns="0e656187-b300-4fb0-8bf4-3a50f872073c">2026-08-04T09:53:36Z</Data_x0020_e_x0020_Modifikimit>
    <Dekretuar xmlns="0e656187-b300-4fb0-8bf4-3a50f872073c">false</Dekretuar>
    <Data xmlns="0e656187-b300-4fb0-8bf4-3a50f872073c">2026-07-30T00:00:00Z</Data>
    <Nr_x002e__x0020_protokolli_x0020_i_x0020_aktit xmlns="0e656187-b300-4fb0-8bf4-3a50f872073c">3780/9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3793E-1C92-4816-AD23-B77C14B28618}">
  <ds:schemaRefs>
    <ds:schemaRef ds:uri="http://schemas.microsoft.com/sharepoint/v3/contenttype/forms"/>
  </ds:schemaRefs>
</ds:datastoreItem>
</file>

<file path=customXml/itemProps2.xml><?xml version="1.0" encoding="utf-8"?>
<ds:datastoreItem xmlns:ds="http://schemas.openxmlformats.org/officeDocument/2006/customXml" ds:itemID="{508C99A7-AC91-4CF3-9AC4-B6A49FD19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BD75084-2A2F-4772-AF80-453B04ADC75F}">
  <ds:schemaRefs>
    <ds:schemaRef ds:uri="http://schemas.microsoft.com/office/2006/documentManagement/types"/>
    <ds:schemaRef ds:uri="0e656187-b300-4fb0-8bf4-3a50f872073c"/>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B20747C-F394-4BF3-B5F0-19FB35141D9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2545</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Institutit Kombëtar Onkologjik, si strukturë shëndetësore universitare dhe kërkimore-shkencore</dc:title>
  <dc:creator>Natalina Lesi</dc:creator>
  <cp:lastModifiedBy>fjora.cahani</cp:lastModifiedBy>
  <cp:revision>6</cp:revision>
  <cp:lastPrinted>2026-07-29T18:37:00Z</cp:lastPrinted>
  <dcterms:created xsi:type="dcterms:W3CDTF">2026-08-04T07:44:00Z</dcterms:created>
  <dcterms:modified xsi:type="dcterms:W3CDTF">2026-08-05T10:12:00Z</dcterms:modified>
</cp:coreProperties>
</file>