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DFFF1" w14:textId="755EE900" w:rsidR="0035516C" w:rsidRPr="00253232" w:rsidRDefault="0035516C" w:rsidP="00724003">
      <w:pPr>
        <w:spacing w:after="0" w:line="240" w:lineRule="auto"/>
        <w:ind w:firstLine="284"/>
        <w:jc w:val="center"/>
        <w:rPr>
          <w:rFonts w:ascii="Garamond" w:eastAsia="Times New Roman" w:hAnsi="Garamond" w:cs="Times New Roman"/>
          <w:b/>
          <w:sz w:val="24"/>
          <w:szCs w:val="24"/>
        </w:rPr>
      </w:pPr>
      <w:r w:rsidRPr="00253232">
        <w:rPr>
          <w:rFonts w:ascii="Garamond" w:eastAsia="Times New Roman" w:hAnsi="Garamond" w:cs="Times New Roman"/>
          <w:b/>
          <w:sz w:val="24"/>
          <w:szCs w:val="24"/>
        </w:rPr>
        <w:t>VENDIM</w:t>
      </w:r>
    </w:p>
    <w:p w14:paraId="3C3DFFF4" w14:textId="4EFA8401" w:rsidR="00AE5682" w:rsidRPr="00253232" w:rsidRDefault="00AC15A6" w:rsidP="00724003">
      <w:pPr>
        <w:spacing w:after="0" w:line="240" w:lineRule="auto"/>
        <w:ind w:firstLine="284"/>
        <w:jc w:val="center"/>
        <w:rPr>
          <w:rFonts w:ascii="Garamond" w:eastAsia="Times New Roman" w:hAnsi="Garamond" w:cs="Times New Roman"/>
          <w:b/>
          <w:sz w:val="24"/>
          <w:szCs w:val="24"/>
        </w:rPr>
      </w:pPr>
      <w:r w:rsidRPr="00253232">
        <w:rPr>
          <w:rFonts w:ascii="Garamond" w:eastAsia="Times New Roman" w:hAnsi="Garamond" w:cs="Times New Roman"/>
          <w:b/>
          <w:sz w:val="24"/>
          <w:szCs w:val="24"/>
        </w:rPr>
        <w:t>Nr.</w:t>
      </w:r>
      <w:r w:rsidR="00253232">
        <w:rPr>
          <w:rFonts w:ascii="Garamond" w:eastAsia="Times New Roman" w:hAnsi="Garamond" w:cs="Times New Roman"/>
          <w:b/>
          <w:sz w:val="24"/>
          <w:szCs w:val="24"/>
        </w:rPr>
        <w:t xml:space="preserve"> </w:t>
      </w:r>
      <w:r w:rsidRPr="00253232">
        <w:rPr>
          <w:rFonts w:ascii="Garamond" w:eastAsia="Times New Roman" w:hAnsi="Garamond" w:cs="Times New Roman"/>
          <w:b/>
          <w:sz w:val="24"/>
          <w:szCs w:val="24"/>
        </w:rPr>
        <w:t>635</w:t>
      </w:r>
      <w:r w:rsidR="0035516C" w:rsidRPr="00253232">
        <w:rPr>
          <w:rFonts w:ascii="Garamond" w:eastAsia="Times New Roman" w:hAnsi="Garamond" w:cs="Times New Roman"/>
          <w:b/>
          <w:sz w:val="24"/>
          <w:szCs w:val="24"/>
        </w:rPr>
        <w:t>, datë</w:t>
      </w:r>
      <w:bookmarkStart w:id="0" w:name="_Hlk193962474"/>
      <w:r w:rsidRPr="00253232">
        <w:rPr>
          <w:rFonts w:ascii="Garamond" w:eastAsia="Times New Roman" w:hAnsi="Garamond" w:cs="Times New Roman"/>
          <w:b/>
          <w:sz w:val="24"/>
          <w:szCs w:val="24"/>
        </w:rPr>
        <w:t xml:space="preserve"> 27.8.2026</w:t>
      </w:r>
    </w:p>
    <w:p w14:paraId="49068765" w14:textId="77777777" w:rsidR="00E00E6F" w:rsidRPr="00253232" w:rsidRDefault="00E00E6F" w:rsidP="00724003">
      <w:pPr>
        <w:spacing w:after="0" w:line="240" w:lineRule="auto"/>
        <w:ind w:firstLine="284"/>
        <w:jc w:val="center"/>
        <w:rPr>
          <w:rFonts w:ascii="Garamond" w:eastAsia="Times New Roman" w:hAnsi="Garamond" w:cs="Times New Roman"/>
          <w:b/>
          <w:sz w:val="24"/>
          <w:szCs w:val="24"/>
        </w:rPr>
      </w:pPr>
    </w:p>
    <w:p w14:paraId="3C3DFFF7" w14:textId="7BEA7BF5" w:rsidR="0035516C" w:rsidRPr="00253232" w:rsidRDefault="0035516C" w:rsidP="00724003">
      <w:pPr>
        <w:spacing w:after="0" w:line="240" w:lineRule="auto"/>
        <w:ind w:firstLine="284"/>
        <w:jc w:val="center"/>
        <w:rPr>
          <w:rFonts w:ascii="Garamond" w:eastAsia="Times New Roman" w:hAnsi="Garamond" w:cs="Times New Roman"/>
          <w:b/>
          <w:sz w:val="24"/>
          <w:szCs w:val="24"/>
        </w:rPr>
      </w:pPr>
      <w:r w:rsidRPr="00253232">
        <w:rPr>
          <w:rFonts w:ascii="Garamond" w:eastAsia="Times New Roman" w:hAnsi="Garamond" w:cs="Times New Roman"/>
          <w:b/>
          <w:sz w:val="24"/>
          <w:szCs w:val="24"/>
        </w:rPr>
        <w:t>P</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R</w:t>
      </w:r>
      <w:r w:rsidR="00E00E6F" w:rsidRPr="00253232">
        <w:rPr>
          <w:rFonts w:ascii="Garamond" w:eastAsia="Times New Roman" w:hAnsi="Garamond" w:cs="Times New Roman"/>
          <w:b/>
          <w:sz w:val="24"/>
          <w:szCs w:val="24"/>
        </w:rPr>
        <w:t xml:space="preserve"> </w:t>
      </w:r>
      <w:r w:rsidRPr="00253232">
        <w:rPr>
          <w:rFonts w:ascii="Garamond" w:eastAsia="Times New Roman" w:hAnsi="Garamond" w:cs="Times New Roman"/>
          <w:b/>
          <w:sz w:val="24"/>
          <w:szCs w:val="24"/>
        </w:rPr>
        <w:t>NGRITJEN DHE FUNKSIONIMIN E QENDR</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S KOMB</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TARE T</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 xml:space="preserve"> KOORDINIMIT P</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R MENAXHIMIN E INTEGRUAR T</w:t>
      </w:r>
      <w:r w:rsidR="00DC6734" w:rsidRPr="00253232">
        <w:rPr>
          <w:rFonts w:ascii="Garamond" w:eastAsia="Times New Roman" w:hAnsi="Garamond" w:cs="Times New Roman"/>
          <w:b/>
          <w:sz w:val="24"/>
          <w:szCs w:val="24"/>
        </w:rPr>
        <w:t>Ë</w:t>
      </w:r>
      <w:r w:rsidRPr="00253232">
        <w:rPr>
          <w:rFonts w:ascii="Garamond" w:eastAsia="Times New Roman" w:hAnsi="Garamond" w:cs="Times New Roman"/>
          <w:b/>
          <w:sz w:val="24"/>
          <w:szCs w:val="24"/>
        </w:rPr>
        <w:t xml:space="preserve"> KUFIRIT</w:t>
      </w:r>
      <w:r w:rsidR="00D13A98" w:rsidRPr="00253232">
        <w:rPr>
          <w:rStyle w:val="FootnoteReference"/>
          <w:rFonts w:ascii="Garamond" w:eastAsia="Times New Roman" w:hAnsi="Garamond" w:cs="Times New Roman"/>
          <w:b/>
          <w:sz w:val="24"/>
          <w:szCs w:val="24"/>
        </w:rPr>
        <w:footnoteReference w:id="2"/>
      </w:r>
    </w:p>
    <w:bookmarkEnd w:id="0"/>
    <w:p w14:paraId="3C3DFFF8" w14:textId="77777777" w:rsidR="0035516C" w:rsidRPr="00253232" w:rsidRDefault="0035516C" w:rsidP="00724003">
      <w:pPr>
        <w:spacing w:after="0" w:line="240" w:lineRule="auto"/>
        <w:ind w:firstLine="284"/>
        <w:jc w:val="center"/>
        <w:rPr>
          <w:rFonts w:ascii="Garamond" w:eastAsia="Times New Roman" w:hAnsi="Garamond" w:cs="Times New Roman"/>
          <w:b/>
          <w:sz w:val="24"/>
          <w:szCs w:val="24"/>
        </w:rPr>
      </w:pPr>
    </w:p>
    <w:p w14:paraId="3C3DFFF9" w14:textId="7BA6F8C5" w:rsidR="0035516C" w:rsidRPr="00253232" w:rsidRDefault="0035516C" w:rsidP="00724003">
      <w:pPr>
        <w:spacing w:after="0" w:line="240" w:lineRule="auto"/>
        <w:ind w:firstLine="284"/>
        <w:jc w:val="both"/>
        <w:rPr>
          <w:rFonts w:ascii="Garamond" w:eastAsia="Times New Roman" w:hAnsi="Garamond" w:cs="Times New Roman"/>
          <w:bCs/>
          <w:sz w:val="24"/>
          <w:szCs w:val="24"/>
        </w:rPr>
      </w:pPr>
      <w:r w:rsidRPr="00253232">
        <w:rPr>
          <w:rFonts w:ascii="Garamond" w:eastAsia="Times New Roman" w:hAnsi="Garamond" w:cs="Times New Roman"/>
          <w:sz w:val="24"/>
          <w:szCs w:val="24"/>
        </w:rPr>
        <w:t xml:space="preserve">Në mbështetje të nenit 100 të Kushtetutës </w:t>
      </w:r>
      <w:bookmarkStart w:id="1" w:name="_Hlk193962586"/>
      <w:r w:rsidR="00E9377D" w:rsidRPr="00253232">
        <w:rPr>
          <w:rFonts w:ascii="Garamond" w:eastAsia="Times New Roman" w:hAnsi="Garamond" w:cs="Times New Roman"/>
          <w:sz w:val="24"/>
          <w:szCs w:val="24"/>
        </w:rPr>
        <w:t>dhe</w:t>
      </w:r>
      <w:r w:rsidR="00CA2EC4" w:rsidRPr="00253232">
        <w:rPr>
          <w:rFonts w:ascii="Garamond" w:eastAsia="Times New Roman" w:hAnsi="Garamond" w:cs="Times New Roman"/>
          <w:sz w:val="24"/>
          <w:szCs w:val="24"/>
        </w:rPr>
        <w:t xml:space="preserve"> të </w:t>
      </w:r>
      <w:bookmarkStart w:id="2" w:name="_Hlk208410801"/>
      <w:r w:rsidR="000C6A61" w:rsidRPr="00253232">
        <w:rPr>
          <w:rFonts w:ascii="Garamond" w:eastAsia="Times New Roman" w:hAnsi="Garamond" w:cs="Times New Roman"/>
          <w:bCs/>
          <w:sz w:val="24"/>
          <w:szCs w:val="24"/>
        </w:rPr>
        <w:t>pikës 1</w:t>
      </w:r>
      <w:r w:rsidR="00D107C9" w:rsidRPr="00253232">
        <w:rPr>
          <w:rFonts w:ascii="Garamond" w:eastAsia="Times New Roman" w:hAnsi="Garamond" w:cs="Times New Roman"/>
          <w:bCs/>
          <w:sz w:val="24"/>
          <w:szCs w:val="24"/>
        </w:rPr>
        <w:t>,</w:t>
      </w:r>
      <w:r w:rsidR="000C6A61" w:rsidRPr="00253232">
        <w:rPr>
          <w:rFonts w:ascii="Garamond" w:eastAsia="Times New Roman" w:hAnsi="Garamond" w:cs="Times New Roman"/>
          <w:bCs/>
          <w:sz w:val="24"/>
          <w:szCs w:val="24"/>
        </w:rPr>
        <w:t xml:space="preserve"> të nenit 28, të ligjit nr.</w:t>
      </w:r>
      <w:r w:rsidR="00253232">
        <w:rPr>
          <w:rFonts w:ascii="Garamond" w:eastAsia="Times New Roman" w:hAnsi="Garamond" w:cs="Times New Roman"/>
          <w:bCs/>
          <w:sz w:val="24"/>
          <w:szCs w:val="24"/>
        </w:rPr>
        <w:t xml:space="preserve"> </w:t>
      </w:r>
      <w:r w:rsidR="000C6A61" w:rsidRPr="00253232">
        <w:rPr>
          <w:rFonts w:ascii="Garamond" w:eastAsia="Times New Roman" w:hAnsi="Garamond" w:cs="Times New Roman"/>
          <w:bCs/>
          <w:sz w:val="24"/>
          <w:szCs w:val="24"/>
        </w:rPr>
        <w:t>39/2025</w:t>
      </w:r>
      <w:bookmarkStart w:id="3" w:name="_Hlk208410613"/>
      <w:r w:rsidR="001E2FB2" w:rsidRPr="00253232">
        <w:rPr>
          <w:rFonts w:ascii="Garamond" w:eastAsia="Times New Roman" w:hAnsi="Garamond" w:cs="Times New Roman"/>
          <w:bCs/>
          <w:sz w:val="24"/>
          <w:szCs w:val="24"/>
        </w:rPr>
        <w:t>,</w:t>
      </w:r>
      <w:r w:rsidR="00E9377D" w:rsidRPr="00253232">
        <w:rPr>
          <w:rFonts w:ascii="Garamond" w:eastAsia="Times New Roman" w:hAnsi="Garamond" w:cs="Times New Roman"/>
          <w:bCs/>
          <w:sz w:val="24"/>
          <w:szCs w:val="24"/>
        </w:rPr>
        <w:t xml:space="preserve"> </w:t>
      </w:r>
      <w:r w:rsidR="000C6A61" w:rsidRPr="00253232">
        <w:rPr>
          <w:rFonts w:ascii="Garamond" w:eastAsia="Times New Roman" w:hAnsi="Garamond" w:cs="Times New Roman"/>
          <w:bCs/>
          <w:sz w:val="24"/>
          <w:szCs w:val="24"/>
        </w:rPr>
        <w:t>“Për kontrollin e kufirit shtetëror”</w:t>
      </w:r>
      <w:bookmarkEnd w:id="2"/>
      <w:r w:rsidR="00E660DE" w:rsidRPr="00253232">
        <w:rPr>
          <w:rFonts w:ascii="Garamond" w:eastAsia="Times New Roman" w:hAnsi="Garamond" w:cs="Times New Roman"/>
          <w:bCs/>
          <w:sz w:val="24"/>
          <w:szCs w:val="24"/>
        </w:rPr>
        <w:t>,</w:t>
      </w:r>
      <w:bookmarkEnd w:id="1"/>
      <w:r w:rsidR="00CA2EC4" w:rsidRPr="00253232">
        <w:rPr>
          <w:rFonts w:ascii="Garamond" w:eastAsia="Times New Roman" w:hAnsi="Garamond" w:cs="Times New Roman"/>
          <w:sz w:val="24"/>
          <w:szCs w:val="24"/>
        </w:rPr>
        <w:t xml:space="preserve"> </w:t>
      </w:r>
      <w:bookmarkEnd w:id="3"/>
      <w:r w:rsidRPr="00253232">
        <w:rPr>
          <w:rFonts w:ascii="Garamond" w:eastAsia="Times New Roman" w:hAnsi="Garamond" w:cs="Times New Roman"/>
          <w:sz w:val="24"/>
          <w:szCs w:val="24"/>
        </w:rPr>
        <w:t>me propozim</w:t>
      </w:r>
      <w:r w:rsidR="00776E36" w:rsidRPr="00253232">
        <w:rPr>
          <w:rFonts w:ascii="Garamond" w:eastAsia="Times New Roman" w:hAnsi="Garamond" w:cs="Times New Roman"/>
          <w:sz w:val="24"/>
          <w:szCs w:val="24"/>
        </w:rPr>
        <w:t>in</w:t>
      </w:r>
      <w:r w:rsidRPr="00253232">
        <w:rPr>
          <w:rFonts w:ascii="Garamond" w:eastAsia="Times New Roman" w:hAnsi="Garamond" w:cs="Times New Roman"/>
          <w:sz w:val="24"/>
          <w:szCs w:val="24"/>
        </w:rPr>
        <w:t xml:space="preserve"> </w:t>
      </w:r>
      <w:r w:rsidR="00776E36" w:rsidRPr="00253232">
        <w:rPr>
          <w:rFonts w:ascii="Garamond" w:eastAsia="Times New Roman" w:hAnsi="Garamond" w:cs="Times New Roman"/>
          <w:sz w:val="24"/>
          <w:szCs w:val="24"/>
        </w:rPr>
        <w:t>e</w:t>
      </w:r>
      <w:r w:rsidRPr="00253232">
        <w:rPr>
          <w:rFonts w:ascii="Garamond" w:eastAsia="Times New Roman" w:hAnsi="Garamond" w:cs="Times New Roman"/>
          <w:sz w:val="24"/>
          <w:szCs w:val="24"/>
        </w:rPr>
        <w:t xml:space="preserve"> </w:t>
      </w:r>
      <w:r w:rsidR="00E9377D" w:rsidRPr="00253232">
        <w:rPr>
          <w:rFonts w:ascii="Garamond" w:eastAsia="Times New Roman" w:hAnsi="Garamond" w:cs="Times New Roman"/>
          <w:sz w:val="24"/>
          <w:szCs w:val="24"/>
        </w:rPr>
        <w:t>m</w:t>
      </w:r>
      <w:r w:rsidRPr="00253232">
        <w:rPr>
          <w:rFonts w:ascii="Garamond" w:eastAsia="Times New Roman" w:hAnsi="Garamond" w:cs="Times New Roman"/>
          <w:sz w:val="24"/>
          <w:szCs w:val="24"/>
        </w:rPr>
        <w:t>inistrit t</w:t>
      </w:r>
      <w:r w:rsidR="00DC6734" w:rsidRPr="00253232">
        <w:rPr>
          <w:rFonts w:ascii="Garamond" w:eastAsia="Times New Roman" w:hAnsi="Garamond" w:cs="Times New Roman"/>
          <w:sz w:val="24"/>
          <w:szCs w:val="24"/>
        </w:rPr>
        <w:t>ë</w:t>
      </w:r>
      <w:r w:rsidRPr="00253232">
        <w:rPr>
          <w:rFonts w:ascii="Garamond" w:eastAsia="Times New Roman" w:hAnsi="Garamond" w:cs="Times New Roman"/>
          <w:sz w:val="24"/>
          <w:szCs w:val="24"/>
        </w:rPr>
        <w:t xml:space="preserve"> </w:t>
      </w:r>
      <w:r w:rsidR="0043533B" w:rsidRPr="00253232">
        <w:rPr>
          <w:rFonts w:ascii="Garamond" w:eastAsia="Times New Roman" w:hAnsi="Garamond" w:cs="Times New Roman"/>
          <w:sz w:val="24"/>
          <w:szCs w:val="24"/>
        </w:rPr>
        <w:t xml:space="preserve">Punëve të </w:t>
      </w:r>
      <w:r w:rsidRPr="00253232">
        <w:rPr>
          <w:rFonts w:ascii="Garamond" w:eastAsia="Times New Roman" w:hAnsi="Garamond" w:cs="Times New Roman"/>
          <w:sz w:val="24"/>
          <w:szCs w:val="24"/>
        </w:rPr>
        <w:t>Brendsh</w:t>
      </w:r>
      <w:r w:rsidR="00DC6734" w:rsidRPr="00253232">
        <w:rPr>
          <w:rFonts w:ascii="Garamond" w:eastAsia="Times New Roman" w:hAnsi="Garamond" w:cs="Times New Roman"/>
          <w:sz w:val="24"/>
          <w:szCs w:val="24"/>
        </w:rPr>
        <w:t>ë</w:t>
      </w:r>
      <w:r w:rsidRPr="00253232">
        <w:rPr>
          <w:rFonts w:ascii="Garamond" w:eastAsia="Times New Roman" w:hAnsi="Garamond" w:cs="Times New Roman"/>
          <w:sz w:val="24"/>
          <w:szCs w:val="24"/>
        </w:rPr>
        <w:t xml:space="preserve">m, </w:t>
      </w:r>
      <w:r w:rsidR="004D4D83" w:rsidRPr="00253232">
        <w:rPr>
          <w:rFonts w:ascii="Garamond" w:eastAsia="Times New Roman" w:hAnsi="Garamond" w:cs="Times New Roman"/>
          <w:sz w:val="24"/>
          <w:szCs w:val="24"/>
        </w:rPr>
        <w:t>Këshilli i Ministrave</w:t>
      </w:r>
    </w:p>
    <w:p w14:paraId="3C3DFFFA" w14:textId="77777777" w:rsidR="00152F87" w:rsidRPr="00253232" w:rsidRDefault="00152F87" w:rsidP="00724003">
      <w:pPr>
        <w:spacing w:after="0" w:line="240" w:lineRule="auto"/>
        <w:ind w:firstLine="284"/>
        <w:rPr>
          <w:rFonts w:ascii="Garamond" w:eastAsia="Times New Roman" w:hAnsi="Garamond" w:cs="Times New Roman"/>
          <w:sz w:val="24"/>
          <w:szCs w:val="24"/>
        </w:rPr>
      </w:pPr>
    </w:p>
    <w:p w14:paraId="3C3DFFFB" w14:textId="5BBD5950" w:rsidR="0035516C" w:rsidRPr="00253232" w:rsidRDefault="0035516C" w:rsidP="00724003">
      <w:pPr>
        <w:spacing w:after="0" w:line="240" w:lineRule="auto"/>
        <w:ind w:firstLine="284"/>
        <w:jc w:val="center"/>
        <w:rPr>
          <w:rFonts w:ascii="Garamond" w:eastAsia="Times New Roman" w:hAnsi="Garamond" w:cs="Times New Roman"/>
          <w:sz w:val="24"/>
          <w:szCs w:val="24"/>
        </w:rPr>
      </w:pPr>
      <w:r w:rsidRPr="00253232">
        <w:rPr>
          <w:rFonts w:ascii="Garamond" w:eastAsia="Times New Roman" w:hAnsi="Garamond" w:cs="Times New Roman"/>
          <w:sz w:val="24"/>
          <w:szCs w:val="24"/>
        </w:rPr>
        <w:t>VENDOSI</w:t>
      </w:r>
      <w:r w:rsidR="008B42B2" w:rsidRPr="00253232">
        <w:rPr>
          <w:rFonts w:ascii="Garamond" w:eastAsia="Times New Roman" w:hAnsi="Garamond" w:cs="Times New Roman"/>
          <w:sz w:val="24"/>
          <w:szCs w:val="24"/>
        </w:rPr>
        <w:t>:</w:t>
      </w:r>
    </w:p>
    <w:p w14:paraId="3C3DFFFC" w14:textId="77777777" w:rsidR="008B42B2" w:rsidRPr="00253232" w:rsidRDefault="008B42B2" w:rsidP="00724003">
      <w:pPr>
        <w:spacing w:after="0" w:line="240" w:lineRule="auto"/>
        <w:ind w:firstLine="284"/>
        <w:jc w:val="center"/>
        <w:rPr>
          <w:rFonts w:ascii="Garamond" w:eastAsia="Times New Roman" w:hAnsi="Garamond" w:cs="Times New Roman"/>
          <w:sz w:val="24"/>
          <w:szCs w:val="24"/>
        </w:rPr>
      </w:pPr>
    </w:p>
    <w:p w14:paraId="3E4A23AA" w14:textId="329E90F0"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1. Ngritjen e Qendrës Kombëtare të Koordinimit për Menaxhimin e Integruar të Kufirit (në vijim Qendra) për shkëmbimin në kohë reale të informacionit dhe lehtësimin e bashkëpunimit midis autoriteteve kombëtare, me përgjegjësi në menaxhimin e integruar të kufirit, kontrollin dhe mbikëqyrjen e tij me qendrat kombëtare të koordinimit të vendeve të rajonit e ato partnere, si dhe me Agjencinë Evropiane të Rojës Kufitare dhe Bregdetare (FRONTEX).</w:t>
      </w:r>
    </w:p>
    <w:p w14:paraId="3D470474" w14:textId="7876C888" w:rsidR="00724003" w:rsidRPr="00253232" w:rsidRDefault="00724003" w:rsidP="00724003">
      <w:pPr>
        <w:autoSpaceDE w:val="0"/>
        <w:autoSpaceDN w:val="0"/>
        <w:adjustRightInd w:val="0"/>
        <w:spacing w:after="0" w:line="240" w:lineRule="auto"/>
        <w:ind w:firstLine="284"/>
        <w:jc w:val="both"/>
        <w:rPr>
          <w:rFonts w:ascii="Garamond" w:hAnsi="Garamond" w:cs="Times New Roman"/>
          <w:sz w:val="24"/>
          <w:szCs w:val="24"/>
        </w:rPr>
      </w:pPr>
      <w:r w:rsidRPr="00253232">
        <w:rPr>
          <w:rFonts w:ascii="Garamond" w:hAnsi="Garamond" w:cs="Times New Roman"/>
          <w:color w:val="000000"/>
          <w:sz w:val="24"/>
          <w:szCs w:val="24"/>
        </w:rPr>
        <w:t>2. Qendra Kombëtare e Koordinimit për Menaxhimin e Integruar të Kufirit është strukturë koordinuese ndërinstitucionale pranë Drejtorisë së Përgjithshme të Policisë së Shtetit dhe përbëhet nga përfaqësues të agjencive të zbatimit të ligjit, që operojnë në kufi, si më poshtë vijon:</w:t>
      </w:r>
    </w:p>
    <w:p w14:paraId="7807E8F7" w14:textId="42FC548D"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a) Drejtoria e Për</w:t>
      </w:r>
      <w:r w:rsidR="00253232">
        <w:rPr>
          <w:rFonts w:ascii="Garamond" w:hAnsi="Garamond" w:cs="Times New Roman"/>
          <w:color w:val="000000"/>
          <w:sz w:val="24"/>
          <w:szCs w:val="24"/>
        </w:rPr>
        <w:t>gjithshme e Policisë së Shtetit/</w:t>
      </w:r>
      <w:r w:rsidRPr="00253232">
        <w:rPr>
          <w:rFonts w:ascii="Garamond" w:hAnsi="Garamond" w:cs="Times New Roman"/>
          <w:color w:val="000000"/>
          <w:sz w:val="24"/>
          <w:szCs w:val="24"/>
        </w:rPr>
        <w:t>Departamenti për Kufirin dhe Migracionin;</w:t>
      </w:r>
    </w:p>
    <w:p w14:paraId="628147F6" w14:textId="0EB774C7"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b) Drejtoria e Përgjithshme e Doganave;</w:t>
      </w:r>
    </w:p>
    <w:p w14:paraId="14B28881" w14:textId="546A77D7"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c) Autoriteti Kombëtar i Ushqimit.</w:t>
      </w:r>
    </w:p>
    <w:p w14:paraId="3DC3A84E" w14:textId="57771B57"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3. Qendra do të drejtohet nga përfaqësuesi i Drejtorisë së Përgjithshme të Policisë së Shtetit/Departamenti për Kufirin dhe Migracionin.</w:t>
      </w:r>
    </w:p>
    <w:p w14:paraId="5E5A99F6" w14:textId="0F21C21E"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4. Qendra bashkëpunon, për ushtrimin e funksioneve të saj, me Qendrën Ndërinstitucionale </w:t>
      </w:r>
      <w:proofErr w:type="spellStart"/>
      <w:r w:rsidRPr="00253232">
        <w:rPr>
          <w:rFonts w:ascii="Garamond" w:hAnsi="Garamond" w:cs="Times New Roman"/>
          <w:color w:val="000000"/>
          <w:sz w:val="24"/>
          <w:szCs w:val="24"/>
        </w:rPr>
        <w:t>Operacionale</w:t>
      </w:r>
      <w:proofErr w:type="spellEnd"/>
      <w:r w:rsidRPr="00253232">
        <w:rPr>
          <w:rFonts w:ascii="Garamond" w:hAnsi="Garamond" w:cs="Times New Roman"/>
          <w:color w:val="000000"/>
          <w:sz w:val="24"/>
          <w:szCs w:val="24"/>
        </w:rPr>
        <w:t xml:space="preserve"> Detare, Rojën Bregdetare dhe institucione të tjera shtetërore, të angazhuara në menaxhimin e integruar të kufirit, në përputhje me legjislacionin në fuqi. Shkëmbimi i informacionit dhe prezenca e përfaqësuesve të këtyre institucioneve në Qendër realizohet me kërkesë të Qendrës dhe në përputhje me kompetencat </w:t>
      </w:r>
      <w:r w:rsidR="00253232">
        <w:rPr>
          <w:rFonts w:ascii="Garamond" w:hAnsi="Garamond" w:cs="Times New Roman"/>
          <w:color w:val="000000"/>
          <w:sz w:val="24"/>
          <w:szCs w:val="24"/>
        </w:rPr>
        <w:t>ligjore të secilit institucion.</w:t>
      </w:r>
    </w:p>
    <w:p w14:paraId="7F64DC64" w14:textId="0CB8A92E"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5. Titullarët e autoriteteve, të përcaktuara në pikat 2 dhe 4, të këtij vendimi, brenda 10 ditëve nga hyrja në fuqi e këtij vendimi, caktojnë nga një përfaqësues dhe njoftojnë me shkrim Drejtorinë e Përgjithshme të Policis</w:t>
      </w:r>
      <w:r w:rsidR="00253232">
        <w:rPr>
          <w:rFonts w:ascii="Garamond" w:hAnsi="Garamond" w:cs="Times New Roman"/>
          <w:color w:val="000000"/>
          <w:sz w:val="24"/>
          <w:szCs w:val="24"/>
        </w:rPr>
        <w:t>ë së Shtetit. </w:t>
      </w:r>
      <w:r w:rsidRPr="00253232">
        <w:rPr>
          <w:rFonts w:ascii="Garamond" w:hAnsi="Garamond" w:cs="Times New Roman"/>
          <w:color w:val="000000"/>
          <w:sz w:val="24"/>
          <w:szCs w:val="24"/>
        </w:rPr>
        <w:t>Pas fillimit të funksionimit të Qendrës, në rast ndryshimi të përfaqësuesit të caktuar, titullari i autoritetit përkatës njofton menjëherë Qendrën.</w:t>
      </w:r>
    </w:p>
    <w:p w14:paraId="3E13C6C6" w14:textId="5A09BF70" w:rsidR="00724003" w:rsidRPr="00253232" w:rsidRDefault="00724003" w:rsidP="0072400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6. Përfaqësuesit e autoriteteve kombëtare në Qendër kanë </w:t>
      </w:r>
      <w:proofErr w:type="spellStart"/>
      <w:r w:rsidRPr="00253232">
        <w:rPr>
          <w:rFonts w:ascii="Garamond" w:hAnsi="Garamond" w:cs="Times New Roman"/>
          <w:color w:val="000000"/>
          <w:sz w:val="24"/>
          <w:szCs w:val="24"/>
        </w:rPr>
        <w:t>akses</w:t>
      </w:r>
      <w:proofErr w:type="spellEnd"/>
      <w:r w:rsidRPr="00253232">
        <w:rPr>
          <w:rFonts w:ascii="Garamond" w:hAnsi="Garamond" w:cs="Times New Roman"/>
          <w:color w:val="000000"/>
          <w:sz w:val="24"/>
          <w:szCs w:val="24"/>
        </w:rPr>
        <w:t xml:space="preserve"> në bazat shtetërore të </w:t>
      </w:r>
      <w:proofErr w:type="spellStart"/>
      <w:r w:rsidRPr="00253232">
        <w:rPr>
          <w:rFonts w:ascii="Garamond" w:hAnsi="Garamond" w:cs="Times New Roman"/>
          <w:color w:val="000000"/>
          <w:sz w:val="24"/>
          <w:szCs w:val="24"/>
        </w:rPr>
        <w:t>të</w:t>
      </w:r>
      <w:proofErr w:type="spellEnd"/>
      <w:r w:rsidRPr="00253232">
        <w:rPr>
          <w:rFonts w:ascii="Garamond" w:hAnsi="Garamond" w:cs="Times New Roman"/>
          <w:color w:val="000000"/>
          <w:sz w:val="24"/>
          <w:szCs w:val="24"/>
        </w:rPr>
        <w:t xml:space="preserve"> dhënave të institucioneve që përfaqësojnë për kryerjen e detyrave funksionale dhe përgjegjësive, të parashikuara në pikën 2, të nenit 28, të ligjit nr.</w:t>
      </w:r>
      <w:r w:rsidR="00253232">
        <w:rPr>
          <w:rFonts w:ascii="Garamond" w:hAnsi="Garamond" w:cs="Times New Roman"/>
          <w:color w:val="000000"/>
          <w:sz w:val="24"/>
          <w:szCs w:val="24"/>
        </w:rPr>
        <w:t xml:space="preserve"> </w:t>
      </w:r>
      <w:r w:rsidRPr="00253232">
        <w:rPr>
          <w:rFonts w:ascii="Garamond" w:hAnsi="Garamond" w:cs="Times New Roman"/>
          <w:color w:val="000000"/>
          <w:sz w:val="24"/>
          <w:szCs w:val="24"/>
        </w:rPr>
        <w:t xml:space="preserve">39/2025, “Për kontrollin e kufirit shtetëror”. Çdo veprimtari ndërhyrëse në të dhënat e sipërpërmendura është e </w:t>
      </w:r>
      <w:proofErr w:type="spellStart"/>
      <w:r w:rsidRPr="00253232">
        <w:rPr>
          <w:rFonts w:ascii="Garamond" w:hAnsi="Garamond" w:cs="Times New Roman"/>
          <w:color w:val="000000"/>
          <w:sz w:val="24"/>
          <w:szCs w:val="24"/>
        </w:rPr>
        <w:t>gjurmueshme</w:t>
      </w:r>
      <w:proofErr w:type="spellEnd"/>
      <w:r w:rsidRPr="00253232">
        <w:rPr>
          <w:rFonts w:ascii="Garamond" w:hAnsi="Garamond" w:cs="Times New Roman"/>
          <w:color w:val="000000"/>
          <w:sz w:val="24"/>
          <w:szCs w:val="24"/>
        </w:rPr>
        <w:t>.</w:t>
      </w:r>
    </w:p>
    <w:p w14:paraId="5AC43617" w14:textId="2F416281"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7. Qendra ka </w:t>
      </w:r>
      <w:proofErr w:type="spellStart"/>
      <w:r w:rsidRPr="00253232">
        <w:rPr>
          <w:rFonts w:ascii="Garamond" w:hAnsi="Garamond" w:cs="Times New Roman"/>
          <w:color w:val="000000"/>
          <w:sz w:val="24"/>
          <w:szCs w:val="24"/>
        </w:rPr>
        <w:t>akses</w:t>
      </w:r>
      <w:proofErr w:type="spellEnd"/>
      <w:r w:rsidRPr="00253232">
        <w:rPr>
          <w:rFonts w:ascii="Garamond" w:hAnsi="Garamond" w:cs="Times New Roman"/>
          <w:color w:val="000000"/>
          <w:sz w:val="24"/>
          <w:szCs w:val="24"/>
        </w:rPr>
        <w:t xml:space="preserve"> në të gjitha pamjet e kamerave të instaluara dhe që janë në përdorim nga agjencitë </w:t>
      </w:r>
      <w:proofErr w:type="spellStart"/>
      <w:r w:rsidRPr="00253232">
        <w:rPr>
          <w:rFonts w:ascii="Garamond" w:hAnsi="Garamond" w:cs="Times New Roman"/>
          <w:color w:val="000000"/>
          <w:sz w:val="24"/>
          <w:szCs w:val="24"/>
        </w:rPr>
        <w:t>ligjzbatuese</w:t>
      </w:r>
      <w:proofErr w:type="spellEnd"/>
      <w:r w:rsidRPr="00253232">
        <w:rPr>
          <w:rFonts w:ascii="Garamond" w:hAnsi="Garamond" w:cs="Times New Roman"/>
          <w:color w:val="000000"/>
          <w:sz w:val="24"/>
          <w:szCs w:val="24"/>
        </w:rPr>
        <w:t xml:space="preserve"> që operojnë në kufi, si dhe në sistemin e mbikëqyrjes së kufirit tokësor, detar, përveç sistemeve me qëllim të mirëfilltë ushtarak, liqenor dhe lumor.</w:t>
      </w:r>
    </w:p>
    <w:p w14:paraId="46792339" w14:textId="36434244"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8. Informacioni i mbledhur dhe i përpunuar nga Qendra, në përmbushje të detyrave funksionale, administrohet në përputhje me legjislacionin në fuqi për mbrojtjen e të dhënave personale, legjislacionin përkatës të bazave të </w:t>
      </w:r>
      <w:proofErr w:type="spellStart"/>
      <w:r w:rsidRPr="00253232">
        <w:rPr>
          <w:rFonts w:ascii="Garamond" w:hAnsi="Garamond" w:cs="Times New Roman"/>
          <w:color w:val="000000"/>
          <w:sz w:val="24"/>
          <w:szCs w:val="24"/>
        </w:rPr>
        <w:t>të</w:t>
      </w:r>
      <w:proofErr w:type="spellEnd"/>
      <w:r w:rsidRPr="00253232">
        <w:rPr>
          <w:rFonts w:ascii="Garamond" w:hAnsi="Garamond" w:cs="Times New Roman"/>
          <w:color w:val="000000"/>
          <w:sz w:val="24"/>
          <w:szCs w:val="24"/>
        </w:rPr>
        <w:t xml:space="preserve"> dhënave shtetërore, si dhe legjislacionin në fuqi për mbrojtjen e informacionit të klasifikuar. </w:t>
      </w:r>
    </w:p>
    <w:p w14:paraId="7ED5457C" w14:textId="5FAA4CFA"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9. Me qëllim hartimin dhe administrimin e raporteve të situatës kombëtare të sigurisë kufitare, si dhe hartimin e shpërndarjen e raportit ditor të aktivitetit ditor, agjencitë e zbatimit të ligjit, që </w:t>
      </w:r>
      <w:r w:rsidRPr="00253232">
        <w:rPr>
          <w:rFonts w:ascii="Garamond" w:hAnsi="Garamond" w:cs="Times New Roman"/>
          <w:color w:val="000000"/>
          <w:sz w:val="24"/>
          <w:szCs w:val="24"/>
        </w:rPr>
        <w:lastRenderedPageBreak/>
        <w:t xml:space="preserve">operojnë në kufi, si dhe Qendra Ndërinstitucionale </w:t>
      </w:r>
      <w:proofErr w:type="spellStart"/>
      <w:r w:rsidRPr="00253232">
        <w:rPr>
          <w:rFonts w:ascii="Garamond" w:hAnsi="Garamond" w:cs="Times New Roman"/>
          <w:color w:val="000000"/>
          <w:sz w:val="24"/>
          <w:szCs w:val="24"/>
        </w:rPr>
        <w:t>Operacionale</w:t>
      </w:r>
      <w:proofErr w:type="spellEnd"/>
      <w:r w:rsidRPr="00253232">
        <w:rPr>
          <w:rFonts w:ascii="Garamond" w:hAnsi="Garamond" w:cs="Times New Roman"/>
          <w:color w:val="000000"/>
          <w:sz w:val="24"/>
          <w:szCs w:val="24"/>
        </w:rPr>
        <w:t xml:space="preserve"> Detare informojnë Qendrën në kohë reale për çdo situatë apo incident përgjatë kufirit shtetëror tokësor, detar, liqenor e lumor, si dhe në pikat e kalimit të kufirit ajror, tokësor, detar, liqenor dhe do të dërgojnë pranë Qendrës raportin ditor të aktivitetit të shërbimeve përkatëse, të angazhuara në menaxhimin e kufirit.</w:t>
      </w:r>
    </w:p>
    <w:p w14:paraId="2B9005B9" w14:textId="7F4CDEFE"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10. Qendra do të ketë faqen e saj zyrtare, ku do të pasqyrohen informacione dhe kuadri ligjor, nënligjor, në gjuhën shqipe dhe angleze, që lidhen me qarkullimin ndërkufitar të shtetasve e të mallrave.</w:t>
      </w:r>
    </w:p>
    <w:p w14:paraId="3FAB25D2" w14:textId="67D8E638"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 xml:space="preserve">11. Ngarkohen Ministria e Punëve të Brendshme, Ministria e Financave, Ministria e Bujqësisë dhe Zhvillimit Rural, Drejtoria e Përgjithshme e Policisë së Shtetit, Drejtoria e Përgjithshme e Doganave, Autoriteti Kombëtar i Ushqimit, Qendra Ndërinstitucionale </w:t>
      </w:r>
      <w:proofErr w:type="spellStart"/>
      <w:r w:rsidRPr="00253232">
        <w:rPr>
          <w:rFonts w:ascii="Garamond" w:hAnsi="Garamond" w:cs="Times New Roman"/>
          <w:color w:val="000000"/>
          <w:sz w:val="24"/>
          <w:szCs w:val="24"/>
        </w:rPr>
        <w:t>Operacionale</w:t>
      </w:r>
      <w:proofErr w:type="spellEnd"/>
      <w:r w:rsidRPr="00253232">
        <w:rPr>
          <w:rFonts w:ascii="Garamond" w:hAnsi="Garamond" w:cs="Times New Roman"/>
          <w:color w:val="000000"/>
          <w:sz w:val="24"/>
          <w:szCs w:val="24"/>
        </w:rPr>
        <w:t xml:space="preserve"> Detare, Roja Bregdetare dhe institucionet e tjera shtetërore, të përcaktuara nga legjislacioni në fuqi për menaxhimin e integruar të kufirit, sipas kompetencave ligjore përkatëse, për zbatimin e këtij vendimi. </w:t>
      </w:r>
    </w:p>
    <w:p w14:paraId="7DB8A0CF" w14:textId="37473C14" w:rsidR="00724003" w:rsidRPr="00253232" w:rsidRDefault="00724003" w:rsidP="00724003">
      <w:pPr>
        <w:autoSpaceDE w:val="0"/>
        <w:autoSpaceDN w:val="0"/>
        <w:adjustRightInd w:val="0"/>
        <w:spacing w:after="0" w:line="240" w:lineRule="auto"/>
        <w:ind w:firstLine="284"/>
        <w:jc w:val="both"/>
        <w:rPr>
          <w:rFonts w:ascii="Garamond" w:hAnsi="Garamond" w:cs="Times New Roman"/>
          <w:color w:val="000000"/>
          <w:sz w:val="24"/>
          <w:szCs w:val="24"/>
        </w:rPr>
      </w:pPr>
      <w:r w:rsidRPr="00253232">
        <w:rPr>
          <w:rFonts w:ascii="Garamond" w:hAnsi="Garamond" w:cs="Times New Roman"/>
          <w:color w:val="000000"/>
          <w:sz w:val="24"/>
          <w:szCs w:val="24"/>
        </w:rPr>
        <w:t>Ky ven</w:t>
      </w:r>
      <w:r w:rsidR="00253232">
        <w:rPr>
          <w:rFonts w:ascii="Garamond" w:hAnsi="Garamond" w:cs="Times New Roman"/>
          <w:color w:val="000000"/>
          <w:sz w:val="24"/>
          <w:szCs w:val="24"/>
        </w:rPr>
        <w:t>dim hyn në fuqi pas botimit në Fletoren Zyrtare</w:t>
      </w:r>
      <w:r w:rsidR="00253232" w:rsidRPr="00253232">
        <w:rPr>
          <w:rFonts w:ascii="Garamond" w:hAnsi="Garamond" w:cs="Times New Roman"/>
          <w:color w:val="000000"/>
          <w:sz w:val="24"/>
          <w:szCs w:val="24"/>
        </w:rPr>
        <w:t xml:space="preserve"> </w:t>
      </w:r>
      <w:r w:rsidRPr="00253232">
        <w:rPr>
          <w:rFonts w:ascii="Garamond" w:hAnsi="Garamond" w:cs="Times New Roman"/>
          <w:color w:val="000000"/>
          <w:sz w:val="24"/>
          <w:szCs w:val="24"/>
        </w:rPr>
        <w:t>dhe i fillon efektet financiare nga data 1 janar 2027.</w:t>
      </w:r>
    </w:p>
    <w:p w14:paraId="18753C43" w14:textId="77777777" w:rsidR="00EF3F30" w:rsidRPr="00253232" w:rsidRDefault="00EF3F30" w:rsidP="00724003">
      <w:pPr>
        <w:autoSpaceDE w:val="0"/>
        <w:autoSpaceDN w:val="0"/>
        <w:adjustRightInd w:val="0"/>
        <w:spacing w:after="0" w:line="240" w:lineRule="auto"/>
        <w:ind w:firstLine="284"/>
        <w:jc w:val="both"/>
        <w:rPr>
          <w:rFonts w:ascii="Garamond" w:hAnsi="Garamond" w:cs="Times New Roman"/>
          <w:color w:val="000000"/>
          <w:sz w:val="24"/>
          <w:szCs w:val="24"/>
        </w:rPr>
      </w:pPr>
    </w:p>
    <w:p w14:paraId="3C3E0020" w14:textId="47325D5E" w:rsidR="00D103E9" w:rsidRPr="00253232" w:rsidRDefault="00724003" w:rsidP="00724003">
      <w:pPr>
        <w:spacing w:after="0" w:line="240" w:lineRule="auto"/>
        <w:ind w:firstLine="284"/>
        <w:jc w:val="right"/>
        <w:rPr>
          <w:rFonts w:ascii="Garamond" w:eastAsia="Times New Roman" w:hAnsi="Garamond" w:cs="Times New Roman"/>
          <w:bCs/>
          <w:sz w:val="24"/>
          <w:szCs w:val="24"/>
          <w:lang w:bidi="en-US"/>
        </w:rPr>
      </w:pPr>
      <w:bookmarkStart w:id="4" w:name="_GoBack"/>
      <w:bookmarkEnd w:id="4"/>
      <w:r w:rsidRPr="00253232">
        <w:rPr>
          <w:rFonts w:ascii="Garamond" w:eastAsia="Times New Roman" w:hAnsi="Garamond" w:cs="Times New Roman"/>
          <w:bCs/>
          <w:sz w:val="24"/>
          <w:szCs w:val="24"/>
          <w:lang w:bidi="en-US"/>
        </w:rPr>
        <w:t>ZËVENDËSKRYEMINISTËR</w:t>
      </w:r>
    </w:p>
    <w:p w14:paraId="3C3E0022" w14:textId="07CFCFEB" w:rsidR="00D103E9" w:rsidRPr="00253232" w:rsidRDefault="00724003" w:rsidP="00724003">
      <w:pPr>
        <w:spacing w:after="0" w:line="240" w:lineRule="auto"/>
        <w:ind w:firstLine="284"/>
        <w:jc w:val="right"/>
        <w:rPr>
          <w:rFonts w:ascii="Garamond" w:hAnsi="Garamond" w:cs="Times New Roman"/>
          <w:b/>
          <w:sz w:val="24"/>
          <w:szCs w:val="24"/>
        </w:rPr>
      </w:pPr>
      <w:r w:rsidRPr="00253232">
        <w:rPr>
          <w:rFonts w:ascii="Garamond" w:hAnsi="Garamond" w:cs="Times New Roman"/>
          <w:b/>
          <w:sz w:val="24"/>
          <w:szCs w:val="24"/>
        </w:rPr>
        <w:t xml:space="preserve">Albana </w:t>
      </w:r>
      <w:proofErr w:type="spellStart"/>
      <w:r w:rsidRPr="00253232">
        <w:rPr>
          <w:rFonts w:ascii="Garamond" w:hAnsi="Garamond" w:cs="Times New Roman"/>
          <w:b/>
          <w:sz w:val="24"/>
          <w:szCs w:val="24"/>
        </w:rPr>
        <w:t>Koçiu</w:t>
      </w:r>
      <w:proofErr w:type="spellEnd"/>
    </w:p>
    <w:p w14:paraId="3C3E0023" w14:textId="77777777" w:rsidR="004439D3" w:rsidRPr="00253232" w:rsidRDefault="004439D3" w:rsidP="00724003">
      <w:pPr>
        <w:pStyle w:val="ListParagraph"/>
        <w:spacing w:after="0" w:line="240" w:lineRule="auto"/>
        <w:ind w:left="0" w:firstLine="284"/>
        <w:jc w:val="right"/>
        <w:rPr>
          <w:rFonts w:ascii="Garamond" w:eastAsia="Times New Roman" w:hAnsi="Garamond" w:cs="Times New Roman"/>
          <w:b/>
          <w:sz w:val="24"/>
          <w:szCs w:val="24"/>
        </w:rPr>
      </w:pPr>
    </w:p>
    <w:p w14:paraId="3C3E0028" w14:textId="3812C9D6" w:rsidR="004439D3" w:rsidRPr="00253232" w:rsidRDefault="004439D3" w:rsidP="00724003">
      <w:pPr>
        <w:spacing w:after="0" w:line="240" w:lineRule="auto"/>
        <w:ind w:firstLine="284"/>
        <w:rPr>
          <w:rFonts w:ascii="Garamond" w:eastAsia="Times New Roman" w:hAnsi="Garamond" w:cs="Times New Roman"/>
          <w:b/>
          <w:sz w:val="24"/>
          <w:szCs w:val="24"/>
        </w:rPr>
      </w:pPr>
    </w:p>
    <w:sectPr w:rsidR="004439D3" w:rsidRPr="00253232" w:rsidSect="00D107C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B7348" w14:textId="77777777" w:rsidR="0032420B" w:rsidRDefault="0032420B" w:rsidP="00D13A98">
      <w:pPr>
        <w:spacing w:after="0" w:line="240" w:lineRule="auto"/>
      </w:pPr>
      <w:r>
        <w:separator/>
      </w:r>
    </w:p>
  </w:endnote>
  <w:endnote w:type="continuationSeparator" w:id="0">
    <w:p w14:paraId="02B027CD" w14:textId="77777777" w:rsidR="0032420B" w:rsidRDefault="0032420B" w:rsidP="00D13A98">
      <w:pPr>
        <w:spacing w:after="0" w:line="240" w:lineRule="auto"/>
      </w:pPr>
      <w:r>
        <w:continuationSeparator/>
      </w:r>
    </w:p>
  </w:endnote>
  <w:endnote w:type="continuationNotice" w:id="1">
    <w:p w14:paraId="2AF61C5B" w14:textId="77777777" w:rsidR="0032420B" w:rsidRDefault="003242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539CD" w14:textId="77777777" w:rsidR="0032420B" w:rsidRDefault="0032420B" w:rsidP="00D13A98">
      <w:pPr>
        <w:spacing w:after="0" w:line="240" w:lineRule="auto"/>
      </w:pPr>
      <w:r>
        <w:separator/>
      </w:r>
    </w:p>
  </w:footnote>
  <w:footnote w:type="continuationSeparator" w:id="0">
    <w:p w14:paraId="3AC6D0BD" w14:textId="77777777" w:rsidR="0032420B" w:rsidRDefault="0032420B" w:rsidP="00D13A98">
      <w:pPr>
        <w:spacing w:after="0" w:line="240" w:lineRule="auto"/>
      </w:pPr>
      <w:r>
        <w:continuationSeparator/>
      </w:r>
    </w:p>
  </w:footnote>
  <w:footnote w:type="continuationNotice" w:id="1">
    <w:p w14:paraId="32E77071" w14:textId="77777777" w:rsidR="0032420B" w:rsidRDefault="0032420B">
      <w:pPr>
        <w:spacing w:after="0" w:line="240" w:lineRule="auto"/>
      </w:pPr>
    </w:p>
  </w:footnote>
  <w:footnote w:id="2">
    <w:p w14:paraId="3C3E0033" w14:textId="45DF6571" w:rsidR="0032420B" w:rsidRPr="00724003" w:rsidRDefault="0032420B" w:rsidP="00253232">
      <w:pPr>
        <w:pStyle w:val="FootnoteText"/>
        <w:jc w:val="both"/>
        <w:rPr>
          <w:rFonts w:ascii="Garamond" w:hAnsi="Garamond" w:cs="Times New Roman"/>
        </w:rPr>
      </w:pPr>
      <w:r w:rsidRPr="00724003">
        <w:rPr>
          <w:rStyle w:val="FootnoteReference"/>
          <w:rFonts w:ascii="Garamond" w:hAnsi="Garamond" w:cs="Times New Roman"/>
        </w:rPr>
        <w:footnoteRef/>
      </w:r>
      <w:r w:rsidRPr="00724003">
        <w:rPr>
          <w:rFonts w:ascii="Garamond" w:hAnsi="Garamond" w:cs="Times New Roman"/>
        </w:rPr>
        <w:t xml:space="preserve"> Ky vendim është përafruar pjesërisht me rregulloren (BE) 2019/1896 të Parlamen</w:t>
      </w:r>
      <w:r>
        <w:rPr>
          <w:rFonts w:ascii="Garamond" w:hAnsi="Garamond" w:cs="Times New Roman"/>
        </w:rPr>
        <w:t xml:space="preserve">tit Evropian dhe të Këshillit, </w:t>
      </w:r>
      <w:r w:rsidRPr="00724003">
        <w:rPr>
          <w:rFonts w:ascii="Garamond" w:hAnsi="Garamond" w:cs="Times New Roman"/>
        </w:rPr>
        <w:t>datë 13 nëntor 2019, mbi Rojën Kufitare dhe Bregdetare Evropiane dhe shfuqizimin e rregulloreve (BE) nr.</w:t>
      </w:r>
      <w:r>
        <w:rPr>
          <w:rFonts w:ascii="Garamond" w:hAnsi="Garamond" w:cs="Times New Roman"/>
        </w:rPr>
        <w:t xml:space="preserve"> </w:t>
      </w:r>
      <w:r w:rsidRPr="00724003">
        <w:rPr>
          <w:rFonts w:ascii="Garamond" w:hAnsi="Garamond" w:cs="Times New Roman"/>
        </w:rPr>
        <w:t>1052/2013 dhe (BE) 2016/1624, nr.</w:t>
      </w:r>
      <w:r>
        <w:rPr>
          <w:rFonts w:ascii="Garamond" w:hAnsi="Garamond" w:cs="Times New Roman"/>
        </w:rPr>
        <w:t xml:space="preserve"> </w:t>
      </w:r>
      <w:r w:rsidRPr="00724003">
        <w:rPr>
          <w:rFonts w:ascii="Garamond" w:hAnsi="Garamond" w:cs="Times New Roman"/>
        </w:rPr>
        <w:t>CELEX: 32019R1896, botuar në Fletoren Zyrtare të Bashkimit Evropian nr.</w:t>
      </w:r>
      <w:r>
        <w:rPr>
          <w:rFonts w:ascii="Garamond" w:hAnsi="Garamond" w:cs="Times New Roman"/>
        </w:rPr>
        <w:t xml:space="preserve"> </w:t>
      </w:r>
      <w:r w:rsidRPr="00724003">
        <w:rPr>
          <w:rFonts w:ascii="Garamond" w:hAnsi="Garamond" w:cs="Times New Roman"/>
        </w:rPr>
        <w:t>L 295/1, datë 14.11.2019, faqe 1–131</w:t>
      </w:r>
      <w:r>
        <w:rPr>
          <w:rFonts w:ascii="Garamond" w:hAnsi="Garamond"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25F21"/>
    <w:multiLevelType w:val="hybridMultilevel"/>
    <w:tmpl w:val="085E7E42"/>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E1847"/>
    <w:multiLevelType w:val="hybridMultilevel"/>
    <w:tmpl w:val="2C36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1A65EC"/>
    <w:multiLevelType w:val="hybridMultilevel"/>
    <w:tmpl w:val="A7585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D11764"/>
    <w:multiLevelType w:val="multilevel"/>
    <w:tmpl w:val="3B3A8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AE3315"/>
    <w:multiLevelType w:val="hybridMultilevel"/>
    <w:tmpl w:val="0A2CAD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16CFF1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0757B65"/>
    <w:multiLevelType w:val="hybridMultilevel"/>
    <w:tmpl w:val="7592F6AC"/>
    <w:lvl w:ilvl="0" w:tplc="CFC2D974">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1800693"/>
    <w:multiLevelType w:val="hybridMultilevel"/>
    <w:tmpl w:val="A88C92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107FF"/>
    <w:multiLevelType w:val="hybridMultilevel"/>
    <w:tmpl w:val="FF203B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41728C"/>
    <w:multiLevelType w:val="hybridMultilevel"/>
    <w:tmpl w:val="3836D54A"/>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492396"/>
    <w:multiLevelType w:val="hybridMultilevel"/>
    <w:tmpl w:val="B9DA799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5D6A6D4F"/>
    <w:multiLevelType w:val="hybridMultilevel"/>
    <w:tmpl w:val="FEBAD9F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16CFF1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0FA1C5A"/>
    <w:multiLevelType w:val="hybridMultilevel"/>
    <w:tmpl w:val="7E888994"/>
    <w:lvl w:ilvl="0" w:tplc="93FC8FB8">
      <w:start w:val="1"/>
      <w:numFmt w:val="decimal"/>
      <w:lvlText w:val="%1."/>
      <w:lvlJc w:val="left"/>
      <w:pPr>
        <w:ind w:left="360" w:hanging="360"/>
      </w:pPr>
      <w:rPr>
        <w:rFonts w:ascii="Times New Roman" w:hAnsi="Times New Roman" w:cs="Times New Roman" w:hint="default"/>
        <w:sz w:val="28"/>
        <w:szCs w:val="28"/>
      </w:rPr>
    </w:lvl>
    <w:lvl w:ilvl="1" w:tplc="04090019">
      <w:start w:val="1"/>
      <w:numFmt w:val="lowerLetter"/>
      <w:lvlText w:val="%2."/>
      <w:lvlJc w:val="left"/>
      <w:pPr>
        <w:ind w:left="1080" w:hanging="360"/>
      </w:pPr>
    </w:lvl>
    <w:lvl w:ilvl="2" w:tplc="016CFF1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882BC0"/>
    <w:multiLevelType w:val="hybridMultilevel"/>
    <w:tmpl w:val="4D925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816AEA"/>
    <w:multiLevelType w:val="hybridMultilevel"/>
    <w:tmpl w:val="A7503B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7"/>
  </w:num>
  <w:num w:numId="3">
    <w:abstractNumId w:val="13"/>
  </w:num>
  <w:num w:numId="4">
    <w:abstractNumId w:val="4"/>
  </w:num>
  <w:num w:numId="5">
    <w:abstractNumId w:val="10"/>
  </w:num>
  <w:num w:numId="6">
    <w:abstractNumId w:val="5"/>
  </w:num>
  <w:num w:numId="7">
    <w:abstractNumId w:val="6"/>
  </w:num>
  <w:num w:numId="8">
    <w:abstractNumId w:val="12"/>
  </w:num>
  <w:num w:numId="9">
    <w:abstractNumId w:val="2"/>
  </w:num>
  <w:num w:numId="10">
    <w:abstractNumId w:val="0"/>
  </w:num>
  <w:num w:numId="11">
    <w:abstractNumId w:val="8"/>
  </w:num>
  <w:num w:numId="12">
    <w:abstractNumId w:val="3"/>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16C"/>
    <w:rsid w:val="00007002"/>
    <w:rsid w:val="00010343"/>
    <w:rsid w:val="00015B7F"/>
    <w:rsid w:val="00026F7F"/>
    <w:rsid w:val="00040D7A"/>
    <w:rsid w:val="00040F5C"/>
    <w:rsid w:val="00052866"/>
    <w:rsid w:val="000559AE"/>
    <w:rsid w:val="000633BB"/>
    <w:rsid w:val="00063B5A"/>
    <w:rsid w:val="00065BE0"/>
    <w:rsid w:val="00072808"/>
    <w:rsid w:val="00094114"/>
    <w:rsid w:val="000B446C"/>
    <w:rsid w:val="000B489F"/>
    <w:rsid w:val="000C6A61"/>
    <w:rsid w:val="000D35AA"/>
    <w:rsid w:val="000F712C"/>
    <w:rsid w:val="00113518"/>
    <w:rsid w:val="00132746"/>
    <w:rsid w:val="00145AD2"/>
    <w:rsid w:val="0015231E"/>
    <w:rsid w:val="00152F87"/>
    <w:rsid w:val="00160D39"/>
    <w:rsid w:val="00164454"/>
    <w:rsid w:val="0018257A"/>
    <w:rsid w:val="00197A25"/>
    <w:rsid w:val="001A41E7"/>
    <w:rsid w:val="001A666B"/>
    <w:rsid w:val="001B292C"/>
    <w:rsid w:val="001C099E"/>
    <w:rsid w:val="001C4A3B"/>
    <w:rsid w:val="001E2FB2"/>
    <w:rsid w:val="001E59D3"/>
    <w:rsid w:val="001F0BA7"/>
    <w:rsid w:val="001F4707"/>
    <w:rsid w:val="002010D8"/>
    <w:rsid w:val="002016D8"/>
    <w:rsid w:val="00224E06"/>
    <w:rsid w:val="00245597"/>
    <w:rsid w:val="00253232"/>
    <w:rsid w:val="002574EB"/>
    <w:rsid w:val="0026495B"/>
    <w:rsid w:val="002711D2"/>
    <w:rsid w:val="00274F0A"/>
    <w:rsid w:val="002922C8"/>
    <w:rsid w:val="00295953"/>
    <w:rsid w:val="002A0759"/>
    <w:rsid w:val="002A2049"/>
    <w:rsid w:val="002D0759"/>
    <w:rsid w:val="002D5870"/>
    <w:rsid w:val="00303C55"/>
    <w:rsid w:val="00305BE4"/>
    <w:rsid w:val="0031727B"/>
    <w:rsid w:val="0032420B"/>
    <w:rsid w:val="00324FFE"/>
    <w:rsid w:val="0033003A"/>
    <w:rsid w:val="0035516C"/>
    <w:rsid w:val="0036152C"/>
    <w:rsid w:val="0036534B"/>
    <w:rsid w:val="00375BA1"/>
    <w:rsid w:val="00391DC1"/>
    <w:rsid w:val="003B6184"/>
    <w:rsid w:val="003C513E"/>
    <w:rsid w:val="003C7E03"/>
    <w:rsid w:val="003D0D71"/>
    <w:rsid w:val="003E22B8"/>
    <w:rsid w:val="003E6C32"/>
    <w:rsid w:val="00402DAD"/>
    <w:rsid w:val="00433F1B"/>
    <w:rsid w:val="0043533B"/>
    <w:rsid w:val="00437794"/>
    <w:rsid w:val="004439D3"/>
    <w:rsid w:val="004455A5"/>
    <w:rsid w:val="00466EDF"/>
    <w:rsid w:val="00475734"/>
    <w:rsid w:val="004B0CF0"/>
    <w:rsid w:val="004D2007"/>
    <w:rsid w:val="004D353A"/>
    <w:rsid w:val="004D4B51"/>
    <w:rsid w:val="004D4D83"/>
    <w:rsid w:val="004F0264"/>
    <w:rsid w:val="004F60D2"/>
    <w:rsid w:val="0051026F"/>
    <w:rsid w:val="00515E7A"/>
    <w:rsid w:val="005230B9"/>
    <w:rsid w:val="00547BEE"/>
    <w:rsid w:val="00551F2E"/>
    <w:rsid w:val="005647F7"/>
    <w:rsid w:val="0057161B"/>
    <w:rsid w:val="0058180E"/>
    <w:rsid w:val="005C2B36"/>
    <w:rsid w:val="005D4197"/>
    <w:rsid w:val="005E073D"/>
    <w:rsid w:val="005F43A0"/>
    <w:rsid w:val="00602B3F"/>
    <w:rsid w:val="00602C54"/>
    <w:rsid w:val="006139FF"/>
    <w:rsid w:val="0064339F"/>
    <w:rsid w:val="006562D8"/>
    <w:rsid w:val="006716E0"/>
    <w:rsid w:val="0067286E"/>
    <w:rsid w:val="006801B7"/>
    <w:rsid w:val="00684AAA"/>
    <w:rsid w:val="006C2000"/>
    <w:rsid w:val="006C2B3A"/>
    <w:rsid w:val="006C6A6D"/>
    <w:rsid w:val="006D5F3A"/>
    <w:rsid w:val="00704089"/>
    <w:rsid w:val="0071344D"/>
    <w:rsid w:val="00724003"/>
    <w:rsid w:val="007325ED"/>
    <w:rsid w:val="0073742F"/>
    <w:rsid w:val="0074403F"/>
    <w:rsid w:val="0075721C"/>
    <w:rsid w:val="00757A8C"/>
    <w:rsid w:val="00774722"/>
    <w:rsid w:val="00774C04"/>
    <w:rsid w:val="00776E36"/>
    <w:rsid w:val="00790E99"/>
    <w:rsid w:val="0079778D"/>
    <w:rsid w:val="007A563B"/>
    <w:rsid w:val="007C041D"/>
    <w:rsid w:val="007D7201"/>
    <w:rsid w:val="007E0742"/>
    <w:rsid w:val="007F2026"/>
    <w:rsid w:val="00824E62"/>
    <w:rsid w:val="00826974"/>
    <w:rsid w:val="00832068"/>
    <w:rsid w:val="00876715"/>
    <w:rsid w:val="008841B6"/>
    <w:rsid w:val="00886EF9"/>
    <w:rsid w:val="00890705"/>
    <w:rsid w:val="008A4D4F"/>
    <w:rsid w:val="008B42B2"/>
    <w:rsid w:val="008D5EAC"/>
    <w:rsid w:val="008E322F"/>
    <w:rsid w:val="009015ED"/>
    <w:rsid w:val="00966E90"/>
    <w:rsid w:val="0096785A"/>
    <w:rsid w:val="009707E9"/>
    <w:rsid w:val="0097355C"/>
    <w:rsid w:val="009A38E0"/>
    <w:rsid w:val="009A7064"/>
    <w:rsid w:val="009C63EF"/>
    <w:rsid w:val="00A13DC8"/>
    <w:rsid w:val="00A413CD"/>
    <w:rsid w:val="00A66FEE"/>
    <w:rsid w:val="00A81B49"/>
    <w:rsid w:val="00A82C2B"/>
    <w:rsid w:val="00A84039"/>
    <w:rsid w:val="00A90D16"/>
    <w:rsid w:val="00AC15A6"/>
    <w:rsid w:val="00AD3243"/>
    <w:rsid w:val="00AE5682"/>
    <w:rsid w:val="00B07A28"/>
    <w:rsid w:val="00B23AA6"/>
    <w:rsid w:val="00B23CCE"/>
    <w:rsid w:val="00B322D8"/>
    <w:rsid w:val="00B425CB"/>
    <w:rsid w:val="00B42823"/>
    <w:rsid w:val="00B44B72"/>
    <w:rsid w:val="00B474EF"/>
    <w:rsid w:val="00B5348F"/>
    <w:rsid w:val="00B632A5"/>
    <w:rsid w:val="00B6339C"/>
    <w:rsid w:val="00B674A7"/>
    <w:rsid w:val="00B70294"/>
    <w:rsid w:val="00B7271E"/>
    <w:rsid w:val="00B80305"/>
    <w:rsid w:val="00B819CF"/>
    <w:rsid w:val="00B9724F"/>
    <w:rsid w:val="00BB256D"/>
    <w:rsid w:val="00BB52CB"/>
    <w:rsid w:val="00BC2144"/>
    <w:rsid w:val="00BC2146"/>
    <w:rsid w:val="00BD758E"/>
    <w:rsid w:val="00BE704A"/>
    <w:rsid w:val="00C0041B"/>
    <w:rsid w:val="00C07745"/>
    <w:rsid w:val="00C21FD3"/>
    <w:rsid w:val="00C252F5"/>
    <w:rsid w:val="00C3183C"/>
    <w:rsid w:val="00C42504"/>
    <w:rsid w:val="00C607A3"/>
    <w:rsid w:val="00C63532"/>
    <w:rsid w:val="00C6700B"/>
    <w:rsid w:val="00C7776F"/>
    <w:rsid w:val="00C7798A"/>
    <w:rsid w:val="00C83A6A"/>
    <w:rsid w:val="00C86EEB"/>
    <w:rsid w:val="00C9325B"/>
    <w:rsid w:val="00C95250"/>
    <w:rsid w:val="00CA2EC4"/>
    <w:rsid w:val="00CB0F43"/>
    <w:rsid w:val="00CE0280"/>
    <w:rsid w:val="00CF065A"/>
    <w:rsid w:val="00CF52DD"/>
    <w:rsid w:val="00D03493"/>
    <w:rsid w:val="00D03FFC"/>
    <w:rsid w:val="00D103E9"/>
    <w:rsid w:val="00D107C9"/>
    <w:rsid w:val="00D13A98"/>
    <w:rsid w:val="00D16416"/>
    <w:rsid w:val="00D2104B"/>
    <w:rsid w:val="00D33B32"/>
    <w:rsid w:val="00D6675D"/>
    <w:rsid w:val="00D80482"/>
    <w:rsid w:val="00D81EF7"/>
    <w:rsid w:val="00D900D0"/>
    <w:rsid w:val="00D927AA"/>
    <w:rsid w:val="00DC224C"/>
    <w:rsid w:val="00DC6734"/>
    <w:rsid w:val="00DD1FEF"/>
    <w:rsid w:val="00DF5748"/>
    <w:rsid w:val="00E00E6F"/>
    <w:rsid w:val="00E11684"/>
    <w:rsid w:val="00E26A68"/>
    <w:rsid w:val="00E527EF"/>
    <w:rsid w:val="00E52BA6"/>
    <w:rsid w:val="00E5520A"/>
    <w:rsid w:val="00E660DE"/>
    <w:rsid w:val="00E671E7"/>
    <w:rsid w:val="00E75CBF"/>
    <w:rsid w:val="00E760DF"/>
    <w:rsid w:val="00E82C8D"/>
    <w:rsid w:val="00E9377D"/>
    <w:rsid w:val="00E95246"/>
    <w:rsid w:val="00EC35C7"/>
    <w:rsid w:val="00EC622B"/>
    <w:rsid w:val="00ED09E3"/>
    <w:rsid w:val="00ED24D9"/>
    <w:rsid w:val="00ED7A00"/>
    <w:rsid w:val="00EF0746"/>
    <w:rsid w:val="00EF08D4"/>
    <w:rsid w:val="00EF3F30"/>
    <w:rsid w:val="00EF4410"/>
    <w:rsid w:val="00F1218D"/>
    <w:rsid w:val="00F232D1"/>
    <w:rsid w:val="00F406C5"/>
    <w:rsid w:val="00F56EC1"/>
    <w:rsid w:val="00F6282D"/>
    <w:rsid w:val="00F85FD0"/>
    <w:rsid w:val="00FB7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FFEE"/>
  <w15:chartTrackingRefBased/>
  <w15:docId w15:val="{3B291FD5-8F17-41B8-B5F5-B112A318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516C"/>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
    <w:basedOn w:val="Normal"/>
    <w:link w:val="ListParagraphChar"/>
    <w:uiPriority w:val="34"/>
    <w:qFormat/>
    <w:rsid w:val="008B42B2"/>
    <w:pPr>
      <w:ind w:left="720"/>
      <w:contextualSpacing/>
    </w:pPr>
  </w:style>
  <w:style w:type="character" w:customStyle="1" w:styleId="rynqvb">
    <w:name w:val="rynqvb"/>
    <w:basedOn w:val="DefaultParagraphFont"/>
    <w:rsid w:val="00E671E7"/>
  </w:style>
  <w:style w:type="character" w:styleId="CommentReference">
    <w:name w:val="annotation reference"/>
    <w:basedOn w:val="DefaultParagraphFont"/>
    <w:uiPriority w:val="99"/>
    <w:semiHidden/>
    <w:unhideWhenUsed/>
    <w:rsid w:val="008A4D4F"/>
    <w:rPr>
      <w:sz w:val="16"/>
      <w:szCs w:val="16"/>
    </w:rPr>
  </w:style>
  <w:style w:type="paragraph" w:styleId="CommentText">
    <w:name w:val="annotation text"/>
    <w:basedOn w:val="Normal"/>
    <w:link w:val="CommentTextChar"/>
    <w:uiPriority w:val="99"/>
    <w:unhideWhenUsed/>
    <w:rsid w:val="008A4D4F"/>
    <w:pPr>
      <w:spacing w:line="240" w:lineRule="auto"/>
    </w:pPr>
    <w:rPr>
      <w:sz w:val="20"/>
      <w:szCs w:val="20"/>
    </w:rPr>
  </w:style>
  <w:style w:type="character" w:customStyle="1" w:styleId="CommentTextChar">
    <w:name w:val="Comment Text Char"/>
    <w:basedOn w:val="DefaultParagraphFont"/>
    <w:link w:val="CommentText"/>
    <w:uiPriority w:val="99"/>
    <w:rsid w:val="008A4D4F"/>
    <w:rPr>
      <w:sz w:val="20"/>
      <w:szCs w:val="20"/>
    </w:rPr>
  </w:style>
  <w:style w:type="paragraph" w:styleId="CommentSubject">
    <w:name w:val="annotation subject"/>
    <w:basedOn w:val="CommentText"/>
    <w:next w:val="CommentText"/>
    <w:link w:val="CommentSubjectChar"/>
    <w:uiPriority w:val="99"/>
    <w:semiHidden/>
    <w:unhideWhenUsed/>
    <w:rsid w:val="008A4D4F"/>
    <w:rPr>
      <w:b/>
      <w:bCs/>
    </w:rPr>
  </w:style>
  <w:style w:type="character" w:customStyle="1" w:styleId="CommentSubjectChar">
    <w:name w:val="Comment Subject Char"/>
    <w:basedOn w:val="CommentTextChar"/>
    <w:link w:val="CommentSubject"/>
    <w:uiPriority w:val="99"/>
    <w:semiHidden/>
    <w:rsid w:val="008A4D4F"/>
    <w:rPr>
      <w:b/>
      <w:bCs/>
      <w:sz w:val="20"/>
      <w:szCs w:val="20"/>
    </w:rPr>
  </w:style>
  <w:style w:type="paragraph" w:styleId="BalloonText">
    <w:name w:val="Balloon Text"/>
    <w:basedOn w:val="Normal"/>
    <w:link w:val="BalloonTextChar"/>
    <w:uiPriority w:val="99"/>
    <w:semiHidden/>
    <w:unhideWhenUsed/>
    <w:rsid w:val="008A4D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D4F"/>
    <w:rPr>
      <w:rFonts w:ascii="Segoe UI" w:hAnsi="Segoe UI" w:cs="Segoe UI"/>
      <w:sz w:val="18"/>
      <w:szCs w:val="18"/>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locked/>
    <w:rsid w:val="00704089"/>
  </w:style>
  <w:style w:type="paragraph" w:styleId="NormalWeb">
    <w:name w:val="Normal (Web)"/>
    <w:basedOn w:val="Normal"/>
    <w:uiPriority w:val="99"/>
    <w:unhideWhenUsed/>
    <w:rsid w:val="002711D2"/>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Revision">
    <w:name w:val="Revision"/>
    <w:hidden/>
    <w:uiPriority w:val="99"/>
    <w:semiHidden/>
    <w:rsid w:val="00D927AA"/>
    <w:pPr>
      <w:spacing w:after="0" w:line="240" w:lineRule="auto"/>
    </w:pPr>
  </w:style>
  <w:style w:type="paragraph" w:styleId="FootnoteText">
    <w:name w:val="footnote text"/>
    <w:basedOn w:val="Normal"/>
    <w:link w:val="FootnoteTextChar"/>
    <w:uiPriority w:val="99"/>
    <w:semiHidden/>
    <w:unhideWhenUsed/>
    <w:rsid w:val="00D13A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3A98"/>
    <w:rPr>
      <w:sz w:val="20"/>
      <w:szCs w:val="20"/>
    </w:rPr>
  </w:style>
  <w:style w:type="character" w:styleId="FootnoteReference">
    <w:name w:val="footnote reference"/>
    <w:basedOn w:val="DefaultParagraphFont"/>
    <w:uiPriority w:val="99"/>
    <w:semiHidden/>
    <w:unhideWhenUsed/>
    <w:rsid w:val="00D13A98"/>
    <w:rPr>
      <w:vertAlign w:val="superscript"/>
    </w:rPr>
  </w:style>
  <w:style w:type="paragraph" w:styleId="Header">
    <w:name w:val="header"/>
    <w:basedOn w:val="Normal"/>
    <w:link w:val="HeaderChar"/>
    <w:uiPriority w:val="99"/>
    <w:unhideWhenUsed/>
    <w:rsid w:val="00B70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294"/>
  </w:style>
  <w:style w:type="paragraph" w:styleId="Footer">
    <w:name w:val="footer"/>
    <w:basedOn w:val="Normal"/>
    <w:link w:val="FooterChar"/>
    <w:uiPriority w:val="99"/>
    <w:unhideWhenUsed/>
    <w:rsid w:val="00B70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59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B6AC98BE33549E9B20D0B4898B757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635</Nr_x002e__x0020_akti>
    <Data_x0020_e_x0020_Krijimit xmlns="0e656187-b300-4fb0-8bf4-3a50f872073c">2026-08-31T07:08:40Z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2026-08-27T00:00:00Z</Date_x0020_protokolli>
    <Titulli xmlns="0e656187-b300-4fb0-8bf4-3a50f872073c">Për ngritjen dhe funksionimin e Qendrës Kombëtare  të Koordinimit për Menaxhimin e Integruar të Kufirit</Titulli>
    <Modifikuesi xmlns="0e656187-b300-4fb0-8bf4-3a50f872073c">Fjora.Cahani</Modifikuesi>
    <Nr_x002e__x0020_prot_x0020_QBZ xmlns="0e656187-b300-4fb0-8bf4-3a50f872073c">1891</Nr_x002e__x0020_prot_x0020_QBZ>
    <Data_x0020_e_x0020_Modifikimit xmlns="0e656187-b300-4fb0-8bf4-3a50f872073c">2026-08-31T07:47:32Z</Data_x0020_e_x0020_Modifikimit>
    <Dekretuar xmlns="0e656187-b300-4fb0-8bf4-3a50f872073c">false</Dekretuar>
    <Data xmlns="0e656187-b300-4fb0-8bf4-3a50f872073c">2026-08-27T00:00:00Z</Data>
    <Nr_x002e__x0020_protokolli_x0020_i_x0020_aktit xmlns="0e656187-b300-4fb0-8bf4-3a50f872073c">300/2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6AC98BE33549E9B20D0B4898B757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D3E8C-548B-4E28-AE1B-855B33BBD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0BAD0E-F30D-4318-8900-6D204A3BF602}">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elements/1.1/"/>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2174025F-4BAE-4B24-82F0-B771765AFF64}">
  <ds:schemaRefs>
    <ds:schemaRef ds:uri="http://schemas.microsoft.com/sharepoint/v3/contenttype/forms"/>
  </ds:schemaRefs>
</ds:datastoreItem>
</file>

<file path=customXml/itemProps4.xml><?xml version="1.0" encoding="utf-8"?>
<ds:datastoreItem xmlns:ds="http://schemas.openxmlformats.org/officeDocument/2006/customXml" ds:itemID="{E9895AD4-739D-42F4-9D05-FA1207D0F845}">
  <ds:schemaRefs>
    <ds:schemaRef ds:uri="http://schemas.microsoft.com/sharepoint/v3/contenttype/forms"/>
  </ds:schemaRefs>
</ds:datastoreItem>
</file>

<file path=customXml/itemProps5.xml><?xml version="1.0" encoding="utf-8"?>
<ds:datastoreItem xmlns:ds="http://schemas.openxmlformats.org/officeDocument/2006/customXml" ds:itemID="{48B75C4B-696B-475A-A68F-8FEE97852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325CF76-1662-4A43-B34D-4D4FF2C6156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ngritjen dhe funksionimin e Qendrës Kombëtare të Koordinimit për Menaxhimin e Integruar të Kufirit</vt:lpstr>
    </vt:vector>
  </TitlesOfParts>
  <Company>HP Inc.</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dhe funksionimin e Qendrës Kombëtare të Koordinimit për Menaxhimin e Integruar të Kufirit</dc:title>
  <dc:creator>user</dc:creator>
  <cp:lastModifiedBy>Amarilda Muja</cp:lastModifiedBy>
  <cp:revision>7</cp:revision>
  <cp:lastPrinted>2026-08-26T11:51:00Z</cp:lastPrinted>
  <dcterms:created xsi:type="dcterms:W3CDTF">2026-08-31T07:23:00Z</dcterms:created>
  <dcterms:modified xsi:type="dcterms:W3CDTF">2026-08-31T08:16:00Z</dcterms:modified>
</cp:coreProperties>
</file>