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D42CE1" w14:textId="4A1F83D3" w:rsidR="009B0C45" w:rsidRPr="00FA6820" w:rsidRDefault="009B0C45" w:rsidP="003850EE">
      <w:pPr>
        <w:spacing w:after="0" w:line="240" w:lineRule="auto"/>
        <w:ind w:firstLine="284"/>
        <w:jc w:val="center"/>
        <w:rPr>
          <w:rFonts w:ascii="Garamond" w:hAnsi="Garamond" w:cs="Times New Roman"/>
          <w:b/>
          <w:caps/>
          <w:sz w:val="24"/>
          <w:szCs w:val="24"/>
        </w:rPr>
      </w:pPr>
      <w:r w:rsidRPr="00FA6820">
        <w:rPr>
          <w:rFonts w:ascii="Garamond" w:hAnsi="Garamond" w:cs="Times New Roman"/>
          <w:b/>
          <w:caps/>
          <w:sz w:val="24"/>
          <w:szCs w:val="24"/>
        </w:rPr>
        <w:t>vendim</w:t>
      </w:r>
    </w:p>
    <w:p w14:paraId="10D42CE5" w14:textId="4DD06D7E" w:rsidR="009B0C45" w:rsidRPr="00FA6820" w:rsidRDefault="009B0C45" w:rsidP="003850EE">
      <w:pPr>
        <w:spacing w:after="0" w:line="240" w:lineRule="auto"/>
        <w:ind w:firstLine="284"/>
        <w:jc w:val="center"/>
        <w:rPr>
          <w:rFonts w:ascii="Garamond" w:hAnsi="Garamond" w:cs="Times New Roman"/>
          <w:b/>
          <w:sz w:val="24"/>
          <w:szCs w:val="24"/>
        </w:rPr>
      </w:pPr>
      <w:r w:rsidRPr="00FA6820">
        <w:rPr>
          <w:rFonts w:ascii="Garamond" w:hAnsi="Garamond" w:cs="Times New Roman"/>
          <w:b/>
          <w:sz w:val="24"/>
          <w:szCs w:val="24"/>
        </w:rPr>
        <w:t>Nr.</w:t>
      </w:r>
      <w:r w:rsidR="00FA6820" w:rsidRPr="00FA6820">
        <w:rPr>
          <w:rFonts w:ascii="Garamond" w:hAnsi="Garamond" w:cs="Times New Roman"/>
          <w:b/>
          <w:sz w:val="24"/>
          <w:szCs w:val="24"/>
        </w:rPr>
        <w:t xml:space="preserve"> </w:t>
      </w:r>
      <w:r w:rsidR="009C102A" w:rsidRPr="00FA6820">
        <w:rPr>
          <w:rFonts w:ascii="Garamond" w:hAnsi="Garamond" w:cs="Times New Roman"/>
          <w:b/>
          <w:sz w:val="24"/>
          <w:szCs w:val="24"/>
        </w:rPr>
        <w:t>666</w:t>
      </w:r>
      <w:r w:rsidRPr="00FA6820">
        <w:rPr>
          <w:rFonts w:ascii="Garamond" w:hAnsi="Garamond" w:cs="Times New Roman"/>
          <w:b/>
          <w:sz w:val="24"/>
          <w:szCs w:val="24"/>
        </w:rPr>
        <w:t>, datë</w:t>
      </w:r>
      <w:r w:rsidR="009C102A" w:rsidRPr="00FA6820">
        <w:rPr>
          <w:rFonts w:ascii="Garamond" w:hAnsi="Garamond" w:cs="Times New Roman"/>
          <w:b/>
          <w:sz w:val="24"/>
          <w:szCs w:val="24"/>
        </w:rPr>
        <w:t xml:space="preserve"> 2.9.2026</w:t>
      </w:r>
    </w:p>
    <w:p w14:paraId="10D42CE6" w14:textId="77777777" w:rsidR="009B0C45" w:rsidRPr="00FA6820" w:rsidRDefault="009B0C45" w:rsidP="003850EE">
      <w:pPr>
        <w:shd w:val="clear" w:color="auto" w:fill="FFFFFF"/>
        <w:spacing w:after="0" w:line="240" w:lineRule="auto"/>
        <w:ind w:firstLine="284"/>
        <w:jc w:val="center"/>
        <w:rPr>
          <w:rFonts w:ascii="Garamond" w:hAnsi="Garamond" w:cs="Times New Roman"/>
          <w:b/>
          <w:bCs/>
          <w:spacing w:val="-6"/>
          <w:sz w:val="24"/>
          <w:szCs w:val="24"/>
        </w:rPr>
      </w:pPr>
    </w:p>
    <w:p w14:paraId="10D42CEB" w14:textId="35A77164" w:rsidR="009B0C45" w:rsidRPr="00FA6820" w:rsidRDefault="009B0C45" w:rsidP="003850EE">
      <w:pPr>
        <w:shd w:val="clear" w:color="auto" w:fill="FFFFFF"/>
        <w:spacing w:after="0" w:line="240" w:lineRule="auto"/>
        <w:ind w:firstLine="284"/>
        <w:jc w:val="center"/>
        <w:rPr>
          <w:rFonts w:ascii="Garamond" w:hAnsi="Garamond" w:cs="Times New Roman"/>
          <w:b/>
          <w:bCs/>
          <w:sz w:val="24"/>
          <w:szCs w:val="24"/>
        </w:rPr>
      </w:pPr>
      <w:r w:rsidRPr="00FA6820">
        <w:rPr>
          <w:rFonts w:ascii="Garamond" w:hAnsi="Garamond" w:cs="Times New Roman"/>
          <w:b/>
          <w:bCs/>
          <w:spacing w:val="-6"/>
          <w:sz w:val="24"/>
          <w:szCs w:val="24"/>
        </w:rPr>
        <w:t>PËR</w:t>
      </w:r>
      <w:r w:rsidRPr="00FA6820">
        <w:rPr>
          <w:rFonts w:ascii="Garamond" w:hAnsi="Garamond" w:cs="Times New Roman"/>
          <w:b/>
          <w:bCs/>
          <w:sz w:val="24"/>
          <w:szCs w:val="24"/>
        </w:rPr>
        <w:t xml:space="preserve"> MIRATIMIN E LISTËS SË VEPRIMTARIVE QË KONSIDEROHEN SI TË RREZIKSHME PËR MJEDISIN</w:t>
      </w:r>
      <w:r w:rsidRPr="00FA6820">
        <w:rPr>
          <w:rStyle w:val="FootnoteReference"/>
          <w:rFonts w:ascii="Garamond" w:hAnsi="Garamond" w:cs="Times New Roman"/>
          <w:b/>
          <w:bCs/>
          <w:sz w:val="24"/>
          <w:szCs w:val="24"/>
        </w:rPr>
        <w:footnoteReference w:id="2"/>
      </w:r>
    </w:p>
    <w:p w14:paraId="10D42CEC" w14:textId="77777777" w:rsidR="00464F38" w:rsidRPr="00FA6820" w:rsidRDefault="00464F38" w:rsidP="003850EE">
      <w:pPr>
        <w:spacing w:after="0" w:line="240" w:lineRule="auto"/>
        <w:ind w:firstLine="284"/>
        <w:jc w:val="center"/>
        <w:rPr>
          <w:rFonts w:ascii="Garamond" w:hAnsi="Garamond" w:cs="Times New Roman"/>
          <w:b/>
          <w:bCs/>
          <w:sz w:val="24"/>
          <w:szCs w:val="24"/>
          <w:u w:val="single"/>
        </w:rPr>
      </w:pPr>
    </w:p>
    <w:p w14:paraId="10D42CEE" w14:textId="50054C72" w:rsidR="009B0C45" w:rsidRPr="00FA6820" w:rsidRDefault="009B0C45" w:rsidP="003850EE">
      <w:pPr>
        <w:spacing w:after="0" w:line="240" w:lineRule="auto"/>
        <w:ind w:firstLine="284"/>
        <w:jc w:val="both"/>
        <w:rPr>
          <w:rFonts w:ascii="Garamond" w:hAnsi="Garamond" w:cs="Times New Roman"/>
          <w:sz w:val="24"/>
          <w:szCs w:val="24"/>
        </w:rPr>
      </w:pPr>
      <w:r w:rsidRPr="00FA6820">
        <w:rPr>
          <w:rFonts w:ascii="Garamond" w:hAnsi="Garamond" w:cs="Times New Roman"/>
          <w:sz w:val="24"/>
          <w:szCs w:val="24"/>
        </w:rPr>
        <w:t xml:space="preserve">Në mbështetje të nenit 100 të Kushtetutës </w:t>
      </w:r>
      <w:bookmarkStart w:id="0" w:name="_Hlk220077765"/>
      <w:r w:rsidRPr="00FA6820">
        <w:rPr>
          <w:rFonts w:ascii="Garamond" w:hAnsi="Garamond" w:cs="Times New Roman"/>
          <w:sz w:val="24"/>
          <w:szCs w:val="24"/>
        </w:rPr>
        <w:t xml:space="preserve">dhe të shkronjës </w:t>
      </w:r>
      <w:r w:rsidR="001354E1" w:rsidRPr="00FA6820">
        <w:rPr>
          <w:rFonts w:ascii="Garamond" w:hAnsi="Garamond" w:cs="Times New Roman"/>
          <w:sz w:val="24"/>
          <w:szCs w:val="24"/>
        </w:rPr>
        <w:t>“</w:t>
      </w:r>
      <w:r w:rsidRPr="00FA6820">
        <w:rPr>
          <w:rFonts w:ascii="Garamond" w:hAnsi="Garamond" w:cs="Times New Roman"/>
          <w:sz w:val="24"/>
          <w:szCs w:val="24"/>
        </w:rPr>
        <w:t>a</w:t>
      </w:r>
      <w:r w:rsidR="001354E1" w:rsidRPr="00FA6820">
        <w:rPr>
          <w:rFonts w:ascii="Garamond" w:hAnsi="Garamond" w:cs="Times New Roman"/>
          <w:sz w:val="24"/>
          <w:szCs w:val="24"/>
        </w:rPr>
        <w:t>”</w:t>
      </w:r>
      <w:r w:rsidRPr="00FA6820">
        <w:rPr>
          <w:rFonts w:ascii="Garamond" w:hAnsi="Garamond" w:cs="Times New Roman"/>
          <w:sz w:val="24"/>
          <w:szCs w:val="24"/>
        </w:rPr>
        <w:t>, të pikës 3, të nenit 50</w:t>
      </w:r>
      <w:r w:rsidR="00464F38" w:rsidRPr="00FA6820">
        <w:rPr>
          <w:rFonts w:ascii="Garamond" w:hAnsi="Garamond" w:cs="Times New Roman"/>
          <w:sz w:val="24"/>
          <w:szCs w:val="24"/>
        </w:rPr>
        <w:t>,</w:t>
      </w:r>
      <w:r w:rsidRPr="00FA6820">
        <w:rPr>
          <w:rFonts w:ascii="Garamond" w:hAnsi="Garamond" w:cs="Times New Roman"/>
          <w:sz w:val="24"/>
          <w:szCs w:val="24"/>
        </w:rPr>
        <w:t xml:space="preserve"> të ligjit nr.</w:t>
      </w:r>
      <w:r w:rsidR="00FA6820">
        <w:rPr>
          <w:rFonts w:ascii="Garamond" w:hAnsi="Garamond" w:cs="Times New Roman"/>
          <w:sz w:val="24"/>
          <w:szCs w:val="24"/>
        </w:rPr>
        <w:t xml:space="preserve"> </w:t>
      </w:r>
      <w:r w:rsidRPr="00FA6820">
        <w:rPr>
          <w:rFonts w:ascii="Garamond" w:hAnsi="Garamond" w:cs="Times New Roman"/>
          <w:sz w:val="24"/>
          <w:szCs w:val="24"/>
        </w:rPr>
        <w:t>10431, datë 9.6.2011, “Për mbrojtjen e mjedisit”, të ndryshuar</w:t>
      </w:r>
      <w:bookmarkEnd w:id="0"/>
      <w:r w:rsidRPr="00FA6820">
        <w:rPr>
          <w:rFonts w:ascii="Garamond" w:hAnsi="Garamond" w:cs="Times New Roman"/>
          <w:sz w:val="24"/>
          <w:szCs w:val="24"/>
        </w:rPr>
        <w:t>, me propozimin e ministrit të Mjedisit, Këshilli i Ministrave</w:t>
      </w:r>
    </w:p>
    <w:p w14:paraId="10D42CEF" w14:textId="77777777" w:rsidR="00250450" w:rsidRPr="00FA6820" w:rsidRDefault="00250450" w:rsidP="003850EE">
      <w:pPr>
        <w:shd w:val="clear" w:color="auto" w:fill="FFFFFF"/>
        <w:spacing w:after="0" w:line="240" w:lineRule="auto"/>
        <w:ind w:firstLine="284"/>
        <w:jc w:val="center"/>
        <w:rPr>
          <w:rFonts w:ascii="Garamond" w:hAnsi="Garamond" w:cs="Times New Roman"/>
          <w:b/>
          <w:spacing w:val="-4"/>
          <w:sz w:val="24"/>
          <w:szCs w:val="24"/>
        </w:rPr>
      </w:pPr>
    </w:p>
    <w:p w14:paraId="10D42CF1" w14:textId="66B10331" w:rsidR="009B0C45" w:rsidRPr="00FA6820" w:rsidRDefault="009B0C45" w:rsidP="003850EE">
      <w:pPr>
        <w:shd w:val="clear" w:color="auto" w:fill="FFFFFF"/>
        <w:spacing w:after="0" w:line="240" w:lineRule="auto"/>
        <w:ind w:firstLine="284"/>
        <w:jc w:val="center"/>
        <w:rPr>
          <w:rFonts w:ascii="Garamond" w:hAnsi="Garamond" w:cs="Times New Roman"/>
          <w:spacing w:val="-4"/>
          <w:sz w:val="24"/>
          <w:szCs w:val="24"/>
        </w:rPr>
      </w:pPr>
      <w:r w:rsidRPr="00FA6820">
        <w:rPr>
          <w:rFonts w:ascii="Garamond" w:hAnsi="Garamond" w:cs="Times New Roman"/>
          <w:spacing w:val="-4"/>
          <w:sz w:val="24"/>
          <w:szCs w:val="24"/>
        </w:rPr>
        <w:t>VENDOSI:</w:t>
      </w:r>
    </w:p>
    <w:p w14:paraId="10D42CF2" w14:textId="77777777" w:rsidR="009B0C45" w:rsidRPr="00FA6820" w:rsidRDefault="009B0C45" w:rsidP="003850EE">
      <w:pPr>
        <w:shd w:val="clear" w:color="auto" w:fill="FFFFFF"/>
        <w:spacing w:after="0" w:line="240" w:lineRule="auto"/>
        <w:ind w:firstLine="284"/>
        <w:jc w:val="center"/>
        <w:rPr>
          <w:rFonts w:ascii="Garamond" w:hAnsi="Garamond" w:cs="Times New Roman"/>
          <w:b/>
          <w:spacing w:val="-4"/>
          <w:sz w:val="24"/>
          <w:szCs w:val="24"/>
        </w:rPr>
      </w:pPr>
    </w:p>
    <w:p w14:paraId="765CD99B" w14:textId="3804ADC9" w:rsidR="003850EE" w:rsidRPr="00FA6820" w:rsidRDefault="003850EE" w:rsidP="003850E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A6820">
        <w:rPr>
          <w:rFonts w:ascii="Garamond" w:hAnsi="Garamond" w:cs="Times New Roman"/>
          <w:color w:val="000000"/>
          <w:sz w:val="24"/>
          <w:szCs w:val="24"/>
          <w14:ligatures w14:val="standardContextual"/>
        </w:rPr>
        <w:t>1. Miratimin e listës së veprimtarive që konsiderohen si të rrezikshme për mjedisin, të përcaktuara sipas shtojcës 1, që i bashkëlidhet këtij vendimi dhe</w:t>
      </w:r>
      <w:r w:rsidR="00CF33E1">
        <w:rPr>
          <w:rFonts w:ascii="Garamond" w:hAnsi="Garamond" w:cs="Times New Roman"/>
          <w:color w:val="000000"/>
          <w:sz w:val="24"/>
          <w:szCs w:val="24"/>
          <w14:ligatures w14:val="standardContextual"/>
        </w:rPr>
        <w:t xml:space="preserve"> </w:t>
      </w:r>
      <w:r w:rsidRPr="00FA6820">
        <w:rPr>
          <w:rFonts w:ascii="Garamond" w:hAnsi="Garamond" w:cs="Times New Roman"/>
          <w:color w:val="000000"/>
          <w:sz w:val="24"/>
          <w:szCs w:val="24"/>
          <w14:ligatures w14:val="standardContextual"/>
        </w:rPr>
        <w:t>është pjesë përbërëse e tij.</w:t>
      </w:r>
    </w:p>
    <w:p w14:paraId="6314F67C" w14:textId="5F817388" w:rsidR="003850EE" w:rsidRPr="00FA6820" w:rsidRDefault="003850EE" w:rsidP="003850E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A6820">
        <w:rPr>
          <w:rFonts w:ascii="Garamond" w:hAnsi="Garamond" w:cs="Times New Roman"/>
          <w:color w:val="000000"/>
          <w:sz w:val="24"/>
          <w:szCs w:val="24"/>
          <w14:ligatures w14:val="standardContextual"/>
        </w:rPr>
        <w:t>2. Lista e përcaktuar në pikën 1, të këtij vendimi, zbatohet pa cenuar detyrimet e tjera që rrjedhin nga legjislacioni sektorial në fuqi. Veprimtari të rrezikshme për mjedisin konsiderohen veprimtaritë ekonomike ose profesionale që, për nga natyra e rrezikut ndaj burimeve natyrore, përmasat, teknologjia ose substancat e përdorura, paraqesin rrezik të lartë për dëme mjedisore dhe sjellin përgjegjësi mjedisore, sipas legjislacionit në fuqi, duke shkaktuar:</w:t>
      </w:r>
    </w:p>
    <w:p w14:paraId="3640D188" w14:textId="44C4CAE6" w:rsidR="003850EE" w:rsidRPr="00FA6820" w:rsidRDefault="003850EE" w:rsidP="003850E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A6820">
        <w:rPr>
          <w:rFonts w:ascii="Garamond" w:hAnsi="Garamond" w:cs="Times New Roman"/>
          <w:color w:val="000000"/>
          <w:sz w:val="24"/>
          <w:szCs w:val="24"/>
          <w14:ligatures w14:val="standardContextual"/>
        </w:rPr>
        <w:t>a) dëme ndaj burimeve natyrore;</w:t>
      </w:r>
    </w:p>
    <w:p w14:paraId="6FB32A1E" w14:textId="7D75CCB1" w:rsidR="003850EE" w:rsidRPr="00FA6820" w:rsidRDefault="003850EE" w:rsidP="003850E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A6820">
        <w:rPr>
          <w:rFonts w:ascii="Garamond" w:hAnsi="Garamond" w:cs="Times New Roman"/>
          <w:color w:val="000000"/>
          <w:sz w:val="24"/>
          <w:szCs w:val="24"/>
          <w14:ligatures w14:val="standardContextual"/>
        </w:rPr>
        <w:t>b) ndotje të ujërave, tokës dhe ajrit;</w:t>
      </w:r>
    </w:p>
    <w:p w14:paraId="4763A753" w14:textId="7FECA979" w:rsidR="003850EE" w:rsidRPr="00FA6820" w:rsidRDefault="003850EE" w:rsidP="003850E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A6820">
        <w:rPr>
          <w:rFonts w:ascii="Garamond" w:hAnsi="Garamond" w:cs="Times New Roman"/>
          <w:color w:val="000000"/>
          <w:sz w:val="24"/>
          <w:szCs w:val="24"/>
          <w14:ligatures w14:val="standardContextual"/>
        </w:rPr>
        <w:t xml:space="preserve">c) dëmtim të </w:t>
      </w:r>
      <w:proofErr w:type="spellStart"/>
      <w:r w:rsidRPr="00FA6820">
        <w:rPr>
          <w:rFonts w:ascii="Garamond" w:hAnsi="Garamond" w:cs="Times New Roman"/>
          <w:color w:val="000000"/>
          <w:sz w:val="24"/>
          <w:szCs w:val="24"/>
          <w14:ligatures w14:val="standardContextual"/>
        </w:rPr>
        <w:t>biodiversitetit</w:t>
      </w:r>
      <w:proofErr w:type="spellEnd"/>
      <w:r w:rsidRPr="00FA6820">
        <w:rPr>
          <w:rFonts w:ascii="Garamond" w:hAnsi="Garamond" w:cs="Times New Roman"/>
          <w:color w:val="000000"/>
          <w:sz w:val="24"/>
          <w:szCs w:val="24"/>
          <w14:ligatures w14:val="standardContextual"/>
        </w:rPr>
        <w:t xml:space="preserve"> dhe </w:t>
      </w:r>
      <w:proofErr w:type="spellStart"/>
      <w:r w:rsidRPr="00FA6820">
        <w:rPr>
          <w:rFonts w:ascii="Garamond" w:hAnsi="Garamond" w:cs="Times New Roman"/>
          <w:color w:val="000000"/>
          <w:sz w:val="24"/>
          <w:szCs w:val="24"/>
          <w14:ligatures w14:val="standardContextual"/>
        </w:rPr>
        <w:t>habitateve</w:t>
      </w:r>
      <w:proofErr w:type="spellEnd"/>
      <w:r w:rsidRPr="00FA6820">
        <w:rPr>
          <w:rFonts w:ascii="Garamond" w:hAnsi="Garamond" w:cs="Times New Roman"/>
          <w:color w:val="000000"/>
          <w:sz w:val="24"/>
          <w:szCs w:val="24"/>
          <w14:ligatures w14:val="standardContextual"/>
        </w:rPr>
        <w:t xml:space="preserve"> të mbrojtura;</w:t>
      </w:r>
    </w:p>
    <w:p w14:paraId="551700AE" w14:textId="77777777" w:rsidR="003850EE" w:rsidRPr="00FA6820" w:rsidRDefault="003850EE" w:rsidP="003850E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A6820">
        <w:rPr>
          <w:rFonts w:ascii="Garamond" w:hAnsi="Garamond" w:cs="Times New Roman"/>
          <w:color w:val="000000"/>
          <w:sz w:val="24"/>
          <w:szCs w:val="24"/>
          <w14:ligatures w14:val="standardContextual"/>
        </w:rPr>
        <w:t>ç) rrezik për shëndetin e njeriut.</w:t>
      </w:r>
    </w:p>
    <w:p w14:paraId="6E81F1C5" w14:textId="55AD9A16" w:rsidR="003850EE" w:rsidRPr="00FA6820" w:rsidRDefault="003850EE" w:rsidP="003850E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A6820">
        <w:rPr>
          <w:rFonts w:ascii="Garamond" w:hAnsi="Garamond" w:cs="Times New Roman"/>
          <w:color w:val="000000"/>
          <w:sz w:val="24"/>
          <w:szCs w:val="24"/>
          <w14:ligatures w14:val="standardContextual"/>
        </w:rPr>
        <w:t>3. Ngarkohet Agjencia Kombëtare e Mjedisit për zbatimin e këtij vendimi.</w:t>
      </w:r>
    </w:p>
    <w:p w14:paraId="0A24F540" w14:textId="64F3CD1F" w:rsidR="003850EE" w:rsidRPr="00FA6820" w:rsidRDefault="003850EE" w:rsidP="003850E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A6820">
        <w:rPr>
          <w:rFonts w:ascii="Garamond" w:hAnsi="Garamond" w:cs="Times New Roman"/>
          <w:color w:val="000000"/>
          <w:sz w:val="24"/>
          <w:szCs w:val="24"/>
          <w14:ligatures w14:val="standardContextual"/>
        </w:rPr>
        <w:t>Ky vendim hyn në fuqi pas botimit në Fletoren Zyrtare.</w:t>
      </w:r>
    </w:p>
    <w:p w14:paraId="10D42D01" w14:textId="77777777" w:rsidR="009B0C45" w:rsidRPr="00FA6820" w:rsidRDefault="009B0C45" w:rsidP="003850EE">
      <w:pPr>
        <w:pStyle w:val="Normal0"/>
        <w:ind w:firstLine="284"/>
        <w:jc w:val="both"/>
        <w:rPr>
          <w:rFonts w:ascii="Garamond" w:hAnsi="Garamond" w:cs="Times New Roman"/>
          <w:lang w:val="sq-AL"/>
        </w:rPr>
      </w:pPr>
    </w:p>
    <w:p w14:paraId="10D42D02" w14:textId="595B2352" w:rsidR="009B0C45" w:rsidRPr="00FA6820" w:rsidRDefault="009B0C45" w:rsidP="003850EE">
      <w:pPr>
        <w:pStyle w:val="Heading4"/>
        <w:spacing w:before="0" w:after="0" w:line="240" w:lineRule="auto"/>
        <w:ind w:firstLine="284"/>
        <w:jc w:val="right"/>
        <w:rPr>
          <w:rFonts w:ascii="Garamond" w:hAnsi="Garamond" w:cs="Times New Roman"/>
          <w:bCs/>
          <w:i w:val="0"/>
          <w:iCs w:val="0"/>
          <w:color w:val="000000" w:themeColor="text1"/>
          <w:sz w:val="24"/>
          <w:szCs w:val="24"/>
        </w:rPr>
      </w:pPr>
      <w:r w:rsidRPr="00FA6820">
        <w:rPr>
          <w:rFonts w:ascii="Garamond" w:hAnsi="Garamond" w:cs="Times New Roman"/>
          <w:bCs/>
          <w:i w:val="0"/>
          <w:iCs w:val="0"/>
          <w:color w:val="000000" w:themeColor="text1"/>
          <w:sz w:val="24"/>
          <w:szCs w:val="24"/>
        </w:rPr>
        <w:t>KRYEMINIST</w:t>
      </w:r>
      <w:r w:rsidR="003850EE" w:rsidRPr="00FA6820">
        <w:rPr>
          <w:rFonts w:ascii="Garamond" w:hAnsi="Garamond" w:cs="Times New Roman"/>
          <w:bCs/>
          <w:i w:val="0"/>
          <w:iCs w:val="0"/>
          <w:color w:val="000000" w:themeColor="text1"/>
          <w:sz w:val="24"/>
          <w:szCs w:val="24"/>
        </w:rPr>
        <w:t>Ë</w:t>
      </w:r>
      <w:r w:rsidRPr="00FA6820">
        <w:rPr>
          <w:rFonts w:ascii="Garamond" w:hAnsi="Garamond" w:cs="Times New Roman"/>
          <w:bCs/>
          <w:i w:val="0"/>
          <w:iCs w:val="0"/>
          <w:color w:val="000000" w:themeColor="text1"/>
          <w:sz w:val="24"/>
          <w:szCs w:val="24"/>
        </w:rPr>
        <w:t>R</w:t>
      </w:r>
    </w:p>
    <w:p w14:paraId="10D42D05" w14:textId="6F0D3C05" w:rsidR="009B0C45" w:rsidRPr="00FA6820" w:rsidRDefault="003850EE" w:rsidP="003850EE">
      <w:pPr>
        <w:spacing w:after="0" w:line="240" w:lineRule="auto"/>
        <w:ind w:firstLine="284"/>
        <w:jc w:val="right"/>
        <w:rPr>
          <w:rFonts w:ascii="Garamond" w:hAnsi="Garamond" w:cs="Times New Roman"/>
          <w:b/>
          <w:bCs/>
          <w:color w:val="000000" w:themeColor="text1"/>
          <w:sz w:val="24"/>
          <w:szCs w:val="24"/>
        </w:rPr>
      </w:pPr>
      <w:r w:rsidRPr="00FA6820">
        <w:rPr>
          <w:rFonts w:ascii="Garamond" w:hAnsi="Garamond" w:cs="Times New Roman"/>
          <w:b/>
          <w:bCs/>
          <w:color w:val="000000" w:themeColor="text1"/>
          <w:sz w:val="24"/>
          <w:szCs w:val="24"/>
        </w:rPr>
        <w:t xml:space="preserve">Edi </w:t>
      </w:r>
      <w:proofErr w:type="spellStart"/>
      <w:r w:rsidRPr="00FA6820">
        <w:rPr>
          <w:rFonts w:ascii="Garamond" w:hAnsi="Garamond" w:cs="Times New Roman"/>
          <w:b/>
          <w:bCs/>
          <w:color w:val="000000" w:themeColor="text1"/>
          <w:sz w:val="24"/>
          <w:szCs w:val="24"/>
        </w:rPr>
        <w:t>Rama</w:t>
      </w:r>
      <w:proofErr w:type="spellEnd"/>
    </w:p>
    <w:p w14:paraId="10D42D0D" w14:textId="77777777" w:rsidR="00464F38" w:rsidRPr="00FA6820" w:rsidRDefault="00464F38" w:rsidP="00464F38">
      <w:pPr>
        <w:spacing w:after="0" w:line="240" w:lineRule="auto"/>
        <w:jc w:val="center"/>
        <w:rPr>
          <w:rFonts w:ascii="Times New Roman" w:hAnsi="Times New Roman" w:cs="Times New Roman"/>
          <w:b/>
          <w:bCs/>
          <w:color w:val="000000" w:themeColor="text1"/>
          <w:sz w:val="28"/>
          <w:szCs w:val="28"/>
        </w:rPr>
      </w:pPr>
    </w:p>
    <w:p w14:paraId="10D42D0E" w14:textId="77777777" w:rsidR="00464F38" w:rsidRPr="00FA6820" w:rsidRDefault="00464F38" w:rsidP="00464F38">
      <w:pPr>
        <w:spacing w:after="0" w:line="240" w:lineRule="auto"/>
        <w:jc w:val="center"/>
        <w:rPr>
          <w:rFonts w:ascii="Times New Roman" w:hAnsi="Times New Roman" w:cs="Times New Roman"/>
          <w:b/>
          <w:bCs/>
          <w:color w:val="000000" w:themeColor="text1"/>
          <w:sz w:val="28"/>
          <w:szCs w:val="28"/>
        </w:rPr>
      </w:pPr>
    </w:p>
    <w:p w14:paraId="10D42D0F" w14:textId="77777777" w:rsidR="00464F38" w:rsidRPr="00FA6820" w:rsidRDefault="00464F38" w:rsidP="00464F38">
      <w:pPr>
        <w:spacing w:after="0" w:line="240" w:lineRule="auto"/>
        <w:jc w:val="center"/>
        <w:rPr>
          <w:rFonts w:ascii="Times New Roman" w:hAnsi="Times New Roman" w:cs="Times New Roman"/>
          <w:b/>
          <w:bCs/>
          <w:color w:val="000000" w:themeColor="text1"/>
          <w:sz w:val="28"/>
          <w:szCs w:val="28"/>
        </w:rPr>
      </w:pPr>
    </w:p>
    <w:p w14:paraId="10D42D10" w14:textId="77777777" w:rsidR="00464F38" w:rsidRPr="00FA6820" w:rsidRDefault="00464F38" w:rsidP="00464F38">
      <w:pPr>
        <w:spacing w:after="0" w:line="240" w:lineRule="auto"/>
        <w:jc w:val="center"/>
        <w:rPr>
          <w:rFonts w:ascii="Times New Roman" w:hAnsi="Times New Roman" w:cs="Times New Roman"/>
          <w:b/>
          <w:bCs/>
          <w:color w:val="000000" w:themeColor="text1"/>
          <w:sz w:val="28"/>
          <w:szCs w:val="28"/>
        </w:rPr>
      </w:pPr>
    </w:p>
    <w:p w14:paraId="10D42D11" w14:textId="77777777" w:rsidR="00464F38" w:rsidRPr="00FA6820" w:rsidRDefault="00464F38" w:rsidP="00464F38">
      <w:pPr>
        <w:spacing w:after="0" w:line="240" w:lineRule="auto"/>
        <w:jc w:val="center"/>
        <w:rPr>
          <w:rFonts w:ascii="Times New Roman" w:hAnsi="Times New Roman" w:cs="Times New Roman"/>
          <w:b/>
          <w:bCs/>
          <w:color w:val="000000" w:themeColor="text1"/>
          <w:sz w:val="28"/>
          <w:szCs w:val="28"/>
        </w:rPr>
      </w:pPr>
    </w:p>
    <w:p w14:paraId="10D42D12" w14:textId="77777777" w:rsidR="00464F38" w:rsidRPr="00FA6820" w:rsidRDefault="00464F38" w:rsidP="00464F38">
      <w:pPr>
        <w:spacing w:after="0" w:line="240" w:lineRule="auto"/>
        <w:jc w:val="center"/>
        <w:rPr>
          <w:rFonts w:ascii="Times New Roman" w:hAnsi="Times New Roman" w:cs="Times New Roman"/>
          <w:b/>
          <w:bCs/>
          <w:color w:val="000000" w:themeColor="text1"/>
          <w:sz w:val="28"/>
          <w:szCs w:val="28"/>
        </w:rPr>
      </w:pPr>
    </w:p>
    <w:p w14:paraId="10D42D13" w14:textId="77777777" w:rsidR="00464F38" w:rsidRPr="00FA6820" w:rsidRDefault="00464F38" w:rsidP="00464F38">
      <w:pPr>
        <w:spacing w:after="0" w:line="240" w:lineRule="auto"/>
        <w:jc w:val="center"/>
        <w:rPr>
          <w:rFonts w:ascii="Times New Roman" w:hAnsi="Times New Roman" w:cs="Times New Roman"/>
          <w:b/>
          <w:bCs/>
          <w:color w:val="000000" w:themeColor="text1"/>
          <w:sz w:val="28"/>
          <w:szCs w:val="28"/>
        </w:rPr>
      </w:pPr>
    </w:p>
    <w:p w14:paraId="10D42D14" w14:textId="77777777" w:rsidR="00464F38" w:rsidRPr="00FA6820" w:rsidRDefault="00464F38" w:rsidP="00464F38">
      <w:pPr>
        <w:spacing w:after="0" w:line="240" w:lineRule="auto"/>
        <w:jc w:val="center"/>
        <w:rPr>
          <w:rFonts w:ascii="Times New Roman" w:hAnsi="Times New Roman" w:cs="Times New Roman"/>
          <w:b/>
          <w:bCs/>
          <w:color w:val="000000" w:themeColor="text1"/>
          <w:sz w:val="28"/>
          <w:szCs w:val="28"/>
        </w:rPr>
      </w:pPr>
    </w:p>
    <w:p w14:paraId="10D42D15" w14:textId="77777777" w:rsidR="00464F38" w:rsidRPr="00FA6820" w:rsidRDefault="00464F38" w:rsidP="00464F38">
      <w:pPr>
        <w:spacing w:after="0" w:line="240" w:lineRule="auto"/>
        <w:jc w:val="center"/>
        <w:rPr>
          <w:rFonts w:ascii="Times New Roman" w:hAnsi="Times New Roman" w:cs="Times New Roman"/>
          <w:b/>
          <w:bCs/>
          <w:color w:val="000000" w:themeColor="text1"/>
          <w:sz w:val="28"/>
          <w:szCs w:val="28"/>
        </w:rPr>
      </w:pPr>
    </w:p>
    <w:p w14:paraId="10D42D16" w14:textId="453428F5" w:rsidR="00464F38" w:rsidRPr="00FA6820" w:rsidRDefault="00464F38" w:rsidP="00464F38">
      <w:pPr>
        <w:spacing w:after="0" w:line="240" w:lineRule="auto"/>
        <w:jc w:val="center"/>
        <w:rPr>
          <w:rFonts w:ascii="Times New Roman" w:hAnsi="Times New Roman" w:cs="Times New Roman"/>
          <w:b/>
          <w:bCs/>
          <w:color w:val="000000" w:themeColor="text1"/>
          <w:sz w:val="28"/>
          <w:szCs w:val="28"/>
        </w:rPr>
      </w:pPr>
    </w:p>
    <w:p w14:paraId="7D14097B" w14:textId="77777777" w:rsidR="003850EE" w:rsidRPr="00FA6820" w:rsidRDefault="003850EE" w:rsidP="00464F38">
      <w:pPr>
        <w:spacing w:after="0" w:line="240" w:lineRule="auto"/>
        <w:jc w:val="center"/>
        <w:rPr>
          <w:rFonts w:ascii="Times New Roman" w:hAnsi="Times New Roman" w:cs="Times New Roman"/>
          <w:b/>
          <w:bCs/>
          <w:color w:val="000000" w:themeColor="text1"/>
          <w:sz w:val="28"/>
          <w:szCs w:val="28"/>
        </w:rPr>
      </w:pPr>
    </w:p>
    <w:p w14:paraId="10D42D17" w14:textId="77777777" w:rsidR="00464F38" w:rsidRPr="00FA6820" w:rsidRDefault="00464F38" w:rsidP="00464F38">
      <w:pPr>
        <w:spacing w:after="0" w:line="240" w:lineRule="auto"/>
        <w:jc w:val="center"/>
        <w:rPr>
          <w:rFonts w:ascii="Times New Roman" w:hAnsi="Times New Roman" w:cs="Times New Roman"/>
          <w:b/>
          <w:bCs/>
          <w:color w:val="000000" w:themeColor="text1"/>
          <w:sz w:val="28"/>
          <w:szCs w:val="28"/>
        </w:rPr>
      </w:pPr>
    </w:p>
    <w:p w14:paraId="10D42D18" w14:textId="77777777" w:rsidR="00464F38" w:rsidRPr="00FA6820" w:rsidRDefault="00464F38" w:rsidP="00464F38">
      <w:pPr>
        <w:spacing w:after="0" w:line="240" w:lineRule="auto"/>
        <w:jc w:val="center"/>
        <w:rPr>
          <w:rFonts w:ascii="Times New Roman" w:hAnsi="Times New Roman" w:cs="Times New Roman"/>
          <w:b/>
          <w:bCs/>
          <w:color w:val="000000" w:themeColor="text1"/>
          <w:sz w:val="28"/>
          <w:szCs w:val="28"/>
        </w:rPr>
      </w:pPr>
    </w:p>
    <w:p w14:paraId="10D42D19" w14:textId="77777777" w:rsidR="00464F38" w:rsidRPr="00FA6820" w:rsidRDefault="00464F38" w:rsidP="00464F38">
      <w:pPr>
        <w:spacing w:after="0" w:line="240" w:lineRule="auto"/>
        <w:jc w:val="center"/>
        <w:rPr>
          <w:rFonts w:ascii="Times New Roman" w:hAnsi="Times New Roman" w:cs="Times New Roman"/>
          <w:b/>
          <w:bCs/>
          <w:color w:val="000000" w:themeColor="text1"/>
          <w:sz w:val="28"/>
          <w:szCs w:val="28"/>
        </w:rPr>
      </w:pPr>
    </w:p>
    <w:p w14:paraId="10D42D1A" w14:textId="77777777" w:rsidR="00464F38" w:rsidRPr="00FA6820" w:rsidRDefault="00464F38" w:rsidP="00464F38">
      <w:pPr>
        <w:spacing w:after="0" w:line="240" w:lineRule="auto"/>
        <w:jc w:val="center"/>
        <w:rPr>
          <w:rFonts w:ascii="Times New Roman" w:hAnsi="Times New Roman" w:cs="Times New Roman"/>
          <w:b/>
          <w:bCs/>
          <w:color w:val="000000" w:themeColor="text1"/>
          <w:sz w:val="28"/>
          <w:szCs w:val="28"/>
        </w:rPr>
      </w:pPr>
    </w:p>
    <w:p w14:paraId="10D42D1B" w14:textId="77777777" w:rsidR="00464F38" w:rsidRPr="00FA6820" w:rsidRDefault="00464F38" w:rsidP="00464F38">
      <w:pPr>
        <w:spacing w:after="0" w:line="240" w:lineRule="auto"/>
        <w:jc w:val="center"/>
        <w:rPr>
          <w:rFonts w:ascii="Times New Roman" w:hAnsi="Times New Roman" w:cs="Times New Roman"/>
          <w:b/>
          <w:bCs/>
          <w:color w:val="000000" w:themeColor="text1"/>
          <w:sz w:val="28"/>
          <w:szCs w:val="28"/>
        </w:rPr>
      </w:pPr>
    </w:p>
    <w:p w14:paraId="3A35724A" w14:textId="77777777" w:rsidR="003850EE" w:rsidRPr="00FA6820" w:rsidRDefault="003850EE" w:rsidP="003850EE">
      <w:pPr>
        <w:autoSpaceDE w:val="0"/>
        <w:autoSpaceDN w:val="0"/>
        <w:adjustRightInd w:val="0"/>
        <w:spacing w:after="0" w:line="240" w:lineRule="auto"/>
        <w:ind w:firstLine="284"/>
        <w:jc w:val="both"/>
        <w:rPr>
          <w:rFonts w:ascii="Garamond" w:hAnsi="Garamond" w:cs="Times New Roman"/>
          <w:i/>
          <w:iCs/>
          <w:color w:val="000000"/>
          <w:sz w:val="24"/>
          <w:szCs w:val="24"/>
          <w14:ligatures w14:val="standardContextual"/>
        </w:rPr>
      </w:pPr>
    </w:p>
    <w:p w14:paraId="42E57F49" w14:textId="70E91E1F" w:rsidR="003850EE" w:rsidRPr="00FA6820" w:rsidRDefault="003850EE" w:rsidP="003850EE">
      <w:pPr>
        <w:autoSpaceDE w:val="0"/>
        <w:autoSpaceDN w:val="0"/>
        <w:adjustRightInd w:val="0"/>
        <w:spacing w:after="0" w:line="240" w:lineRule="auto"/>
        <w:ind w:firstLine="284"/>
        <w:jc w:val="both"/>
        <w:rPr>
          <w:rFonts w:ascii="Garamond" w:hAnsi="Garamond" w:cs="Times New Roman"/>
          <w:b/>
          <w:iCs/>
          <w:color w:val="000000"/>
          <w:sz w:val="24"/>
          <w:szCs w:val="24"/>
          <w14:ligatures w14:val="standardContextual"/>
        </w:rPr>
      </w:pPr>
      <w:r w:rsidRPr="00FA6820">
        <w:rPr>
          <w:rFonts w:ascii="Garamond" w:hAnsi="Garamond" w:cs="Times New Roman"/>
          <w:b/>
          <w:iCs/>
          <w:color w:val="000000"/>
          <w:sz w:val="24"/>
          <w:szCs w:val="24"/>
          <w14:ligatures w14:val="standardContextual"/>
        </w:rPr>
        <w:lastRenderedPageBreak/>
        <w:t>Shtojca 1</w:t>
      </w:r>
    </w:p>
    <w:p w14:paraId="7950E317" w14:textId="77777777" w:rsidR="003850EE" w:rsidRPr="00FA6820" w:rsidRDefault="003850EE" w:rsidP="003850EE">
      <w:pPr>
        <w:autoSpaceDE w:val="0"/>
        <w:autoSpaceDN w:val="0"/>
        <w:adjustRightInd w:val="0"/>
        <w:spacing w:after="0" w:line="240" w:lineRule="auto"/>
        <w:ind w:firstLine="284"/>
        <w:jc w:val="center"/>
        <w:rPr>
          <w:rFonts w:ascii="Garamond" w:hAnsi="Garamond" w:cs="Times New Roman"/>
          <w:b/>
          <w:bCs/>
          <w:color w:val="000000"/>
          <w:sz w:val="24"/>
          <w:szCs w:val="24"/>
          <w14:ligatures w14:val="standardContextual"/>
        </w:rPr>
      </w:pPr>
    </w:p>
    <w:p w14:paraId="2F24E5D0" w14:textId="77777777" w:rsidR="003850EE" w:rsidRPr="00FA6820" w:rsidRDefault="003850EE" w:rsidP="003850EE">
      <w:pPr>
        <w:autoSpaceDE w:val="0"/>
        <w:autoSpaceDN w:val="0"/>
        <w:adjustRightInd w:val="0"/>
        <w:spacing w:after="0" w:line="240" w:lineRule="auto"/>
        <w:ind w:firstLine="284"/>
        <w:jc w:val="center"/>
        <w:rPr>
          <w:rFonts w:ascii="Garamond" w:hAnsi="Garamond" w:cs="Times New Roman"/>
          <w:bCs/>
          <w:color w:val="000000"/>
          <w:sz w:val="24"/>
          <w:szCs w:val="24"/>
          <w14:ligatures w14:val="standardContextual"/>
        </w:rPr>
      </w:pPr>
      <w:r w:rsidRPr="00FA6820">
        <w:rPr>
          <w:rFonts w:ascii="Garamond" w:hAnsi="Garamond" w:cs="Times New Roman"/>
          <w:bCs/>
          <w:color w:val="000000"/>
          <w:sz w:val="24"/>
          <w:szCs w:val="24"/>
          <w14:ligatures w14:val="standardContextual"/>
        </w:rPr>
        <w:t>LISTA E VEPRIMTARIVE QË KONSIDEROHEN SI TË RREZIKSHME PËR MJEDISIN</w:t>
      </w:r>
    </w:p>
    <w:p w14:paraId="35912B2A" w14:textId="77777777" w:rsidR="003850EE" w:rsidRPr="00FA6820" w:rsidRDefault="003850EE" w:rsidP="003850EE">
      <w:pPr>
        <w:autoSpaceDE w:val="0"/>
        <w:autoSpaceDN w:val="0"/>
        <w:adjustRightInd w:val="0"/>
        <w:spacing w:after="0" w:line="240" w:lineRule="auto"/>
        <w:ind w:firstLine="284"/>
        <w:jc w:val="both"/>
        <w:rPr>
          <w:rFonts w:ascii="Garamond" w:hAnsi="Garamond" w:cs="Calibri"/>
          <w:color w:val="000000"/>
          <w:sz w:val="24"/>
          <w:szCs w:val="24"/>
          <w14:ligatures w14:val="standardContextual"/>
        </w:rPr>
      </w:pPr>
    </w:p>
    <w:p w14:paraId="1D31B27E" w14:textId="17C0CBB4" w:rsidR="003850EE" w:rsidRPr="00FA6820" w:rsidRDefault="003850EE" w:rsidP="003850EE">
      <w:pPr>
        <w:tabs>
          <w:tab w:val="left" w:pos="360"/>
        </w:tabs>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A6820">
        <w:rPr>
          <w:rFonts w:ascii="Garamond" w:hAnsi="Garamond" w:cs="Times New Roman"/>
          <w:color w:val="000000"/>
          <w:sz w:val="24"/>
          <w:szCs w:val="24"/>
          <w14:ligatures w14:val="standardContextual"/>
        </w:rPr>
        <w:t>1. Të gjitha instalimet, që pajisen me leje mjedisi të tipit A, sipas legjislacionit në fuqi për lejet e mjedisit, me përjashtim të instalimeve ose pjesëve të instalimeve që përdoren për kërkim, zhvillim dhe testim të produkteve dhe proceseve të reja.</w:t>
      </w:r>
    </w:p>
    <w:p w14:paraId="16994326" w14:textId="689A198C" w:rsidR="003850EE" w:rsidRPr="00FA6820" w:rsidRDefault="003850EE" w:rsidP="003850EE">
      <w:pPr>
        <w:autoSpaceDE w:val="0"/>
        <w:autoSpaceDN w:val="0"/>
        <w:adjustRightInd w:val="0"/>
        <w:spacing w:after="0" w:line="240" w:lineRule="auto"/>
        <w:ind w:firstLine="284"/>
        <w:jc w:val="both"/>
        <w:rPr>
          <w:rFonts w:ascii="Garamond" w:hAnsi="Garamond" w:cs="Calibri"/>
          <w:color w:val="000000"/>
          <w:sz w:val="24"/>
          <w:szCs w:val="24"/>
          <w14:ligatures w14:val="standardContextual"/>
        </w:rPr>
      </w:pPr>
      <w:r w:rsidRPr="00FA6820">
        <w:rPr>
          <w:rFonts w:ascii="Garamond" w:hAnsi="Garamond" w:cs="Times New Roman"/>
          <w:color w:val="000000"/>
          <w:sz w:val="24"/>
          <w:szCs w:val="24"/>
          <w14:ligatures w14:val="standardContextual"/>
        </w:rPr>
        <w:t xml:space="preserve">2. Veprimtaritë e menaxhimit të integruar të mbetjeve, përfshirë grumbullimin, transportin, rikuperimin dhe asgjësimin e mbetjeve dhe </w:t>
      </w:r>
      <w:r w:rsidR="00FA6820" w:rsidRPr="00FA6820">
        <w:rPr>
          <w:rFonts w:ascii="Garamond" w:hAnsi="Garamond" w:cs="Times New Roman"/>
          <w:color w:val="000000"/>
          <w:sz w:val="24"/>
          <w:szCs w:val="24"/>
          <w14:ligatures w14:val="standardContextual"/>
        </w:rPr>
        <w:t>të</w:t>
      </w:r>
      <w:r w:rsidR="00FA6820" w:rsidRPr="00FA6820">
        <w:rPr>
          <w:rFonts w:ascii="Garamond" w:hAnsi="Garamond" w:cs="Times New Roman"/>
          <w:color w:val="000000"/>
          <w:sz w:val="24"/>
          <w:szCs w:val="24"/>
          <w14:ligatures w14:val="standardContextual"/>
        </w:rPr>
        <w:t xml:space="preserve"> </w:t>
      </w:r>
      <w:r w:rsidRPr="00FA6820">
        <w:rPr>
          <w:rFonts w:ascii="Garamond" w:hAnsi="Garamond" w:cs="Times New Roman"/>
          <w:color w:val="000000"/>
          <w:sz w:val="24"/>
          <w:szCs w:val="24"/>
          <w14:ligatures w14:val="standardContextual"/>
        </w:rPr>
        <w:t>mbetjeve të rrezikshme, përfshirë mbikëqyrjen e këtyre veprimtarive dhe kujdesin pas mbylljes, që pajisen me leje mjedisi në zbatim të legjislacionit në fuqi për lejet e mjedisit dhe për menaxhimin e mbetjeve.</w:t>
      </w:r>
    </w:p>
    <w:p w14:paraId="10B1C533" w14:textId="23AC2636" w:rsidR="003850EE" w:rsidRPr="00FA6820" w:rsidRDefault="003850EE" w:rsidP="003850EE">
      <w:pPr>
        <w:autoSpaceDE w:val="0"/>
        <w:autoSpaceDN w:val="0"/>
        <w:adjustRightInd w:val="0"/>
        <w:spacing w:after="0" w:line="240" w:lineRule="auto"/>
        <w:ind w:firstLine="284"/>
        <w:jc w:val="both"/>
        <w:rPr>
          <w:rFonts w:ascii="Garamond" w:hAnsi="Garamond" w:cs="Calibri"/>
          <w:color w:val="000000"/>
          <w:sz w:val="24"/>
          <w:szCs w:val="24"/>
          <w14:ligatures w14:val="standardContextual"/>
        </w:rPr>
      </w:pPr>
      <w:r w:rsidRPr="00FA6820">
        <w:rPr>
          <w:rFonts w:ascii="Garamond" w:hAnsi="Garamond" w:cs="Times New Roman"/>
          <w:color w:val="000000"/>
          <w:sz w:val="24"/>
          <w:szCs w:val="24"/>
          <w14:ligatures w14:val="standardContextual"/>
        </w:rPr>
        <w:t xml:space="preserve">Këto veprimtari përfshijnë, ndër të tjera, funksionimin e </w:t>
      </w:r>
      <w:proofErr w:type="spellStart"/>
      <w:r w:rsidRPr="00FA6820">
        <w:rPr>
          <w:rFonts w:ascii="Garamond" w:hAnsi="Garamond" w:cs="Times New Roman"/>
          <w:i/>
          <w:iCs/>
          <w:color w:val="000000"/>
          <w:sz w:val="24"/>
          <w:szCs w:val="24"/>
          <w14:ligatures w14:val="standardContextual"/>
        </w:rPr>
        <w:t>landfill</w:t>
      </w:r>
      <w:proofErr w:type="spellEnd"/>
      <w:r w:rsidRPr="00FA6820">
        <w:rPr>
          <w:rFonts w:ascii="Garamond" w:hAnsi="Garamond" w:cs="Times New Roman"/>
          <w:color w:val="000000"/>
          <w:sz w:val="24"/>
          <w:szCs w:val="24"/>
          <w14:ligatures w14:val="standardContextual"/>
        </w:rPr>
        <w:t xml:space="preserve">-eve dhe funksionimin e impianteve të </w:t>
      </w:r>
      <w:proofErr w:type="spellStart"/>
      <w:r w:rsidRPr="00FA6820">
        <w:rPr>
          <w:rFonts w:ascii="Garamond" w:hAnsi="Garamond" w:cs="Times New Roman"/>
          <w:color w:val="000000"/>
          <w:sz w:val="24"/>
          <w:szCs w:val="24"/>
          <w14:ligatures w14:val="standardContextual"/>
        </w:rPr>
        <w:t>incinerimit</w:t>
      </w:r>
      <w:proofErr w:type="spellEnd"/>
      <w:r w:rsidRPr="00FA6820">
        <w:rPr>
          <w:rFonts w:ascii="Garamond" w:hAnsi="Garamond" w:cs="Times New Roman"/>
          <w:color w:val="000000"/>
          <w:sz w:val="24"/>
          <w:szCs w:val="24"/>
          <w14:ligatures w14:val="standardContextual"/>
        </w:rPr>
        <w:t xml:space="preserve"> ose </w:t>
      </w:r>
      <w:proofErr w:type="spellStart"/>
      <w:r w:rsidRPr="00FA6820">
        <w:rPr>
          <w:rFonts w:ascii="Garamond" w:hAnsi="Garamond" w:cs="Times New Roman"/>
          <w:color w:val="000000"/>
          <w:sz w:val="24"/>
          <w:szCs w:val="24"/>
          <w14:ligatures w14:val="standardContextual"/>
        </w:rPr>
        <w:t>bashkincinerimit</w:t>
      </w:r>
      <w:proofErr w:type="spellEnd"/>
      <w:r w:rsidRPr="00FA6820">
        <w:rPr>
          <w:rFonts w:ascii="Garamond" w:hAnsi="Garamond" w:cs="Times New Roman"/>
          <w:color w:val="000000"/>
          <w:sz w:val="24"/>
          <w:szCs w:val="24"/>
          <w14:ligatures w14:val="standardContextual"/>
        </w:rPr>
        <w:t xml:space="preserve"> të mbetjev</w:t>
      </w:r>
      <w:r w:rsidR="00CF33E1">
        <w:rPr>
          <w:rFonts w:ascii="Garamond" w:hAnsi="Garamond" w:cs="Times New Roman"/>
          <w:color w:val="000000"/>
          <w:sz w:val="24"/>
          <w:szCs w:val="24"/>
          <w14:ligatures w14:val="standardContextual"/>
        </w:rPr>
        <w:t>e, sipas legjislacionit në fuqi.</w:t>
      </w:r>
    </w:p>
    <w:p w14:paraId="0EE6F871" w14:textId="77777777" w:rsidR="003850EE" w:rsidRPr="00FA6820" w:rsidRDefault="003850EE" w:rsidP="003850E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A6820">
        <w:rPr>
          <w:rFonts w:ascii="Garamond" w:hAnsi="Garamond" w:cs="Times New Roman"/>
          <w:color w:val="000000"/>
          <w:sz w:val="24"/>
          <w:szCs w:val="24"/>
          <w14:ligatures w14:val="standardContextual"/>
        </w:rPr>
        <w:t>Për qëllimet e këtij vendimi, në këtë kategori veprimtarish nuk përfshihen veprimtaritë e shpërndarjes së llumit të ujërave të ndotura nga impiantet e trajtimit të ujërave të ndotura, të trajtuara sipas standardeve të miratuara referuar legjislacionit në fuqi dhe akteve nënligjore në zbatim të tij, për qëllime bujqësore.</w:t>
      </w:r>
    </w:p>
    <w:p w14:paraId="4DD5C265" w14:textId="013942DF" w:rsidR="003850EE" w:rsidRPr="00FA6820" w:rsidRDefault="003850EE" w:rsidP="003850EE">
      <w:pPr>
        <w:autoSpaceDE w:val="0"/>
        <w:autoSpaceDN w:val="0"/>
        <w:adjustRightInd w:val="0"/>
        <w:spacing w:after="0" w:line="240" w:lineRule="auto"/>
        <w:ind w:firstLine="284"/>
        <w:jc w:val="both"/>
        <w:rPr>
          <w:rFonts w:ascii="Garamond" w:hAnsi="Garamond" w:cs="Aptos"/>
          <w:color w:val="000000"/>
          <w:sz w:val="24"/>
          <w:szCs w:val="24"/>
          <w14:ligatures w14:val="standardContextual"/>
        </w:rPr>
      </w:pPr>
      <w:r w:rsidRPr="00FA6820">
        <w:rPr>
          <w:rFonts w:ascii="Garamond" w:hAnsi="Garamond" w:cs="Times New Roman"/>
          <w:color w:val="000000"/>
          <w:sz w:val="24"/>
          <w:szCs w:val="24"/>
          <w14:ligatures w14:val="standardContextual"/>
        </w:rPr>
        <w:t>3. Të gjitha instalimet dhe veprimtaritë</w:t>
      </w:r>
      <w:r w:rsidRPr="00FA6820">
        <w:rPr>
          <w:rFonts w:ascii="Garamond" w:hAnsi="Garamond" w:cs="Aptos"/>
          <w:color w:val="000000"/>
          <w:sz w:val="24"/>
          <w:szCs w:val="24"/>
          <w14:ligatures w14:val="standardContextual"/>
        </w:rPr>
        <w:t>,</w:t>
      </w:r>
      <w:r w:rsidRPr="00FA6820">
        <w:rPr>
          <w:rFonts w:ascii="Garamond" w:hAnsi="Garamond" w:cs="Times New Roman"/>
          <w:color w:val="000000"/>
          <w:sz w:val="24"/>
          <w:szCs w:val="24"/>
          <w14:ligatures w14:val="standardContextual"/>
        </w:rPr>
        <w:t xml:space="preserve"> që kanë shkarkime në ujërat sipërfaqësore dhe që pajisen me leje për shkarkimet e lëngshme në trupat ujorë sipërfaqësorë</w:t>
      </w:r>
      <w:r w:rsidRPr="00FA6820">
        <w:rPr>
          <w:rFonts w:ascii="Garamond" w:hAnsi="Garamond" w:cs="Aptos"/>
          <w:color w:val="000000"/>
          <w:sz w:val="24"/>
          <w:szCs w:val="24"/>
          <w14:ligatures w14:val="standardContextual"/>
        </w:rPr>
        <w:t>,</w:t>
      </w:r>
      <w:r w:rsidRPr="00FA6820">
        <w:rPr>
          <w:rFonts w:ascii="Garamond" w:hAnsi="Garamond" w:cs="Times New Roman"/>
          <w:color w:val="000000"/>
          <w:sz w:val="24"/>
          <w:szCs w:val="24"/>
          <w14:ligatures w14:val="standardContextual"/>
        </w:rPr>
        <w:t xml:space="preserve"> referuar legjislacioni</w:t>
      </w:r>
      <w:r w:rsidR="00CF33E1">
        <w:rPr>
          <w:rFonts w:ascii="Garamond" w:hAnsi="Garamond" w:cs="Times New Roman"/>
          <w:color w:val="000000"/>
          <w:sz w:val="24"/>
          <w:szCs w:val="24"/>
          <w14:ligatures w14:val="standardContextual"/>
        </w:rPr>
        <w:t>t në fuqi për burimet ujore dhe</w:t>
      </w:r>
      <w:r w:rsidRPr="00FA6820">
        <w:rPr>
          <w:rFonts w:ascii="Garamond" w:hAnsi="Garamond" w:cs="Times New Roman"/>
          <w:color w:val="000000"/>
          <w:sz w:val="24"/>
          <w:szCs w:val="24"/>
          <w14:ligatures w14:val="standardContextual"/>
        </w:rPr>
        <w:t xml:space="preserve"> legjislacionit në fuqi për lejet e mjedisit.</w:t>
      </w:r>
    </w:p>
    <w:p w14:paraId="1C8F7123" w14:textId="24EF35D6" w:rsidR="003850EE" w:rsidRPr="00FA6820" w:rsidRDefault="003850EE" w:rsidP="003850EE">
      <w:pPr>
        <w:autoSpaceDE w:val="0"/>
        <w:autoSpaceDN w:val="0"/>
        <w:adjustRightInd w:val="0"/>
        <w:spacing w:after="0" w:line="240" w:lineRule="auto"/>
        <w:ind w:firstLine="284"/>
        <w:jc w:val="both"/>
        <w:rPr>
          <w:rFonts w:ascii="Garamond" w:hAnsi="Garamond" w:cs="Aptos"/>
          <w:color w:val="000000"/>
          <w:sz w:val="24"/>
          <w:szCs w:val="24"/>
          <w14:ligatures w14:val="standardContextual"/>
        </w:rPr>
      </w:pPr>
      <w:r w:rsidRPr="00FA6820">
        <w:rPr>
          <w:rFonts w:ascii="Garamond" w:hAnsi="Garamond" w:cs="Times New Roman"/>
          <w:color w:val="000000"/>
          <w:sz w:val="24"/>
          <w:szCs w:val="24"/>
          <w14:ligatures w14:val="standardContextual"/>
        </w:rPr>
        <w:t>4. Të gjitha instalimet dhe veprimtaritë</w:t>
      </w:r>
      <w:r w:rsidRPr="00FA6820">
        <w:rPr>
          <w:rFonts w:ascii="Garamond" w:hAnsi="Garamond" w:cs="Aptos"/>
          <w:color w:val="000000"/>
          <w:sz w:val="24"/>
          <w:szCs w:val="24"/>
          <w14:ligatures w14:val="standardContextual"/>
        </w:rPr>
        <w:t>,</w:t>
      </w:r>
      <w:r w:rsidRPr="00FA6820">
        <w:rPr>
          <w:rFonts w:ascii="Garamond" w:hAnsi="Garamond" w:cs="Times New Roman"/>
          <w:color w:val="000000"/>
          <w:sz w:val="24"/>
          <w:szCs w:val="24"/>
          <w14:ligatures w14:val="standardContextual"/>
        </w:rPr>
        <w:t xml:space="preserve"> që kanë shkarkime në ujërat nëntokësore dhe që pajisen me leje për shkarkimet e lëngshme në ujërat nëntokësore</w:t>
      </w:r>
      <w:r w:rsidRPr="00FA6820">
        <w:rPr>
          <w:rFonts w:ascii="Garamond" w:hAnsi="Garamond" w:cs="Aptos"/>
          <w:color w:val="000000"/>
          <w:sz w:val="24"/>
          <w:szCs w:val="24"/>
          <w14:ligatures w14:val="standardContextual"/>
        </w:rPr>
        <w:t>,</w:t>
      </w:r>
      <w:r w:rsidRPr="00FA6820">
        <w:rPr>
          <w:rFonts w:ascii="Garamond" w:hAnsi="Garamond" w:cs="Times New Roman"/>
          <w:color w:val="000000"/>
          <w:sz w:val="24"/>
          <w:szCs w:val="24"/>
          <w14:ligatures w14:val="standardContextual"/>
        </w:rPr>
        <w:t xml:space="preserve"> referuar legjislacionit në fuqi për burimet ujore dhe për lejet e mjedisit.</w:t>
      </w:r>
    </w:p>
    <w:p w14:paraId="45F41A64" w14:textId="483179DB" w:rsidR="003850EE" w:rsidRPr="00FA6820" w:rsidRDefault="003850EE" w:rsidP="003850EE">
      <w:pPr>
        <w:autoSpaceDE w:val="0"/>
        <w:autoSpaceDN w:val="0"/>
        <w:adjustRightInd w:val="0"/>
        <w:spacing w:after="0" w:line="240" w:lineRule="auto"/>
        <w:ind w:firstLine="284"/>
        <w:jc w:val="both"/>
        <w:rPr>
          <w:rFonts w:ascii="Garamond" w:hAnsi="Garamond" w:cs="Aptos"/>
          <w:color w:val="000000"/>
          <w:sz w:val="24"/>
          <w:szCs w:val="24"/>
          <w14:ligatures w14:val="standardContextual"/>
        </w:rPr>
      </w:pPr>
      <w:r w:rsidRPr="00FA6820">
        <w:rPr>
          <w:rFonts w:ascii="Garamond" w:hAnsi="Garamond" w:cs="Times New Roman"/>
          <w:color w:val="000000"/>
          <w:sz w:val="24"/>
          <w:szCs w:val="24"/>
          <w14:ligatures w14:val="standardContextual"/>
        </w:rPr>
        <w:t>5. Shkarkimi ose injektimi i ndotësve në ujërat sipërfaqësore ose në ujërat nëntokësore, që kërkon leje ose autorizim, referuar legjislacionit në fuqi për burimet ujore.</w:t>
      </w:r>
    </w:p>
    <w:p w14:paraId="40A53D87" w14:textId="3E143CCC" w:rsidR="003850EE" w:rsidRPr="00FA6820" w:rsidRDefault="003850EE" w:rsidP="003850EE">
      <w:pPr>
        <w:autoSpaceDE w:val="0"/>
        <w:autoSpaceDN w:val="0"/>
        <w:adjustRightInd w:val="0"/>
        <w:spacing w:after="0" w:line="240" w:lineRule="auto"/>
        <w:ind w:firstLine="284"/>
        <w:jc w:val="both"/>
        <w:rPr>
          <w:rFonts w:ascii="Garamond" w:hAnsi="Garamond" w:cs="Aptos"/>
          <w:color w:val="000000"/>
          <w:sz w:val="24"/>
          <w:szCs w:val="24"/>
          <w14:ligatures w14:val="standardContextual"/>
        </w:rPr>
      </w:pPr>
      <w:r w:rsidRPr="00FA6820">
        <w:rPr>
          <w:rFonts w:ascii="Garamond" w:hAnsi="Garamond" w:cs="Times New Roman"/>
          <w:color w:val="000000"/>
          <w:sz w:val="24"/>
          <w:szCs w:val="24"/>
          <w14:ligatures w14:val="standardContextual"/>
        </w:rPr>
        <w:t>6. Nxjerrja e ujit dhe krijimi i rezervuarëve të ujit që kërkon leje ose autorizim, referuar legjislacionit në fuqi për burimet ujore.</w:t>
      </w:r>
    </w:p>
    <w:p w14:paraId="1E363DA9" w14:textId="5C590A59" w:rsidR="003850EE" w:rsidRPr="00FA6820" w:rsidRDefault="003850EE" w:rsidP="003850EE">
      <w:pPr>
        <w:autoSpaceDE w:val="0"/>
        <w:autoSpaceDN w:val="0"/>
        <w:adjustRightInd w:val="0"/>
        <w:spacing w:after="0" w:line="240" w:lineRule="auto"/>
        <w:ind w:firstLine="284"/>
        <w:jc w:val="both"/>
        <w:rPr>
          <w:rFonts w:ascii="Garamond" w:hAnsi="Garamond" w:cs="Aptos"/>
          <w:color w:val="000000"/>
          <w:sz w:val="24"/>
          <w:szCs w:val="24"/>
          <w14:ligatures w14:val="standardContextual"/>
        </w:rPr>
      </w:pPr>
      <w:r w:rsidRPr="00FA6820">
        <w:rPr>
          <w:rFonts w:ascii="Garamond" w:hAnsi="Garamond" w:cs="Times New Roman"/>
          <w:color w:val="000000"/>
          <w:sz w:val="24"/>
          <w:szCs w:val="24"/>
          <w14:ligatures w14:val="standardContextual"/>
        </w:rPr>
        <w:t xml:space="preserve">7. Çdo veprimtari industriale, tregtare ose bujqësore që lidhet dhe përfshin prodhimin, përdorimin, ruajtjen, përpunimin, mbushjen, lëshimin në mjedis dhe transportin brenda vendit të substancave dhe produkteve të klasifikuara si të rrezikshme, sipas legjislacionit në fuqi për </w:t>
      </w:r>
      <w:proofErr w:type="spellStart"/>
      <w:r w:rsidRPr="00FA6820">
        <w:rPr>
          <w:rFonts w:ascii="Garamond" w:hAnsi="Garamond" w:cs="Times New Roman"/>
          <w:color w:val="000000"/>
          <w:sz w:val="24"/>
          <w:szCs w:val="24"/>
          <w14:ligatures w14:val="standardContextual"/>
        </w:rPr>
        <w:t>kimikatet</w:t>
      </w:r>
      <w:proofErr w:type="spellEnd"/>
      <w:r w:rsidRPr="00FA6820">
        <w:rPr>
          <w:rFonts w:ascii="Garamond" w:hAnsi="Garamond" w:cs="Times New Roman"/>
          <w:color w:val="000000"/>
          <w:sz w:val="24"/>
          <w:szCs w:val="24"/>
          <w14:ligatures w14:val="standardContextual"/>
        </w:rPr>
        <w:t>, përkatësisht:</w:t>
      </w:r>
    </w:p>
    <w:p w14:paraId="64E5BFA5" w14:textId="0B972CEF" w:rsidR="003850EE" w:rsidRPr="00FA6820" w:rsidRDefault="003850EE" w:rsidP="003850E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A6820">
        <w:rPr>
          <w:rFonts w:ascii="Garamond" w:hAnsi="Garamond" w:cs="Times New Roman"/>
          <w:color w:val="000000"/>
          <w:sz w:val="24"/>
          <w:szCs w:val="24"/>
          <w14:ligatures w14:val="standardContextual"/>
        </w:rPr>
        <w:t>a) substanca të rrezikshme;</w:t>
      </w:r>
    </w:p>
    <w:p w14:paraId="5CF61068" w14:textId="3ACE0101" w:rsidR="003850EE" w:rsidRPr="00FA6820" w:rsidRDefault="003850EE" w:rsidP="003850E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A6820">
        <w:rPr>
          <w:rFonts w:ascii="Garamond" w:hAnsi="Garamond" w:cs="Times New Roman"/>
          <w:color w:val="000000"/>
          <w:sz w:val="24"/>
          <w:szCs w:val="24"/>
          <w14:ligatures w14:val="standardContextual"/>
        </w:rPr>
        <w:t>b) përzierje të rrezikshme;</w:t>
      </w:r>
    </w:p>
    <w:p w14:paraId="66E03C19" w14:textId="5D7A6EDF" w:rsidR="003850EE" w:rsidRPr="00FA6820" w:rsidRDefault="003850EE" w:rsidP="003850E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A6820">
        <w:rPr>
          <w:rFonts w:ascii="Garamond" w:hAnsi="Garamond" w:cs="Times New Roman"/>
          <w:color w:val="000000"/>
          <w:sz w:val="24"/>
          <w:szCs w:val="24"/>
          <w14:ligatures w14:val="standardContextual"/>
        </w:rPr>
        <w:t xml:space="preserve">c) produkte për mbrojtjen e bimëve (produkte </w:t>
      </w:r>
      <w:proofErr w:type="spellStart"/>
      <w:r w:rsidRPr="00FA6820">
        <w:rPr>
          <w:rFonts w:ascii="Garamond" w:hAnsi="Garamond" w:cs="Times New Roman"/>
          <w:color w:val="000000"/>
          <w:sz w:val="24"/>
          <w:szCs w:val="24"/>
          <w14:ligatures w14:val="standardContextual"/>
        </w:rPr>
        <w:t>fitosanitare</w:t>
      </w:r>
      <w:proofErr w:type="spellEnd"/>
      <w:r w:rsidRPr="00FA6820">
        <w:rPr>
          <w:rFonts w:ascii="Garamond" w:hAnsi="Garamond" w:cs="Times New Roman"/>
          <w:color w:val="000000"/>
          <w:sz w:val="24"/>
          <w:szCs w:val="24"/>
          <w14:ligatures w14:val="standardContextual"/>
        </w:rPr>
        <w:t>), sipas legjislacionit në fuqi për produktet e mbrojtjes së bimëve dhe akteve nënligjore në zbatim të tij;</w:t>
      </w:r>
    </w:p>
    <w:p w14:paraId="436E6E83" w14:textId="5C5ADDF7" w:rsidR="003850EE" w:rsidRPr="00FA6820" w:rsidRDefault="003850EE" w:rsidP="003850E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A6820">
        <w:rPr>
          <w:rFonts w:ascii="Garamond" w:hAnsi="Garamond" w:cs="Times New Roman"/>
          <w:color w:val="000000"/>
          <w:sz w:val="24"/>
          <w:szCs w:val="24"/>
          <w14:ligatures w14:val="standardContextual"/>
        </w:rPr>
        <w:t>ç)</w:t>
      </w:r>
      <w:r w:rsidR="00CF33E1">
        <w:rPr>
          <w:rFonts w:ascii="Garamond" w:hAnsi="Garamond" w:cs="Times New Roman"/>
          <w:color w:val="000000"/>
          <w:sz w:val="24"/>
          <w:szCs w:val="24"/>
          <w14:ligatures w14:val="standardContextual"/>
        </w:rPr>
        <w:t xml:space="preserve"> </w:t>
      </w:r>
      <w:r w:rsidRPr="00FA6820">
        <w:rPr>
          <w:rFonts w:ascii="Garamond" w:hAnsi="Garamond" w:cs="Times New Roman"/>
          <w:color w:val="000000"/>
          <w:sz w:val="24"/>
          <w:szCs w:val="24"/>
          <w14:ligatures w14:val="standardContextual"/>
        </w:rPr>
        <w:t xml:space="preserve">produkte </w:t>
      </w:r>
      <w:proofErr w:type="spellStart"/>
      <w:r w:rsidRPr="00FA6820">
        <w:rPr>
          <w:rFonts w:ascii="Garamond" w:hAnsi="Garamond" w:cs="Times New Roman"/>
          <w:color w:val="000000"/>
          <w:sz w:val="24"/>
          <w:szCs w:val="24"/>
          <w14:ligatures w14:val="standardContextual"/>
        </w:rPr>
        <w:t>biocide</w:t>
      </w:r>
      <w:proofErr w:type="spellEnd"/>
      <w:r w:rsidRPr="00FA6820">
        <w:rPr>
          <w:rFonts w:ascii="Garamond" w:hAnsi="Garamond" w:cs="Times New Roman"/>
          <w:color w:val="000000"/>
          <w:sz w:val="24"/>
          <w:szCs w:val="24"/>
          <w14:ligatures w14:val="standardContextual"/>
        </w:rPr>
        <w:t xml:space="preserve">, sipas legjislacionit në fuqi për produktet </w:t>
      </w:r>
      <w:proofErr w:type="spellStart"/>
      <w:r w:rsidRPr="00FA6820">
        <w:rPr>
          <w:rFonts w:ascii="Garamond" w:hAnsi="Garamond" w:cs="Times New Roman"/>
          <w:color w:val="000000"/>
          <w:sz w:val="24"/>
          <w:szCs w:val="24"/>
          <w14:ligatures w14:val="standardContextual"/>
        </w:rPr>
        <w:t>biocide</w:t>
      </w:r>
      <w:proofErr w:type="spellEnd"/>
      <w:r w:rsidRPr="00FA6820">
        <w:rPr>
          <w:rFonts w:ascii="Garamond" w:hAnsi="Garamond" w:cs="Times New Roman"/>
          <w:color w:val="000000"/>
          <w:sz w:val="24"/>
          <w:szCs w:val="24"/>
          <w14:ligatures w14:val="standardContextual"/>
        </w:rPr>
        <w:t xml:space="preserve"> dhe akteve nënligjore në zbatim të tij.</w:t>
      </w:r>
    </w:p>
    <w:p w14:paraId="7E9272D9" w14:textId="37921F04" w:rsidR="003850EE" w:rsidRPr="00FA6820" w:rsidRDefault="003850EE" w:rsidP="003850E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A6820">
        <w:rPr>
          <w:rFonts w:ascii="Garamond" w:hAnsi="Garamond" w:cs="Times New Roman"/>
          <w:color w:val="000000"/>
          <w:sz w:val="24"/>
          <w:szCs w:val="24"/>
          <w14:ligatures w14:val="standardContextual"/>
        </w:rPr>
        <w:t>8. Veprimtaritë e transportit rrugor, hekurudhor, detar, lumor dhe ajror të mallrave të rrezikshme ose mallrave ndotëse, sipas legjislacionit në fuqi për transportin e mallrave të rrezikshme.</w:t>
      </w:r>
    </w:p>
    <w:p w14:paraId="534CF82D" w14:textId="0CC70D8D" w:rsidR="003850EE" w:rsidRPr="00FA6820" w:rsidRDefault="003850EE" w:rsidP="003850E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A6820">
        <w:rPr>
          <w:rFonts w:ascii="Garamond" w:hAnsi="Garamond" w:cs="Times New Roman"/>
          <w:color w:val="000000"/>
          <w:sz w:val="24"/>
          <w:szCs w:val="24"/>
          <w14:ligatures w14:val="standardContextual"/>
        </w:rPr>
        <w:t>9. Veprimtaritë e funksionimit të instalimeve industriale që shkarkojnë substanca ndotëse në ajër dhe që pajisen me leje mjedisi, në zbatim të legjislacionit në fuqi për lejet e mjedisit, si dhe akteve nënligjore përkatëse</w:t>
      </w:r>
      <w:r w:rsidR="00CF33E1">
        <w:rPr>
          <w:rFonts w:ascii="Garamond" w:hAnsi="Garamond" w:cs="Times New Roman"/>
          <w:color w:val="000000"/>
          <w:sz w:val="24"/>
          <w:szCs w:val="24"/>
          <w14:ligatures w14:val="standardContextual"/>
        </w:rPr>
        <w:t>,</w:t>
      </w:r>
      <w:r w:rsidRPr="00FA6820">
        <w:rPr>
          <w:rFonts w:ascii="Garamond" w:hAnsi="Garamond" w:cs="Times New Roman"/>
          <w:color w:val="000000"/>
          <w:sz w:val="24"/>
          <w:szCs w:val="24"/>
          <w14:ligatures w14:val="standardContextual"/>
        </w:rPr>
        <w:t xml:space="preserve"> në lidhje me shkarkimin në ajër të substancave ndotëse.</w:t>
      </w:r>
    </w:p>
    <w:p w14:paraId="4AD9AE3D" w14:textId="0C14FBF4" w:rsidR="003850EE" w:rsidRPr="00FA6820" w:rsidRDefault="003850EE" w:rsidP="003850E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A6820">
        <w:rPr>
          <w:rFonts w:ascii="Garamond" w:hAnsi="Garamond" w:cs="Times New Roman"/>
          <w:color w:val="000000"/>
          <w:sz w:val="24"/>
          <w:szCs w:val="24"/>
          <w14:ligatures w14:val="standardContextual"/>
        </w:rPr>
        <w:t xml:space="preserve">10. Çdo veprimtari lidhur me përdorimin dhe transportin e mikroorganizmave të modifikuar gjenetikisht, sipas legjislacionit në fuqi. </w:t>
      </w:r>
    </w:p>
    <w:p w14:paraId="1BFE3679" w14:textId="0B0AD53F" w:rsidR="003850EE" w:rsidRPr="00FA6820" w:rsidRDefault="003850EE" w:rsidP="003850E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A6820">
        <w:rPr>
          <w:rFonts w:ascii="Garamond" w:hAnsi="Garamond" w:cs="Times New Roman"/>
          <w:color w:val="000000"/>
          <w:sz w:val="24"/>
          <w:szCs w:val="24"/>
          <w14:ligatures w14:val="standardContextual"/>
        </w:rPr>
        <w:t>11. Veprimtaritë që përfshijnë lëshimin e qëllimshëm në mjedis, transportin dhe vënien në treg të organizmave të modifikuar gjenetikisht, sipas legjislacionit në fuqi dhe akteve nënligjore në zbatim të tij.</w:t>
      </w:r>
    </w:p>
    <w:p w14:paraId="027C9168" w14:textId="2FA55E09" w:rsidR="003850EE" w:rsidRPr="00FA6820" w:rsidRDefault="003850EE" w:rsidP="003850E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A6820">
        <w:rPr>
          <w:rFonts w:ascii="Garamond" w:hAnsi="Garamond" w:cs="Times New Roman"/>
          <w:color w:val="000000"/>
          <w:sz w:val="24"/>
          <w:szCs w:val="24"/>
          <w14:ligatures w14:val="standardContextual"/>
        </w:rPr>
        <w:t xml:space="preserve">12. Veprimtaritë që lidhen me transportin ndërkufitar të mbetjeve, përfshirë eksportin, importin dhe </w:t>
      </w:r>
      <w:proofErr w:type="spellStart"/>
      <w:r w:rsidRPr="00FA6820">
        <w:rPr>
          <w:rFonts w:ascii="Garamond" w:hAnsi="Garamond" w:cs="Times New Roman"/>
          <w:color w:val="000000"/>
          <w:sz w:val="24"/>
          <w:szCs w:val="24"/>
          <w14:ligatures w14:val="standardContextual"/>
        </w:rPr>
        <w:t>tranzitin</w:t>
      </w:r>
      <w:proofErr w:type="spellEnd"/>
      <w:r w:rsidRPr="00FA6820">
        <w:rPr>
          <w:rFonts w:ascii="Garamond" w:hAnsi="Garamond" w:cs="Times New Roman"/>
          <w:color w:val="000000"/>
          <w:sz w:val="24"/>
          <w:szCs w:val="24"/>
          <w14:ligatures w14:val="standardContextual"/>
        </w:rPr>
        <w:t xml:space="preserve"> e tyre, sipas legjislacionit në fuqi për menaxhimin e mbetjeve.</w:t>
      </w:r>
    </w:p>
    <w:p w14:paraId="7FE30743" w14:textId="2AC38776" w:rsidR="003850EE" w:rsidRPr="00FA6820" w:rsidRDefault="003850EE" w:rsidP="003850E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A6820">
        <w:rPr>
          <w:rFonts w:ascii="Garamond" w:hAnsi="Garamond" w:cs="Times New Roman"/>
          <w:color w:val="000000"/>
          <w:sz w:val="24"/>
          <w:szCs w:val="24"/>
          <w14:ligatures w14:val="standardContextual"/>
        </w:rPr>
        <w:lastRenderedPageBreak/>
        <w:t>13. Veprimtaritë që lidhen me menaxhimin e mbetjeve nga industritë nxjerrëse, sipas legjislacionit në fuqi për sektorin minerar dhe menaxhimin e mbetjeve minerare.</w:t>
      </w:r>
    </w:p>
    <w:p w14:paraId="439A964B" w14:textId="70B29074" w:rsidR="003850EE" w:rsidRPr="00FA6820" w:rsidRDefault="003850EE" w:rsidP="003850E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r w:rsidRPr="00FA6820">
        <w:rPr>
          <w:rFonts w:ascii="Garamond" w:hAnsi="Garamond" w:cs="Times New Roman"/>
          <w:color w:val="000000"/>
          <w:sz w:val="24"/>
          <w:szCs w:val="24"/>
          <w14:ligatures w14:val="standardContextual"/>
        </w:rPr>
        <w:t>14. Veprimtaritë që lidhen me kapjen, depozitimin gjeologji</w:t>
      </w:r>
      <w:r w:rsidR="00CF33E1">
        <w:rPr>
          <w:rFonts w:ascii="Garamond" w:hAnsi="Garamond" w:cs="Times New Roman"/>
          <w:color w:val="000000"/>
          <w:sz w:val="24"/>
          <w:szCs w:val="24"/>
          <w14:ligatures w14:val="standardContextual"/>
        </w:rPr>
        <w:t>k të dyoksidit të karbonit (CO</w:t>
      </w:r>
      <w:r w:rsidR="00CF33E1" w:rsidRPr="00CF33E1">
        <w:rPr>
          <w:rFonts w:ascii="Garamond" w:hAnsi="Garamond" w:cs="Times New Roman"/>
          <w:color w:val="000000"/>
          <w:sz w:val="24"/>
          <w:szCs w:val="24"/>
          <w:vertAlign w:val="subscript"/>
          <w14:ligatures w14:val="standardContextual"/>
        </w:rPr>
        <w:t>2</w:t>
      </w:r>
      <w:r w:rsidRPr="00FA6820">
        <w:rPr>
          <w:rFonts w:ascii="Garamond" w:hAnsi="Garamond" w:cs="Times New Roman"/>
          <w:color w:val="000000"/>
          <w:sz w:val="24"/>
          <w:szCs w:val="24"/>
          <w14:ligatures w14:val="standardContextual"/>
        </w:rPr>
        <w:t>), sipas legjislacionit në fuqi.</w:t>
      </w:r>
      <w:bookmarkStart w:id="1" w:name="_GoBack"/>
      <w:bookmarkEnd w:id="1"/>
    </w:p>
    <w:p w14:paraId="1C849CE1" w14:textId="77777777" w:rsidR="003850EE" w:rsidRPr="00FA6820" w:rsidRDefault="003850EE" w:rsidP="003850EE">
      <w:pPr>
        <w:autoSpaceDE w:val="0"/>
        <w:autoSpaceDN w:val="0"/>
        <w:adjustRightInd w:val="0"/>
        <w:spacing w:after="0" w:line="240" w:lineRule="auto"/>
        <w:ind w:firstLine="284"/>
        <w:jc w:val="both"/>
        <w:rPr>
          <w:rFonts w:ascii="Garamond" w:hAnsi="Garamond" w:cs="Times New Roman"/>
          <w:color w:val="000000"/>
          <w:sz w:val="24"/>
          <w:szCs w:val="24"/>
          <w14:ligatures w14:val="standardContextual"/>
        </w:rPr>
      </w:pPr>
    </w:p>
    <w:sectPr w:rsidR="003850EE" w:rsidRPr="00FA6820" w:rsidSect="00464F38">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D42D47" w14:textId="77777777" w:rsidR="00686C4C" w:rsidRDefault="00686C4C" w:rsidP="009B0C45">
      <w:pPr>
        <w:spacing w:after="0" w:line="240" w:lineRule="auto"/>
      </w:pPr>
      <w:r>
        <w:separator/>
      </w:r>
    </w:p>
  </w:endnote>
  <w:endnote w:type="continuationSeparator" w:id="0">
    <w:p w14:paraId="10D42D48" w14:textId="77777777" w:rsidR="00686C4C" w:rsidRDefault="00686C4C" w:rsidP="009B0C45">
      <w:pPr>
        <w:spacing w:after="0" w:line="240" w:lineRule="auto"/>
      </w:pPr>
      <w:r>
        <w:continuationSeparator/>
      </w:r>
    </w:p>
  </w:endnote>
  <w:endnote w:type="continuationNotice" w:id="1">
    <w:p w14:paraId="10D42D49" w14:textId="77777777" w:rsidR="00686C4C" w:rsidRDefault="00686C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3"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D42D44" w14:textId="77777777" w:rsidR="00686C4C" w:rsidRDefault="00686C4C" w:rsidP="009B0C45">
      <w:pPr>
        <w:spacing w:after="0" w:line="240" w:lineRule="auto"/>
      </w:pPr>
      <w:r>
        <w:separator/>
      </w:r>
    </w:p>
  </w:footnote>
  <w:footnote w:type="continuationSeparator" w:id="0">
    <w:p w14:paraId="10D42D45" w14:textId="77777777" w:rsidR="00686C4C" w:rsidRDefault="00686C4C" w:rsidP="009B0C45">
      <w:pPr>
        <w:spacing w:after="0" w:line="240" w:lineRule="auto"/>
      </w:pPr>
      <w:r>
        <w:continuationSeparator/>
      </w:r>
    </w:p>
  </w:footnote>
  <w:footnote w:type="continuationNotice" w:id="1">
    <w:p w14:paraId="10D42D46" w14:textId="77777777" w:rsidR="00686C4C" w:rsidRDefault="00686C4C">
      <w:pPr>
        <w:spacing w:after="0" w:line="240" w:lineRule="auto"/>
      </w:pPr>
    </w:p>
  </w:footnote>
  <w:footnote w:id="2">
    <w:p w14:paraId="10D42D4D" w14:textId="76528ACD" w:rsidR="00686C4C" w:rsidRPr="003850EE" w:rsidRDefault="00686C4C" w:rsidP="00CE04E6">
      <w:pPr>
        <w:spacing w:after="0" w:line="240" w:lineRule="auto"/>
        <w:jc w:val="both"/>
        <w:rPr>
          <w:rFonts w:ascii="Garamond" w:hAnsi="Garamond" w:cs="Times New Roman"/>
          <w:kern w:val="2"/>
          <w:sz w:val="20"/>
          <w:szCs w:val="20"/>
          <w14:ligatures w14:val="standardContextual"/>
        </w:rPr>
      </w:pPr>
      <w:r w:rsidRPr="003850EE">
        <w:rPr>
          <w:rFonts w:ascii="Garamond" w:hAnsi="Garamond"/>
          <w:kern w:val="2"/>
          <w:sz w:val="20"/>
          <w:szCs w:val="20"/>
          <w:vertAlign w:val="superscript"/>
          <w14:ligatures w14:val="standardContextual"/>
        </w:rPr>
        <w:footnoteRef/>
      </w:r>
      <w:r w:rsidRPr="003850EE">
        <w:rPr>
          <w:rFonts w:ascii="Garamond" w:hAnsi="Garamond"/>
          <w:kern w:val="2"/>
          <w:sz w:val="20"/>
          <w:szCs w:val="20"/>
          <w14:ligatures w14:val="standardContextual"/>
        </w:rPr>
        <w:t xml:space="preserve"> </w:t>
      </w:r>
      <w:r w:rsidRPr="003850EE">
        <w:rPr>
          <w:rFonts w:ascii="Garamond" w:hAnsi="Garamond" w:cs="Times New Roman"/>
          <w:kern w:val="2"/>
          <w:sz w:val="20"/>
          <w:szCs w:val="20"/>
          <w14:ligatures w14:val="standardContextual"/>
        </w:rPr>
        <w:t>Ky vendim synon përafrimin e pjesshëm të direktivës 2004/35/EC të Parlamentit Evropian dhe të Këshillit, datë 21 prill 2004, “Për përgjegjësinë mjedisore</w:t>
      </w:r>
      <w:r w:rsidR="00FA6820">
        <w:rPr>
          <w:rFonts w:ascii="Garamond" w:hAnsi="Garamond" w:cs="Times New Roman"/>
          <w:kern w:val="2"/>
          <w:sz w:val="20"/>
          <w:szCs w:val="20"/>
          <w14:ligatures w14:val="standardContextual"/>
        </w:rPr>
        <w:t>,</w:t>
      </w:r>
      <w:r w:rsidRPr="003850EE">
        <w:rPr>
          <w:rFonts w:ascii="Garamond" w:hAnsi="Garamond" w:cs="Times New Roman"/>
          <w:kern w:val="2"/>
          <w:sz w:val="20"/>
          <w:szCs w:val="20"/>
          <w14:ligatures w14:val="standardContextual"/>
        </w:rPr>
        <w:t xml:space="preserve"> në lidhje me parandalimin dhe riparimin e dëmit mjedisor” (OJ L 143, 30.4.2004, f. 56) (</w:t>
      </w:r>
      <w:proofErr w:type="spellStart"/>
      <w:r w:rsidRPr="003850EE">
        <w:rPr>
          <w:rFonts w:ascii="Garamond" w:hAnsi="Garamond" w:cs="Times New Roman"/>
          <w:kern w:val="2"/>
          <w:sz w:val="20"/>
          <w:szCs w:val="20"/>
          <w14:ligatures w14:val="standardContextual"/>
        </w:rPr>
        <w:t>CELEX</w:t>
      </w:r>
      <w:proofErr w:type="spellEnd"/>
      <w:r w:rsidRPr="003850EE">
        <w:rPr>
          <w:rFonts w:ascii="Garamond" w:hAnsi="Garamond" w:cs="Times New Roman"/>
          <w:kern w:val="2"/>
          <w:sz w:val="20"/>
          <w:szCs w:val="20"/>
          <w14:ligatures w14:val="standardContextual"/>
        </w:rPr>
        <w:t xml:space="preserve"> 32004L0035), e ndryshuar.</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127EC"/>
    <w:multiLevelType w:val="multilevel"/>
    <w:tmpl w:val="D0A4BF2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D4185C"/>
    <w:multiLevelType w:val="multilevel"/>
    <w:tmpl w:val="486CB818"/>
    <w:lvl w:ilvl="0">
      <w:start w:val="8"/>
      <w:numFmt w:val="decimal"/>
      <w:lvlText w:val="%1."/>
      <w:lvlJc w:val="left"/>
      <w:pPr>
        <w:tabs>
          <w:tab w:val="num" w:pos="2204"/>
        </w:tabs>
        <w:ind w:left="220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DAC55CC"/>
    <w:multiLevelType w:val="hybridMultilevel"/>
    <w:tmpl w:val="367EDAB6"/>
    <w:lvl w:ilvl="0" w:tplc="04090017">
      <w:start w:val="1"/>
      <w:numFmt w:val="lowerLetter"/>
      <w:lvlText w:val="%1)"/>
      <w:lvlJc w:val="left"/>
      <w:pPr>
        <w:ind w:left="144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66D1281C"/>
    <w:multiLevelType w:val="hybridMultilevel"/>
    <w:tmpl w:val="87FA1CDA"/>
    <w:lvl w:ilvl="0" w:tplc="1F6E3DAA">
      <w:start w:val="1"/>
      <w:numFmt w:val="decimal"/>
      <w:lvlText w:val="%1."/>
      <w:lvlJc w:val="left"/>
      <w:pPr>
        <w:ind w:left="-339" w:hanging="360"/>
      </w:pPr>
      <w:rPr>
        <w:rFonts w:hint="default"/>
        <w:sz w:val="28"/>
        <w:szCs w:val="24"/>
      </w:rPr>
    </w:lvl>
    <w:lvl w:ilvl="1" w:tplc="08090019" w:tentative="1">
      <w:start w:val="1"/>
      <w:numFmt w:val="lowerLetter"/>
      <w:lvlText w:val="%2."/>
      <w:lvlJc w:val="left"/>
      <w:pPr>
        <w:ind w:left="381" w:hanging="360"/>
      </w:pPr>
    </w:lvl>
    <w:lvl w:ilvl="2" w:tplc="1CDA3CCE">
      <w:start w:val="1"/>
      <w:numFmt w:val="lowerLetter"/>
      <w:lvlText w:val="%3)"/>
      <w:lvlJc w:val="right"/>
      <w:pPr>
        <w:ind w:left="1101" w:hanging="180"/>
      </w:pPr>
      <w:rPr>
        <w:rFonts w:ascii="Times New Roman" w:eastAsiaTheme="minorHAnsi" w:hAnsi="Times New Roman" w:cs="Times New Roman"/>
      </w:rPr>
    </w:lvl>
    <w:lvl w:ilvl="3" w:tplc="0809000F" w:tentative="1">
      <w:start w:val="1"/>
      <w:numFmt w:val="decimal"/>
      <w:lvlText w:val="%4."/>
      <w:lvlJc w:val="left"/>
      <w:pPr>
        <w:ind w:left="1821" w:hanging="360"/>
      </w:pPr>
    </w:lvl>
    <w:lvl w:ilvl="4" w:tplc="08090019" w:tentative="1">
      <w:start w:val="1"/>
      <w:numFmt w:val="lowerLetter"/>
      <w:lvlText w:val="%5."/>
      <w:lvlJc w:val="left"/>
      <w:pPr>
        <w:ind w:left="2541" w:hanging="360"/>
      </w:pPr>
    </w:lvl>
    <w:lvl w:ilvl="5" w:tplc="0809001B" w:tentative="1">
      <w:start w:val="1"/>
      <w:numFmt w:val="lowerRoman"/>
      <w:lvlText w:val="%6."/>
      <w:lvlJc w:val="right"/>
      <w:pPr>
        <w:ind w:left="3261" w:hanging="180"/>
      </w:pPr>
    </w:lvl>
    <w:lvl w:ilvl="6" w:tplc="0809000F" w:tentative="1">
      <w:start w:val="1"/>
      <w:numFmt w:val="decimal"/>
      <w:lvlText w:val="%7."/>
      <w:lvlJc w:val="left"/>
      <w:pPr>
        <w:ind w:left="3981" w:hanging="360"/>
      </w:pPr>
    </w:lvl>
    <w:lvl w:ilvl="7" w:tplc="08090019" w:tentative="1">
      <w:start w:val="1"/>
      <w:numFmt w:val="lowerLetter"/>
      <w:lvlText w:val="%8."/>
      <w:lvlJc w:val="left"/>
      <w:pPr>
        <w:ind w:left="4701" w:hanging="360"/>
      </w:pPr>
    </w:lvl>
    <w:lvl w:ilvl="8" w:tplc="0809001B" w:tentative="1">
      <w:start w:val="1"/>
      <w:numFmt w:val="lowerRoman"/>
      <w:lvlText w:val="%9."/>
      <w:lvlJc w:val="right"/>
      <w:pPr>
        <w:ind w:left="5421"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grammar="clean"/>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F4A"/>
    <w:rsid w:val="000049ED"/>
    <w:rsid w:val="0001222A"/>
    <w:rsid w:val="00013F76"/>
    <w:rsid w:val="00014B90"/>
    <w:rsid w:val="00036B62"/>
    <w:rsid w:val="000463FB"/>
    <w:rsid w:val="00051130"/>
    <w:rsid w:val="00064F4A"/>
    <w:rsid w:val="000651C2"/>
    <w:rsid w:val="00073FA8"/>
    <w:rsid w:val="00096FEE"/>
    <w:rsid w:val="00097314"/>
    <w:rsid w:val="000A0001"/>
    <w:rsid w:val="000A27C6"/>
    <w:rsid w:val="000A44F5"/>
    <w:rsid w:val="000B1C0F"/>
    <w:rsid w:val="000B527B"/>
    <w:rsid w:val="000B52C3"/>
    <w:rsid w:val="000C03FF"/>
    <w:rsid w:val="000E07A6"/>
    <w:rsid w:val="000E14D9"/>
    <w:rsid w:val="000F7225"/>
    <w:rsid w:val="0010152F"/>
    <w:rsid w:val="00102643"/>
    <w:rsid w:val="001123A9"/>
    <w:rsid w:val="001206C4"/>
    <w:rsid w:val="00131ACE"/>
    <w:rsid w:val="00133880"/>
    <w:rsid w:val="001354E1"/>
    <w:rsid w:val="0013601D"/>
    <w:rsid w:val="00143393"/>
    <w:rsid w:val="00145625"/>
    <w:rsid w:val="00163A51"/>
    <w:rsid w:val="001807A3"/>
    <w:rsid w:val="00190B3A"/>
    <w:rsid w:val="00191C7F"/>
    <w:rsid w:val="00191D55"/>
    <w:rsid w:val="00191FC8"/>
    <w:rsid w:val="00192424"/>
    <w:rsid w:val="001946E7"/>
    <w:rsid w:val="00195E8D"/>
    <w:rsid w:val="001A1FBA"/>
    <w:rsid w:val="001A3259"/>
    <w:rsid w:val="001A3AE7"/>
    <w:rsid w:val="001C24DD"/>
    <w:rsid w:val="001D1400"/>
    <w:rsid w:val="001D589D"/>
    <w:rsid w:val="001D76A6"/>
    <w:rsid w:val="001E5E73"/>
    <w:rsid w:val="001F37BF"/>
    <w:rsid w:val="001F50CD"/>
    <w:rsid w:val="00203002"/>
    <w:rsid w:val="00207DC6"/>
    <w:rsid w:val="00211E16"/>
    <w:rsid w:val="00214F99"/>
    <w:rsid w:val="0022506D"/>
    <w:rsid w:val="00227723"/>
    <w:rsid w:val="002356BB"/>
    <w:rsid w:val="002412FF"/>
    <w:rsid w:val="00241354"/>
    <w:rsid w:val="00241361"/>
    <w:rsid w:val="002432A0"/>
    <w:rsid w:val="00244954"/>
    <w:rsid w:val="00246F62"/>
    <w:rsid w:val="00250167"/>
    <w:rsid w:val="00250450"/>
    <w:rsid w:val="00253C53"/>
    <w:rsid w:val="00254F4A"/>
    <w:rsid w:val="00261DC9"/>
    <w:rsid w:val="00270748"/>
    <w:rsid w:val="002A67B6"/>
    <w:rsid w:val="002B0017"/>
    <w:rsid w:val="002B58D7"/>
    <w:rsid w:val="002D050A"/>
    <w:rsid w:val="002D4E9E"/>
    <w:rsid w:val="002D6C10"/>
    <w:rsid w:val="002E0274"/>
    <w:rsid w:val="002E7296"/>
    <w:rsid w:val="002E7845"/>
    <w:rsid w:val="003050D0"/>
    <w:rsid w:val="00314108"/>
    <w:rsid w:val="0034520C"/>
    <w:rsid w:val="0034624A"/>
    <w:rsid w:val="00346EC5"/>
    <w:rsid w:val="00352A2B"/>
    <w:rsid w:val="00352FBC"/>
    <w:rsid w:val="00361350"/>
    <w:rsid w:val="0036252F"/>
    <w:rsid w:val="00363C0F"/>
    <w:rsid w:val="00370D95"/>
    <w:rsid w:val="00384610"/>
    <w:rsid w:val="003850EE"/>
    <w:rsid w:val="00386559"/>
    <w:rsid w:val="0038756F"/>
    <w:rsid w:val="0038759A"/>
    <w:rsid w:val="003A0AF7"/>
    <w:rsid w:val="003B166D"/>
    <w:rsid w:val="003B37BB"/>
    <w:rsid w:val="003C2F9E"/>
    <w:rsid w:val="003D3C09"/>
    <w:rsid w:val="003D4E92"/>
    <w:rsid w:val="00400694"/>
    <w:rsid w:val="004035C4"/>
    <w:rsid w:val="0040594E"/>
    <w:rsid w:val="00411276"/>
    <w:rsid w:val="0041594A"/>
    <w:rsid w:val="0042497F"/>
    <w:rsid w:val="004338E3"/>
    <w:rsid w:val="004362A9"/>
    <w:rsid w:val="00437454"/>
    <w:rsid w:val="00437455"/>
    <w:rsid w:val="0044066A"/>
    <w:rsid w:val="00445C51"/>
    <w:rsid w:val="00447CC2"/>
    <w:rsid w:val="00461D0F"/>
    <w:rsid w:val="00464F38"/>
    <w:rsid w:val="004662FB"/>
    <w:rsid w:val="00471A3E"/>
    <w:rsid w:val="00487F5C"/>
    <w:rsid w:val="0049231C"/>
    <w:rsid w:val="004A0EA9"/>
    <w:rsid w:val="004A2212"/>
    <w:rsid w:val="004B4B3C"/>
    <w:rsid w:val="004C091D"/>
    <w:rsid w:val="004C4A76"/>
    <w:rsid w:val="004D2322"/>
    <w:rsid w:val="004D42FF"/>
    <w:rsid w:val="004D6A3A"/>
    <w:rsid w:val="004E6571"/>
    <w:rsid w:val="004F0D09"/>
    <w:rsid w:val="004F126B"/>
    <w:rsid w:val="00501AA3"/>
    <w:rsid w:val="005025EC"/>
    <w:rsid w:val="00510F65"/>
    <w:rsid w:val="005136BD"/>
    <w:rsid w:val="00514C04"/>
    <w:rsid w:val="00526874"/>
    <w:rsid w:val="005326E7"/>
    <w:rsid w:val="005378A6"/>
    <w:rsid w:val="00541FC8"/>
    <w:rsid w:val="00542767"/>
    <w:rsid w:val="0055097C"/>
    <w:rsid w:val="005571AF"/>
    <w:rsid w:val="0056694A"/>
    <w:rsid w:val="00571E31"/>
    <w:rsid w:val="00585C15"/>
    <w:rsid w:val="00590A4C"/>
    <w:rsid w:val="00591C5D"/>
    <w:rsid w:val="005B726A"/>
    <w:rsid w:val="005C1393"/>
    <w:rsid w:val="005D3616"/>
    <w:rsid w:val="005D3986"/>
    <w:rsid w:val="005D56CD"/>
    <w:rsid w:val="005D623C"/>
    <w:rsid w:val="005E021F"/>
    <w:rsid w:val="005E641F"/>
    <w:rsid w:val="005E7DC0"/>
    <w:rsid w:val="005F407D"/>
    <w:rsid w:val="005F605F"/>
    <w:rsid w:val="0060164A"/>
    <w:rsid w:val="00604AA2"/>
    <w:rsid w:val="00604F27"/>
    <w:rsid w:val="00607A58"/>
    <w:rsid w:val="0061457E"/>
    <w:rsid w:val="00616AA3"/>
    <w:rsid w:val="00623192"/>
    <w:rsid w:val="00627C5B"/>
    <w:rsid w:val="00634CC2"/>
    <w:rsid w:val="0063730E"/>
    <w:rsid w:val="00640F24"/>
    <w:rsid w:val="00641600"/>
    <w:rsid w:val="00657A75"/>
    <w:rsid w:val="00663827"/>
    <w:rsid w:val="00665ECC"/>
    <w:rsid w:val="006668D4"/>
    <w:rsid w:val="00680D31"/>
    <w:rsid w:val="006824A8"/>
    <w:rsid w:val="006825EF"/>
    <w:rsid w:val="006841C0"/>
    <w:rsid w:val="00686C4C"/>
    <w:rsid w:val="006A6DAA"/>
    <w:rsid w:val="006B2746"/>
    <w:rsid w:val="006C3B90"/>
    <w:rsid w:val="006C5D19"/>
    <w:rsid w:val="006F2DE1"/>
    <w:rsid w:val="006F7B2A"/>
    <w:rsid w:val="00705076"/>
    <w:rsid w:val="00714374"/>
    <w:rsid w:val="0071472E"/>
    <w:rsid w:val="0071484F"/>
    <w:rsid w:val="007167E5"/>
    <w:rsid w:val="00724E59"/>
    <w:rsid w:val="007312C5"/>
    <w:rsid w:val="00732948"/>
    <w:rsid w:val="00740C76"/>
    <w:rsid w:val="00742CF7"/>
    <w:rsid w:val="007507CF"/>
    <w:rsid w:val="00761527"/>
    <w:rsid w:val="0076323E"/>
    <w:rsid w:val="00764B01"/>
    <w:rsid w:val="00770D48"/>
    <w:rsid w:val="00773BE8"/>
    <w:rsid w:val="00781A24"/>
    <w:rsid w:val="00782D89"/>
    <w:rsid w:val="007845F3"/>
    <w:rsid w:val="00793629"/>
    <w:rsid w:val="00796DA4"/>
    <w:rsid w:val="00797897"/>
    <w:rsid w:val="007A3FF0"/>
    <w:rsid w:val="007A655C"/>
    <w:rsid w:val="007B0DD7"/>
    <w:rsid w:val="007B386A"/>
    <w:rsid w:val="007D069D"/>
    <w:rsid w:val="007E24BA"/>
    <w:rsid w:val="007E4721"/>
    <w:rsid w:val="007F14C7"/>
    <w:rsid w:val="0081123C"/>
    <w:rsid w:val="00817401"/>
    <w:rsid w:val="00827744"/>
    <w:rsid w:val="00837338"/>
    <w:rsid w:val="008442F7"/>
    <w:rsid w:val="00856F60"/>
    <w:rsid w:val="00880D68"/>
    <w:rsid w:val="0088276A"/>
    <w:rsid w:val="008840F3"/>
    <w:rsid w:val="00885B36"/>
    <w:rsid w:val="00895E48"/>
    <w:rsid w:val="00897726"/>
    <w:rsid w:val="008A0501"/>
    <w:rsid w:val="008A4F6F"/>
    <w:rsid w:val="008B0501"/>
    <w:rsid w:val="008B2CB0"/>
    <w:rsid w:val="008C4D6C"/>
    <w:rsid w:val="008C693C"/>
    <w:rsid w:val="008D1CB2"/>
    <w:rsid w:val="008D4FA5"/>
    <w:rsid w:val="008E0E7B"/>
    <w:rsid w:val="008E647B"/>
    <w:rsid w:val="008E68E8"/>
    <w:rsid w:val="008F5C16"/>
    <w:rsid w:val="00912378"/>
    <w:rsid w:val="00916E76"/>
    <w:rsid w:val="00934092"/>
    <w:rsid w:val="00934ED1"/>
    <w:rsid w:val="00935D6E"/>
    <w:rsid w:val="00936B03"/>
    <w:rsid w:val="00941C90"/>
    <w:rsid w:val="00946ED6"/>
    <w:rsid w:val="00946F59"/>
    <w:rsid w:val="0094701B"/>
    <w:rsid w:val="009476A8"/>
    <w:rsid w:val="00952051"/>
    <w:rsid w:val="009538AB"/>
    <w:rsid w:val="009677EA"/>
    <w:rsid w:val="00980A4A"/>
    <w:rsid w:val="009819B3"/>
    <w:rsid w:val="00983B01"/>
    <w:rsid w:val="0099231D"/>
    <w:rsid w:val="009A2F17"/>
    <w:rsid w:val="009A3ABF"/>
    <w:rsid w:val="009A49EA"/>
    <w:rsid w:val="009A4F02"/>
    <w:rsid w:val="009A6362"/>
    <w:rsid w:val="009B0C45"/>
    <w:rsid w:val="009B4F7D"/>
    <w:rsid w:val="009B7305"/>
    <w:rsid w:val="009C102A"/>
    <w:rsid w:val="009C1F64"/>
    <w:rsid w:val="009C2074"/>
    <w:rsid w:val="009D08F1"/>
    <w:rsid w:val="009E7EF7"/>
    <w:rsid w:val="009F190F"/>
    <w:rsid w:val="009F325A"/>
    <w:rsid w:val="009F4867"/>
    <w:rsid w:val="009F5E0C"/>
    <w:rsid w:val="00A033F4"/>
    <w:rsid w:val="00A03470"/>
    <w:rsid w:val="00A131B2"/>
    <w:rsid w:val="00A136EF"/>
    <w:rsid w:val="00A1485C"/>
    <w:rsid w:val="00A17CFA"/>
    <w:rsid w:val="00A25B7F"/>
    <w:rsid w:val="00A45750"/>
    <w:rsid w:val="00A51AC0"/>
    <w:rsid w:val="00A5494F"/>
    <w:rsid w:val="00A66C3E"/>
    <w:rsid w:val="00A675D4"/>
    <w:rsid w:val="00A70566"/>
    <w:rsid w:val="00A72992"/>
    <w:rsid w:val="00A72A7F"/>
    <w:rsid w:val="00A73469"/>
    <w:rsid w:val="00A86356"/>
    <w:rsid w:val="00A90A09"/>
    <w:rsid w:val="00A94384"/>
    <w:rsid w:val="00A945B5"/>
    <w:rsid w:val="00AA0F2A"/>
    <w:rsid w:val="00AB0EE3"/>
    <w:rsid w:val="00AB0F6F"/>
    <w:rsid w:val="00AB15AB"/>
    <w:rsid w:val="00AC3F43"/>
    <w:rsid w:val="00AC4586"/>
    <w:rsid w:val="00AD4333"/>
    <w:rsid w:val="00AF222D"/>
    <w:rsid w:val="00AF2F75"/>
    <w:rsid w:val="00B00AF5"/>
    <w:rsid w:val="00B01E1D"/>
    <w:rsid w:val="00B068D1"/>
    <w:rsid w:val="00B120F0"/>
    <w:rsid w:val="00B17710"/>
    <w:rsid w:val="00B23EB3"/>
    <w:rsid w:val="00B25F5C"/>
    <w:rsid w:val="00B323AB"/>
    <w:rsid w:val="00B3381D"/>
    <w:rsid w:val="00B34F89"/>
    <w:rsid w:val="00B364BA"/>
    <w:rsid w:val="00B378D9"/>
    <w:rsid w:val="00B4184D"/>
    <w:rsid w:val="00B42995"/>
    <w:rsid w:val="00B4528D"/>
    <w:rsid w:val="00B45D1D"/>
    <w:rsid w:val="00B51C40"/>
    <w:rsid w:val="00B52C66"/>
    <w:rsid w:val="00B56D65"/>
    <w:rsid w:val="00B62370"/>
    <w:rsid w:val="00B63C9A"/>
    <w:rsid w:val="00B734A8"/>
    <w:rsid w:val="00B776FA"/>
    <w:rsid w:val="00B802AC"/>
    <w:rsid w:val="00B86055"/>
    <w:rsid w:val="00BA5183"/>
    <w:rsid w:val="00BB2DEB"/>
    <w:rsid w:val="00BB5675"/>
    <w:rsid w:val="00BC55F0"/>
    <w:rsid w:val="00BE7442"/>
    <w:rsid w:val="00BF1451"/>
    <w:rsid w:val="00C3124F"/>
    <w:rsid w:val="00C40A0E"/>
    <w:rsid w:val="00C45DC3"/>
    <w:rsid w:val="00C52B55"/>
    <w:rsid w:val="00C61499"/>
    <w:rsid w:val="00C7493B"/>
    <w:rsid w:val="00C74CC7"/>
    <w:rsid w:val="00C854F9"/>
    <w:rsid w:val="00C96053"/>
    <w:rsid w:val="00C96224"/>
    <w:rsid w:val="00CB27D1"/>
    <w:rsid w:val="00CB786E"/>
    <w:rsid w:val="00CC78BF"/>
    <w:rsid w:val="00CD0B8D"/>
    <w:rsid w:val="00CD1A95"/>
    <w:rsid w:val="00CD77B0"/>
    <w:rsid w:val="00CE04E6"/>
    <w:rsid w:val="00CE0BFD"/>
    <w:rsid w:val="00CE6C90"/>
    <w:rsid w:val="00CF33E1"/>
    <w:rsid w:val="00CF4634"/>
    <w:rsid w:val="00CF4A6C"/>
    <w:rsid w:val="00CF4E53"/>
    <w:rsid w:val="00CF693B"/>
    <w:rsid w:val="00D1374D"/>
    <w:rsid w:val="00D14CEA"/>
    <w:rsid w:val="00D15B83"/>
    <w:rsid w:val="00D17979"/>
    <w:rsid w:val="00D232AC"/>
    <w:rsid w:val="00D43053"/>
    <w:rsid w:val="00D53CD8"/>
    <w:rsid w:val="00D542D4"/>
    <w:rsid w:val="00D757D2"/>
    <w:rsid w:val="00D841FC"/>
    <w:rsid w:val="00D87B7C"/>
    <w:rsid w:val="00DA6C4B"/>
    <w:rsid w:val="00DA7054"/>
    <w:rsid w:val="00DB5093"/>
    <w:rsid w:val="00DD44EC"/>
    <w:rsid w:val="00DD603B"/>
    <w:rsid w:val="00DE1A4D"/>
    <w:rsid w:val="00DF0165"/>
    <w:rsid w:val="00DF197B"/>
    <w:rsid w:val="00DF5A27"/>
    <w:rsid w:val="00E11C56"/>
    <w:rsid w:val="00E1250F"/>
    <w:rsid w:val="00E15A01"/>
    <w:rsid w:val="00E15E96"/>
    <w:rsid w:val="00E3117E"/>
    <w:rsid w:val="00E51B75"/>
    <w:rsid w:val="00E6001D"/>
    <w:rsid w:val="00E7126F"/>
    <w:rsid w:val="00E768BE"/>
    <w:rsid w:val="00E85B99"/>
    <w:rsid w:val="00EA0455"/>
    <w:rsid w:val="00EA4855"/>
    <w:rsid w:val="00EB3AFB"/>
    <w:rsid w:val="00EB58C5"/>
    <w:rsid w:val="00EB5D5E"/>
    <w:rsid w:val="00EC6B67"/>
    <w:rsid w:val="00ED05EE"/>
    <w:rsid w:val="00ED2E44"/>
    <w:rsid w:val="00ED4298"/>
    <w:rsid w:val="00EE265D"/>
    <w:rsid w:val="00EE2E92"/>
    <w:rsid w:val="00EE349F"/>
    <w:rsid w:val="00EF654C"/>
    <w:rsid w:val="00EF6742"/>
    <w:rsid w:val="00EF7FC6"/>
    <w:rsid w:val="00F156C0"/>
    <w:rsid w:val="00F17109"/>
    <w:rsid w:val="00F172BF"/>
    <w:rsid w:val="00F17E2B"/>
    <w:rsid w:val="00F21CC4"/>
    <w:rsid w:val="00F22F8A"/>
    <w:rsid w:val="00F265DF"/>
    <w:rsid w:val="00F27C1A"/>
    <w:rsid w:val="00F341C7"/>
    <w:rsid w:val="00F40F47"/>
    <w:rsid w:val="00F41148"/>
    <w:rsid w:val="00F50F4F"/>
    <w:rsid w:val="00F54E6A"/>
    <w:rsid w:val="00F5553B"/>
    <w:rsid w:val="00F57D24"/>
    <w:rsid w:val="00F83A19"/>
    <w:rsid w:val="00F85522"/>
    <w:rsid w:val="00FA083A"/>
    <w:rsid w:val="00FA6820"/>
    <w:rsid w:val="00FA7061"/>
    <w:rsid w:val="00FA77AF"/>
    <w:rsid w:val="00FB144E"/>
    <w:rsid w:val="00FB6757"/>
    <w:rsid w:val="00FC14A0"/>
    <w:rsid w:val="00FC490B"/>
    <w:rsid w:val="00FC7128"/>
    <w:rsid w:val="00FD6618"/>
    <w:rsid w:val="00FE3478"/>
    <w:rsid w:val="00FE4D94"/>
    <w:rsid w:val="00FF4031"/>
    <w:rsid w:val="00FF4221"/>
    <w:rsid w:val="00FF5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42CDE"/>
  <w15:chartTrackingRefBased/>
  <w15:docId w15:val="{49C370FE-7C9A-4832-B99E-2F74C739D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0C45"/>
    <w:pPr>
      <w:spacing w:line="259" w:lineRule="auto"/>
    </w:pPr>
    <w:rPr>
      <w:kern w:val="0"/>
      <w:sz w:val="22"/>
      <w:szCs w:val="22"/>
      <w:lang w:val="sq-AL"/>
      <w14:ligatures w14:val="none"/>
    </w:rPr>
  </w:style>
  <w:style w:type="paragraph" w:styleId="Heading1">
    <w:name w:val="heading 1"/>
    <w:basedOn w:val="Normal"/>
    <w:next w:val="Normal"/>
    <w:link w:val="Heading1Char"/>
    <w:uiPriority w:val="9"/>
    <w:qFormat/>
    <w:rsid w:val="00254F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4F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4F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54F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4F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4F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4F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4F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4F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4F4A"/>
    <w:rPr>
      <w:rFonts w:asciiTheme="majorHAnsi" w:eastAsiaTheme="majorEastAsia" w:hAnsiTheme="majorHAnsi" w:cstheme="majorBidi"/>
      <w:color w:val="0F4761" w:themeColor="accent1" w:themeShade="BF"/>
      <w:sz w:val="40"/>
      <w:szCs w:val="40"/>
      <w:lang w:val="sq-AL"/>
    </w:rPr>
  </w:style>
  <w:style w:type="character" w:customStyle="1" w:styleId="Heading2Char">
    <w:name w:val="Heading 2 Char"/>
    <w:basedOn w:val="DefaultParagraphFont"/>
    <w:link w:val="Heading2"/>
    <w:uiPriority w:val="9"/>
    <w:semiHidden/>
    <w:rsid w:val="00254F4A"/>
    <w:rPr>
      <w:rFonts w:asciiTheme="majorHAnsi" w:eastAsiaTheme="majorEastAsia" w:hAnsiTheme="majorHAnsi" w:cstheme="majorBidi"/>
      <w:color w:val="0F4761" w:themeColor="accent1" w:themeShade="BF"/>
      <w:sz w:val="32"/>
      <w:szCs w:val="32"/>
      <w:lang w:val="sq-AL"/>
    </w:rPr>
  </w:style>
  <w:style w:type="character" w:customStyle="1" w:styleId="Heading3Char">
    <w:name w:val="Heading 3 Char"/>
    <w:basedOn w:val="DefaultParagraphFont"/>
    <w:link w:val="Heading3"/>
    <w:uiPriority w:val="9"/>
    <w:semiHidden/>
    <w:rsid w:val="00254F4A"/>
    <w:rPr>
      <w:rFonts w:eastAsiaTheme="majorEastAsia" w:cstheme="majorBidi"/>
      <w:color w:val="0F4761" w:themeColor="accent1" w:themeShade="BF"/>
      <w:sz w:val="28"/>
      <w:szCs w:val="28"/>
      <w:lang w:val="sq-AL"/>
    </w:rPr>
  </w:style>
  <w:style w:type="character" w:customStyle="1" w:styleId="Heading4Char">
    <w:name w:val="Heading 4 Char"/>
    <w:basedOn w:val="DefaultParagraphFont"/>
    <w:link w:val="Heading4"/>
    <w:uiPriority w:val="9"/>
    <w:rsid w:val="00254F4A"/>
    <w:rPr>
      <w:rFonts w:eastAsiaTheme="majorEastAsia" w:cstheme="majorBidi"/>
      <w:i/>
      <w:iCs/>
      <w:color w:val="0F4761" w:themeColor="accent1" w:themeShade="BF"/>
      <w:lang w:val="sq-AL"/>
    </w:rPr>
  </w:style>
  <w:style w:type="character" w:customStyle="1" w:styleId="Heading5Char">
    <w:name w:val="Heading 5 Char"/>
    <w:basedOn w:val="DefaultParagraphFont"/>
    <w:link w:val="Heading5"/>
    <w:uiPriority w:val="9"/>
    <w:semiHidden/>
    <w:rsid w:val="00254F4A"/>
    <w:rPr>
      <w:rFonts w:eastAsiaTheme="majorEastAsia" w:cstheme="majorBidi"/>
      <w:color w:val="0F4761" w:themeColor="accent1" w:themeShade="BF"/>
      <w:lang w:val="sq-AL"/>
    </w:rPr>
  </w:style>
  <w:style w:type="character" w:customStyle="1" w:styleId="Heading6Char">
    <w:name w:val="Heading 6 Char"/>
    <w:basedOn w:val="DefaultParagraphFont"/>
    <w:link w:val="Heading6"/>
    <w:uiPriority w:val="9"/>
    <w:semiHidden/>
    <w:rsid w:val="00254F4A"/>
    <w:rPr>
      <w:rFonts w:eastAsiaTheme="majorEastAsia" w:cstheme="majorBidi"/>
      <w:i/>
      <w:iCs/>
      <w:color w:val="595959" w:themeColor="text1" w:themeTint="A6"/>
      <w:lang w:val="sq-AL"/>
    </w:rPr>
  </w:style>
  <w:style w:type="character" w:customStyle="1" w:styleId="Heading7Char">
    <w:name w:val="Heading 7 Char"/>
    <w:basedOn w:val="DefaultParagraphFont"/>
    <w:link w:val="Heading7"/>
    <w:uiPriority w:val="9"/>
    <w:semiHidden/>
    <w:rsid w:val="00254F4A"/>
    <w:rPr>
      <w:rFonts w:eastAsiaTheme="majorEastAsia" w:cstheme="majorBidi"/>
      <w:color w:val="595959" w:themeColor="text1" w:themeTint="A6"/>
      <w:lang w:val="sq-AL"/>
    </w:rPr>
  </w:style>
  <w:style w:type="character" w:customStyle="1" w:styleId="Heading8Char">
    <w:name w:val="Heading 8 Char"/>
    <w:basedOn w:val="DefaultParagraphFont"/>
    <w:link w:val="Heading8"/>
    <w:uiPriority w:val="9"/>
    <w:semiHidden/>
    <w:rsid w:val="00254F4A"/>
    <w:rPr>
      <w:rFonts w:eastAsiaTheme="majorEastAsia" w:cstheme="majorBidi"/>
      <w:i/>
      <w:iCs/>
      <w:color w:val="272727" w:themeColor="text1" w:themeTint="D8"/>
      <w:lang w:val="sq-AL"/>
    </w:rPr>
  </w:style>
  <w:style w:type="character" w:customStyle="1" w:styleId="Heading9Char">
    <w:name w:val="Heading 9 Char"/>
    <w:basedOn w:val="DefaultParagraphFont"/>
    <w:link w:val="Heading9"/>
    <w:uiPriority w:val="9"/>
    <w:semiHidden/>
    <w:rsid w:val="00254F4A"/>
    <w:rPr>
      <w:rFonts w:eastAsiaTheme="majorEastAsia" w:cstheme="majorBidi"/>
      <w:color w:val="272727" w:themeColor="text1" w:themeTint="D8"/>
      <w:lang w:val="sq-AL"/>
    </w:rPr>
  </w:style>
  <w:style w:type="paragraph" w:styleId="Title">
    <w:name w:val="Title"/>
    <w:basedOn w:val="Normal"/>
    <w:next w:val="Normal"/>
    <w:link w:val="TitleChar"/>
    <w:uiPriority w:val="10"/>
    <w:qFormat/>
    <w:rsid w:val="00254F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4F4A"/>
    <w:rPr>
      <w:rFonts w:asciiTheme="majorHAnsi" w:eastAsiaTheme="majorEastAsia" w:hAnsiTheme="majorHAnsi" w:cstheme="majorBidi"/>
      <w:spacing w:val="-10"/>
      <w:kern w:val="28"/>
      <w:sz w:val="56"/>
      <w:szCs w:val="56"/>
      <w:lang w:val="sq-AL"/>
    </w:rPr>
  </w:style>
  <w:style w:type="paragraph" w:styleId="Subtitle">
    <w:name w:val="Subtitle"/>
    <w:basedOn w:val="Normal"/>
    <w:next w:val="Normal"/>
    <w:link w:val="SubtitleChar"/>
    <w:uiPriority w:val="11"/>
    <w:qFormat/>
    <w:rsid w:val="00254F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4F4A"/>
    <w:rPr>
      <w:rFonts w:eastAsiaTheme="majorEastAsia" w:cstheme="majorBidi"/>
      <w:color w:val="595959" w:themeColor="text1" w:themeTint="A6"/>
      <w:spacing w:val="15"/>
      <w:sz w:val="28"/>
      <w:szCs w:val="28"/>
      <w:lang w:val="sq-AL"/>
    </w:rPr>
  </w:style>
  <w:style w:type="paragraph" w:styleId="Quote">
    <w:name w:val="Quote"/>
    <w:basedOn w:val="Normal"/>
    <w:next w:val="Normal"/>
    <w:link w:val="QuoteChar"/>
    <w:uiPriority w:val="29"/>
    <w:qFormat/>
    <w:rsid w:val="00254F4A"/>
    <w:pPr>
      <w:spacing w:before="160"/>
      <w:jc w:val="center"/>
    </w:pPr>
    <w:rPr>
      <w:i/>
      <w:iCs/>
      <w:color w:val="404040" w:themeColor="text1" w:themeTint="BF"/>
    </w:rPr>
  </w:style>
  <w:style w:type="character" w:customStyle="1" w:styleId="QuoteChar">
    <w:name w:val="Quote Char"/>
    <w:basedOn w:val="DefaultParagraphFont"/>
    <w:link w:val="Quote"/>
    <w:uiPriority w:val="29"/>
    <w:rsid w:val="00254F4A"/>
    <w:rPr>
      <w:i/>
      <w:iCs/>
      <w:color w:val="404040" w:themeColor="text1" w:themeTint="BF"/>
      <w:lang w:val="sq-AL"/>
    </w:rPr>
  </w:style>
  <w:style w:type="paragraph" w:styleId="ListParagraph">
    <w:name w:val="List Paragraph"/>
    <w:basedOn w:val="Normal"/>
    <w:uiPriority w:val="34"/>
    <w:qFormat/>
    <w:rsid w:val="00254F4A"/>
    <w:pPr>
      <w:ind w:left="720"/>
      <w:contextualSpacing/>
    </w:pPr>
  </w:style>
  <w:style w:type="character" w:styleId="IntenseEmphasis">
    <w:name w:val="Intense Emphasis"/>
    <w:basedOn w:val="DefaultParagraphFont"/>
    <w:uiPriority w:val="21"/>
    <w:qFormat/>
    <w:rsid w:val="00254F4A"/>
    <w:rPr>
      <w:i/>
      <w:iCs/>
      <w:color w:val="0F4761" w:themeColor="accent1" w:themeShade="BF"/>
    </w:rPr>
  </w:style>
  <w:style w:type="paragraph" w:styleId="IntenseQuote">
    <w:name w:val="Intense Quote"/>
    <w:basedOn w:val="Normal"/>
    <w:next w:val="Normal"/>
    <w:link w:val="IntenseQuoteChar"/>
    <w:uiPriority w:val="30"/>
    <w:qFormat/>
    <w:rsid w:val="00254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4F4A"/>
    <w:rPr>
      <w:i/>
      <w:iCs/>
      <w:color w:val="0F4761" w:themeColor="accent1" w:themeShade="BF"/>
      <w:lang w:val="sq-AL"/>
    </w:rPr>
  </w:style>
  <w:style w:type="character" w:styleId="IntenseReference">
    <w:name w:val="Intense Reference"/>
    <w:basedOn w:val="DefaultParagraphFont"/>
    <w:uiPriority w:val="32"/>
    <w:qFormat/>
    <w:rsid w:val="00254F4A"/>
    <w:rPr>
      <w:b/>
      <w:bCs/>
      <w:smallCaps/>
      <w:color w:val="0F4761" w:themeColor="accent1" w:themeShade="BF"/>
      <w:spacing w:val="5"/>
    </w:rPr>
  </w:style>
  <w:style w:type="paragraph" w:customStyle="1" w:styleId="Normal0">
    <w:name w:val="[Normal]"/>
    <w:rsid w:val="009B0C45"/>
    <w:pPr>
      <w:autoSpaceDE w:val="0"/>
      <w:autoSpaceDN w:val="0"/>
      <w:adjustRightInd w:val="0"/>
      <w:spacing w:after="0" w:line="240" w:lineRule="auto"/>
    </w:pPr>
    <w:rPr>
      <w:rFonts w:ascii="Arial" w:eastAsia="Calibri" w:hAnsi="Arial" w:cs="Arial"/>
      <w:kern w:val="0"/>
      <w14:ligatures w14:val="none"/>
    </w:rPr>
  </w:style>
  <w:style w:type="paragraph" w:styleId="FootnoteText">
    <w:name w:val="footnote text"/>
    <w:basedOn w:val="Normal"/>
    <w:link w:val="FootnoteTextChar"/>
    <w:uiPriority w:val="99"/>
    <w:semiHidden/>
    <w:unhideWhenUsed/>
    <w:rsid w:val="009B0C4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B0C45"/>
    <w:rPr>
      <w:kern w:val="0"/>
      <w:sz w:val="20"/>
      <w:szCs w:val="20"/>
      <w:lang w:val="sq-AL"/>
      <w14:ligatures w14:val="none"/>
    </w:rPr>
  </w:style>
  <w:style w:type="character" w:styleId="FootnoteReference">
    <w:name w:val="footnote reference"/>
    <w:basedOn w:val="DefaultParagraphFont"/>
    <w:uiPriority w:val="99"/>
    <w:semiHidden/>
    <w:unhideWhenUsed/>
    <w:rsid w:val="009B0C45"/>
    <w:rPr>
      <w:vertAlign w:val="superscript"/>
    </w:rPr>
  </w:style>
  <w:style w:type="paragraph" w:styleId="Header">
    <w:name w:val="header"/>
    <w:basedOn w:val="Normal"/>
    <w:link w:val="HeaderChar"/>
    <w:uiPriority w:val="99"/>
    <w:unhideWhenUsed/>
    <w:rsid w:val="00770D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0D48"/>
    <w:rPr>
      <w:kern w:val="0"/>
      <w:sz w:val="22"/>
      <w:szCs w:val="22"/>
      <w:lang w:val="sq-AL"/>
      <w14:ligatures w14:val="none"/>
    </w:rPr>
  </w:style>
  <w:style w:type="paragraph" w:styleId="Footer">
    <w:name w:val="footer"/>
    <w:basedOn w:val="Normal"/>
    <w:link w:val="FooterChar"/>
    <w:uiPriority w:val="99"/>
    <w:unhideWhenUsed/>
    <w:rsid w:val="00770D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0D48"/>
    <w:rPr>
      <w:kern w:val="0"/>
      <w:sz w:val="22"/>
      <w:szCs w:val="22"/>
      <w:lang w:val="sq-AL"/>
      <w14:ligatures w14:val="none"/>
    </w:rPr>
  </w:style>
  <w:style w:type="paragraph" w:styleId="Revision">
    <w:name w:val="Revision"/>
    <w:hidden/>
    <w:uiPriority w:val="99"/>
    <w:semiHidden/>
    <w:rsid w:val="001354E1"/>
    <w:pPr>
      <w:spacing w:after="0" w:line="240" w:lineRule="auto"/>
    </w:pPr>
    <w:rPr>
      <w:kern w:val="0"/>
      <w:sz w:val="22"/>
      <w:szCs w:val="22"/>
      <w:lang w:val="sq-AL"/>
      <w14:ligatures w14:val="none"/>
    </w:rPr>
  </w:style>
  <w:style w:type="character" w:styleId="CommentReference">
    <w:name w:val="annotation reference"/>
    <w:basedOn w:val="DefaultParagraphFont"/>
    <w:uiPriority w:val="99"/>
    <w:semiHidden/>
    <w:unhideWhenUsed/>
    <w:rsid w:val="00AC3F43"/>
    <w:rPr>
      <w:sz w:val="16"/>
      <w:szCs w:val="16"/>
    </w:rPr>
  </w:style>
  <w:style w:type="paragraph" w:styleId="CommentText">
    <w:name w:val="annotation text"/>
    <w:basedOn w:val="Normal"/>
    <w:link w:val="CommentTextChar"/>
    <w:uiPriority w:val="99"/>
    <w:unhideWhenUsed/>
    <w:rsid w:val="00AC3F43"/>
    <w:pPr>
      <w:spacing w:line="240" w:lineRule="auto"/>
    </w:pPr>
    <w:rPr>
      <w:sz w:val="20"/>
      <w:szCs w:val="20"/>
    </w:rPr>
  </w:style>
  <w:style w:type="character" w:customStyle="1" w:styleId="CommentTextChar">
    <w:name w:val="Comment Text Char"/>
    <w:basedOn w:val="DefaultParagraphFont"/>
    <w:link w:val="CommentText"/>
    <w:uiPriority w:val="99"/>
    <w:rsid w:val="00AC3F43"/>
    <w:rPr>
      <w:kern w:val="0"/>
      <w:sz w:val="20"/>
      <w:szCs w:val="20"/>
      <w:lang w:val="sq-AL"/>
      <w14:ligatures w14:val="none"/>
    </w:rPr>
  </w:style>
  <w:style w:type="paragraph" w:styleId="CommentSubject">
    <w:name w:val="annotation subject"/>
    <w:basedOn w:val="CommentText"/>
    <w:next w:val="CommentText"/>
    <w:link w:val="CommentSubjectChar"/>
    <w:uiPriority w:val="99"/>
    <w:semiHidden/>
    <w:unhideWhenUsed/>
    <w:rsid w:val="00AC3F43"/>
    <w:rPr>
      <w:b/>
      <w:bCs/>
    </w:rPr>
  </w:style>
  <w:style w:type="character" w:customStyle="1" w:styleId="CommentSubjectChar">
    <w:name w:val="Comment Subject Char"/>
    <w:basedOn w:val="CommentTextChar"/>
    <w:link w:val="CommentSubject"/>
    <w:uiPriority w:val="99"/>
    <w:semiHidden/>
    <w:rsid w:val="00AC3F43"/>
    <w:rPr>
      <w:b/>
      <w:bCs/>
      <w:kern w:val="0"/>
      <w:sz w:val="20"/>
      <w:szCs w:val="20"/>
      <w:lang w:val="sq-AL"/>
      <w14:ligatures w14:val="none"/>
    </w:rPr>
  </w:style>
  <w:style w:type="paragraph" w:styleId="BalloonText">
    <w:name w:val="Balloon Text"/>
    <w:basedOn w:val="Normal"/>
    <w:link w:val="BalloonTextChar"/>
    <w:uiPriority w:val="99"/>
    <w:semiHidden/>
    <w:unhideWhenUsed/>
    <w:rsid w:val="003C2F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2F9E"/>
    <w:rPr>
      <w:rFonts w:ascii="Segoe UI" w:hAnsi="Segoe UI" w:cs="Segoe UI"/>
      <w:kern w:val="0"/>
      <w:sz w:val="18"/>
      <w:szCs w:val="18"/>
      <w:lang w:val="sq-A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D5448ABC7BD4A04A8CD1F5230B0C78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666</Nr_x002e__x0020_akti>
    <Data_x0020_e_x0020_Krijimit xmlns="0e656187-b300-4fb0-8bf4-3a50f872073c">2026-09-04T11:41:06Z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2026-09-04T00:00:00Z</Date_x0020_protokolli>
    <Titulli xmlns="0e656187-b300-4fb0-8bf4-3a50f872073c">Për miratimin e listës së veprimtarive që konsiderohen si të rrezikshme për mjedisin</Titulli>
    <Modifikuesi xmlns="0e656187-b300-4fb0-8bf4-3a50f872073c">elnejda.cokalli</Modifikuesi>
    <Nr_x002e__x0020_prot_x0020_QBZ xmlns="0e656187-b300-4fb0-8bf4-3a50f872073c">1936</Nr_x002e__x0020_prot_x0020_QBZ>
    <Data_x0020_e_x0020_Modifikimit xmlns="0e656187-b300-4fb0-8bf4-3a50f872073c">2026-09-08T07:19:18Z</Data_x0020_e_x0020_Modifikimit>
    <Dekretuar xmlns="0e656187-b300-4fb0-8bf4-3a50f872073c">false</Dekretuar>
    <Data xmlns="0e656187-b300-4fb0-8bf4-3a50f872073c">2026-09-02T00:00:00Z</Data>
    <Nr_x002e__x0020_protokolli_x0020_i_x0020_aktit xmlns="0e656187-b300-4fb0-8bf4-3a50f872073c">5216/1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0F9CD5-4AB2-471C-AFC6-2D4F6DFC44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412AA02-83A6-4EAA-89E7-F89F91E368FC}">
  <ds:schemaRefs>
    <ds:schemaRef ds:uri="http://purl.org/dc/terms/"/>
    <ds:schemaRef ds:uri="0e656187-b300-4fb0-8bf4-3a50f872073c"/>
    <ds:schemaRef ds:uri="http://schemas.openxmlformats.org/package/2006/metadata/core-properties"/>
    <ds:schemaRef ds:uri="http://purl.org/dc/elements/1.1/"/>
    <ds:schemaRef ds:uri="http://www.w3.org/XML/1998/namespace"/>
    <ds:schemaRef ds:uri="http://schemas.microsoft.com/office/2006/documentManagement/typ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ABF09D08-8215-413F-9240-35D93B48DEAC}">
  <ds:schemaRefs>
    <ds:schemaRef ds:uri="http://schemas.microsoft.com/sharepoint/v3/contenttype/forms"/>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779</Words>
  <Characters>4443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Për miratimin e listës së veprimtarive që konsiderohen si të rrezikshme për mjedisin</vt:lpstr>
    </vt:vector>
  </TitlesOfParts>
  <Company/>
  <LinksUpToDate>false</LinksUpToDate>
  <CharactersWithSpaces>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listës së veprimtarive që konsiderohen si të rrezikshme për mjedisin</dc:title>
  <dc:creator>Altin Kaso</dc:creator>
  <cp:lastModifiedBy>fjora.cahani</cp:lastModifiedBy>
  <cp:revision>2</cp:revision>
  <cp:lastPrinted>2026-09-01T18:30:00Z</cp:lastPrinted>
  <dcterms:created xsi:type="dcterms:W3CDTF">2026-09-08T09:37:00Z</dcterms:created>
  <dcterms:modified xsi:type="dcterms:W3CDTF">2026-09-08T09:37:00Z</dcterms:modified>
</cp:coreProperties>
</file>