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0C19B" w14:textId="77777777" w:rsidR="00822C77" w:rsidRPr="00AF5EBA" w:rsidRDefault="00822C77" w:rsidP="00822C7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AF5EBA">
        <w:rPr>
          <w:rFonts w:ascii="Garamond" w:hAnsi="Garamond"/>
          <w:b/>
          <w:sz w:val="24"/>
          <w:szCs w:val="24"/>
        </w:rPr>
        <w:t>VENDIM</w:t>
      </w:r>
    </w:p>
    <w:p w14:paraId="6FA0435A" w14:textId="0C32E089" w:rsidR="00822C77" w:rsidRPr="00AF5EBA" w:rsidRDefault="00822C77" w:rsidP="00822C7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AF5EBA">
        <w:rPr>
          <w:rFonts w:ascii="Garamond" w:hAnsi="Garamond"/>
          <w:b/>
          <w:sz w:val="24"/>
          <w:szCs w:val="24"/>
        </w:rPr>
        <w:t>Nr.</w:t>
      </w:r>
      <w:r w:rsidR="003A41DE">
        <w:rPr>
          <w:rFonts w:ascii="Garamond" w:hAnsi="Garamond"/>
          <w:b/>
          <w:sz w:val="24"/>
          <w:szCs w:val="24"/>
        </w:rPr>
        <w:t xml:space="preserve"> </w:t>
      </w:r>
      <w:r w:rsidRPr="00AF5EBA">
        <w:rPr>
          <w:rFonts w:ascii="Garamond" w:hAnsi="Garamond"/>
          <w:b/>
          <w:sz w:val="24"/>
          <w:szCs w:val="24"/>
        </w:rPr>
        <w:t>678, datë 11.9.2026</w:t>
      </w:r>
    </w:p>
    <w:p w14:paraId="7244D133" w14:textId="77777777" w:rsidR="00822C77" w:rsidRPr="00AF5EBA" w:rsidRDefault="00822C77" w:rsidP="00822C77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51A74F5" w14:textId="77777777" w:rsidR="00822C77" w:rsidRPr="00AF5EBA" w:rsidRDefault="00822C77" w:rsidP="00822C77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AF5EBA">
        <w:rPr>
          <w:rFonts w:ascii="Garamond" w:hAnsi="Garamond"/>
          <w:b/>
          <w:sz w:val="24"/>
          <w:szCs w:val="24"/>
        </w:rPr>
        <w:t>PËR PËRCAKTIMIN E RREGULLAVE PËR PAVLEFSHMËRINË E KONTRATAVE TË KONCESIONEVE DHE PARTNERITETIT PUBLIK PRIVAT</w:t>
      </w:r>
      <w:r w:rsidRPr="00AF5EBA">
        <w:rPr>
          <w:rStyle w:val="FootnoteReference"/>
          <w:rFonts w:ascii="Garamond" w:hAnsi="Garamond"/>
          <w:b/>
          <w:sz w:val="24"/>
          <w:szCs w:val="24"/>
        </w:rPr>
        <w:footnoteReference w:id="2"/>
      </w:r>
    </w:p>
    <w:p w14:paraId="7305B657" w14:textId="77777777" w:rsidR="00822C77" w:rsidRPr="00AF5EBA" w:rsidRDefault="00822C77" w:rsidP="00822C77">
      <w:pPr>
        <w:pStyle w:val="BodyText"/>
        <w:jc w:val="both"/>
        <w:rPr>
          <w:rFonts w:ascii="Garamond" w:hAnsi="Garamond"/>
        </w:rPr>
      </w:pPr>
    </w:p>
    <w:p w14:paraId="3D31118E" w14:textId="16DC8CC9" w:rsidR="00822C77" w:rsidRPr="00AF5EBA" w:rsidRDefault="00822C77" w:rsidP="00822C77">
      <w:pPr>
        <w:pStyle w:val="BodyText"/>
        <w:jc w:val="both"/>
        <w:rPr>
          <w:rFonts w:ascii="Garamond" w:hAnsi="Garamond"/>
        </w:rPr>
      </w:pPr>
      <w:r w:rsidRPr="00AF5EBA">
        <w:rPr>
          <w:rFonts w:ascii="Garamond" w:hAnsi="Garamond"/>
        </w:rPr>
        <w:t>Në mbështetje të nenit 100 të Kushtetutës dhe të pikës 5, të nenit 72, të ligjit nr.</w:t>
      </w:r>
      <w:r w:rsidR="003A41DE">
        <w:rPr>
          <w:rFonts w:ascii="Garamond" w:hAnsi="Garamond"/>
        </w:rPr>
        <w:t xml:space="preserve"> </w:t>
      </w:r>
      <w:r w:rsidRPr="00AF5EBA">
        <w:rPr>
          <w:rFonts w:ascii="Garamond" w:hAnsi="Garamond"/>
        </w:rPr>
        <w:t>88/2025, “Për koncesionet dhe partneritetin publik privat”, me propozimin e ministrit të Ekonomisë dhe Inovacionit, Këshilli i Ministrave</w:t>
      </w:r>
    </w:p>
    <w:p w14:paraId="1E7B486F" w14:textId="77777777" w:rsidR="00822C77" w:rsidRPr="00AF5EBA" w:rsidRDefault="00822C77" w:rsidP="00822C77">
      <w:pPr>
        <w:pStyle w:val="BodyText"/>
        <w:jc w:val="center"/>
        <w:rPr>
          <w:rFonts w:ascii="Garamond" w:hAnsi="Garamond"/>
          <w:b/>
          <w:bCs/>
        </w:rPr>
      </w:pPr>
    </w:p>
    <w:p w14:paraId="7A96879D" w14:textId="77777777" w:rsidR="00822C77" w:rsidRPr="00AF5EBA" w:rsidRDefault="00822C77" w:rsidP="00822C77">
      <w:pPr>
        <w:pStyle w:val="BodyText"/>
        <w:jc w:val="center"/>
        <w:rPr>
          <w:rFonts w:ascii="Garamond" w:hAnsi="Garamond"/>
          <w:bCs/>
        </w:rPr>
      </w:pPr>
      <w:r w:rsidRPr="00AF5EBA">
        <w:rPr>
          <w:rFonts w:ascii="Garamond" w:hAnsi="Garamond"/>
          <w:bCs/>
        </w:rPr>
        <w:t>VENDOSI:</w:t>
      </w:r>
    </w:p>
    <w:p w14:paraId="7BDD8233" w14:textId="77777777" w:rsidR="00822C77" w:rsidRPr="00AF5EBA" w:rsidRDefault="00822C77" w:rsidP="00822C77">
      <w:pPr>
        <w:widowControl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7BD8DB94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1. Komisioni i Prokurimit Publik është organi kompetent për shqyrtimin e ankesave për pavlefshmërinë e kontratave të koncesionit dhe partneritetit publik privat.</w:t>
      </w:r>
    </w:p>
    <w:p w14:paraId="496CC31D" w14:textId="77777777" w:rsidR="00822C77" w:rsidRPr="00AF5EBA" w:rsidRDefault="00822C77" w:rsidP="00822C77">
      <w:pPr>
        <w:widowControl/>
        <w:tabs>
          <w:tab w:val="left" w:pos="520"/>
        </w:tabs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2. Operatorët ekonomikë kanë të drejtë të paraqesin ankesë për shqyrtimin e pavlefshmërisë së kontratës te Komisioni i Prokurimit Publik. Në çdo rast, kjo ankesë duhet të paraqitet brenda 6 (gjashtë) muajve nga e nesërmja e datës së lidhjes së kontratës.</w:t>
      </w:r>
    </w:p>
    <w:p w14:paraId="6C85FD3C" w14:textId="77777777" w:rsidR="00822C77" w:rsidRPr="00AF5EBA" w:rsidRDefault="00822C77" w:rsidP="00822C77">
      <w:pPr>
        <w:widowControl/>
        <w:tabs>
          <w:tab w:val="left" w:pos="520"/>
        </w:tabs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3. Komisioni i Prokurimit Publik, me marrjen e ankesës, me vendim të ndërmjetëm, vendos pezullimin e menjëhershëm të zbatimit të kontratës deri në marrjen e një vendimi përfundimtar. Komisioni i Prokurimit Publik mund të lejojë autoritetin ose entin </w:t>
      </w:r>
      <w:proofErr w:type="spellStart"/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kontraktor</w:t>
      </w:r>
      <w:proofErr w:type="spellEnd"/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 të vazhdojë zbatimin e kontratës, nëse pezullimi mund të cenojë çështjet thelbësore të interesit të përgjithshëm.</w:t>
      </w:r>
    </w:p>
    <w:p w14:paraId="6B50CE7F" w14:textId="2611CA85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4. Komisioni i Prokurimit Publik mund të shpallë një kontratë absolutisht të pavlefshme, kur konstaton ekzistencën e kushteve të përcaktuara në pikën 1, të nenit 72, të ligjit nr.</w:t>
      </w:r>
      <w:r w:rsidR="003A41DE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88/2025, “Për koncesionet dhe partneritetin publik privat”.</w:t>
      </w:r>
    </w:p>
    <w:p w14:paraId="160EC6F7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5. Nëse pas shqyrtimit të </w:t>
      </w:r>
      <w:proofErr w:type="spellStart"/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të</w:t>
      </w:r>
      <w:proofErr w:type="spellEnd"/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 gjitha aspekteve përkatëse, Komisioni i Prokurimit Publik çmon se shpallja e pavlefshmërisë absolute të kontratës mund të cenojë çështjet thelbësore të interesit të përgjithshëm, vendos të mos e shpallë kontratën absolutisht të pavlefshme.</w:t>
      </w:r>
    </w:p>
    <w:p w14:paraId="4FF3A9B4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Për </w:t>
      </w:r>
      <w:proofErr w:type="spellStart"/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mosshpalljen</w:t>
      </w:r>
      <w:proofErr w:type="spellEnd"/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 absolutisht të pavlefshme të kontratës nuk konsiderohen çështje thelbësore të interesit të përgjithshëm interesat ekonomikë, të lidhur drejtpërdrejt me kontratën në fjalë, si:</w:t>
      </w:r>
    </w:p>
    <w:p w14:paraId="51C22C2A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a) kostot për shkak të vonesave në zbatimin e kontratës;</w:t>
      </w:r>
    </w:p>
    <w:p w14:paraId="212535EE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b) kostot për shkak të shpalljes së një procedure të re koncesioni apo partneriteti publik privat;</w:t>
      </w:r>
    </w:p>
    <w:p w14:paraId="2B92A9CE" w14:textId="0E2A04B3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c) kostot për shkak të ndryshimit të operatorit ekonom</w:t>
      </w:r>
      <w:r w:rsidR="003A41DE">
        <w:rPr>
          <w:rFonts w:ascii="Garamond" w:eastAsiaTheme="minorHAnsi" w:hAnsi="Garamond" w:cs="Calibri"/>
          <w:color w:val="000000"/>
          <w:sz w:val="24"/>
          <w:szCs w:val="24"/>
        </w:rPr>
        <w:t>ik, që do të zbatojë kontratën;</w:t>
      </w:r>
    </w:p>
    <w:p w14:paraId="3488FC1C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ç) kostot për shkak të detyrimeve ligjore si pasojë e pavlefshmërisë.</w:t>
      </w:r>
    </w:p>
    <w:p w14:paraId="063C8176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6. Në përfundim të shqyrtimit të ankesës, në rastin kur nuk shpallet pavlefshmëria e kontratës, Komisioni i Prokurimit Publik vendos:</w:t>
      </w:r>
    </w:p>
    <w:p w14:paraId="5A3F43B0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a) të shkurtojë afatin e zbatimit të kontratës;</w:t>
      </w:r>
    </w:p>
    <w:p w14:paraId="48149D24" w14:textId="77777777" w:rsidR="00822C77" w:rsidRPr="00AF5EBA" w:rsidRDefault="00822C77" w:rsidP="00822C77">
      <w:pPr>
        <w:widowControl/>
        <w:tabs>
          <w:tab w:val="left" w:pos="560"/>
        </w:tabs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b) dënimin me gjobë të autoritetit ose entit </w:t>
      </w:r>
      <w:proofErr w:type="spellStart"/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kontraktor</w:t>
      </w:r>
      <w:proofErr w:type="spellEnd"/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 për shkeljet e konstatuara, sipas këtij vendimi.</w:t>
      </w:r>
    </w:p>
    <w:p w14:paraId="59DD3EA0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7. Gjoba vendoset në raport me vlerën e kontratës së nënshkruar, por, në çdo rast, jo më shumë se 10% e kësaj vlere.</w:t>
      </w:r>
    </w:p>
    <w:p w14:paraId="17B86415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8. Në vendosjen e masës së gjobës, Komisioni i Prokurimit Publik duhet të marrë në konsideratë disa elemente, si:</w:t>
      </w:r>
    </w:p>
    <w:p w14:paraId="17E438F2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a) rrethanat në të cilat është kryer shkelja;</w:t>
      </w:r>
    </w:p>
    <w:p w14:paraId="2969620C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lastRenderedPageBreak/>
        <w:t>b) rëndësinë e shkeljes së kryer;</w:t>
      </w:r>
    </w:p>
    <w:p w14:paraId="4AE340CC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c) pasojat që kanë ardhur;</w:t>
      </w:r>
    </w:p>
    <w:p w14:paraId="0B39B52B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ç) </w:t>
      </w:r>
      <w:proofErr w:type="spellStart"/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proporcionalitetin</w:t>
      </w:r>
      <w:proofErr w:type="spellEnd"/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 midis dëmit të shkaktuar dhe masës së gjobës;</w:t>
      </w:r>
    </w:p>
    <w:p w14:paraId="3FE7EB0B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d) vlerën e përllogaritur të kontratës;</w:t>
      </w:r>
    </w:p>
    <w:p w14:paraId="3F30D638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dh) parimet e koncesionit dhe partneritetit publik privat që janë shkelur;</w:t>
      </w:r>
    </w:p>
    <w:p w14:paraId="4F96F849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e) përsëritjen e shkeljeve në raste të tjera.</w:t>
      </w:r>
    </w:p>
    <w:p w14:paraId="6DBFEF78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9. Komisioni i Prokurimit Publik në vendim përcakton edhe afatin, brenda të cilit ky vendim duhet zbatuar.</w:t>
      </w:r>
    </w:p>
    <w:p w14:paraId="7752BE75" w14:textId="0DE182CF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10. Palët kanë të drejtë të </w:t>
      </w:r>
      <w:proofErr w:type="spellStart"/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ankimojnë</w:t>
      </w:r>
      <w:proofErr w:type="spellEnd"/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 vendimin e Komisionit të Prokurimit Publik në gjykatën përkatëse, që shqyrton mosmarrëveshjet administrative, sipas përcaktimit në nenin 66, të ligjit nr.</w:t>
      </w:r>
      <w:r w:rsidR="003A41DE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88/2025, “Për koncesionet dhe partneritetin publik privat”.</w:t>
      </w:r>
    </w:p>
    <w:p w14:paraId="3C61960D" w14:textId="77777777" w:rsidR="00822C77" w:rsidRPr="00AF5EBA" w:rsidRDefault="00822C77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color w:val="000000"/>
          <w:sz w:val="24"/>
          <w:szCs w:val="24"/>
        </w:rPr>
        <w:t>11. Ngarkohet Komisioni i Prokurimit Publik për zbatimin e këtij vendimi.</w:t>
      </w:r>
    </w:p>
    <w:p w14:paraId="06C63AD5" w14:textId="773B472E" w:rsidR="00822C77" w:rsidRPr="00AF5EBA" w:rsidRDefault="003A41DE" w:rsidP="00822C77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>
        <w:rPr>
          <w:rFonts w:ascii="Garamond" w:eastAsiaTheme="minorHAnsi" w:hAnsi="Garamond" w:cs="Calibri"/>
          <w:color w:val="000000"/>
          <w:sz w:val="24"/>
          <w:szCs w:val="24"/>
        </w:rPr>
        <w:t xml:space="preserve">Ky vendim botohet në Fletoren Zyrtare </w:t>
      </w:r>
      <w:r w:rsidR="00822C77" w:rsidRPr="00AF5EBA">
        <w:rPr>
          <w:rFonts w:ascii="Garamond" w:eastAsiaTheme="minorHAnsi" w:hAnsi="Garamond" w:cs="Calibri"/>
          <w:color w:val="000000"/>
          <w:sz w:val="24"/>
          <w:szCs w:val="24"/>
        </w:rPr>
        <w:t>dhe hyn në fuqi me hyrje</w:t>
      </w:r>
      <w:bookmarkStart w:id="0" w:name="_GoBack"/>
      <w:bookmarkEnd w:id="0"/>
      <w:r w:rsidR="00822C77" w:rsidRPr="00AF5EBA">
        <w:rPr>
          <w:rFonts w:ascii="Garamond" w:eastAsiaTheme="minorHAnsi" w:hAnsi="Garamond" w:cs="Calibri"/>
          <w:color w:val="000000"/>
          <w:sz w:val="24"/>
          <w:szCs w:val="24"/>
        </w:rPr>
        <w:t>n në fuqi të ligjit nr.</w:t>
      </w:r>
      <w:r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="00822C77"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88/2025, “Për </w:t>
      </w:r>
      <w:proofErr w:type="spellStart"/>
      <w:r w:rsidR="00822C77" w:rsidRPr="00AF5EBA">
        <w:rPr>
          <w:rFonts w:ascii="Garamond" w:eastAsiaTheme="minorHAnsi" w:hAnsi="Garamond" w:cs="Calibri"/>
          <w:color w:val="000000"/>
          <w:sz w:val="24"/>
          <w:szCs w:val="24"/>
        </w:rPr>
        <w:t>koncensionet</w:t>
      </w:r>
      <w:proofErr w:type="spellEnd"/>
      <w:r w:rsidR="00822C77" w:rsidRPr="00AF5EBA">
        <w:rPr>
          <w:rFonts w:ascii="Garamond" w:eastAsiaTheme="minorHAnsi" w:hAnsi="Garamond" w:cs="Calibri"/>
          <w:color w:val="000000"/>
          <w:sz w:val="24"/>
          <w:szCs w:val="24"/>
        </w:rPr>
        <w:t xml:space="preserve"> dhe partneritetin publik privat”.</w:t>
      </w:r>
    </w:p>
    <w:p w14:paraId="7DCBA324" w14:textId="77777777" w:rsidR="00822C77" w:rsidRPr="00AF5EBA" w:rsidRDefault="00822C77" w:rsidP="00822C77">
      <w:pPr>
        <w:widowControl/>
        <w:adjustRightInd w:val="0"/>
        <w:ind w:firstLine="284"/>
        <w:rPr>
          <w:rFonts w:ascii="Garamond" w:eastAsiaTheme="minorHAnsi" w:hAnsi="Garamond" w:cs="Calibri"/>
          <w:color w:val="000000"/>
          <w:sz w:val="24"/>
          <w:szCs w:val="24"/>
        </w:rPr>
      </w:pPr>
    </w:p>
    <w:p w14:paraId="083E8AE7" w14:textId="77777777" w:rsidR="00822C77" w:rsidRPr="00AF5EBA" w:rsidRDefault="00822C77" w:rsidP="00822C77">
      <w:pPr>
        <w:widowControl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bCs/>
          <w:color w:val="000000"/>
          <w:sz w:val="24"/>
          <w:szCs w:val="24"/>
        </w:rPr>
        <w:t>KRYEMINISTËR</w:t>
      </w:r>
    </w:p>
    <w:p w14:paraId="626365E8" w14:textId="77777777" w:rsidR="00822C77" w:rsidRPr="00AF5EBA" w:rsidRDefault="00822C77" w:rsidP="00822C77">
      <w:pPr>
        <w:widowControl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  <w:r w:rsidRPr="00AF5EBA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 xml:space="preserve">Edi </w:t>
      </w:r>
      <w:proofErr w:type="spellStart"/>
      <w:r w:rsidRPr="00AF5EBA">
        <w:rPr>
          <w:rFonts w:ascii="Garamond" w:eastAsiaTheme="minorHAnsi" w:hAnsi="Garamond" w:cs="Calibri"/>
          <w:b/>
          <w:bCs/>
          <w:color w:val="000000"/>
          <w:sz w:val="24"/>
          <w:szCs w:val="24"/>
        </w:rPr>
        <w:t>Rama</w:t>
      </w:r>
      <w:proofErr w:type="spellEnd"/>
    </w:p>
    <w:p w14:paraId="1A4952A5" w14:textId="77777777" w:rsidR="00822C77" w:rsidRPr="00AF5EBA" w:rsidRDefault="00822C77" w:rsidP="00822C77">
      <w:pPr>
        <w:widowControl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</w:p>
    <w:p w14:paraId="1E27827C" w14:textId="77777777" w:rsidR="00AF5EBA" w:rsidRPr="00822C77" w:rsidRDefault="00AF5EBA" w:rsidP="00822C77">
      <w:pPr>
        <w:jc w:val="right"/>
        <w:rPr>
          <w:rFonts w:eastAsiaTheme="minorHAnsi"/>
          <w:b/>
          <w:sz w:val="28"/>
        </w:rPr>
      </w:pPr>
    </w:p>
    <w:sectPr w:rsidR="00AF5EBA" w:rsidRPr="00822C77" w:rsidSect="002E7931">
      <w:pgSz w:w="11906" w:h="16838" w:code="9"/>
      <w:pgMar w:top="1440" w:right="1440" w:bottom="1440" w:left="1440" w:header="720" w:footer="4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88E617" w14:textId="77777777" w:rsidR="00AF5EBA" w:rsidRDefault="00AF5EBA" w:rsidP="00615FE3">
      <w:r>
        <w:separator/>
      </w:r>
    </w:p>
  </w:endnote>
  <w:endnote w:type="continuationSeparator" w:id="0">
    <w:p w14:paraId="6A88E618" w14:textId="77777777" w:rsidR="00AF5EBA" w:rsidRDefault="00AF5EBA" w:rsidP="00615FE3">
      <w:r>
        <w:continuationSeparator/>
      </w:r>
    </w:p>
  </w:endnote>
  <w:endnote w:type="continuationNotice" w:id="1">
    <w:p w14:paraId="346023D3" w14:textId="77777777" w:rsidR="00EF634E" w:rsidRDefault="00EF63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8E615" w14:textId="77777777" w:rsidR="00AF5EBA" w:rsidRDefault="00AF5EBA" w:rsidP="00615FE3">
      <w:r>
        <w:separator/>
      </w:r>
    </w:p>
  </w:footnote>
  <w:footnote w:type="continuationSeparator" w:id="0">
    <w:p w14:paraId="6A88E616" w14:textId="77777777" w:rsidR="00AF5EBA" w:rsidRDefault="00AF5EBA" w:rsidP="00615FE3">
      <w:r>
        <w:continuationSeparator/>
      </w:r>
    </w:p>
  </w:footnote>
  <w:footnote w:type="continuationNotice" w:id="1">
    <w:p w14:paraId="734DDCF9" w14:textId="77777777" w:rsidR="00EF634E" w:rsidRDefault="00EF634E"/>
  </w:footnote>
  <w:footnote w:id="2">
    <w:p w14:paraId="09F443DC" w14:textId="77777777" w:rsidR="00822C77" w:rsidRPr="00AF5EBA" w:rsidRDefault="00822C77" w:rsidP="003A41DE">
      <w:pPr>
        <w:jc w:val="both"/>
        <w:rPr>
          <w:rFonts w:ascii="Garamond" w:hAnsi="Garamond"/>
          <w:sz w:val="20"/>
          <w:szCs w:val="20"/>
        </w:rPr>
      </w:pPr>
      <w:r w:rsidRPr="00AF5EBA">
        <w:rPr>
          <w:rStyle w:val="FootnoteReference"/>
          <w:rFonts w:ascii="Garamond" w:hAnsi="Garamond"/>
          <w:sz w:val="20"/>
          <w:szCs w:val="20"/>
        </w:rPr>
        <w:footnoteRef/>
      </w:r>
      <w:r w:rsidRPr="00AF5EBA">
        <w:rPr>
          <w:rFonts w:ascii="Garamond" w:hAnsi="Garamond"/>
          <w:sz w:val="20"/>
          <w:szCs w:val="20"/>
        </w:rPr>
        <w:t xml:space="preserve"> </w:t>
      </w:r>
      <w:r w:rsidRPr="00AF5EBA">
        <w:rPr>
          <w:rFonts w:ascii="Garamond" w:hAnsi="Garamond"/>
          <w:spacing w:val="-4"/>
          <w:sz w:val="20"/>
          <w:szCs w:val="20"/>
        </w:rPr>
        <w:t>Ky</w:t>
      </w:r>
      <w:r w:rsidRPr="00AF5EBA">
        <w:rPr>
          <w:rFonts w:ascii="Garamond" w:hAnsi="Garamond"/>
          <w:spacing w:val="-1"/>
          <w:sz w:val="20"/>
          <w:szCs w:val="20"/>
        </w:rPr>
        <w:t xml:space="preserve"> </w:t>
      </w:r>
      <w:r w:rsidRPr="00AF5EBA">
        <w:rPr>
          <w:rFonts w:ascii="Garamond" w:hAnsi="Garamond"/>
          <w:spacing w:val="-4"/>
          <w:sz w:val="20"/>
          <w:szCs w:val="20"/>
        </w:rPr>
        <w:t>vendim</w:t>
      </w:r>
      <w:r w:rsidRPr="00AF5EBA">
        <w:rPr>
          <w:rFonts w:ascii="Garamond" w:hAnsi="Garamond"/>
          <w:spacing w:val="-1"/>
          <w:sz w:val="20"/>
          <w:szCs w:val="20"/>
        </w:rPr>
        <w:t xml:space="preserve"> </w:t>
      </w:r>
      <w:r w:rsidRPr="00AF5EBA">
        <w:rPr>
          <w:rFonts w:ascii="Garamond" w:hAnsi="Garamond"/>
          <w:spacing w:val="-4"/>
          <w:sz w:val="20"/>
          <w:szCs w:val="20"/>
        </w:rPr>
        <w:t>përafrohet</w:t>
      </w:r>
      <w:r w:rsidRPr="00AF5EBA">
        <w:rPr>
          <w:rFonts w:ascii="Garamond" w:hAnsi="Garamond"/>
          <w:spacing w:val="-1"/>
          <w:sz w:val="20"/>
          <w:szCs w:val="20"/>
        </w:rPr>
        <w:t xml:space="preserve"> </w:t>
      </w:r>
      <w:r w:rsidRPr="00AF5EBA">
        <w:rPr>
          <w:rFonts w:ascii="Garamond" w:hAnsi="Garamond"/>
          <w:spacing w:val="-4"/>
          <w:sz w:val="20"/>
          <w:szCs w:val="20"/>
        </w:rPr>
        <w:t>plotësisht</w:t>
      </w:r>
      <w:r w:rsidRPr="00AF5EBA">
        <w:rPr>
          <w:rFonts w:ascii="Garamond" w:hAnsi="Garamond"/>
          <w:spacing w:val="-1"/>
          <w:sz w:val="20"/>
          <w:szCs w:val="20"/>
        </w:rPr>
        <w:t xml:space="preserve"> </w:t>
      </w:r>
      <w:r w:rsidRPr="00AF5EBA">
        <w:rPr>
          <w:rFonts w:ascii="Garamond" w:hAnsi="Garamond"/>
          <w:spacing w:val="-5"/>
          <w:sz w:val="20"/>
          <w:szCs w:val="20"/>
        </w:rPr>
        <w:t>me:</w:t>
      </w:r>
    </w:p>
    <w:p w14:paraId="7ADC0012" w14:textId="0FE7F43A" w:rsidR="00822C77" w:rsidRPr="003A41DE" w:rsidRDefault="003A41DE" w:rsidP="003A41DE">
      <w:pPr>
        <w:ind w:right="6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pacing w:val="-2"/>
          <w:sz w:val="20"/>
          <w:szCs w:val="20"/>
        </w:rPr>
        <w:t xml:space="preserve">- </w:t>
      </w:r>
      <w:r w:rsidR="00822C77" w:rsidRPr="003A41DE">
        <w:rPr>
          <w:rFonts w:ascii="Garamond" w:hAnsi="Garamond"/>
          <w:spacing w:val="-2"/>
          <w:sz w:val="20"/>
          <w:szCs w:val="20"/>
        </w:rPr>
        <w:t>direktivën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89/665/</w:t>
      </w:r>
      <w:proofErr w:type="spellStart"/>
      <w:r w:rsidR="00822C77" w:rsidRPr="003A41DE">
        <w:rPr>
          <w:rFonts w:ascii="Garamond" w:hAnsi="Garamond"/>
          <w:spacing w:val="-2"/>
          <w:sz w:val="20"/>
          <w:szCs w:val="20"/>
        </w:rPr>
        <w:t>KEE</w:t>
      </w:r>
      <w:proofErr w:type="spellEnd"/>
      <w:r w:rsidR="00822C77" w:rsidRPr="003A41DE">
        <w:rPr>
          <w:rFonts w:ascii="Garamond" w:hAnsi="Garamond"/>
          <w:spacing w:val="-2"/>
          <w:sz w:val="20"/>
          <w:szCs w:val="20"/>
        </w:rPr>
        <w:t>,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datë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21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dhjetor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1989,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“Mbi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koordinimin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e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ligjeve,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rregulloreve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dhe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dispozitave</w:t>
      </w:r>
      <w:r w:rsidR="00822C77" w:rsidRPr="003A41DE">
        <w:rPr>
          <w:rFonts w:ascii="Garamond" w:hAnsi="Garamond"/>
          <w:spacing w:val="-6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administrative</w:t>
      </w:r>
      <w:r>
        <w:rPr>
          <w:rFonts w:ascii="Garamond" w:hAnsi="Garamond"/>
          <w:spacing w:val="-2"/>
          <w:sz w:val="20"/>
          <w:szCs w:val="20"/>
        </w:rPr>
        <w:t>,</w:t>
      </w:r>
      <w:r w:rsidR="00822C77" w:rsidRPr="003A41DE">
        <w:rPr>
          <w:rFonts w:ascii="Garamond" w:hAnsi="Garamond"/>
          <w:spacing w:val="-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në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lidhje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me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zbatimin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e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procedurave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të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rishikimit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për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dhënien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e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kontratave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të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furnizimit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publik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dhe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punëve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publike</w:t>
      </w:r>
      <w:r>
        <w:rPr>
          <w:rFonts w:ascii="Garamond" w:hAnsi="Garamond"/>
          <w:sz w:val="20"/>
          <w:szCs w:val="20"/>
        </w:rPr>
        <w:t>”</w:t>
      </w:r>
      <w:r w:rsidR="00822C77" w:rsidRPr="003A41DE">
        <w:rPr>
          <w:rFonts w:ascii="Garamond" w:hAnsi="Garamond"/>
          <w:sz w:val="20"/>
          <w:szCs w:val="20"/>
        </w:rPr>
        <w:t>,</w:t>
      </w:r>
      <w:r w:rsidR="00822C77" w:rsidRPr="003A41DE">
        <w:rPr>
          <w:rFonts w:ascii="Garamond" w:hAnsi="Garamond"/>
          <w:spacing w:val="-12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 xml:space="preserve">me </w:t>
      </w:r>
      <w:r w:rsidR="00822C77" w:rsidRPr="003A41DE">
        <w:rPr>
          <w:rFonts w:ascii="Garamond" w:hAnsi="Garamond"/>
          <w:spacing w:val="-2"/>
          <w:sz w:val="20"/>
          <w:szCs w:val="20"/>
        </w:rPr>
        <w:t>numër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proofErr w:type="spellStart"/>
      <w:r w:rsidR="00822C77" w:rsidRPr="003A41DE">
        <w:rPr>
          <w:rFonts w:ascii="Garamond" w:hAnsi="Garamond"/>
          <w:spacing w:val="-2"/>
          <w:sz w:val="20"/>
          <w:szCs w:val="20"/>
        </w:rPr>
        <w:t>CELEX</w:t>
      </w:r>
      <w:proofErr w:type="spellEnd"/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31989L0665,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Fletorja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Zyrtare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e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Bashkimit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Evropian,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seria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L,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nr.</w:t>
      </w:r>
      <w:r>
        <w:rPr>
          <w:rFonts w:ascii="Garamond" w:hAnsi="Garamond"/>
          <w:spacing w:val="-2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395,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datë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30.12.1989,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faqe</w:t>
      </w:r>
      <w:r w:rsidR="00822C77" w:rsidRPr="003A41DE">
        <w:rPr>
          <w:rFonts w:ascii="Garamond" w:hAnsi="Garamond"/>
          <w:spacing w:val="-8"/>
          <w:sz w:val="20"/>
          <w:szCs w:val="20"/>
        </w:rPr>
        <w:t xml:space="preserve"> </w:t>
      </w:r>
      <w:r w:rsidR="00822C77" w:rsidRPr="003A41DE">
        <w:rPr>
          <w:rFonts w:ascii="Garamond" w:hAnsi="Garamond"/>
          <w:spacing w:val="-2"/>
          <w:sz w:val="20"/>
          <w:szCs w:val="20"/>
        </w:rPr>
        <w:t>33–35;</w:t>
      </w:r>
    </w:p>
    <w:p w14:paraId="64FBB8BC" w14:textId="69E1936C" w:rsidR="00822C77" w:rsidRPr="003A41DE" w:rsidRDefault="003A41DE" w:rsidP="003A41DE">
      <w:pPr>
        <w:tabs>
          <w:tab w:val="left" w:pos="146"/>
        </w:tabs>
        <w:ind w:right="5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- </w:t>
      </w:r>
      <w:r w:rsidR="00822C77" w:rsidRPr="003A41DE">
        <w:rPr>
          <w:rFonts w:ascii="Garamond" w:hAnsi="Garamond"/>
          <w:sz w:val="20"/>
          <w:szCs w:val="20"/>
        </w:rPr>
        <w:t>direktivën e Këshillit 92/13/</w:t>
      </w:r>
      <w:proofErr w:type="spellStart"/>
      <w:r w:rsidR="00822C77" w:rsidRPr="003A41DE">
        <w:rPr>
          <w:rFonts w:ascii="Garamond" w:hAnsi="Garamond"/>
          <w:sz w:val="20"/>
          <w:szCs w:val="20"/>
        </w:rPr>
        <w:t>KEE</w:t>
      </w:r>
      <w:proofErr w:type="spellEnd"/>
      <w:r w:rsidR="00822C77" w:rsidRPr="003A41DE">
        <w:rPr>
          <w:rFonts w:ascii="Garamond" w:hAnsi="Garamond"/>
          <w:sz w:val="20"/>
          <w:szCs w:val="20"/>
        </w:rPr>
        <w:t>, datë 25 shkurt 1992, “Mbi koordinimin e ligjeve, rregulloreve dhe dispozitave administrative</w:t>
      </w:r>
      <w:r>
        <w:rPr>
          <w:rFonts w:ascii="Garamond" w:hAnsi="Garamond"/>
          <w:sz w:val="20"/>
          <w:szCs w:val="20"/>
        </w:rPr>
        <w:t>,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në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lidhje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me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zbatimin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e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rregullave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të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Komunitetit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për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procedurat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e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prokurimit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të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enteve,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që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veprojnë</w:t>
      </w:r>
      <w:r w:rsidR="00822C77" w:rsidRPr="003A41DE">
        <w:rPr>
          <w:rFonts w:ascii="Garamond" w:hAnsi="Garamond"/>
          <w:spacing w:val="-5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në sektorët</w:t>
      </w:r>
      <w:r w:rsidR="00822C77" w:rsidRPr="003A41DE">
        <w:rPr>
          <w:rFonts w:ascii="Garamond" w:hAnsi="Garamond"/>
          <w:spacing w:val="-7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e</w:t>
      </w:r>
      <w:r w:rsidR="00822C77" w:rsidRPr="003A41DE">
        <w:rPr>
          <w:rFonts w:ascii="Garamond" w:hAnsi="Garamond"/>
          <w:spacing w:val="-1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ujit,</w:t>
      </w:r>
      <w:r w:rsidR="00822C77" w:rsidRPr="003A41DE">
        <w:rPr>
          <w:rFonts w:ascii="Garamond" w:hAnsi="Garamond"/>
          <w:spacing w:val="-1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energjisë,</w:t>
      </w:r>
      <w:r w:rsidR="00822C77" w:rsidRPr="003A41DE">
        <w:rPr>
          <w:rFonts w:ascii="Garamond" w:hAnsi="Garamond"/>
          <w:spacing w:val="-1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transportit</w:t>
      </w:r>
      <w:r w:rsidR="00822C77" w:rsidRPr="003A41DE">
        <w:rPr>
          <w:rFonts w:ascii="Garamond" w:hAnsi="Garamond"/>
          <w:spacing w:val="-1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dhe</w:t>
      </w:r>
      <w:r w:rsidR="00822C77" w:rsidRPr="003A41DE">
        <w:rPr>
          <w:rFonts w:ascii="Garamond" w:hAnsi="Garamond"/>
          <w:spacing w:val="-1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telekomunikacionit”,</w:t>
      </w:r>
      <w:r w:rsidR="00822C77" w:rsidRPr="003A41DE">
        <w:rPr>
          <w:rFonts w:ascii="Garamond" w:hAnsi="Garamond"/>
          <w:spacing w:val="-1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me</w:t>
      </w:r>
      <w:r w:rsidR="00822C77" w:rsidRPr="003A41DE">
        <w:rPr>
          <w:rFonts w:ascii="Garamond" w:hAnsi="Garamond"/>
          <w:spacing w:val="-1"/>
          <w:sz w:val="20"/>
          <w:szCs w:val="20"/>
        </w:rPr>
        <w:t xml:space="preserve"> </w:t>
      </w:r>
      <w:proofErr w:type="spellStart"/>
      <w:r w:rsidR="00822C77" w:rsidRPr="003A41DE">
        <w:rPr>
          <w:rFonts w:ascii="Garamond" w:hAnsi="Garamond"/>
          <w:sz w:val="20"/>
          <w:szCs w:val="20"/>
        </w:rPr>
        <w:t>CELEX</w:t>
      </w:r>
      <w:proofErr w:type="spellEnd"/>
      <w:r w:rsidR="00822C77" w:rsidRPr="003A41DE">
        <w:rPr>
          <w:rFonts w:ascii="Garamond" w:hAnsi="Garamond"/>
          <w:spacing w:val="-13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31992L0013, Fletorja</w:t>
      </w:r>
      <w:r w:rsidR="00822C77" w:rsidRPr="003A41DE">
        <w:rPr>
          <w:rFonts w:ascii="Garamond" w:hAnsi="Garamond"/>
          <w:spacing w:val="-1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Zyrtare</w:t>
      </w:r>
      <w:r w:rsidR="00822C77" w:rsidRPr="003A41DE">
        <w:rPr>
          <w:rFonts w:ascii="Garamond" w:hAnsi="Garamond"/>
          <w:spacing w:val="-1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e</w:t>
      </w:r>
      <w:r w:rsidR="00822C77" w:rsidRPr="003A41DE">
        <w:rPr>
          <w:rFonts w:ascii="Garamond" w:hAnsi="Garamond"/>
          <w:spacing w:val="-1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Bashkimit Evropian,</w:t>
      </w:r>
      <w:r w:rsidR="00822C77" w:rsidRPr="003A41DE">
        <w:rPr>
          <w:rFonts w:ascii="Garamond" w:hAnsi="Garamond"/>
          <w:spacing w:val="-10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seria</w:t>
      </w:r>
      <w:r w:rsidR="00822C77" w:rsidRPr="003A41DE">
        <w:rPr>
          <w:rFonts w:ascii="Garamond" w:hAnsi="Garamond"/>
          <w:spacing w:val="-10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L,</w:t>
      </w:r>
      <w:r w:rsidR="00822C77" w:rsidRPr="003A41DE">
        <w:rPr>
          <w:rFonts w:ascii="Garamond" w:hAnsi="Garamond"/>
          <w:spacing w:val="-10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nr.</w:t>
      </w:r>
      <w:r>
        <w:rPr>
          <w:rFonts w:ascii="Garamond" w:hAnsi="Garamond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76,</w:t>
      </w:r>
      <w:r w:rsidR="00822C77" w:rsidRPr="003A41DE">
        <w:rPr>
          <w:rFonts w:ascii="Garamond" w:hAnsi="Garamond"/>
          <w:spacing w:val="-10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datë</w:t>
      </w:r>
      <w:r w:rsidR="00822C77" w:rsidRPr="003A41DE">
        <w:rPr>
          <w:rFonts w:ascii="Garamond" w:hAnsi="Garamond"/>
          <w:spacing w:val="-10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23.3.1992,</w:t>
      </w:r>
      <w:r w:rsidR="00822C77" w:rsidRPr="003A41DE">
        <w:rPr>
          <w:rFonts w:ascii="Garamond" w:hAnsi="Garamond"/>
          <w:spacing w:val="-10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faqe</w:t>
      </w:r>
      <w:r w:rsidR="00822C77" w:rsidRPr="003A41DE">
        <w:rPr>
          <w:rFonts w:ascii="Garamond" w:hAnsi="Garamond"/>
          <w:spacing w:val="-10"/>
          <w:sz w:val="20"/>
          <w:szCs w:val="20"/>
        </w:rPr>
        <w:t xml:space="preserve"> </w:t>
      </w:r>
      <w:r w:rsidR="00822C77" w:rsidRPr="003A41DE">
        <w:rPr>
          <w:rFonts w:ascii="Garamond" w:hAnsi="Garamond"/>
          <w:sz w:val="20"/>
          <w:szCs w:val="20"/>
        </w:rPr>
        <w:t>14–20.</w:t>
      </w:r>
    </w:p>
    <w:p w14:paraId="27EAEA6D" w14:textId="77777777" w:rsidR="00822C77" w:rsidRPr="004C5D4A" w:rsidRDefault="00822C77" w:rsidP="003A41DE">
      <w:pPr>
        <w:pStyle w:val="FootnoteTex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04FE9"/>
    <w:multiLevelType w:val="hybridMultilevel"/>
    <w:tmpl w:val="FB5224BE"/>
    <w:lvl w:ilvl="0" w:tplc="0409000F">
      <w:start w:val="1"/>
      <w:numFmt w:val="decimal"/>
      <w:lvlText w:val="%1."/>
      <w:lvlJc w:val="left"/>
      <w:pPr>
        <w:ind w:left="0" w:hanging="304"/>
        <w:jc w:val="left"/>
      </w:pPr>
      <w:rPr>
        <w:rFonts w:hint="default"/>
        <w:b w:val="0"/>
        <w:bCs w:val="0"/>
        <w:i w:val="0"/>
        <w:iCs w:val="0"/>
        <w:spacing w:val="0"/>
        <w:w w:val="100"/>
        <w:sz w:val="28"/>
        <w:szCs w:val="28"/>
        <w:lang w:val="sq-AL" w:eastAsia="en-US" w:bidi="ar-SA"/>
      </w:rPr>
    </w:lvl>
    <w:lvl w:ilvl="1" w:tplc="08090017">
      <w:start w:val="1"/>
      <w:numFmt w:val="lowerLetter"/>
      <w:lvlText w:val="%2)"/>
      <w:lvlJc w:val="left"/>
      <w:pPr>
        <w:ind w:left="643" w:hanging="360"/>
      </w:pPr>
    </w:lvl>
    <w:lvl w:ilvl="2" w:tplc="9424A82A">
      <w:numFmt w:val="bullet"/>
      <w:lvlText w:val="•"/>
      <w:lvlJc w:val="left"/>
      <w:pPr>
        <w:ind w:left="1502" w:hanging="228"/>
      </w:pPr>
      <w:rPr>
        <w:rFonts w:hint="default"/>
        <w:lang w:val="sq-AL" w:eastAsia="en-US" w:bidi="ar-SA"/>
      </w:rPr>
    </w:lvl>
    <w:lvl w:ilvl="3" w:tplc="D0A26DB4">
      <w:numFmt w:val="bullet"/>
      <w:lvlText w:val="•"/>
      <w:lvlJc w:val="left"/>
      <w:pPr>
        <w:ind w:left="2484" w:hanging="228"/>
      </w:pPr>
      <w:rPr>
        <w:rFonts w:hint="default"/>
        <w:lang w:val="sq-AL" w:eastAsia="en-US" w:bidi="ar-SA"/>
      </w:rPr>
    </w:lvl>
    <w:lvl w:ilvl="4" w:tplc="2CB0D5C4">
      <w:numFmt w:val="bullet"/>
      <w:lvlText w:val="•"/>
      <w:lvlJc w:val="left"/>
      <w:pPr>
        <w:ind w:left="3466" w:hanging="228"/>
      </w:pPr>
      <w:rPr>
        <w:rFonts w:hint="default"/>
        <w:lang w:val="sq-AL" w:eastAsia="en-US" w:bidi="ar-SA"/>
      </w:rPr>
    </w:lvl>
    <w:lvl w:ilvl="5" w:tplc="48B845C0">
      <w:numFmt w:val="bullet"/>
      <w:lvlText w:val="•"/>
      <w:lvlJc w:val="left"/>
      <w:pPr>
        <w:ind w:left="4448" w:hanging="228"/>
      </w:pPr>
      <w:rPr>
        <w:rFonts w:hint="default"/>
        <w:lang w:val="sq-AL" w:eastAsia="en-US" w:bidi="ar-SA"/>
      </w:rPr>
    </w:lvl>
    <w:lvl w:ilvl="6" w:tplc="4AB0C804">
      <w:numFmt w:val="bullet"/>
      <w:lvlText w:val="•"/>
      <w:lvlJc w:val="left"/>
      <w:pPr>
        <w:ind w:left="5431" w:hanging="228"/>
      </w:pPr>
      <w:rPr>
        <w:rFonts w:hint="default"/>
        <w:lang w:val="sq-AL" w:eastAsia="en-US" w:bidi="ar-SA"/>
      </w:rPr>
    </w:lvl>
    <w:lvl w:ilvl="7" w:tplc="F8DE2790">
      <w:numFmt w:val="bullet"/>
      <w:lvlText w:val="•"/>
      <w:lvlJc w:val="left"/>
      <w:pPr>
        <w:ind w:left="6413" w:hanging="228"/>
      </w:pPr>
      <w:rPr>
        <w:rFonts w:hint="default"/>
        <w:lang w:val="sq-AL" w:eastAsia="en-US" w:bidi="ar-SA"/>
      </w:rPr>
    </w:lvl>
    <w:lvl w:ilvl="8" w:tplc="192400C8">
      <w:numFmt w:val="bullet"/>
      <w:lvlText w:val="•"/>
      <w:lvlJc w:val="left"/>
      <w:pPr>
        <w:ind w:left="7395" w:hanging="228"/>
      </w:pPr>
      <w:rPr>
        <w:rFonts w:hint="default"/>
        <w:lang w:val="sq-AL" w:eastAsia="en-US" w:bidi="ar-SA"/>
      </w:rPr>
    </w:lvl>
  </w:abstractNum>
  <w:abstractNum w:abstractNumId="1" w15:restartNumberingAfterBreak="0">
    <w:nsid w:val="509D4C9A"/>
    <w:multiLevelType w:val="hybridMultilevel"/>
    <w:tmpl w:val="FDFE8CBE"/>
    <w:lvl w:ilvl="0" w:tplc="BFE401C6">
      <w:numFmt w:val="bullet"/>
      <w:lvlText w:val="-"/>
      <w:lvlJc w:val="left"/>
      <w:pPr>
        <w:ind w:left="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0"/>
        <w:szCs w:val="20"/>
        <w:lang w:val="sq-AL" w:eastAsia="en-US" w:bidi="ar-SA"/>
      </w:rPr>
    </w:lvl>
    <w:lvl w:ilvl="1" w:tplc="46A69E4C">
      <w:numFmt w:val="bullet"/>
      <w:lvlText w:val="•"/>
      <w:lvlJc w:val="left"/>
      <w:pPr>
        <w:ind w:left="936" w:hanging="117"/>
      </w:pPr>
      <w:rPr>
        <w:rFonts w:hint="default"/>
        <w:lang w:val="sq-AL" w:eastAsia="en-US" w:bidi="ar-SA"/>
      </w:rPr>
    </w:lvl>
    <w:lvl w:ilvl="2" w:tplc="5A9CABB0">
      <w:numFmt w:val="bullet"/>
      <w:lvlText w:val="•"/>
      <w:lvlJc w:val="left"/>
      <w:pPr>
        <w:ind w:left="1872" w:hanging="117"/>
      </w:pPr>
      <w:rPr>
        <w:rFonts w:hint="default"/>
        <w:lang w:val="sq-AL" w:eastAsia="en-US" w:bidi="ar-SA"/>
      </w:rPr>
    </w:lvl>
    <w:lvl w:ilvl="3" w:tplc="27B6FA2E">
      <w:numFmt w:val="bullet"/>
      <w:lvlText w:val="•"/>
      <w:lvlJc w:val="left"/>
      <w:pPr>
        <w:ind w:left="2808" w:hanging="117"/>
      </w:pPr>
      <w:rPr>
        <w:rFonts w:hint="default"/>
        <w:lang w:val="sq-AL" w:eastAsia="en-US" w:bidi="ar-SA"/>
      </w:rPr>
    </w:lvl>
    <w:lvl w:ilvl="4" w:tplc="6694CA6C">
      <w:numFmt w:val="bullet"/>
      <w:lvlText w:val="•"/>
      <w:lvlJc w:val="left"/>
      <w:pPr>
        <w:ind w:left="3744" w:hanging="117"/>
      </w:pPr>
      <w:rPr>
        <w:rFonts w:hint="default"/>
        <w:lang w:val="sq-AL" w:eastAsia="en-US" w:bidi="ar-SA"/>
      </w:rPr>
    </w:lvl>
    <w:lvl w:ilvl="5" w:tplc="14AA3DFE">
      <w:numFmt w:val="bullet"/>
      <w:lvlText w:val="•"/>
      <w:lvlJc w:val="left"/>
      <w:pPr>
        <w:ind w:left="4680" w:hanging="117"/>
      </w:pPr>
      <w:rPr>
        <w:rFonts w:hint="default"/>
        <w:lang w:val="sq-AL" w:eastAsia="en-US" w:bidi="ar-SA"/>
      </w:rPr>
    </w:lvl>
    <w:lvl w:ilvl="6" w:tplc="B5D65A06">
      <w:numFmt w:val="bullet"/>
      <w:lvlText w:val="•"/>
      <w:lvlJc w:val="left"/>
      <w:pPr>
        <w:ind w:left="5616" w:hanging="117"/>
      </w:pPr>
      <w:rPr>
        <w:rFonts w:hint="default"/>
        <w:lang w:val="sq-AL" w:eastAsia="en-US" w:bidi="ar-SA"/>
      </w:rPr>
    </w:lvl>
    <w:lvl w:ilvl="7" w:tplc="00E81994">
      <w:numFmt w:val="bullet"/>
      <w:lvlText w:val="•"/>
      <w:lvlJc w:val="left"/>
      <w:pPr>
        <w:ind w:left="6552" w:hanging="117"/>
      </w:pPr>
      <w:rPr>
        <w:rFonts w:hint="default"/>
        <w:lang w:val="sq-AL" w:eastAsia="en-US" w:bidi="ar-SA"/>
      </w:rPr>
    </w:lvl>
    <w:lvl w:ilvl="8" w:tplc="B908D916">
      <w:numFmt w:val="bullet"/>
      <w:lvlText w:val="•"/>
      <w:lvlJc w:val="left"/>
      <w:pPr>
        <w:ind w:left="7488" w:hanging="117"/>
      </w:pPr>
      <w:rPr>
        <w:rFonts w:hint="default"/>
        <w:lang w:val="sq-AL" w:eastAsia="en-US" w:bidi="ar-SA"/>
      </w:rPr>
    </w:lvl>
  </w:abstractNum>
  <w:abstractNum w:abstractNumId="2" w15:restartNumberingAfterBreak="0">
    <w:nsid w:val="55EA3913"/>
    <w:multiLevelType w:val="hybridMultilevel"/>
    <w:tmpl w:val="F2C89F66"/>
    <w:lvl w:ilvl="0" w:tplc="172435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4D"/>
    <w:rsid w:val="00015D04"/>
    <w:rsid w:val="000614C9"/>
    <w:rsid w:val="000769F9"/>
    <w:rsid w:val="0008660E"/>
    <w:rsid w:val="000A531D"/>
    <w:rsid w:val="0012317E"/>
    <w:rsid w:val="00196002"/>
    <w:rsid w:val="001A5890"/>
    <w:rsid w:val="001F2E2E"/>
    <w:rsid w:val="001F4C9E"/>
    <w:rsid w:val="00205E4D"/>
    <w:rsid w:val="0022324B"/>
    <w:rsid w:val="002752E1"/>
    <w:rsid w:val="002C3651"/>
    <w:rsid w:val="002C42C1"/>
    <w:rsid w:val="002C52F9"/>
    <w:rsid w:val="002D0EC2"/>
    <w:rsid w:val="002E7931"/>
    <w:rsid w:val="0030423A"/>
    <w:rsid w:val="003049F1"/>
    <w:rsid w:val="00330D97"/>
    <w:rsid w:val="003A41DE"/>
    <w:rsid w:val="003A4932"/>
    <w:rsid w:val="003C2F7E"/>
    <w:rsid w:val="004A3234"/>
    <w:rsid w:val="004C5D4A"/>
    <w:rsid w:val="00510173"/>
    <w:rsid w:val="005C229B"/>
    <w:rsid w:val="005C34AB"/>
    <w:rsid w:val="005F6E6C"/>
    <w:rsid w:val="006039C2"/>
    <w:rsid w:val="00605818"/>
    <w:rsid w:val="00615FE3"/>
    <w:rsid w:val="00617BF1"/>
    <w:rsid w:val="00636021"/>
    <w:rsid w:val="00642C3D"/>
    <w:rsid w:val="0064526A"/>
    <w:rsid w:val="006B424A"/>
    <w:rsid w:val="00747C03"/>
    <w:rsid w:val="00764B71"/>
    <w:rsid w:val="00787750"/>
    <w:rsid w:val="007C0C6E"/>
    <w:rsid w:val="007C2E70"/>
    <w:rsid w:val="00817A77"/>
    <w:rsid w:val="00822C77"/>
    <w:rsid w:val="00881B8B"/>
    <w:rsid w:val="008E0233"/>
    <w:rsid w:val="00942D93"/>
    <w:rsid w:val="00970F78"/>
    <w:rsid w:val="009A5363"/>
    <w:rsid w:val="00A25127"/>
    <w:rsid w:val="00A72E85"/>
    <w:rsid w:val="00A7530D"/>
    <w:rsid w:val="00AA309C"/>
    <w:rsid w:val="00AE0AB7"/>
    <w:rsid w:val="00AF5EBA"/>
    <w:rsid w:val="00B7289E"/>
    <w:rsid w:val="00BF451B"/>
    <w:rsid w:val="00C11BE3"/>
    <w:rsid w:val="00C5014D"/>
    <w:rsid w:val="00C750BC"/>
    <w:rsid w:val="00CC4E84"/>
    <w:rsid w:val="00CC5F1C"/>
    <w:rsid w:val="00D01DE7"/>
    <w:rsid w:val="00D335CC"/>
    <w:rsid w:val="00D436A0"/>
    <w:rsid w:val="00D52152"/>
    <w:rsid w:val="00DC5EE5"/>
    <w:rsid w:val="00E927FF"/>
    <w:rsid w:val="00EF634E"/>
    <w:rsid w:val="00F97C3D"/>
    <w:rsid w:val="00FD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88E5CA"/>
  <w15:docId w15:val="{433F0C39-5A40-48C3-97F5-792F1F7CF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firstLine="28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firstLine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15F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5FE3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5F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FE3"/>
    <w:rPr>
      <w:rFonts w:ascii="Times New Roman" w:eastAsia="Times New Roman" w:hAnsi="Times New Roman" w:cs="Times New Roman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15FE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5FE3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15FE3"/>
    <w:rPr>
      <w:vertAlign w:val="superscript"/>
    </w:rPr>
  </w:style>
  <w:style w:type="paragraph" w:styleId="Revision">
    <w:name w:val="Revision"/>
    <w:hidden/>
    <w:uiPriority w:val="99"/>
    <w:semiHidden/>
    <w:rsid w:val="0022324B"/>
    <w:pPr>
      <w:widowControl/>
      <w:autoSpaceDE/>
      <w:autoSpaceDN/>
    </w:pPr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35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35CC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BodyTextChar">
    <w:name w:val="Body Text Char"/>
    <w:basedOn w:val="DefaultParagraphFont"/>
    <w:link w:val="BodyText"/>
    <w:uiPriority w:val="1"/>
    <w:rsid w:val="00822C77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EDB066B40E4EE993A4E4381E84DF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678</Nr_x002e__x0020_akti>
    <Data_x0020_e_x0020_Krijimit xmlns="0e656187-b300-4fb0-8bf4-3a50f872073c">2026-09-15T07:49:06Z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2026-09-14T00:00:00Z</Date_x0020_protokolli>
    <Titulli xmlns="0e656187-b300-4fb0-8bf4-3a50f872073c">Për përcaktimin e rregullave për pavlefshmërinë e kontratave të koncesioneve dhe partneritetit publik privat</Titulli>
    <Modifikuesi xmlns="0e656187-b300-4fb0-8bf4-3a50f872073c">elnejda.cokalli</Modifikuesi>
    <Nr_x002e__x0020_prot_x0020_QBZ xmlns="0e656187-b300-4fb0-8bf4-3a50f872073c">1976</Nr_x002e__x0020_prot_x0020_QBZ>
    <Data_x0020_e_x0020_Modifikimit xmlns="0e656187-b300-4fb0-8bf4-3a50f872073c">2026-09-15T08:09:46Z</Data_x0020_e_x0020_Modifikimit>
    <Dekretuar xmlns="0e656187-b300-4fb0-8bf4-3a50f872073c">false</Dekretuar>
    <Data xmlns="0e656187-b300-4fb0-8bf4-3a50f872073c">2026-09-11T00:00:00Z</Data>
    <Nr_x002e__x0020_protokolli_x0020_i_x0020_aktit xmlns="0e656187-b300-4fb0-8bf4-3a50f872073c">4938/4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934E4-9C90-426C-B827-7949FCA1B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D1D2FD9-4EB0-463F-AE13-7DCD0BF805F4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D8E6D1C-B803-4977-ADB9-46B2D2ED82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C8AFEB-A17E-48D0-BFF5-AC73816B48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për pavlefshmërinë e kontratave të koncesioneve dhe partneritetit publik privat</vt:lpstr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për pavlefshmërinë e kontratave të koncesioneve dhe partneritetit publik privat</dc:title>
  <dc:creator>Lenovo</dc:creator>
  <cp:lastModifiedBy>fjora.cahani</cp:lastModifiedBy>
  <cp:revision>2</cp:revision>
  <cp:lastPrinted>2026-09-10T15:07:00Z</cp:lastPrinted>
  <dcterms:created xsi:type="dcterms:W3CDTF">2026-09-15T08:59:00Z</dcterms:created>
  <dcterms:modified xsi:type="dcterms:W3CDTF">2026-09-15T08:59:00Z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2022-08-03T00:00:00Z</vt:filetime>
  </property>
  <property fmtid="{D5CDD505-2E9C-101B-9397-08002B2CF9AE}" pid="3" name="Creator">
    <vt:lpwstr>ONLYOFFICE</vt:lpwstr>
  </property>
  <property fmtid="{D5CDD505-2E9C-101B-9397-08002B2CF9AE}" pid="4" name="LastSaved">
    <vt:filetime>2026-04-03T00:00:00Z</vt:filetime>
  </property>
  <property fmtid="{D5CDD505-2E9C-101B-9397-08002B2CF9AE}" pid="5" name="Producer">
    <vt:lpwstr>Ascensio System SIA Copyright (c) 2018</vt:lpwstr>
  </property>
</Properties>
</file>