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FD" w:rsidRPr="009B6E99" w:rsidRDefault="001803FD" w:rsidP="001803F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1803FD" w:rsidRPr="009B6E99" w:rsidRDefault="001803FD" w:rsidP="001803FD">
      <w:pPr>
        <w:pStyle w:val="NumriData"/>
        <w:keepNext w:val="0"/>
        <w:rPr>
          <w:rFonts w:eastAsia="Arial Unicode MS"/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Nr.486, datë 17.7.2006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</w:p>
    <w:p w:rsidR="001803FD" w:rsidRPr="009B6E99" w:rsidRDefault="001803FD" w:rsidP="001803FD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>PËR DHËNIE LICENCE</w:t>
      </w:r>
    </w:p>
    <w:p w:rsidR="001803FD" w:rsidRPr="009B6E99" w:rsidRDefault="001803FD" w:rsidP="001803FD">
      <w:pPr>
        <w:pStyle w:val="TitulliTitull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PËR TELEVIZIONIN KABLLOR PRIVAT “ERZENI”   </w:t>
      </w:r>
    </w:p>
    <w:p w:rsidR="001803FD" w:rsidRPr="009B6E99" w:rsidRDefault="001803FD" w:rsidP="001803FD">
      <w:pPr>
        <w:pStyle w:val="TitulliTitull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SUBJEKTIT FIZIK:  SHKËLQIM BËRHAMI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ligjit nr.8410, datë 30.9.1998 “Për radion dhe televizionin publik e privat në Republikën e Shqipërisë”, rregullores “Mbi procedurat e licencimit të operatorëve privatë radio e televizivë”, të miratuar me vendimin e KKRT-së nr.375, datë 30.11.2005, rregullores “Për licencimin e operatorëve radiotelevizive të transmetimeve me kabëll”, të miratuar me vendimin e KKRT-së nr.221, datë 30.03.2004, Këshilli Kombëtar i Radios dhe Televizionit 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</w:p>
    <w:p w:rsidR="001803FD" w:rsidRPr="009B6E99" w:rsidRDefault="001803FD" w:rsidP="001803FD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1803FD" w:rsidRPr="009B6E99" w:rsidRDefault="001803FD" w:rsidP="001803FD">
      <w:pPr>
        <w:pStyle w:val="Paragrafi"/>
        <w:rPr>
          <w:rFonts w:eastAsia="Arial Unicode MS"/>
          <w:sz w:val="21"/>
          <w:szCs w:val="21"/>
          <w:lang w:val="de-DE"/>
        </w:rPr>
      </w:pP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T’i japë subjektit fizik, z. Shkëlqim Bërhami, licencë, duke e autorizuar të funksionojë si operator televiziv kabllor privat, në fushën e transmetimeve të televizionit me kabëll, për një periudhë prej 6 vjetësh nga data e hyrjes në fuqi të licencës, për të penetruar në qytetin e Shijakut.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Në aneksin e licencës jepen kushtet e saj, ku përfshihen struktura programore, zonat e penetrimit, kushtet teknike dhe tarifat.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pas botimit në Fletoren Zyrtare.</w:t>
      </w:r>
    </w:p>
    <w:p w:rsidR="001803FD" w:rsidRPr="009B6E99" w:rsidRDefault="001803FD" w:rsidP="001803FD">
      <w:pPr>
        <w:pStyle w:val="Paragrafi"/>
        <w:ind w:firstLine="0"/>
        <w:rPr>
          <w:sz w:val="21"/>
          <w:szCs w:val="21"/>
          <w:lang w:val="de-DE"/>
        </w:rPr>
      </w:pPr>
    </w:p>
    <w:p w:rsidR="001803FD" w:rsidRPr="009B6E99" w:rsidRDefault="001803FD" w:rsidP="001803FD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1803FD" w:rsidRPr="009B6E99" w:rsidRDefault="001803FD" w:rsidP="001803FD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1803FD" w:rsidRPr="009B6E99" w:rsidRDefault="001803FD" w:rsidP="001803FD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03F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77FE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D48EA-68EE-40C2-ABB3-176B4AFF6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803F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03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