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F03" w:rsidRPr="006E3847" w:rsidRDefault="00BC4F03" w:rsidP="00BC4F03">
      <w:pPr>
        <w:pStyle w:val="Akti"/>
        <w:keepNext w:val="0"/>
      </w:pPr>
      <w:bookmarkStart w:id="0" w:name="_GoBack"/>
      <w:bookmarkEnd w:id="0"/>
      <w:r w:rsidRPr="006E3847">
        <w:t>UDHËZIM</w:t>
      </w:r>
    </w:p>
    <w:p w:rsidR="00BC4F03" w:rsidRDefault="00BC4F03" w:rsidP="00BC4F03">
      <w:pPr>
        <w:pStyle w:val="NumriData"/>
        <w:keepNext w:val="0"/>
      </w:pPr>
      <w:r>
        <w:t>Nr.6, datë 5.10.2006</w:t>
      </w:r>
    </w:p>
    <w:p w:rsidR="00BC4F03" w:rsidRPr="00773290" w:rsidRDefault="00BC4F03" w:rsidP="00BC4F03">
      <w:pPr>
        <w:pStyle w:val="Paragrafi"/>
        <w:rPr>
          <w:sz w:val="18"/>
        </w:rPr>
      </w:pPr>
    </w:p>
    <w:p w:rsidR="00BC4F03" w:rsidRPr="006E3847" w:rsidRDefault="00BC4F03" w:rsidP="00BC4F03">
      <w:pPr>
        <w:pStyle w:val="Titulli"/>
        <w:keepNext w:val="0"/>
      </w:pPr>
      <w:r w:rsidRPr="006E3847">
        <w:t>PËR</w:t>
      </w:r>
      <w:r>
        <w:t xml:space="preserve"> </w:t>
      </w:r>
      <w:r w:rsidRPr="006E3847">
        <w:t>PROCEDURAT DHE KRITERET E AKREDITIMIT TË VËZHGUESVE TË SUBJEKTEVE ZGJEDHORE NË KZQV, KQV DHE VNV, NGA KZQV-JA, PËR ZGJEDHJET PËR ORGANET E QEVERISJES  VENDORE</w:t>
      </w:r>
    </w:p>
    <w:p w:rsidR="00BC4F03" w:rsidRPr="00773290" w:rsidRDefault="00BC4F03" w:rsidP="00BC4F03">
      <w:pPr>
        <w:pStyle w:val="Paragrafi"/>
        <w:rPr>
          <w:sz w:val="18"/>
        </w:rPr>
      </w:pPr>
    </w:p>
    <w:p w:rsidR="00BC4F03" w:rsidRPr="006E3847" w:rsidRDefault="00BC4F03" w:rsidP="00BC4F03">
      <w:pPr>
        <w:pStyle w:val="Paragrafi"/>
      </w:pPr>
      <w:r w:rsidRPr="006E3847">
        <w:t>Komisioni Qendror i Zgjedhjeve, në mbështetje të nenit 18 pika 2, 3, 4, 5 dhe 6, nenit 19</w:t>
      </w:r>
      <w:r>
        <w:t xml:space="preserve"> dhe nenit 29 pika 1 të ligjit nr.9087, datë 19.</w:t>
      </w:r>
      <w:r w:rsidRPr="006E3847">
        <w:t>6.2003 “Kodi Zgjedhor i Republik</w:t>
      </w:r>
      <w:r>
        <w:t>ës së Shqipërisë”, i ndryshuar</w:t>
      </w:r>
      <w:r w:rsidRPr="006E3847">
        <w:t xml:space="preserve">, </w:t>
      </w:r>
    </w:p>
    <w:p w:rsidR="00BC4F03" w:rsidRPr="00773290" w:rsidRDefault="00BC4F03" w:rsidP="00BC4F03">
      <w:pPr>
        <w:pStyle w:val="Paragrafi"/>
        <w:rPr>
          <w:sz w:val="18"/>
        </w:rPr>
      </w:pPr>
    </w:p>
    <w:p w:rsidR="00BC4F03" w:rsidRPr="006E3847" w:rsidRDefault="00BC4F03" w:rsidP="00BC4F03">
      <w:pPr>
        <w:pStyle w:val="VENDOSI"/>
        <w:keepNext w:val="0"/>
      </w:pPr>
      <w:r w:rsidRPr="006E3847">
        <w:t>Udhëzon:</w:t>
      </w:r>
    </w:p>
    <w:p w:rsidR="00BC4F03" w:rsidRPr="00773290" w:rsidRDefault="00BC4F03" w:rsidP="00BC4F03">
      <w:pPr>
        <w:pStyle w:val="Paragrafi"/>
        <w:rPr>
          <w:sz w:val="18"/>
        </w:rPr>
      </w:pPr>
    </w:p>
    <w:p w:rsidR="00BC4F03" w:rsidRPr="006E3847" w:rsidRDefault="00BC4F03" w:rsidP="00BC4F03">
      <w:pPr>
        <w:pStyle w:val="NeniNr"/>
        <w:keepNext w:val="0"/>
      </w:pPr>
      <w:r w:rsidRPr="006E3847">
        <w:t>Neni 1</w:t>
      </w:r>
    </w:p>
    <w:p w:rsidR="00BC4F03" w:rsidRPr="006E3847" w:rsidRDefault="00BC4F03" w:rsidP="00BC4F03">
      <w:pPr>
        <w:pStyle w:val="NeniTitull"/>
        <w:keepNext w:val="0"/>
      </w:pPr>
      <w:r w:rsidRPr="006E3847">
        <w:t>Qëllimi</w:t>
      </w:r>
    </w:p>
    <w:p w:rsidR="00BC4F03" w:rsidRPr="00773290" w:rsidRDefault="00BC4F03" w:rsidP="00BC4F03">
      <w:pPr>
        <w:pStyle w:val="Paragrafi"/>
        <w:rPr>
          <w:sz w:val="18"/>
        </w:rPr>
      </w:pPr>
    </w:p>
    <w:p w:rsidR="00BC4F03" w:rsidRPr="006E3847" w:rsidRDefault="00BC4F03" w:rsidP="00BC4F03">
      <w:pPr>
        <w:pStyle w:val="Paragrafi"/>
      </w:pPr>
      <w:r w:rsidRPr="006E3847">
        <w:t>Ky udhëzim ka për qëllim të përcaktojë procedurat dhe kriteret e akreditimit të vëzhguesve të subjekteve zgjedhore në Komisionin</w:t>
      </w:r>
      <w:r>
        <w:t xml:space="preserve"> e Zgjedhjeve për Qeverisjen Ven</w:t>
      </w:r>
      <w:r w:rsidRPr="006E3847">
        <w:t>dore (KZQV), Komisionin e Qendrës së Votimit (KQV) dhe në Vendin e Numërimit të Votave (VNV), nga Komisioni i Zgjedhjeve për Qeverisjen Vendore për Zgjedhjet për Organet e Qeverisjes Vendore.</w:t>
      </w:r>
    </w:p>
    <w:p w:rsidR="00BC4F03" w:rsidRPr="00773290" w:rsidRDefault="00BC4F03" w:rsidP="00BC4F03">
      <w:pPr>
        <w:pStyle w:val="Paragrafi"/>
        <w:rPr>
          <w:sz w:val="18"/>
        </w:rPr>
      </w:pPr>
    </w:p>
    <w:p w:rsidR="00BC4F03" w:rsidRPr="006E3847" w:rsidRDefault="00BC4F03" w:rsidP="00BC4F03">
      <w:pPr>
        <w:pStyle w:val="NeniNr"/>
        <w:keepNext w:val="0"/>
      </w:pPr>
      <w:r w:rsidRPr="006E3847">
        <w:t>Neni 2</w:t>
      </w:r>
    </w:p>
    <w:p w:rsidR="00BC4F03" w:rsidRPr="006E3847" w:rsidRDefault="00BC4F03" w:rsidP="00BC4F03">
      <w:pPr>
        <w:pStyle w:val="NeniTitull"/>
        <w:keepNext w:val="0"/>
      </w:pPr>
      <w:r w:rsidRPr="006E3847">
        <w:t xml:space="preserve">E drejta për të caktuar vëzhgues </w:t>
      </w:r>
    </w:p>
    <w:p w:rsidR="00BC4F03" w:rsidRPr="00773290" w:rsidRDefault="00BC4F03" w:rsidP="00BC4F03">
      <w:pPr>
        <w:pStyle w:val="Paragrafi"/>
        <w:rPr>
          <w:sz w:val="18"/>
        </w:rPr>
      </w:pPr>
    </w:p>
    <w:p w:rsidR="00BC4F03" w:rsidRPr="006E3847" w:rsidRDefault="00BC4F03" w:rsidP="00BC4F03">
      <w:pPr>
        <w:pStyle w:val="Paragrafi"/>
      </w:pPr>
      <w:r>
        <w:t xml:space="preserve">1. </w:t>
      </w:r>
      <w:r w:rsidRPr="006E3847">
        <w:t>Çdo parti politike/koalicion i regjistruar në KQZ si subjekt zgjedhor, ka të drejtë të caktojë nga një vëzhgues në KZQV, KQV dhe në VNV, pas regjistrimit të një kandidati për njësinë zgjedhore përkatëse ose pasi ka paraqitur listë shumemërore.</w:t>
      </w:r>
    </w:p>
    <w:p w:rsidR="00BC4F03" w:rsidRPr="006E3847" w:rsidRDefault="00BC4F03" w:rsidP="00BC4F03">
      <w:pPr>
        <w:pStyle w:val="Paragrafi"/>
      </w:pPr>
      <w:r w:rsidRPr="006E3847">
        <w:t>2.</w:t>
      </w:r>
      <w:r>
        <w:t xml:space="preserve"> </w:t>
      </w:r>
      <w:r w:rsidRPr="006E3847">
        <w:t>Për partitë politike që paraqiten në zgjedhje si koalicion, të drejtën për të caktuar vëzhgues e ka vetëm koalicioni.</w:t>
      </w:r>
    </w:p>
    <w:p w:rsidR="00BC4F03" w:rsidRPr="006E3847" w:rsidRDefault="00BC4F03" w:rsidP="00BC4F03">
      <w:pPr>
        <w:pStyle w:val="Paragrafi"/>
      </w:pPr>
      <w:r w:rsidRPr="006E3847">
        <w:t>3.</w:t>
      </w:r>
      <w:r>
        <w:t xml:space="preserve"> </w:t>
      </w:r>
      <w:r w:rsidRPr="006E3847">
        <w:t>Kandidatët e partive politike dhe koalicioneve nuk kanë të drejtë të caktojnë vëzhgues.</w:t>
      </w:r>
    </w:p>
    <w:p w:rsidR="00BC4F03" w:rsidRPr="006E3847" w:rsidRDefault="00BC4F03" w:rsidP="00BC4F03">
      <w:pPr>
        <w:pStyle w:val="Paragrafi"/>
      </w:pPr>
      <w:r w:rsidRPr="006E3847">
        <w:t>4.</w:t>
      </w:r>
      <w:r>
        <w:t xml:space="preserve"> </w:t>
      </w:r>
      <w:r w:rsidRPr="006E3847">
        <w:t>Kandidatët e pavarur në zonat e tyre përkatëse kanë të drejtë të caktojnë nga një vëzhgues në KZQV, KQV dhe në VNV.</w:t>
      </w:r>
    </w:p>
    <w:p w:rsidR="00BC4F03" w:rsidRPr="00773290" w:rsidRDefault="00BC4F03" w:rsidP="00BC4F03">
      <w:pPr>
        <w:pStyle w:val="Paragrafi"/>
        <w:rPr>
          <w:sz w:val="18"/>
        </w:rPr>
      </w:pPr>
    </w:p>
    <w:p w:rsidR="00BC4F03" w:rsidRPr="006E3847" w:rsidRDefault="00BC4F03" w:rsidP="00BC4F03">
      <w:pPr>
        <w:pStyle w:val="NeniNr"/>
        <w:keepNext w:val="0"/>
      </w:pPr>
      <w:r w:rsidRPr="006E3847">
        <w:t>Neni 3</w:t>
      </w:r>
    </w:p>
    <w:p w:rsidR="00BC4F03" w:rsidRPr="006E3847" w:rsidRDefault="00BC4F03" w:rsidP="00BC4F03">
      <w:pPr>
        <w:pStyle w:val="NeniTitull"/>
        <w:keepNext w:val="0"/>
      </w:pPr>
      <w:r w:rsidRPr="006E3847">
        <w:t xml:space="preserve">Akreditimi i vëzhguesve </w:t>
      </w:r>
    </w:p>
    <w:p w:rsidR="00BC4F03" w:rsidRPr="00773290" w:rsidRDefault="00BC4F03" w:rsidP="00BC4F03">
      <w:pPr>
        <w:pStyle w:val="Paragrafi"/>
        <w:rPr>
          <w:sz w:val="18"/>
        </w:rPr>
      </w:pPr>
    </w:p>
    <w:p w:rsidR="00BC4F03" w:rsidRPr="006E3847" w:rsidRDefault="00BC4F03" w:rsidP="00BC4F03">
      <w:pPr>
        <w:pStyle w:val="Paragrafi"/>
      </w:pPr>
      <w:r>
        <w:t xml:space="preserve">1. </w:t>
      </w:r>
      <w:r w:rsidRPr="006E3847">
        <w:t xml:space="preserve">KZQV-ja bën akreditimin e vëzhguesve të subjekteve zgjedhore të parashikuara në nenin 2 të këtij udhëzimi, vetëm për ambientet zgjedhore që përfshihen në territorin </w:t>
      </w:r>
      <w:r>
        <w:t>e njësisë së qeverisjes vendore</w:t>
      </w:r>
      <w:r w:rsidRPr="006E3847">
        <w:t xml:space="preserve">. </w:t>
      </w:r>
    </w:p>
    <w:p w:rsidR="00BC4F03" w:rsidRPr="006E3847" w:rsidRDefault="00BC4F03" w:rsidP="00BC4F03">
      <w:pPr>
        <w:pStyle w:val="Paragrafi"/>
      </w:pPr>
      <w:r w:rsidRPr="006E3847">
        <w:t>2.</w:t>
      </w:r>
      <w:r>
        <w:t xml:space="preserve"> </w:t>
      </w:r>
      <w:r w:rsidRPr="006E3847">
        <w:t>Çdo subjekt zgjedhor mund të kërkojë akreditimin vetëm të një vëzhguesi në KZQV, KQV dhe VNV. Vëzhguesi i subjektit zgjedhor, i akredituar në KZQV, mund të vëz</w:t>
      </w:r>
      <w:r>
        <w:t>hgojë procesin zgjedhor dhe në qendrat e v</w:t>
      </w:r>
      <w:r w:rsidRPr="006E3847">
        <w:t>otimit të kësaj njësie zgjedhore.</w:t>
      </w:r>
    </w:p>
    <w:p w:rsidR="00BC4F03" w:rsidRPr="006E3847" w:rsidRDefault="00BC4F03" w:rsidP="00BC4F03">
      <w:pPr>
        <w:pStyle w:val="Paragrafi"/>
      </w:pPr>
      <w:r w:rsidRPr="006E3847">
        <w:t>3.</w:t>
      </w:r>
      <w:r>
        <w:t xml:space="preserve"> Akreditimi i vëzhguesit në qendrën e v</w:t>
      </w:r>
      <w:r w:rsidRPr="006E3847">
        <w:t>otimit mund të përfshijë një ose më shumë QV. Në asnjë rast, një parti politike, koalicion ose kandidat i pavarur, nuk mund të ketë më shumë se një vëzhgues të pranishëm në një qendër votimi.</w:t>
      </w:r>
    </w:p>
    <w:p w:rsidR="00BC4F03" w:rsidRPr="006E3847" w:rsidRDefault="00BC4F03" w:rsidP="00BC4F03">
      <w:pPr>
        <w:pStyle w:val="Paragrafi"/>
      </w:pPr>
      <w:r w:rsidRPr="006E3847">
        <w:t>4.</w:t>
      </w:r>
      <w:r>
        <w:t xml:space="preserve"> </w:t>
      </w:r>
      <w:r w:rsidRPr="006E3847">
        <w:t xml:space="preserve">Akreditimi i vëzhguesit </w:t>
      </w:r>
      <w:r>
        <w:t>në vendin e numërimit të votave</w:t>
      </w:r>
      <w:r w:rsidRPr="006E3847">
        <w:t xml:space="preserve"> nuk mund të përfshijë më shumë se një VNV. Në çdo rast një subjekt zgjedhor nuk mund të ketë më shumë se një vëzhgues në VNV njëkohësisht. Vëzhguesi i KZQV-së mund të jetë vëzhgues dhe në VNV.</w:t>
      </w:r>
    </w:p>
    <w:p w:rsidR="00BC4F03" w:rsidRPr="00773290" w:rsidRDefault="00BC4F03" w:rsidP="00BC4F03">
      <w:pPr>
        <w:pStyle w:val="Paragrafi"/>
        <w:rPr>
          <w:sz w:val="18"/>
        </w:rPr>
      </w:pPr>
      <w:r w:rsidRPr="006E3847">
        <w:tab/>
      </w:r>
    </w:p>
    <w:p w:rsidR="00BC4F03" w:rsidRPr="006E3847" w:rsidRDefault="00BC4F03" w:rsidP="00BC4F03">
      <w:pPr>
        <w:pStyle w:val="NeniNr"/>
        <w:keepNext w:val="0"/>
      </w:pPr>
      <w:r w:rsidRPr="006E3847">
        <w:t>Neni 4</w:t>
      </w:r>
    </w:p>
    <w:p w:rsidR="00BC4F03" w:rsidRPr="006E3847" w:rsidRDefault="00BC4F03" w:rsidP="00BC4F03">
      <w:pPr>
        <w:pStyle w:val="NeniTitull"/>
        <w:keepNext w:val="0"/>
      </w:pPr>
      <w:r w:rsidRPr="006E3847">
        <w:t>Kushtet për të qenë vëzhgues</w:t>
      </w:r>
    </w:p>
    <w:p w:rsidR="00BC4F03" w:rsidRPr="00773290" w:rsidRDefault="00BC4F03" w:rsidP="00BC4F03">
      <w:pPr>
        <w:pStyle w:val="Paragrafi"/>
        <w:rPr>
          <w:sz w:val="18"/>
        </w:rPr>
      </w:pPr>
    </w:p>
    <w:p w:rsidR="00BC4F03" w:rsidRPr="006E3847" w:rsidRDefault="00BC4F03" w:rsidP="00BC4F03">
      <w:pPr>
        <w:pStyle w:val="Paragrafi"/>
      </w:pPr>
      <w:r w:rsidRPr="006E3847">
        <w:t>Vëzhgues mund të jetë çdo shtetas shqiptar që plotëson kushtet e mëposhtme:</w:t>
      </w:r>
    </w:p>
    <w:p w:rsidR="00BC4F03" w:rsidRPr="006E3847" w:rsidRDefault="00BC4F03" w:rsidP="00BC4F03">
      <w:pPr>
        <w:pStyle w:val="Paragrafi"/>
      </w:pPr>
      <w:r>
        <w:t xml:space="preserve">a) </w:t>
      </w:r>
      <w:r w:rsidRPr="006E3847">
        <w:t>të ketë të drejtën e votës;</w:t>
      </w:r>
    </w:p>
    <w:p w:rsidR="00BC4F03" w:rsidRPr="006E3847" w:rsidRDefault="00BC4F03" w:rsidP="00BC4F03">
      <w:pPr>
        <w:pStyle w:val="Paragrafi"/>
      </w:pPr>
      <w:r>
        <w:t xml:space="preserve">b) </w:t>
      </w:r>
      <w:r w:rsidRPr="006E3847">
        <w:t>të ketë zotësi për të vepruar.</w:t>
      </w:r>
    </w:p>
    <w:p w:rsidR="00BC4F03" w:rsidRPr="006E3847" w:rsidRDefault="00BC4F03" w:rsidP="00BC4F03">
      <w:pPr>
        <w:pStyle w:val="NeniNr"/>
        <w:keepNext w:val="0"/>
      </w:pPr>
      <w:r w:rsidRPr="006E3847">
        <w:t>Neni 5</w:t>
      </w:r>
    </w:p>
    <w:p w:rsidR="00BC4F03" w:rsidRPr="006E3847" w:rsidRDefault="00BC4F03" w:rsidP="00BC4F03">
      <w:pPr>
        <w:pStyle w:val="NeniTitull"/>
        <w:keepNext w:val="0"/>
      </w:pPr>
      <w:r w:rsidRPr="006E3847">
        <w:t>Kërkesa për të caktuar vëzhgues</w:t>
      </w:r>
    </w:p>
    <w:p w:rsidR="00BC4F03" w:rsidRPr="00773290" w:rsidRDefault="00BC4F03" w:rsidP="00BC4F03">
      <w:pPr>
        <w:pStyle w:val="Paragrafi"/>
        <w:rPr>
          <w:sz w:val="18"/>
        </w:rPr>
      </w:pPr>
    </w:p>
    <w:p w:rsidR="00BC4F03" w:rsidRPr="006E3847" w:rsidRDefault="00BC4F03" w:rsidP="00BC4F03">
      <w:pPr>
        <w:pStyle w:val="Paragrafi"/>
      </w:pPr>
      <w:r w:rsidRPr="006E3847">
        <w:t>1. K</w:t>
      </w:r>
      <w:r>
        <w:t>ërkesa e subjekteve zgjedhore e</w:t>
      </w:r>
      <w:r w:rsidRPr="006E3847">
        <w:t xml:space="preserve"> parashikuar në nenin 2 të këtij udhëzimi, për akreditimin e vëzhguesve në KZQV, KQV dhe VNV, i paraqitet KZQV-së përkatëse.</w:t>
      </w:r>
    </w:p>
    <w:p w:rsidR="00BC4F03" w:rsidRPr="006E3847" w:rsidRDefault="00BC4F03" w:rsidP="00BC4F03">
      <w:pPr>
        <w:pStyle w:val="Paragrafi"/>
      </w:pPr>
      <w:r>
        <w:t>2. Kërkesa duhet të ketë bashkë</w:t>
      </w:r>
      <w:r w:rsidRPr="006E3847">
        <w:t xml:space="preserve">ngjitur: </w:t>
      </w:r>
    </w:p>
    <w:p w:rsidR="00BC4F03" w:rsidRPr="006E3847" w:rsidRDefault="00BC4F03" w:rsidP="00BC4F03">
      <w:pPr>
        <w:pStyle w:val="Paragrafi"/>
      </w:pPr>
      <w:r w:rsidRPr="006E3847">
        <w:t>a) listën e vëzhguesve që kërkohet të akreditohen pranë KZQV/KQV/VNV të nënshkruar në çdo faqe nga kryetari i partisë/përfaqësuesi i koalicionit/kandidati i pavarur, ose personi i autorizuar prej tyre, sipas modelit të përcaktuar në lidhjen nr.</w:t>
      </w:r>
      <w:r>
        <w:t xml:space="preserve"> 1 bashkëngjitur këtij udhëzimi;</w:t>
      </w:r>
    </w:p>
    <w:p w:rsidR="00BC4F03" w:rsidRPr="006E3847" w:rsidRDefault="00BC4F03" w:rsidP="00BC4F03">
      <w:pPr>
        <w:pStyle w:val="Paragrafi"/>
      </w:pPr>
      <w:r w:rsidRPr="006E3847">
        <w:t>b) vërteti</w:t>
      </w:r>
      <w:r>
        <w:t>min që partia/koalicioni është i</w:t>
      </w:r>
      <w:r w:rsidRPr="006E3847">
        <w:t xml:space="preserve"> regjistruar në KQZ.</w:t>
      </w:r>
    </w:p>
    <w:p w:rsidR="00BC4F03" w:rsidRDefault="00BC4F03" w:rsidP="00BC4F03">
      <w:pPr>
        <w:pStyle w:val="NeniNr"/>
        <w:keepNext w:val="0"/>
      </w:pPr>
    </w:p>
    <w:p w:rsidR="00BC4F03" w:rsidRPr="006E3847" w:rsidRDefault="00BC4F03" w:rsidP="00BC4F03">
      <w:pPr>
        <w:pStyle w:val="NeniNr"/>
        <w:keepNext w:val="0"/>
      </w:pPr>
      <w:r w:rsidRPr="006E3847">
        <w:t>Neni 6</w:t>
      </w:r>
    </w:p>
    <w:p w:rsidR="00BC4F03" w:rsidRPr="006E3847" w:rsidRDefault="00BC4F03" w:rsidP="00BC4F03">
      <w:pPr>
        <w:pStyle w:val="NeniTitull"/>
        <w:keepNext w:val="0"/>
      </w:pPr>
      <w:r w:rsidRPr="006E3847">
        <w:t>Personat që bëjnë kërkesën për akreditimin e vëzhguesve</w:t>
      </w:r>
    </w:p>
    <w:p w:rsidR="00BC4F03" w:rsidRPr="00773290" w:rsidRDefault="00BC4F03" w:rsidP="00BC4F03">
      <w:pPr>
        <w:pStyle w:val="Paragrafi"/>
        <w:rPr>
          <w:sz w:val="18"/>
        </w:rPr>
      </w:pPr>
    </w:p>
    <w:p w:rsidR="00BC4F03" w:rsidRPr="00844D24" w:rsidRDefault="00BC4F03" w:rsidP="00BC4F03">
      <w:pPr>
        <w:pStyle w:val="Paragrafi"/>
        <w:rPr>
          <w:lang w:val="it-IT"/>
        </w:rPr>
      </w:pPr>
      <w:r w:rsidRPr="006E3847">
        <w:t xml:space="preserve">Kërkesa për akreditimin e vëzhguesve dhe dokumentacioni përkatës mund të paraqiten nga personat e autorizuar nga organi drejtues i partisë/përfaqësuesi i koalicionit/kandidati i pavarur. </w:t>
      </w:r>
      <w:r w:rsidRPr="00844D24">
        <w:rPr>
          <w:lang w:val="it-IT"/>
        </w:rPr>
        <w:t>Akti i autorizimit depozitohet në KZQV.</w:t>
      </w:r>
    </w:p>
    <w:p w:rsidR="00BC4F03" w:rsidRPr="00773290" w:rsidRDefault="00BC4F03" w:rsidP="00BC4F03">
      <w:pPr>
        <w:pStyle w:val="Paragrafi"/>
        <w:rPr>
          <w:sz w:val="18"/>
          <w:lang w:val="it-IT"/>
        </w:rPr>
      </w:pPr>
    </w:p>
    <w:p w:rsidR="00BC4F03" w:rsidRPr="00844D24" w:rsidRDefault="00BC4F03" w:rsidP="00BC4F03">
      <w:pPr>
        <w:pStyle w:val="NeniNr"/>
        <w:keepNext w:val="0"/>
        <w:rPr>
          <w:lang w:val="it-IT"/>
        </w:rPr>
      </w:pPr>
      <w:r w:rsidRPr="00844D24">
        <w:rPr>
          <w:lang w:val="it-IT"/>
        </w:rPr>
        <w:t>Neni 7</w:t>
      </w:r>
    </w:p>
    <w:p w:rsidR="00BC4F03" w:rsidRPr="00844D24" w:rsidRDefault="00BC4F03" w:rsidP="00BC4F03">
      <w:pPr>
        <w:pStyle w:val="NeniTitull"/>
        <w:keepNext w:val="0"/>
        <w:rPr>
          <w:lang w:val="it-IT"/>
        </w:rPr>
      </w:pPr>
      <w:r w:rsidRPr="00844D24">
        <w:rPr>
          <w:lang w:val="it-IT"/>
        </w:rPr>
        <w:t>Afatet e kërkesave për akreditim</w:t>
      </w:r>
    </w:p>
    <w:p w:rsidR="00BC4F03" w:rsidRPr="00844D24" w:rsidRDefault="00BC4F03" w:rsidP="00BC4F03">
      <w:pPr>
        <w:pStyle w:val="Paragrafi"/>
        <w:rPr>
          <w:lang w:val="it-IT"/>
        </w:rPr>
      </w:pPr>
    </w:p>
    <w:p w:rsidR="00BC4F03" w:rsidRPr="00BC4F03" w:rsidRDefault="00BC4F03" w:rsidP="00BC4F03">
      <w:pPr>
        <w:pStyle w:val="Paragrafi"/>
        <w:rPr>
          <w:lang w:val="it-IT"/>
        </w:rPr>
      </w:pPr>
      <w:r w:rsidRPr="00BC4F03">
        <w:rPr>
          <w:lang w:val="it-IT"/>
        </w:rPr>
        <w:t>1. Kërkesat e subjekteve zgjedhore për akreditimin e vëzhguesve i paraqiten KZQV-së jo më herët se 45 ditë dhe jo më vonë se 15 ditë para datës së zgjedhjeve.</w:t>
      </w:r>
    </w:p>
    <w:p w:rsidR="00BC4F03" w:rsidRPr="00BC4F03" w:rsidRDefault="00BC4F03" w:rsidP="00BC4F03">
      <w:pPr>
        <w:pStyle w:val="Paragrafi"/>
        <w:rPr>
          <w:lang w:val="it-IT"/>
        </w:rPr>
      </w:pPr>
      <w:r w:rsidRPr="00BC4F03">
        <w:rPr>
          <w:lang w:val="it-IT"/>
        </w:rPr>
        <w:t>2. KZQV, brenda 24 orëve nga paraqitja e kërkesës, bën verifikim paraprak të dokumentacionit përkatës dhe në rast të mungesave, në përmbajtje ose në formë, në dokumentacion, vendos kthimin e tyre për plotësim.</w:t>
      </w:r>
    </w:p>
    <w:p w:rsidR="00BC4F03" w:rsidRPr="00844D24" w:rsidRDefault="00BC4F03" w:rsidP="00BC4F03">
      <w:pPr>
        <w:pStyle w:val="Paragrafi"/>
        <w:rPr>
          <w:lang w:val="it-IT"/>
        </w:rPr>
      </w:pPr>
      <w:r w:rsidRPr="00844D24">
        <w:rPr>
          <w:lang w:val="it-IT"/>
        </w:rPr>
        <w:t>3. Dokumentacioni i plotësuar ridepozitohet brenda 24 orëve nga shpallja e vendimit të kthimit. Verifikimi i dytë i dokumentacionit bëhet brenda 24 orëve nga ridepozitimi i tij.</w:t>
      </w:r>
    </w:p>
    <w:p w:rsidR="00BC4F03" w:rsidRPr="00844D24" w:rsidRDefault="00BC4F03" w:rsidP="00BC4F03">
      <w:pPr>
        <w:pStyle w:val="Paragrafi"/>
        <w:rPr>
          <w:lang w:val="it-IT"/>
        </w:rPr>
      </w:pPr>
      <w:r w:rsidRPr="00844D24">
        <w:rPr>
          <w:lang w:val="it-IT"/>
        </w:rPr>
        <w:t>4. KZQV-ja merr vendim për miratimin ose jo të kërkesave jo më vonë se 5 ditë nga paraqitja e tyre.</w:t>
      </w:r>
    </w:p>
    <w:p w:rsidR="00BC4F03" w:rsidRPr="00844D24" w:rsidRDefault="00BC4F03" w:rsidP="00BC4F03">
      <w:pPr>
        <w:pStyle w:val="Paragrafi"/>
        <w:rPr>
          <w:lang w:val="it-IT"/>
        </w:rPr>
      </w:pPr>
      <w:r w:rsidRPr="00844D24">
        <w:rPr>
          <w:lang w:val="it-IT"/>
        </w:rPr>
        <w:t>5</w:t>
      </w:r>
      <w:r>
        <w:rPr>
          <w:lang w:val="it-IT"/>
        </w:rPr>
        <w:t>. Kundër vendimit të KZQV-së për</w:t>
      </w:r>
      <w:r w:rsidRPr="00844D24">
        <w:rPr>
          <w:lang w:val="it-IT"/>
        </w:rPr>
        <w:t xml:space="preserve"> refuzimit të kërkesës për akreditim mund të bëhet ankim sipas nenit 146 pika 2 të Kodit Zgjedhor.</w:t>
      </w:r>
    </w:p>
    <w:p w:rsidR="00BC4F03" w:rsidRPr="00B62624" w:rsidRDefault="00BC4F03" w:rsidP="00BC4F03">
      <w:pPr>
        <w:pStyle w:val="Paragrafi"/>
        <w:rPr>
          <w:sz w:val="12"/>
          <w:lang w:val="it-IT"/>
        </w:rPr>
      </w:pPr>
    </w:p>
    <w:p w:rsidR="00BC4F03" w:rsidRPr="00844D24" w:rsidRDefault="00BC4F03" w:rsidP="00BC4F03">
      <w:pPr>
        <w:pStyle w:val="NeniNr"/>
        <w:keepNext w:val="0"/>
        <w:rPr>
          <w:lang w:val="it-IT"/>
        </w:rPr>
      </w:pPr>
      <w:r w:rsidRPr="00844D24">
        <w:rPr>
          <w:lang w:val="it-IT"/>
        </w:rPr>
        <w:t>Neni 8</w:t>
      </w:r>
    </w:p>
    <w:p w:rsidR="00BC4F03" w:rsidRPr="00844D24" w:rsidRDefault="00BC4F03" w:rsidP="00BC4F03">
      <w:pPr>
        <w:pStyle w:val="NeniTitull"/>
        <w:keepNext w:val="0"/>
        <w:rPr>
          <w:lang w:val="it-IT"/>
        </w:rPr>
      </w:pPr>
      <w:r w:rsidRPr="00844D24">
        <w:rPr>
          <w:lang w:val="it-IT"/>
        </w:rPr>
        <w:t xml:space="preserve">Autorizimi dhe mandati i vëzhguesve </w:t>
      </w:r>
    </w:p>
    <w:p w:rsidR="00BC4F03" w:rsidRPr="00773290" w:rsidRDefault="00BC4F03" w:rsidP="00BC4F03">
      <w:pPr>
        <w:pStyle w:val="Paragrafi"/>
        <w:rPr>
          <w:sz w:val="18"/>
          <w:lang w:val="it-IT"/>
        </w:rPr>
      </w:pPr>
    </w:p>
    <w:p w:rsidR="00BC4F03" w:rsidRPr="00844D24" w:rsidRDefault="00BC4F03" w:rsidP="00BC4F03">
      <w:pPr>
        <w:pStyle w:val="Paragrafi"/>
        <w:rPr>
          <w:lang w:val="it-IT"/>
        </w:rPr>
      </w:pPr>
      <w:r w:rsidRPr="00844D24">
        <w:rPr>
          <w:lang w:val="it-IT"/>
        </w:rPr>
        <w:t>1. Vëzhguesit e miratuar me vendim nga KZQV-ja përkatëse, regjistrohen nga sekretari i KZQV-së në librin e protokollit të KZQV-së dhe pajisen nga ai me autorizimin përkatës, sipas modelit të përcaktuar në lidhjen nr.2, bashkëlidhur këtij udhëzimi.</w:t>
      </w:r>
    </w:p>
    <w:p w:rsidR="00BC4F03" w:rsidRPr="00844D24" w:rsidRDefault="00BC4F03" w:rsidP="00BC4F03">
      <w:pPr>
        <w:pStyle w:val="Paragrafi"/>
        <w:rPr>
          <w:lang w:val="it-IT"/>
        </w:rPr>
      </w:pPr>
      <w:r w:rsidRPr="00844D24">
        <w:rPr>
          <w:lang w:val="it-IT"/>
        </w:rPr>
        <w:t>2. Vëzhguesit mund të kryejnë vëzhgime vetëm në ambientet zgjedhore të përcaktuara në autorizimin e KZQV-së.</w:t>
      </w:r>
    </w:p>
    <w:p w:rsidR="00BC4F03" w:rsidRPr="00844D24" w:rsidRDefault="00BC4F03" w:rsidP="00BC4F03">
      <w:pPr>
        <w:pStyle w:val="Paragrafi"/>
        <w:rPr>
          <w:lang w:val="it-IT"/>
        </w:rPr>
      </w:pPr>
      <w:r w:rsidRPr="00844D24">
        <w:rPr>
          <w:lang w:val="it-IT"/>
        </w:rPr>
        <w:t>3. Në autorizimin e lëshuar nga KZQV-ja duhet të përcaktohet:</w:t>
      </w:r>
    </w:p>
    <w:p w:rsidR="00BC4F03" w:rsidRPr="00844D24" w:rsidRDefault="00BC4F03" w:rsidP="00BC4F03">
      <w:pPr>
        <w:pStyle w:val="Paragrafi"/>
        <w:rPr>
          <w:lang w:val="it-IT"/>
        </w:rPr>
      </w:pPr>
      <w:r w:rsidRPr="00844D24">
        <w:rPr>
          <w:lang w:val="it-IT"/>
        </w:rPr>
        <w:t xml:space="preserve">a) emri, mbiemri i vëzhguesit; </w:t>
      </w:r>
    </w:p>
    <w:p w:rsidR="00BC4F03" w:rsidRPr="00844D24" w:rsidRDefault="00BC4F03" w:rsidP="00BC4F03">
      <w:pPr>
        <w:pStyle w:val="Paragrafi"/>
        <w:rPr>
          <w:lang w:val="it-IT"/>
        </w:rPr>
      </w:pPr>
      <w:r w:rsidRPr="00844D24">
        <w:rPr>
          <w:lang w:val="it-IT"/>
        </w:rPr>
        <w:t>b) emri i subjektit zgjedhor që e cakton si vëzhgues;</w:t>
      </w:r>
    </w:p>
    <w:p w:rsidR="00BC4F03" w:rsidRPr="00844D24" w:rsidRDefault="00BC4F03" w:rsidP="00BC4F03">
      <w:pPr>
        <w:pStyle w:val="Paragrafi"/>
        <w:rPr>
          <w:lang w:val="it-IT"/>
        </w:rPr>
      </w:pPr>
      <w:r w:rsidRPr="00844D24">
        <w:rPr>
          <w:lang w:val="it-IT"/>
        </w:rPr>
        <w:t>c) qendra e votimit/njësinë e qeverisjes vendore /Vendi i Numërimit të Votave.</w:t>
      </w:r>
    </w:p>
    <w:p w:rsidR="00BC4F03" w:rsidRPr="00844D24" w:rsidRDefault="00BC4F03" w:rsidP="00BC4F03">
      <w:pPr>
        <w:pStyle w:val="Paragrafi"/>
        <w:rPr>
          <w:lang w:val="it-IT"/>
        </w:rPr>
      </w:pPr>
      <w:r w:rsidRPr="00844D24">
        <w:rPr>
          <w:lang w:val="it-IT"/>
        </w:rPr>
        <w:t>4. Autorizimi mban vulën e KZQV-së dhe është i firmosur nga kryetari dhe nënkryetari i KZQV-së.</w:t>
      </w:r>
    </w:p>
    <w:p w:rsidR="00BC4F03" w:rsidRPr="00B62624" w:rsidRDefault="00BC4F03" w:rsidP="00BC4F03">
      <w:pPr>
        <w:pStyle w:val="Paragrafi"/>
        <w:rPr>
          <w:sz w:val="16"/>
          <w:lang w:val="it-IT"/>
        </w:rPr>
      </w:pPr>
    </w:p>
    <w:p w:rsidR="00BC4F03" w:rsidRPr="00844D24" w:rsidRDefault="00BC4F03" w:rsidP="00BC4F03">
      <w:pPr>
        <w:pStyle w:val="NeniNr"/>
        <w:keepNext w:val="0"/>
        <w:rPr>
          <w:lang w:val="it-IT"/>
        </w:rPr>
      </w:pPr>
      <w:r w:rsidRPr="00844D24">
        <w:rPr>
          <w:lang w:val="it-IT"/>
        </w:rPr>
        <w:t>Neni 9</w:t>
      </w:r>
    </w:p>
    <w:p w:rsidR="00BC4F03" w:rsidRPr="00844D24" w:rsidRDefault="00BC4F03" w:rsidP="00BC4F03">
      <w:pPr>
        <w:pStyle w:val="NeniTitull"/>
        <w:keepNext w:val="0"/>
        <w:rPr>
          <w:lang w:val="it-IT"/>
        </w:rPr>
      </w:pPr>
      <w:r w:rsidRPr="00844D24">
        <w:rPr>
          <w:lang w:val="it-IT"/>
        </w:rPr>
        <w:t>Të drejtat dhe detyrimet e vëzhguesve</w:t>
      </w:r>
    </w:p>
    <w:p w:rsidR="00BC4F03" w:rsidRPr="00B62624" w:rsidRDefault="00BC4F03" w:rsidP="00BC4F03">
      <w:pPr>
        <w:pStyle w:val="Paragrafi"/>
        <w:rPr>
          <w:sz w:val="16"/>
          <w:lang w:val="it-IT"/>
        </w:rPr>
      </w:pPr>
    </w:p>
    <w:p w:rsidR="00BC4F03" w:rsidRPr="00844D24" w:rsidRDefault="00BC4F03" w:rsidP="00BC4F03">
      <w:pPr>
        <w:pStyle w:val="Paragrafi"/>
        <w:rPr>
          <w:lang w:val="it-IT"/>
        </w:rPr>
      </w:pPr>
      <w:r w:rsidRPr="00844D24">
        <w:rPr>
          <w:lang w:val="it-IT"/>
        </w:rPr>
        <w:t>1. Vëzhguesit kanë këto të drejta:</w:t>
      </w:r>
    </w:p>
    <w:p w:rsidR="00BC4F03" w:rsidRPr="00BC4F03" w:rsidRDefault="00BC4F03" w:rsidP="00BC4F03">
      <w:pPr>
        <w:pStyle w:val="Paragrafi"/>
        <w:rPr>
          <w:lang w:val="it-IT"/>
        </w:rPr>
      </w:pPr>
      <w:r w:rsidRPr="00BC4F03">
        <w:rPr>
          <w:lang w:val="it-IT"/>
        </w:rPr>
        <w:t>a) të vëzhgojnë pa pengesë të gjitha aspektet e përgatitjes dhe zhvillimit të zgjedhjeve;</w:t>
      </w:r>
    </w:p>
    <w:p w:rsidR="00BC4F03" w:rsidRPr="00BC4F03" w:rsidRDefault="00BC4F03" w:rsidP="00BC4F03">
      <w:pPr>
        <w:pStyle w:val="Paragrafi"/>
        <w:rPr>
          <w:lang w:val="it-IT"/>
        </w:rPr>
      </w:pPr>
      <w:r w:rsidRPr="00BC4F03">
        <w:rPr>
          <w:lang w:val="it-IT"/>
        </w:rPr>
        <w:t>b) të paraqesin vërejtje me shkrim para komisioneve të zgjedhjeve për çdo lloj parregullsie që vërejnë;</w:t>
      </w:r>
    </w:p>
    <w:p w:rsidR="00BC4F03" w:rsidRPr="00844D24" w:rsidRDefault="00BC4F03" w:rsidP="00BC4F03">
      <w:pPr>
        <w:pStyle w:val="Paragrafi"/>
        <w:rPr>
          <w:lang w:val="it-IT"/>
        </w:rPr>
      </w:pPr>
      <w:r w:rsidRPr="00844D24">
        <w:rPr>
          <w:lang w:val="it-IT"/>
        </w:rPr>
        <w:t xml:space="preserve">c) të shohin ose të këqyrin dokumentacionin ose materialet e procesit zgjedhor. </w:t>
      </w:r>
    </w:p>
    <w:p w:rsidR="00BC4F03" w:rsidRPr="00BC4F03" w:rsidRDefault="00BC4F03" w:rsidP="00BC4F03">
      <w:pPr>
        <w:pStyle w:val="Paragrafi"/>
        <w:rPr>
          <w:lang w:val="it-IT"/>
        </w:rPr>
      </w:pPr>
      <w:r w:rsidRPr="00BC4F03">
        <w:rPr>
          <w:lang w:val="it-IT"/>
        </w:rPr>
        <w:t>2. Vëzhguesit kanë këto detyra:</w:t>
      </w:r>
    </w:p>
    <w:p w:rsidR="00BC4F03" w:rsidRPr="00BC4F03" w:rsidRDefault="00BC4F03" w:rsidP="00BC4F03">
      <w:pPr>
        <w:pStyle w:val="Paragrafi"/>
        <w:rPr>
          <w:lang w:val="it-IT"/>
        </w:rPr>
      </w:pPr>
      <w:r w:rsidRPr="00BC4F03">
        <w:rPr>
          <w:lang w:val="it-IT"/>
        </w:rPr>
        <w:t>a) të respektojnë kërkesat e Kodit Zgjedhor dhe udhëzimet e KQZ-së për vëzhgimin e zgjedhjeve, si dhe vendimet dhe urdhërimet e KZQV-së ku është akredituar;</w:t>
      </w:r>
    </w:p>
    <w:p w:rsidR="00BC4F03" w:rsidRPr="00BC4F03" w:rsidRDefault="00BC4F03" w:rsidP="00BC4F03">
      <w:pPr>
        <w:pStyle w:val="Paragrafi"/>
        <w:rPr>
          <w:lang w:val="it-IT"/>
        </w:rPr>
      </w:pPr>
      <w:r w:rsidRPr="00BC4F03">
        <w:rPr>
          <w:lang w:val="it-IT"/>
        </w:rPr>
        <w:lastRenderedPageBreak/>
        <w:t>b) të mos bëjnë propagandë për asnjë kandidat, parti ose koalicion në ambientet zgjedhore;</w:t>
      </w:r>
    </w:p>
    <w:p w:rsidR="00BC4F03" w:rsidRPr="00BC4F03" w:rsidRDefault="00BC4F03" w:rsidP="00BC4F03">
      <w:pPr>
        <w:pStyle w:val="Paragrafi"/>
        <w:rPr>
          <w:lang w:val="it-IT"/>
        </w:rPr>
      </w:pPr>
      <w:r w:rsidRPr="00BC4F03">
        <w:rPr>
          <w:lang w:val="it-IT"/>
        </w:rPr>
        <w:t>c) të paraqiten para KZQV-së, KQV-së dhe VNV me autorizimin e lëshuar nga KZQV-ja, të shoqëruar me një nga dokumentet e identifikimit personal siç janë:pasaportë, certifikatë personale me fotografi ose letërnjoftim.</w:t>
      </w:r>
    </w:p>
    <w:p w:rsidR="00BC4F03" w:rsidRPr="00BC4F03" w:rsidRDefault="00BC4F03" w:rsidP="00BC4F03">
      <w:pPr>
        <w:pStyle w:val="Paragrafi"/>
        <w:rPr>
          <w:lang w:val="it-IT"/>
        </w:rPr>
      </w:pPr>
      <w:r w:rsidRPr="00BC4F03">
        <w:rPr>
          <w:lang w:val="it-IT"/>
        </w:rPr>
        <w:t>ç) të mos mbajnë shenja dalluese që shërbejnë si propagandë ose që mund të ndikojnë mbi vullnetin e zgjedhësit;</w:t>
      </w:r>
    </w:p>
    <w:p w:rsidR="00BC4F03" w:rsidRPr="00BC4F03" w:rsidRDefault="00BC4F03" w:rsidP="00BC4F03">
      <w:pPr>
        <w:pStyle w:val="Paragrafi"/>
        <w:rPr>
          <w:lang w:val="it-IT"/>
        </w:rPr>
      </w:pPr>
      <w:r w:rsidRPr="00BC4F03">
        <w:rPr>
          <w:lang w:val="it-IT"/>
        </w:rPr>
        <w:t>d) të mos dhunojnë të drejtën e votuesit për të votuar në fshehtësi dhe të mos pengojnë procesin e votimit dhe numërimit të votave;</w:t>
      </w:r>
    </w:p>
    <w:p w:rsidR="00BC4F03" w:rsidRPr="00BC4F03" w:rsidRDefault="00BC4F03" w:rsidP="00BC4F03">
      <w:pPr>
        <w:pStyle w:val="Paragrafi"/>
        <w:rPr>
          <w:lang w:val="it-IT"/>
        </w:rPr>
      </w:pPr>
      <w:r w:rsidRPr="00BC4F03">
        <w:rPr>
          <w:lang w:val="it-IT"/>
        </w:rPr>
        <w:t>e) të respektojnë rregullat e etikës në marrëdhëniet me Komisionerët Zgjedhorë dhe vëzhguesit e tjerë, të mos komentojnë me zë dhe të mos debatojnë lidhur me zhvillimin e procesit të votimit.</w:t>
      </w:r>
    </w:p>
    <w:p w:rsidR="00BC4F03" w:rsidRPr="00BC4F03" w:rsidRDefault="00BC4F03" w:rsidP="00BC4F03">
      <w:pPr>
        <w:pStyle w:val="Paragrafi"/>
        <w:rPr>
          <w:lang w:val="it-IT"/>
        </w:rPr>
      </w:pPr>
    </w:p>
    <w:p w:rsidR="00BC4F03" w:rsidRPr="00BC4F03" w:rsidRDefault="00BC4F03" w:rsidP="00BC4F03">
      <w:pPr>
        <w:pStyle w:val="NeniNr"/>
        <w:keepNext w:val="0"/>
        <w:rPr>
          <w:lang w:val="it-IT"/>
        </w:rPr>
      </w:pPr>
      <w:r w:rsidRPr="00BC4F03">
        <w:rPr>
          <w:lang w:val="it-IT"/>
        </w:rPr>
        <w:t>Neni 10</w:t>
      </w:r>
    </w:p>
    <w:p w:rsidR="00BC4F03" w:rsidRPr="00BC4F03" w:rsidRDefault="00BC4F03" w:rsidP="00BC4F03">
      <w:pPr>
        <w:pStyle w:val="Paragrafi"/>
        <w:rPr>
          <w:lang w:val="it-IT"/>
        </w:rPr>
      </w:pPr>
      <w:r w:rsidRPr="00BC4F03">
        <w:rPr>
          <w:lang w:val="it-IT"/>
        </w:rPr>
        <w:t xml:space="preserve">                                                                                                                        </w:t>
      </w:r>
    </w:p>
    <w:p w:rsidR="00BC4F03" w:rsidRPr="00BC4F03" w:rsidRDefault="00BC4F03" w:rsidP="00BC4F03">
      <w:pPr>
        <w:pStyle w:val="Paragrafi"/>
        <w:rPr>
          <w:lang w:val="it-IT"/>
        </w:rPr>
      </w:pPr>
      <w:r w:rsidRPr="00BC4F03">
        <w:rPr>
          <w:lang w:val="it-IT"/>
        </w:rPr>
        <w:t>Ky udhëzim hyn në fuqi pas botimit në Fletoren Zyrtare.</w:t>
      </w:r>
    </w:p>
    <w:p w:rsidR="00BC4F03" w:rsidRPr="00BC4F03" w:rsidRDefault="00BC4F03" w:rsidP="00BC4F03">
      <w:pPr>
        <w:pStyle w:val="Paragrafi"/>
        <w:rPr>
          <w:lang w:val="it-IT"/>
        </w:rPr>
      </w:pPr>
    </w:p>
    <w:p w:rsidR="00BC4F03" w:rsidRPr="00BC4F03" w:rsidRDefault="00BC4F03" w:rsidP="00BC4F03">
      <w:pPr>
        <w:pStyle w:val="Paragrafi"/>
        <w:rPr>
          <w:lang w:val="it-IT"/>
        </w:rPr>
      </w:pPr>
      <w:r w:rsidRPr="00BC4F03">
        <w:rPr>
          <w:lang w:val="it-IT"/>
        </w:rPr>
        <w:t xml:space="preserve">Çlirim </w:t>
      </w:r>
      <w:r w:rsidRPr="00BC4F03">
        <w:rPr>
          <w:lang w:val="it-IT"/>
        </w:rPr>
        <w:tab/>
        <w:t xml:space="preserve">Gjata </w:t>
      </w:r>
      <w:r w:rsidRPr="00BC4F03">
        <w:rPr>
          <w:lang w:val="it-IT"/>
        </w:rPr>
        <w:tab/>
      </w:r>
      <w:r w:rsidRPr="00BC4F03">
        <w:rPr>
          <w:lang w:val="it-IT"/>
        </w:rPr>
        <w:tab/>
      </w:r>
      <w:r w:rsidRPr="00BC4F03">
        <w:rPr>
          <w:lang w:val="it-IT"/>
        </w:rPr>
        <w:tab/>
        <w:t>Kryetar</w:t>
      </w:r>
    </w:p>
    <w:p w:rsidR="00BC4F03" w:rsidRPr="00BC4F03" w:rsidRDefault="00BC4F03" w:rsidP="00BC4F03">
      <w:pPr>
        <w:pStyle w:val="Paragrafi"/>
        <w:rPr>
          <w:lang w:val="it-IT"/>
        </w:rPr>
      </w:pPr>
      <w:r w:rsidRPr="00BC4F03">
        <w:rPr>
          <w:lang w:val="it-IT"/>
        </w:rPr>
        <w:t xml:space="preserve">Flamur </w:t>
      </w:r>
      <w:r w:rsidRPr="00BC4F03">
        <w:rPr>
          <w:lang w:val="it-IT"/>
        </w:rPr>
        <w:tab/>
        <w:t>Çato</w:t>
      </w:r>
      <w:r w:rsidRPr="00BC4F03">
        <w:rPr>
          <w:lang w:val="it-IT"/>
        </w:rPr>
        <w:tab/>
      </w:r>
      <w:r w:rsidRPr="00BC4F03">
        <w:rPr>
          <w:lang w:val="it-IT"/>
        </w:rPr>
        <w:tab/>
      </w:r>
      <w:r w:rsidRPr="00BC4F03">
        <w:rPr>
          <w:lang w:val="it-IT"/>
        </w:rPr>
        <w:tab/>
        <w:t>Zv/Kryetar</w:t>
      </w:r>
    </w:p>
    <w:p w:rsidR="00BC4F03" w:rsidRPr="00BC4F03" w:rsidRDefault="00BC4F03" w:rsidP="00BC4F03">
      <w:pPr>
        <w:pStyle w:val="Paragrafi"/>
        <w:rPr>
          <w:lang w:val="de-DE"/>
        </w:rPr>
      </w:pPr>
      <w:r w:rsidRPr="00BC4F03">
        <w:rPr>
          <w:lang w:val="de-DE"/>
        </w:rPr>
        <w:t xml:space="preserve">Dëshira Subashi </w:t>
      </w:r>
      <w:r w:rsidRPr="00BC4F03">
        <w:rPr>
          <w:lang w:val="de-DE"/>
        </w:rPr>
        <w:tab/>
      </w:r>
      <w:r w:rsidRPr="00BC4F03">
        <w:rPr>
          <w:lang w:val="de-DE"/>
        </w:rPr>
        <w:tab/>
        <w:t>Anëtar</w:t>
      </w:r>
    </w:p>
    <w:p w:rsidR="00BC4F03" w:rsidRPr="00BC4F03" w:rsidRDefault="00BC4F03" w:rsidP="00BC4F03">
      <w:pPr>
        <w:pStyle w:val="Paragrafi"/>
        <w:rPr>
          <w:lang w:val="de-DE"/>
        </w:rPr>
      </w:pPr>
      <w:r w:rsidRPr="00BC4F03">
        <w:rPr>
          <w:lang w:val="de-DE"/>
        </w:rPr>
        <w:t>Klement Zguri</w:t>
      </w:r>
      <w:r w:rsidRPr="00BC4F03">
        <w:rPr>
          <w:lang w:val="de-DE"/>
        </w:rPr>
        <w:tab/>
      </w:r>
      <w:r w:rsidRPr="00BC4F03">
        <w:rPr>
          <w:lang w:val="de-DE"/>
        </w:rPr>
        <w:tab/>
      </w:r>
      <w:r w:rsidRPr="00BC4F03">
        <w:rPr>
          <w:lang w:val="de-DE"/>
        </w:rPr>
        <w:tab/>
        <w:t>Anëtar</w:t>
      </w:r>
    </w:p>
    <w:p w:rsidR="00BC4F03" w:rsidRPr="00BC4F03" w:rsidRDefault="00BC4F03" w:rsidP="00BC4F03">
      <w:pPr>
        <w:pStyle w:val="Paragrafi"/>
        <w:rPr>
          <w:lang w:val="de-DE"/>
        </w:rPr>
      </w:pPr>
      <w:r w:rsidRPr="00BC4F03">
        <w:rPr>
          <w:lang w:val="de-DE"/>
        </w:rPr>
        <w:t xml:space="preserve">Arben </w:t>
      </w:r>
      <w:r w:rsidRPr="00BC4F03">
        <w:rPr>
          <w:lang w:val="de-DE"/>
        </w:rPr>
        <w:tab/>
        <w:t>Ristani</w:t>
      </w:r>
      <w:r w:rsidRPr="00BC4F03">
        <w:rPr>
          <w:lang w:val="de-DE"/>
        </w:rPr>
        <w:tab/>
      </w:r>
      <w:r w:rsidRPr="00BC4F03">
        <w:rPr>
          <w:lang w:val="de-DE"/>
        </w:rPr>
        <w:tab/>
      </w:r>
      <w:r w:rsidRPr="00BC4F03">
        <w:rPr>
          <w:lang w:val="de-DE"/>
        </w:rPr>
        <w:tab/>
        <w:t>Anëtar</w:t>
      </w:r>
    </w:p>
    <w:p w:rsidR="00BC4F03" w:rsidRPr="00BC4F03" w:rsidRDefault="00BC4F03" w:rsidP="00BC4F03">
      <w:pPr>
        <w:pStyle w:val="Paragrafi"/>
        <w:rPr>
          <w:lang w:val="de-DE"/>
        </w:rPr>
      </w:pPr>
      <w:r w:rsidRPr="00BC4F03">
        <w:rPr>
          <w:lang w:val="de-DE"/>
        </w:rPr>
        <w:t>Fatmir</w:t>
      </w:r>
      <w:r w:rsidRPr="00BC4F03">
        <w:rPr>
          <w:lang w:val="de-DE"/>
        </w:rPr>
        <w:tab/>
        <w:t>Kumbaro</w:t>
      </w:r>
      <w:r w:rsidRPr="00BC4F03">
        <w:rPr>
          <w:lang w:val="de-DE"/>
        </w:rPr>
        <w:tab/>
      </w:r>
      <w:r w:rsidRPr="00BC4F03">
        <w:rPr>
          <w:lang w:val="de-DE"/>
        </w:rPr>
        <w:tab/>
        <w:t>Anëtar</w:t>
      </w:r>
    </w:p>
    <w:p w:rsidR="00BC4F03" w:rsidRPr="00BC4F03" w:rsidRDefault="00BC4F03" w:rsidP="00BC4F03">
      <w:pPr>
        <w:pStyle w:val="Paragrafi"/>
        <w:rPr>
          <w:lang w:val="de-DE"/>
        </w:rPr>
      </w:pPr>
      <w:r w:rsidRPr="00BC4F03">
        <w:rPr>
          <w:lang w:val="de-DE"/>
        </w:rPr>
        <w:t>Dodë Prenga</w:t>
      </w:r>
      <w:r w:rsidRPr="00BC4F03">
        <w:rPr>
          <w:lang w:val="de-DE"/>
        </w:rPr>
        <w:tab/>
      </w:r>
      <w:r w:rsidRPr="00BC4F03">
        <w:rPr>
          <w:lang w:val="de-DE"/>
        </w:rPr>
        <w:tab/>
      </w:r>
      <w:r w:rsidRPr="00BC4F03">
        <w:rPr>
          <w:lang w:val="de-DE"/>
        </w:rPr>
        <w:tab/>
        <w:t>Anëtar</w:t>
      </w:r>
    </w:p>
    <w:p w:rsidR="00BC4F03" w:rsidRPr="000B6589" w:rsidRDefault="00BC4F03" w:rsidP="00BC4F03">
      <w:pPr>
        <w:pStyle w:val="Paragrafi"/>
        <w:rPr>
          <w:lang w:val="sq-AL"/>
        </w:rPr>
      </w:pPr>
    </w:p>
    <w:p w:rsidR="00BC4F03" w:rsidRPr="00BC4F03" w:rsidRDefault="00BC4F03" w:rsidP="00BC4F03">
      <w:pPr>
        <w:pStyle w:val="Paragrafi"/>
        <w:rPr>
          <w:lang w:val="de-DE"/>
        </w:rPr>
      </w:pPr>
    </w:p>
    <w:p w:rsidR="00BC4F03" w:rsidRPr="00BC4F03" w:rsidRDefault="00BC4F03" w:rsidP="00BC4F03">
      <w:pPr>
        <w:pStyle w:val="Paragrafi"/>
        <w:rPr>
          <w:lang w:val="de-DE"/>
        </w:rPr>
        <w:sectPr w:rsidR="00BC4F03" w:rsidRPr="00BC4F03" w:rsidSect="00BC4F03">
          <w:footerReference w:type="even" r:id="rId6"/>
          <w:footerReference w:type="default" r:id="rId7"/>
          <w:pgSz w:w="11907" w:h="16840" w:code="9"/>
          <w:pgMar w:top="1418" w:right="1418" w:bottom="1418" w:left="1418" w:header="1304" w:footer="1134" w:gutter="0"/>
          <w:pgNumType w:start="4349"/>
          <w:cols w:space="720"/>
          <w:docGrid w:linePitch="360"/>
        </w:sectPr>
      </w:pPr>
    </w:p>
    <w:p w:rsidR="00BC4F03" w:rsidRPr="00BC4F03" w:rsidRDefault="00BC4F03" w:rsidP="00BC4F03">
      <w:pPr>
        <w:pStyle w:val="Paragrafi"/>
        <w:jc w:val="center"/>
        <w:rPr>
          <w:b/>
          <w:szCs w:val="22"/>
          <w:lang w:val="de-DE"/>
        </w:rPr>
      </w:pPr>
      <w:r w:rsidRPr="00BC4F03">
        <w:rPr>
          <w:b/>
          <w:szCs w:val="22"/>
          <w:lang w:val="de-DE"/>
        </w:rPr>
        <w:lastRenderedPageBreak/>
        <w:t>LISTA E VËZHGUESVE</w:t>
      </w:r>
    </w:p>
    <w:p w:rsidR="00BC4F03" w:rsidRPr="00BC4F03" w:rsidRDefault="00BC4F03" w:rsidP="00BC4F03">
      <w:pPr>
        <w:pStyle w:val="Paragrafi"/>
        <w:rPr>
          <w:lang w:val="de-DE"/>
        </w:rPr>
      </w:pPr>
    </w:p>
    <w:p w:rsidR="00BC4F03" w:rsidRPr="000B6589" w:rsidRDefault="00BC4F03" w:rsidP="00BC4F03">
      <w:pPr>
        <w:pStyle w:val="Paragrafi"/>
      </w:pPr>
      <w:r w:rsidRPr="000B6589">
        <w:t>SUBJEKTI ZGJEDHOR___________________________________________</w:t>
      </w:r>
    </w:p>
    <w:p w:rsidR="00BC4F03" w:rsidRPr="000B6589" w:rsidRDefault="00BC4F03" w:rsidP="00BC4F03">
      <w:pPr>
        <w:pStyle w:val="Paragrafi"/>
      </w:pPr>
    </w:p>
    <w:tbl>
      <w:tblPr>
        <w:tblW w:w="12452" w:type="dxa"/>
        <w:tblInd w:w="108" w:type="dxa"/>
        <w:tblLook w:val="0000" w:firstRow="0" w:lastRow="0" w:firstColumn="0" w:lastColumn="0" w:noHBand="0" w:noVBand="0"/>
      </w:tblPr>
      <w:tblGrid>
        <w:gridCol w:w="522"/>
        <w:gridCol w:w="1135"/>
        <w:gridCol w:w="1135"/>
        <w:gridCol w:w="1479"/>
        <w:gridCol w:w="1671"/>
        <w:gridCol w:w="1601"/>
        <w:gridCol w:w="4909"/>
      </w:tblGrid>
      <w:tr w:rsidR="00BC4F03" w:rsidRPr="00844D24">
        <w:trPr>
          <w:trHeight w:val="339"/>
        </w:trPr>
        <w:tc>
          <w:tcPr>
            <w:tcW w:w="522" w:type="dxa"/>
            <w:vMerge w:val="restart"/>
            <w:tcBorders>
              <w:top w:val="single" w:sz="4" w:space="0" w:color="auto"/>
              <w:left w:val="single" w:sz="4" w:space="0" w:color="auto"/>
              <w:bottom w:val="single" w:sz="4" w:space="0" w:color="auto"/>
              <w:right w:val="nil"/>
            </w:tcBorders>
            <w:shd w:val="clear" w:color="auto" w:fill="auto"/>
            <w:noWrap/>
            <w:vAlign w:val="bottom"/>
          </w:tcPr>
          <w:p w:rsidR="00BC4F03" w:rsidRPr="000B6589" w:rsidRDefault="00BC4F03" w:rsidP="00BC4F03">
            <w:pPr>
              <w:pStyle w:val="Tabele"/>
              <w:widowControl w:val="0"/>
              <w:rPr>
                <w:sz w:val="18"/>
                <w:szCs w:val="18"/>
                <w:lang w:val="en-US"/>
              </w:rPr>
            </w:pPr>
          </w:p>
          <w:p w:rsidR="00BC4F03" w:rsidRPr="00534E09" w:rsidRDefault="00BC4F03" w:rsidP="00BC4F03">
            <w:pPr>
              <w:pStyle w:val="Tabele"/>
              <w:widowControl w:val="0"/>
              <w:rPr>
                <w:b/>
                <w:sz w:val="18"/>
                <w:szCs w:val="18"/>
                <w:lang w:val="en-US"/>
              </w:rPr>
            </w:pPr>
            <w:r w:rsidRPr="00534E09">
              <w:rPr>
                <w:b/>
                <w:sz w:val="18"/>
                <w:szCs w:val="18"/>
                <w:lang w:val="en-US"/>
              </w:rPr>
              <w:t>Nr.</w:t>
            </w:r>
          </w:p>
        </w:tc>
        <w:tc>
          <w:tcPr>
            <w:tcW w:w="1135" w:type="dxa"/>
            <w:vMerge w:val="restart"/>
            <w:tcBorders>
              <w:top w:val="single" w:sz="4" w:space="0" w:color="auto"/>
              <w:left w:val="single" w:sz="4" w:space="0" w:color="auto"/>
              <w:bottom w:val="single" w:sz="4" w:space="0" w:color="auto"/>
              <w:right w:val="nil"/>
            </w:tcBorders>
            <w:shd w:val="clear" w:color="auto" w:fill="C0C0C0"/>
            <w:noWrap/>
            <w:vAlign w:val="center"/>
          </w:tcPr>
          <w:p w:rsidR="00BC4F03" w:rsidRPr="00534E09" w:rsidRDefault="00BC4F03" w:rsidP="00BC4F03">
            <w:pPr>
              <w:pStyle w:val="Tabele"/>
              <w:widowControl w:val="0"/>
              <w:jc w:val="center"/>
              <w:rPr>
                <w:rFonts w:ascii="Verdana" w:hAnsi="Verdana"/>
                <w:b/>
                <w:bCs/>
                <w:sz w:val="18"/>
                <w:szCs w:val="18"/>
                <w:lang w:val="en-US"/>
              </w:rPr>
            </w:pPr>
            <w:r w:rsidRPr="00534E09">
              <w:rPr>
                <w:rFonts w:ascii="Verdana" w:hAnsi="Verdana"/>
                <w:b/>
                <w:bCs/>
                <w:sz w:val="18"/>
                <w:szCs w:val="18"/>
                <w:lang w:val="en-US"/>
              </w:rPr>
              <w:t>EMRI</w:t>
            </w:r>
          </w:p>
        </w:tc>
        <w:tc>
          <w:tcPr>
            <w:tcW w:w="1135" w:type="dxa"/>
            <w:vMerge w:val="restart"/>
            <w:tcBorders>
              <w:top w:val="single" w:sz="4" w:space="0" w:color="auto"/>
              <w:left w:val="single" w:sz="4" w:space="0" w:color="auto"/>
              <w:bottom w:val="single" w:sz="4" w:space="0" w:color="000000"/>
              <w:right w:val="single" w:sz="4" w:space="0" w:color="auto"/>
            </w:tcBorders>
            <w:shd w:val="clear" w:color="auto" w:fill="C0C0C0"/>
            <w:noWrap/>
            <w:vAlign w:val="center"/>
          </w:tcPr>
          <w:p w:rsidR="00BC4F03" w:rsidRPr="00534E09" w:rsidRDefault="00BC4F03" w:rsidP="00BC4F03">
            <w:pPr>
              <w:pStyle w:val="Tabele"/>
              <w:widowControl w:val="0"/>
              <w:jc w:val="center"/>
              <w:rPr>
                <w:rFonts w:ascii="Verdana" w:hAnsi="Verdana"/>
                <w:b/>
                <w:bCs/>
                <w:sz w:val="18"/>
                <w:szCs w:val="18"/>
                <w:lang w:val="en-US"/>
              </w:rPr>
            </w:pPr>
            <w:r w:rsidRPr="00534E09">
              <w:rPr>
                <w:rFonts w:ascii="Verdana" w:hAnsi="Verdana"/>
                <w:b/>
                <w:bCs/>
                <w:sz w:val="18"/>
                <w:szCs w:val="18"/>
                <w:lang w:val="en-US"/>
              </w:rPr>
              <w:t>ATËSIA</w:t>
            </w:r>
          </w:p>
        </w:tc>
        <w:tc>
          <w:tcPr>
            <w:tcW w:w="1479" w:type="dxa"/>
            <w:vMerge w:val="restart"/>
            <w:tcBorders>
              <w:top w:val="single" w:sz="4" w:space="0" w:color="auto"/>
              <w:left w:val="nil"/>
              <w:bottom w:val="single" w:sz="4" w:space="0" w:color="000000"/>
              <w:right w:val="single" w:sz="4" w:space="0" w:color="auto"/>
            </w:tcBorders>
            <w:shd w:val="clear" w:color="auto" w:fill="C0C0C0"/>
            <w:noWrap/>
            <w:vAlign w:val="center"/>
          </w:tcPr>
          <w:p w:rsidR="00BC4F03" w:rsidRPr="00534E09" w:rsidRDefault="00BC4F03" w:rsidP="00BC4F03">
            <w:pPr>
              <w:pStyle w:val="Tabele"/>
              <w:widowControl w:val="0"/>
              <w:jc w:val="center"/>
              <w:rPr>
                <w:rFonts w:ascii="Verdana" w:hAnsi="Verdana"/>
                <w:b/>
                <w:bCs/>
                <w:sz w:val="18"/>
                <w:szCs w:val="18"/>
                <w:lang w:val="en-US"/>
              </w:rPr>
            </w:pPr>
            <w:r w:rsidRPr="00534E09">
              <w:rPr>
                <w:rFonts w:ascii="Verdana" w:hAnsi="Verdana"/>
                <w:b/>
                <w:bCs/>
                <w:sz w:val="18"/>
                <w:szCs w:val="18"/>
                <w:lang w:val="en-US"/>
              </w:rPr>
              <w:t>MBIEMRI</w:t>
            </w:r>
          </w:p>
        </w:tc>
        <w:tc>
          <w:tcPr>
            <w:tcW w:w="1671" w:type="dxa"/>
            <w:vMerge w:val="restart"/>
            <w:tcBorders>
              <w:top w:val="single" w:sz="4" w:space="0" w:color="auto"/>
              <w:left w:val="single" w:sz="4" w:space="0" w:color="auto"/>
              <w:bottom w:val="single" w:sz="4" w:space="0" w:color="000000"/>
              <w:right w:val="single" w:sz="4" w:space="0" w:color="auto"/>
            </w:tcBorders>
            <w:shd w:val="clear" w:color="auto" w:fill="C0C0C0"/>
            <w:noWrap/>
            <w:vAlign w:val="center"/>
          </w:tcPr>
          <w:p w:rsidR="00BC4F03" w:rsidRPr="00534E09" w:rsidRDefault="00BC4F03" w:rsidP="00BC4F03">
            <w:pPr>
              <w:pStyle w:val="Tabele"/>
              <w:widowControl w:val="0"/>
              <w:jc w:val="center"/>
              <w:rPr>
                <w:rFonts w:ascii="Verdana" w:hAnsi="Verdana"/>
                <w:b/>
                <w:bCs/>
                <w:sz w:val="18"/>
                <w:szCs w:val="18"/>
                <w:lang w:val="en-US"/>
              </w:rPr>
            </w:pPr>
            <w:r w:rsidRPr="00534E09">
              <w:rPr>
                <w:rFonts w:ascii="Verdana" w:hAnsi="Verdana"/>
                <w:b/>
                <w:bCs/>
                <w:sz w:val="18"/>
                <w:szCs w:val="18"/>
                <w:lang w:val="en-US"/>
              </w:rPr>
              <w:t>DATËLINDJA</w:t>
            </w:r>
          </w:p>
        </w:tc>
        <w:tc>
          <w:tcPr>
            <w:tcW w:w="1601" w:type="dxa"/>
            <w:vMerge w:val="restart"/>
            <w:tcBorders>
              <w:top w:val="single" w:sz="4" w:space="0" w:color="auto"/>
              <w:left w:val="single" w:sz="4" w:space="0" w:color="auto"/>
              <w:bottom w:val="single" w:sz="4" w:space="0" w:color="000000"/>
              <w:right w:val="single" w:sz="4" w:space="0" w:color="auto"/>
            </w:tcBorders>
            <w:shd w:val="clear" w:color="auto" w:fill="C0C0C0"/>
            <w:noWrap/>
            <w:vAlign w:val="center"/>
          </w:tcPr>
          <w:p w:rsidR="00BC4F03" w:rsidRPr="00534E09" w:rsidRDefault="00BC4F03" w:rsidP="00BC4F03">
            <w:pPr>
              <w:pStyle w:val="Tabele"/>
              <w:widowControl w:val="0"/>
              <w:jc w:val="center"/>
              <w:rPr>
                <w:rFonts w:ascii="Verdana" w:hAnsi="Verdana"/>
                <w:b/>
                <w:bCs/>
                <w:sz w:val="18"/>
                <w:szCs w:val="18"/>
                <w:lang w:val="en-US"/>
              </w:rPr>
            </w:pPr>
            <w:r w:rsidRPr="00534E09">
              <w:rPr>
                <w:rFonts w:ascii="Verdana" w:hAnsi="Verdana"/>
                <w:b/>
                <w:bCs/>
                <w:sz w:val="18"/>
                <w:szCs w:val="18"/>
                <w:lang w:val="en-US"/>
              </w:rPr>
              <w:t>NR.I DOK. ID.</w:t>
            </w:r>
          </w:p>
        </w:tc>
        <w:tc>
          <w:tcPr>
            <w:tcW w:w="4909" w:type="dxa"/>
            <w:vMerge w:val="restart"/>
            <w:tcBorders>
              <w:top w:val="single" w:sz="4" w:space="0" w:color="auto"/>
              <w:left w:val="single" w:sz="4" w:space="0" w:color="auto"/>
              <w:bottom w:val="single" w:sz="4" w:space="0" w:color="000000"/>
              <w:right w:val="single" w:sz="4" w:space="0" w:color="auto"/>
            </w:tcBorders>
            <w:shd w:val="clear" w:color="auto" w:fill="C0C0C0"/>
            <w:noWrap/>
            <w:vAlign w:val="center"/>
          </w:tcPr>
          <w:p w:rsidR="00BC4F03" w:rsidRPr="00844D24" w:rsidRDefault="00BC4F03" w:rsidP="00BC4F03">
            <w:pPr>
              <w:pStyle w:val="Tabele"/>
              <w:widowControl w:val="0"/>
              <w:jc w:val="center"/>
              <w:rPr>
                <w:rFonts w:ascii="Verdana" w:hAnsi="Verdana"/>
                <w:b/>
                <w:bCs/>
                <w:sz w:val="18"/>
                <w:szCs w:val="18"/>
                <w:lang w:val="it-IT"/>
              </w:rPr>
            </w:pPr>
            <w:r w:rsidRPr="00844D24">
              <w:rPr>
                <w:rFonts w:ascii="Verdana" w:hAnsi="Verdana"/>
                <w:b/>
                <w:bCs/>
                <w:sz w:val="18"/>
                <w:szCs w:val="18"/>
                <w:lang w:val="it-IT"/>
              </w:rPr>
              <w:t>KZQV/VNV/QENDRA (T) E VOTIMIT  QË PËRFSHIN AKREDITIMI</w:t>
            </w:r>
          </w:p>
        </w:tc>
      </w:tr>
      <w:tr w:rsidR="00BC4F03" w:rsidRPr="00844D24">
        <w:trPr>
          <w:trHeight w:val="555"/>
        </w:trPr>
        <w:tc>
          <w:tcPr>
            <w:tcW w:w="522" w:type="dxa"/>
            <w:vMerge/>
            <w:tcBorders>
              <w:top w:val="single" w:sz="4" w:space="0" w:color="auto"/>
              <w:left w:val="single" w:sz="4" w:space="0" w:color="auto"/>
              <w:bottom w:val="single" w:sz="4" w:space="0" w:color="auto"/>
              <w:right w:val="nil"/>
            </w:tcBorders>
            <w:vAlign w:val="center"/>
          </w:tcPr>
          <w:p w:rsidR="00BC4F03" w:rsidRPr="00844D24" w:rsidRDefault="00BC4F03" w:rsidP="00BC4F03">
            <w:pPr>
              <w:pStyle w:val="Tabele"/>
              <w:widowControl w:val="0"/>
              <w:rPr>
                <w:sz w:val="18"/>
                <w:szCs w:val="18"/>
                <w:lang w:val="it-IT"/>
              </w:rPr>
            </w:pPr>
          </w:p>
        </w:tc>
        <w:tc>
          <w:tcPr>
            <w:tcW w:w="1135" w:type="dxa"/>
            <w:vMerge/>
            <w:tcBorders>
              <w:top w:val="single" w:sz="4" w:space="0" w:color="auto"/>
              <w:left w:val="single" w:sz="4" w:space="0" w:color="auto"/>
              <w:bottom w:val="single" w:sz="4" w:space="0" w:color="auto"/>
              <w:right w:val="nil"/>
            </w:tcBorders>
            <w:vAlign w:val="center"/>
          </w:tcPr>
          <w:p w:rsidR="00BC4F03" w:rsidRPr="00844D24" w:rsidRDefault="00BC4F03" w:rsidP="00BC4F03">
            <w:pPr>
              <w:pStyle w:val="Tabele"/>
              <w:widowControl w:val="0"/>
              <w:jc w:val="center"/>
              <w:rPr>
                <w:rFonts w:ascii="Verdana" w:hAnsi="Verdana"/>
                <w:b/>
                <w:bCs/>
                <w:sz w:val="18"/>
                <w:szCs w:val="18"/>
                <w:lang w:val="it-IT"/>
              </w:rPr>
            </w:pPr>
          </w:p>
        </w:tc>
        <w:tc>
          <w:tcPr>
            <w:tcW w:w="1135" w:type="dxa"/>
            <w:vMerge/>
            <w:tcBorders>
              <w:top w:val="single" w:sz="4" w:space="0" w:color="auto"/>
              <w:left w:val="single" w:sz="4" w:space="0" w:color="auto"/>
              <w:bottom w:val="single" w:sz="4" w:space="0" w:color="000000"/>
              <w:right w:val="single" w:sz="4" w:space="0" w:color="auto"/>
            </w:tcBorders>
            <w:vAlign w:val="center"/>
          </w:tcPr>
          <w:p w:rsidR="00BC4F03" w:rsidRPr="00844D24" w:rsidRDefault="00BC4F03" w:rsidP="00BC4F03">
            <w:pPr>
              <w:pStyle w:val="Tabele"/>
              <w:widowControl w:val="0"/>
              <w:jc w:val="center"/>
              <w:rPr>
                <w:rFonts w:ascii="Verdana" w:hAnsi="Verdana"/>
                <w:b/>
                <w:bCs/>
                <w:sz w:val="18"/>
                <w:szCs w:val="18"/>
                <w:lang w:val="it-IT"/>
              </w:rPr>
            </w:pPr>
          </w:p>
        </w:tc>
        <w:tc>
          <w:tcPr>
            <w:tcW w:w="1479" w:type="dxa"/>
            <w:vMerge/>
            <w:tcBorders>
              <w:top w:val="single" w:sz="4" w:space="0" w:color="auto"/>
              <w:left w:val="nil"/>
              <w:bottom w:val="single" w:sz="4" w:space="0" w:color="000000"/>
              <w:right w:val="single" w:sz="4" w:space="0" w:color="auto"/>
            </w:tcBorders>
            <w:vAlign w:val="center"/>
          </w:tcPr>
          <w:p w:rsidR="00BC4F03" w:rsidRPr="00844D24" w:rsidRDefault="00BC4F03" w:rsidP="00BC4F03">
            <w:pPr>
              <w:pStyle w:val="Tabele"/>
              <w:widowControl w:val="0"/>
              <w:jc w:val="center"/>
              <w:rPr>
                <w:rFonts w:ascii="Verdana" w:hAnsi="Verdana"/>
                <w:b/>
                <w:bCs/>
                <w:sz w:val="18"/>
                <w:szCs w:val="18"/>
                <w:lang w:val="it-IT"/>
              </w:rPr>
            </w:pPr>
          </w:p>
        </w:tc>
        <w:tc>
          <w:tcPr>
            <w:tcW w:w="1671" w:type="dxa"/>
            <w:vMerge/>
            <w:tcBorders>
              <w:top w:val="single" w:sz="4" w:space="0" w:color="auto"/>
              <w:left w:val="single" w:sz="4" w:space="0" w:color="auto"/>
              <w:bottom w:val="single" w:sz="4" w:space="0" w:color="000000"/>
              <w:right w:val="single" w:sz="4" w:space="0" w:color="auto"/>
            </w:tcBorders>
            <w:vAlign w:val="center"/>
          </w:tcPr>
          <w:p w:rsidR="00BC4F03" w:rsidRPr="00844D24" w:rsidRDefault="00BC4F03" w:rsidP="00BC4F03">
            <w:pPr>
              <w:pStyle w:val="Tabele"/>
              <w:widowControl w:val="0"/>
              <w:jc w:val="center"/>
              <w:rPr>
                <w:rFonts w:ascii="Verdana" w:hAnsi="Verdana"/>
                <w:b/>
                <w:bCs/>
                <w:sz w:val="18"/>
                <w:szCs w:val="18"/>
                <w:lang w:val="it-IT"/>
              </w:rPr>
            </w:pPr>
          </w:p>
        </w:tc>
        <w:tc>
          <w:tcPr>
            <w:tcW w:w="1601" w:type="dxa"/>
            <w:vMerge/>
            <w:tcBorders>
              <w:top w:val="single" w:sz="4" w:space="0" w:color="auto"/>
              <w:left w:val="single" w:sz="4" w:space="0" w:color="auto"/>
              <w:bottom w:val="single" w:sz="4" w:space="0" w:color="000000"/>
              <w:right w:val="single" w:sz="4" w:space="0" w:color="auto"/>
            </w:tcBorders>
            <w:vAlign w:val="center"/>
          </w:tcPr>
          <w:p w:rsidR="00BC4F03" w:rsidRPr="00844D24" w:rsidRDefault="00BC4F03" w:rsidP="00BC4F03">
            <w:pPr>
              <w:pStyle w:val="Tabele"/>
              <w:widowControl w:val="0"/>
              <w:jc w:val="center"/>
              <w:rPr>
                <w:rFonts w:ascii="Verdana" w:hAnsi="Verdana"/>
                <w:b/>
                <w:bCs/>
                <w:sz w:val="18"/>
                <w:szCs w:val="18"/>
                <w:lang w:val="it-IT"/>
              </w:rPr>
            </w:pPr>
          </w:p>
        </w:tc>
        <w:tc>
          <w:tcPr>
            <w:tcW w:w="4909" w:type="dxa"/>
            <w:vMerge/>
            <w:tcBorders>
              <w:top w:val="single" w:sz="4" w:space="0" w:color="auto"/>
              <w:left w:val="single" w:sz="4" w:space="0" w:color="auto"/>
              <w:bottom w:val="single" w:sz="4" w:space="0" w:color="000000"/>
              <w:right w:val="single" w:sz="4" w:space="0" w:color="auto"/>
            </w:tcBorders>
            <w:vAlign w:val="center"/>
          </w:tcPr>
          <w:p w:rsidR="00BC4F03" w:rsidRPr="00844D24" w:rsidRDefault="00BC4F03" w:rsidP="00BC4F03">
            <w:pPr>
              <w:pStyle w:val="Tabele"/>
              <w:widowControl w:val="0"/>
              <w:jc w:val="center"/>
              <w:rPr>
                <w:rFonts w:ascii="Verdana" w:hAnsi="Verdana"/>
                <w:b/>
                <w:bCs/>
                <w:sz w:val="18"/>
                <w:szCs w:val="18"/>
                <w:lang w:val="it-IT"/>
              </w:rPr>
            </w:pPr>
          </w:p>
        </w:tc>
      </w:tr>
      <w:tr w:rsidR="00BC4F03" w:rsidRPr="00844D24">
        <w:trPr>
          <w:trHeight w:val="247"/>
        </w:trPr>
        <w:tc>
          <w:tcPr>
            <w:tcW w:w="522"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BC4F03" w:rsidRPr="00844D24" w:rsidRDefault="00BC4F03" w:rsidP="00BC4F03">
            <w:pPr>
              <w:pStyle w:val="Tabele"/>
              <w:widowControl w:val="0"/>
              <w:rPr>
                <w:rFonts w:ascii="Verdana" w:hAnsi="Verdana"/>
                <w:b/>
                <w:bCs/>
                <w:sz w:val="18"/>
                <w:szCs w:val="18"/>
                <w:lang w:val="it-IT"/>
              </w:rPr>
            </w:pPr>
          </w:p>
        </w:tc>
        <w:tc>
          <w:tcPr>
            <w:tcW w:w="1135" w:type="dxa"/>
            <w:tcBorders>
              <w:top w:val="single" w:sz="4" w:space="0" w:color="auto"/>
              <w:left w:val="nil"/>
              <w:bottom w:val="single" w:sz="4" w:space="0" w:color="auto"/>
              <w:right w:val="single" w:sz="4" w:space="0" w:color="auto"/>
            </w:tcBorders>
            <w:shd w:val="clear" w:color="auto" w:fill="auto"/>
            <w:noWrap/>
            <w:vAlign w:val="bottom"/>
          </w:tcPr>
          <w:p w:rsidR="00BC4F03" w:rsidRPr="00844D24" w:rsidRDefault="00BC4F03" w:rsidP="00BC4F03">
            <w:pPr>
              <w:pStyle w:val="Tabele"/>
              <w:widowControl w:val="0"/>
              <w:rPr>
                <w:sz w:val="18"/>
                <w:szCs w:val="18"/>
                <w:lang w:val="it-IT"/>
              </w:rPr>
            </w:pPr>
            <w:r w:rsidRPr="00844D24">
              <w:rPr>
                <w:sz w:val="18"/>
                <w:szCs w:val="18"/>
                <w:lang w:val="it-IT"/>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844D24" w:rsidRDefault="00BC4F03" w:rsidP="00BC4F03">
            <w:pPr>
              <w:pStyle w:val="Tabele"/>
              <w:widowControl w:val="0"/>
              <w:rPr>
                <w:sz w:val="18"/>
                <w:szCs w:val="18"/>
                <w:lang w:val="it-IT"/>
              </w:rPr>
            </w:pPr>
            <w:r w:rsidRPr="00844D24">
              <w:rPr>
                <w:sz w:val="18"/>
                <w:szCs w:val="18"/>
                <w:lang w:val="it-IT"/>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844D24" w:rsidRDefault="00BC4F03" w:rsidP="00BC4F03">
            <w:pPr>
              <w:pStyle w:val="Tabele"/>
              <w:widowControl w:val="0"/>
              <w:rPr>
                <w:sz w:val="18"/>
                <w:szCs w:val="18"/>
                <w:lang w:val="it-IT"/>
              </w:rPr>
            </w:pPr>
            <w:r w:rsidRPr="00844D24">
              <w:rPr>
                <w:sz w:val="18"/>
                <w:szCs w:val="18"/>
                <w:lang w:val="it-IT"/>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844D24" w:rsidRDefault="00BC4F03" w:rsidP="00BC4F03">
            <w:pPr>
              <w:pStyle w:val="Tabele"/>
              <w:widowControl w:val="0"/>
              <w:rPr>
                <w:sz w:val="18"/>
                <w:szCs w:val="18"/>
                <w:lang w:val="it-IT"/>
              </w:rPr>
            </w:pPr>
            <w:r w:rsidRPr="00844D24">
              <w:rPr>
                <w:sz w:val="18"/>
                <w:szCs w:val="18"/>
                <w:lang w:val="it-IT"/>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844D24" w:rsidRDefault="00BC4F03" w:rsidP="00BC4F03">
            <w:pPr>
              <w:pStyle w:val="Tabele"/>
              <w:widowControl w:val="0"/>
              <w:rPr>
                <w:sz w:val="18"/>
                <w:szCs w:val="18"/>
                <w:lang w:val="it-IT"/>
              </w:rPr>
            </w:pPr>
            <w:r w:rsidRPr="00844D24">
              <w:rPr>
                <w:sz w:val="18"/>
                <w:szCs w:val="18"/>
                <w:lang w:val="it-IT"/>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844D24" w:rsidRDefault="00BC4F03" w:rsidP="00BC4F03">
            <w:pPr>
              <w:pStyle w:val="Tabele"/>
              <w:widowControl w:val="0"/>
              <w:rPr>
                <w:sz w:val="18"/>
                <w:szCs w:val="18"/>
                <w:lang w:val="it-IT"/>
              </w:rPr>
            </w:pPr>
            <w:r w:rsidRPr="00844D24">
              <w:rPr>
                <w:sz w:val="18"/>
                <w:szCs w:val="18"/>
                <w:lang w:val="it-IT"/>
              </w:rPr>
              <w:t> </w:t>
            </w:r>
          </w:p>
        </w:tc>
      </w:tr>
      <w:tr w:rsidR="00BC4F03" w:rsidRPr="00534E09">
        <w:trPr>
          <w:trHeight w:val="176"/>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2</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17"/>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3</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74"/>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4</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210"/>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5</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65"/>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6</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94"/>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7</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229"/>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8</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72"/>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9</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27"/>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10</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83"/>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11</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206"/>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12</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61"/>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13</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18"/>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14</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253"/>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15</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53"/>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16</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10"/>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17</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245"/>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18</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74"/>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19</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15"/>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20</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70"/>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21</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94"/>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22</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149"/>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23</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92"/>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24</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r w:rsidR="00BC4F03" w:rsidRPr="00534E09">
        <w:trPr>
          <w:trHeight w:val="227"/>
        </w:trPr>
        <w:tc>
          <w:tcPr>
            <w:tcW w:w="522" w:type="dxa"/>
            <w:tcBorders>
              <w:top w:val="nil"/>
              <w:left w:val="single" w:sz="4" w:space="0" w:color="auto"/>
              <w:bottom w:val="single" w:sz="4" w:space="0" w:color="auto"/>
              <w:right w:val="single" w:sz="4" w:space="0" w:color="auto"/>
            </w:tcBorders>
            <w:shd w:val="clear" w:color="auto" w:fill="C0C0C0"/>
            <w:noWrap/>
            <w:vAlign w:val="bottom"/>
          </w:tcPr>
          <w:p w:rsidR="00BC4F03" w:rsidRPr="00534E09" w:rsidRDefault="00BC4F03" w:rsidP="00BC4F03">
            <w:pPr>
              <w:pStyle w:val="Tabele"/>
              <w:widowControl w:val="0"/>
              <w:rPr>
                <w:rFonts w:ascii="Verdana" w:hAnsi="Verdana"/>
                <w:b/>
                <w:bCs/>
                <w:sz w:val="18"/>
                <w:szCs w:val="18"/>
                <w:lang w:val="en-US"/>
              </w:rPr>
            </w:pPr>
            <w:r w:rsidRPr="00534E09">
              <w:rPr>
                <w:rFonts w:ascii="Verdana" w:hAnsi="Verdana"/>
                <w:b/>
                <w:bCs/>
                <w:sz w:val="18"/>
                <w:szCs w:val="18"/>
                <w:lang w:val="en-US"/>
              </w:rPr>
              <w:t>25</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135"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47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7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1601"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c>
          <w:tcPr>
            <w:tcW w:w="4909" w:type="dxa"/>
            <w:tcBorders>
              <w:top w:val="nil"/>
              <w:left w:val="nil"/>
              <w:bottom w:val="single" w:sz="4" w:space="0" w:color="auto"/>
              <w:right w:val="single" w:sz="4" w:space="0" w:color="auto"/>
            </w:tcBorders>
            <w:shd w:val="clear" w:color="auto" w:fill="auto"/>
            <w:noWrap/>
            <w:vAlign w:val="bottom"/>
          </w:tcPr>
          <w:p w:rsidR="00BC4F03" w:rsidRPr="00534E09" w:rsidRDefault="00BC4F03" w:rsidP="00BC4F03">
            <w:pPr>
              <w:pStyle w:val="Tabele"/>
              <w:widowControl w:val="0"/>
              <w:rPr>
                <w:sz w:val="18"/>
                <w:szCs w:val="18"/>
                <w:lang w:val="en-US"/>
              </w:rPr>
            </w:pPr>
            <w:r w:rsidRPr="00534E09">
              <w:rPr>
                <w:sz w:val="18"/>
                <w:szCs w:val="18"/>
                <w:lang w:val="en-US"/>
              </w:rPr>
              <w:t> </w:t>
            </w:r>
          </w:p>
        </w:tc>
      </w:tr>
    </w:tbl>
    <w:p w:rsidR="00BC4F03" w:rsidRDefault="00BC4F03" w:rsidP="00BC4F03">
      <w:pPr>
        <w:pStyle w:val="Paragrafi"/>
        <w:tabs>
          <w:tab w:val="left" w:pos="5505"/>
        </w:tabs>
      </w:pPr>
      <w:r w:rsidRPr="00A94B14">
        <w:t>DATË ___.___.2006</w:t>
      </w:r>
      <w:r>
        <w:tab/>
      </w:r>
      <w:r>
        <w:tab/>
      </w:r>
      <w:r>
        <w:tab/>
      </w:r>
      <w:r>
        <w:tab/>
      </w:r>
      <w:r>
        <w:tab/>
      </w:r>
      <w:r w:rsidRPr="00A94B14">
        <w:t>NËNSHKRIMI</w:t>
      </w:r>
    </w:p>
    <w:p w:rsidR="00BC4F03" w:rsidRDefault="00BC4F03" w:rsidP="00BC4F03">
      <w:pPr>
        <w:pStyle w:val="Paragrafi"/>
        <w:ind w:left="10800"/>
      </w:pPr>
    </w:p>
    <w:p w:rsidR="00BC4F03" w:rsidRPr="00A94B14" w:rsidRDefault="00BC4F03" w:rsidP="00BC4F03">
      <w:pPr>
        <w:pStyle w:val="Paragrafi"/>
        <w:ind w:left="10800"/>
      </w:pPr>
      <w:r w:rsidRPr="00A94B14">
        <w:t>VULA</w:t>
      </w:r>
    </w:p>
    <w:p w:rsidR="00BC4F03" w:rsidRDefault="00BC4F03" w:rsidP="00BC4F03">
      <w:pPr>
        <w:pStyle w:val="Paragrafi"/>
        <w:sectPr w:rsidR="00BC4F03" w:rsidSect="00BC4F03">
          <w:pgSz w:w="15840" w:h="12240" w:orient="landscape"/>
          <w:pgMar w:top="1797" w:right="1440" w:bottom="1797" w:left="1440" w:header="720" w:footer="720" w:gutter="0"/>
          <w:cols w:space="720"/>
          <w:docGrid w:linePitch="360"/>
        </w:sectPr>
      </w:pPr>
    </w:p>
    <w:p w:rsidR="00BC4F03" w:rsidRDefault="00BC4F03" w:rsidP="00BC4F03">
      <w:pPr>
        <w:pStyle w:val="Paragrafi"/>
      </w:pPr>
    </w:p>
    <w:p w:rsidR="00BC4F03" w:rsidRPr="001E06DE" w:rsidRDefault="00FB6CDD" w:rsidP="00BC4F03">
      <w:pPr>
        <w:pStyle w:val="Figure"/>
      </w:pPr>
      <w:r w:rsidRPr="001E06DE">
        <w:rPr>
          <w:noProof/>
          <w:lang w:val="en-GB" w:eastAsia="en-GB"/>
        </w:rPr>
        <w:drawing>
          <wp:inline distT="0" distB="0" distL="0" distR="0">
            <wp:extent cx="6057900" cy="5895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0" cy="5895975"/>
                    </a:xfrm>
                    <a:prstGeom prst="rect">
                      <a:avLst/>
                    </a:prstGeom>
                    <a:noFill/>
                    <a:ln>
                      <a:noFill/>
                    </a:ln>
                  </pic:spPr>
                </pic:pic>
              </a:graphicData>
            </a:graphic>
          </wp:inline>
        </w:drawing>
      </w: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Pr="001E06DE" w:rsidRDefault="00FB6CDD" w:rsidP="00BC4F03">
      <w:pPr>
        <w:pStyle w:val="Figure"/>
      </w:pPr>
      <w:r w:rsidRPr="001E06DE">
        <w:rPr>
          <w:noProof/>
          <w:lang w:val="en-GB" w:eastAsia="en-GB"/>
        </w:rPr>
        <w:drawing>
          <wp:inline distT="0" distB="0" distL="0" distR="0">
            <wp:extent cx="5934075" cy="6743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6743700"/>
                    </a:xfrm>
                    <a:prstGeom prst="rect">
                      <a:avLst/>
                    </a:prstGeom>
                    <a:noFill/>
                    <a:ln>
                      <a:noFill/>
                    </a:ln>
                  </pic:spPr>
                </pic:pic>
              </a:graphicData>
            </a:graphic>
          </wp:inline>
        </w:drawing>
      </w: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p w:rsidR="00BC4F03" w:rsidRDefault="00BC4F03" w:rsidP="00BC4F03">
      <w:pPr>
        <w:pStyle w:val="Paragrafi"/>
      </w:pPr>
    </w:p>
    <w:sectPr w:rsidR="00BC4F03"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B6CDD">
      <w:r>
        <w:separator/>
      </w:r>
    </w:p>
  </w:endnote>
  <w:endnote w:type="continuationSeparator" w:id="0">
    <w:p w:rsidR="00000000" w:rsidRDefault="00FB6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4F03" w:rsidRDefault="00BC4F03" w:rsidP="00BC4F0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C4F03" w:rsidRDefault="00BC4F03" w:rsidP="00BC4F0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4F03" w:rsidRPr="000D0FC4" w:rsidRDefault="00BC4F03" w:rsidP="00BC4F03">
    <w:pPr>
      <w:pStyle w:val="Footer"/>
      <w:framePr w:wrap="around" w:vAnchor="text" w:hAnchor="margin" w:xAlign="outside" w:y="1"/>
      <w:rPr>
        <w:rStyle w:val="PageNumber"/>
        <w:rFonts w:ascii="CG Times" w:hAnsi="CG Times"/>
        <w:sz w:val="22"/>
        <w:szCs w:val="22"/>
      </w:rPr>
    </w:pPr>
    <w:r w:rsidRPr="000D0FC4">
      <w:rPr>
        <w:rStyle w:val="PageNumber"/>
        <w:rFonts w:ascii="CG Times" w:hAnsi="CG Times"/>
        <w:sz w:val="22"/>
        <w:szCs w:val="22"/>
      </w:rPr>
      <w:fldChar w:fldCharType="begin"/>
    </w:r>
    <w:r w:rsidRPr="000D0FC4">
      <w:rPr>
        <w:rStyle w:val="PageNumber"/>
        <w:rFonts w:ascii="CG Times" w:hAnsi="CG Times"/>
        <w:sz w:val="22"/>
        <w:szCs w:val="22"/>
      </w:rPr>
      <w:instrText xml:space="preserve">PAGE  </w:instrText>
    </w:r>
    <w:r w:rsidRPr="000D0FC4">
      <w:rPr>
        <w:rStyle w:val="PageNumber"/>
        <w:rFonts w:ascii="CG Times" w:hAnsi="CG Times"/>
        <w:sz w:val="22"/>
        <w:szCs w:val="22"/>
      </w:rPr>
      <w:fldChar w:fldCharType="separate"/>
    </w:r>
    <w:r w:rsidR="00FB6CDD">
      <w:rPr>
        <w:rStyle w:val="PageNumber"/>
        <w:rFonts w:ascii="CG Times" w:hAnsi="CG Times"/>
        <w:noProof/>
        <w:sz w:val="22"/>
        <w:szCs w:val="22"/>
      </w:rPr>
      <w:t>4352</w:t>
    </w:r>
    <w:r w:rsidRPr="000D0FC4">
      <w:rPr>
        <w:rStyle w:val="PageNumber"/>
        <w:rFonts w:ascii="CG Times" w:hAnsi="CG Times"/>
        <w:sz w:val="22"/>
        <w:szCs w:val="22"/>
      </w:rPr>
      <w:fldChar w:fldCharType="end"/>
    </w:r>
  </w:p>
  <w:p w:rsidR="00BC4F03" w:rsidRDefault="00BC4F03" w:rsidP="00BC4F0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B6CDD">
      <w:r>
        <w:separator/>
      </w:r>
    </w:p>
  </w:footnote>
  <w:footnote w:type="continuationSeparator" w:id="0">
    <w:p w:rsidR="00000000" w:rsidRDefault="00FB6C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4F03"/>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6CD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C05417-C87C-4856-AECC-7C1BC5A0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F03"/>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BC4F03"/>
    <w:rPr>
      <w:rFonts w:ascii="CG Times" w:hAnsi="CG Times"/>
      <w:b/>
      <w:caps/>
      <w:sz w:val="22"/>
      <w:szCs w:val="22"/>
      <w:lang w:val="en-GB" w:eastAsia="en-US" w:bidi="ar-SA"/>
    </w:rPr>
  </w:style>
  <w:style w:type="paragraph" w:styleId="Footer">
    <w:name w:val="footer"/>
    <w:basedOn w:val="Normal"/>
    <w:rsid w:val="00BC4F03"/>
    <w:pPr>
      <w:tabs>
        <w:tab w:val="center" w:pos="4320"/>
        <w:tab w:val="right" w:pos="8640"/>
      </w:tabs>
    </w:pPr>
    <w:rPr>
      <w:rFonts w:ascii="Arial" w:hAnsi="Arial"/>
      <w:sz w:val="24"/>
      <w:lang w:val="en-GB"/>
    </w:rPr>
  </w:style>
  <w:style w:type="character" w:styleId="PageNumber">
    <w:name w:val="page number"/>
    <w:basedOn w:val="DefaultParagraphFont"/>
    <w:rsid w:val="00BC4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2019-03-16T14:01:00Z</dcterms:created>
  <dcterms:modified xsi:type="dcterms:W3CDTF">2019-03-16T14:01:00Z</dcterms:modified>
</cp:coreProperties>
</file>