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45D1" w:rsidRPr="004E35E1" w:rsidRDefault="003E45D1" w:rsidP="003E45D1">
      <w:pPr>
        <w:pStyle w:val="Akti"/>
        <w:rPr>
          <w:lang w:val="sq-AL"/>
        </w:rPr>
      </w:pPr>
      <w:bookmarkStart w:id="0" w:name="_GoBack"/>
      <w:bookmarkEnd w:id="0"/>
      <w:r w:rsidRPr="004E35E1">
        <w:rPr>
          <w:lang w:val="sq-AL"/>
        </w:rPr>
        <w:t>VENDIM</w:t>
      </w:r>
    </w:p>
    <w:p w:rsidR="003E45D1" w:rsidRPr="004E35E1" w:rsidRDefault="003E45D1" w:rsidP="003E45D1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4E35E1">
        <w:rPr>
          <w:lang w:val="sq-AL"/>
        </w:rPr>
        <w:t>6, datë 5.8.2013</w:t>
      </w:r>
    </w:p>
    <w:p w:rsidR="003E45D1" w:rsidRPr="003E45D1" w:rsidRDefault="003E45D1" w:rsidP="003E45D1">
      <w:pPr>
        <w:pStyle w:val="Paragrafi"/>
        <w:rPr>
          <w:sz w:val="4"/>
          <w:lang w:val="sq-AL"/>
        </w:rPr>
      </w:pPr>
    </w:p>
    <w:p w:rsidR="003E45D1" w:rsidRPr="004E35E1" w:rsidRDefault="003E45D1" w:rsidP="003E45D1">
      <w:pPr>
        <w:pStyle w:val="Titulli"/>
        <w:rPr>
          <w:lang w:val="sq-AL"/>
        </w:rPr>
      </w:pPr>
      <w:r>
        <w:rPr>
          <w:lang w:val="sq-AL"/>
        </w:rPr>
        <w:t xml:space="preserve">PËR </w:t>
      </w:r>
      <w:r w:rsidRPr="004E35E1">
        <w:rPr>
          <w:lang w:val="sq-AL"/>
        </w:rPr>
        <w:t>PËRCAKTIMIN E RREGULLAVE TË HOLLËSISHME PËR SIGURIMIN E TË DHËNAVE PERSONALE</w:t>
      </w:r>
    </w:p>
    <w:p w:rsidR="003E45D1" w:rsidRPr="003E45D1" w:rsidRDefault="003E45D1" w:rsidP="003E45D1">
      <w:pPr>
        <w:pStyle w:val="Paragrafi"/>
        <w:rPr>
          <w:sz w:val="10"/>
          <w:lang w:val="sq-AL"/>
        </w:rPr>
      </w:pP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 xml:space="preserve">Mbështetur në pikën 5 të nenit 27 të ligjit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9887, datë 10.3.2008 </w:t>
      </w:r>
      <w:r>
        <w:rPr>
          <w:lang w:val="sq-AL"/>
        </w:rPr>
        <w:t>“</w:t>
      </w:r>
      <w:r w:rsidRPr="004E35E1">
        <w:rPr>
          <w:lang w:val="sq-AL"/>
        </w:rPr>
        <w:t>Për mbrojtjen e të dhënave personale</w:t>
      </w:r>
      <w:r>
        <w:rPr>
          <w:lang w:val="sq-AL"/>
        </w:rPr>
        <w:t>”</w:t>
      </w:r>
      <w:r w:rsidRPr="004E35E1">
        <w:rPr>
          <w:lang w:val="sq-AL"/>
        </w:rPr>
        <w:t>, të ndryshuar, Komisioneri për Mbrojtjen e të Dhënave Personale</w:t>
      </w:r>
    </w:p>
    <w:p w:rsidR="003E45D1" w:rsidRPr="004E35E1" w:rsidRDefault="003E45D1" w:rsidP="003E45D1">
      <w:pPr>
        <w:pStyle w:val="Paragrafi"/>
        <w:rPr>
          <w:lang w:val="sq-AL"/>
        </w:rPr>
      </w:pPr>
    </w:p>
    <w:p w:rsidR="003E45D1" w:rsidRPr="004E35E1" w:rsidRDefault="003E45D1" w:rsidP="003E45D1">
      <w:pPr>
        <w:pStyle w:val="VENDOSI"/>
        <w:rPr>
          <w:lang w:val="sq-AL"/>
        </w:rPr>
      </w:pPr>
      <w:r w:rsidRPr="004E35E1">
        <w:rPr>
          <w:lang w:val="sq-AL"/>
        </w:rPr>
        <w:t>VENDOSI:</w:t>
      </w:r>
    </w:p>
    <w:p w:rsidR="003E45D1" w:rsidRPr="004E35E1" w:rsidRDefault="003E45D1" w:rsidP="003E45D1">
      <w:pPr>
        <w:pStyle w:val="Paragrafi"/>
        <w:rPr>
          <w:lang w:val="sq-AL"/>
        </w:rPr>
      </w:pP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Përcaktimin e disa rregullave të detyrueshme për t</w:t>
      </w:r>
      <w:r>
        <w:rPr>
          <w:lang w:val="sq-AL"/>
        </w:rPr>
        <w:t>’</w:t>
      </w:r>
      <w:r w:rsidRPr="004E35E1">
        <w:rPr>
          <w:lang w:val="sq-AL"/>
        </w:rPr>
        <w:t>u zbatuar nga kontrolluesit publikë e privatë gjatë përpunimit të të dhënave personale, si vijon: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Kontrolluesi detyrohet: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1. Të përcaktojë kategoritë e të dhënave personale dhe sensitive që përpunon.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2. Të përcaktojë nivelet e aksesit në të dhëna në përputhje me profilin e punës, në funksion të përpunimit dhe të mbrojtjes së të dhënave.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 xml:space="preserve">3. Të hartojë dhe të miratojë rregullore </w:t>
      </w:r>
      <w:r>
        <w:rPr>
          <w:lang w:val="sq-AL"/>
        </w:rPr>
        <w:t>“</w:t>
      </w:r>
      <w:r w:rsidRPr="004E35E1">
        <w:rPr>
          <w:lang w:val="sq-AL"/>
        </w:rPr>
        <w:t>Për mbrojtjen, përpunimin, ruajtjen dhe sigurinë e të dhënave personale</w:t>
      </w:r>
      <w:r>
        <w:rPr>
          <w:lang w:val="sq-AL"/>
        </w:rPr>
        <w:t>”</w:t>
      </w:r>
      <w:r w:rsidRPr="004E35E1">
        <w:rPr>
          <w:lang w:val="sq-AL"/>
        </w:rPr>
        <w:t xml:space="preserve">, mbështetur në projektrregulloren tip të hartuar nga Komisioneri për Mbrojtjen e të Dhënave Personale. 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4. Të ndërmarrë hapat e nevojshëm dhe të garantojë që stafi të jetë i ndërgjegjësuar dhe i trajnuar rreth nevojës së sigurisë dhe përforcimit të saj.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 xml:space="preserve">5. Të hartojë dhe të zbatojë politikën e privatësisë. 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 xml:space="preserve">6. Për çdo punonjës që kryesisht përpunon të dhëna sensitive të nënshkruajë </w:t>
      </w:r>
      <w:r>
        <w:rPr>
          <w:lang w:val="sq-AL"/>
        </w:rPr>
        <w:t>“</w:t>
      </w:r>
      <w:r w:rsidRPr="004E35E1">
        <w:rPr>
          <w:lang w:val="sq-AL"/>
        </w:rPr>
        <w:t>Deklaratën e konfidencialitetit</w:t>
      </w:r>
      <w:r>
        <w:rPr>
          <w:lang w:val="sq-AL"/>
        </w:rPr>
        <w:t>”</w:t>
      </w:r>
      <w:r w:rsidRPr="004E35E1">
        <w:rPr>
          <w:lang w:val="sq-AL"/>
        </w:rPr>
        <w:t>, sipas modelit që i bashkëlidhet këtij vendimi.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7. Të hartojë dhe të zbatojë rregulla për sigurinë e aksesit të ambienteve në të cilin ushtron veprimtarinë e tij.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 xml:space="preserve">8. Të hartojë dhe të zbatojë rregulla për </w:t>
      </w:r>
      <w:r>
        <w:rPr>
          <w:lang w:val="sq-AL"/>
        </w:rPr>
        <w:t>“</w:t>
      </w:r>
      <w:r w:rsidRPr="004E35E1">
        <w:rPr>
          <w:lang w:val="sq-AL"/>
        </w:rPr>
        <w:t>Tavolinë pune të pastër</w:t>
      </w:r>
      <w:r>
        <w:rPr>
          <w:lang w:val="sq-AL"/>
        </w:rPr>
        <w:t>”</w:t>
      </w:r>
      <w:r w:rsidRPr="004E35E1">
        <w:rPr>
          <w:lang w:val="sq-AL"/>
        </w:rPr>
        <w:t>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9. Të bëjë inventarë për pajisjet elektronike</w:t>
      </w:r>
      <w:r>
        <w:rPr>
          <w:lang w:val="sq-AL"/>
        </w:rPr>
        <w:t>,</w:t>
      </w:r>
      <w:r w:rsidRPr="004E35E1">
        <w:rPr>
          <w:lang w:val="sq-AL"/>
        </w:rPr>
        <w:t xml:space="preserve"> si</w:t>
      </w:r>
      <w:r>
        <w:rPr>
          <w:lang w:val="sq-AL"/>
        </w:rPr>
        <w:t>:</w:t>
      </w:r>
      <w:r w:rsidRPr="004E35E1">
        <w:rPr>
          <w:lang w:val="sq-AL"/>
        </w:rPr>
        <w:t xml:space="preserve"> kompjuter, fotokopje, server, laptop etj.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10. Të hartojë dhe të zbatojë procedura të shkruara për nxjerrjen e pajisjeve elektronike jashtë ambienteve të kontrolluesit.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11. Të hartojë dhe të zbatojë procedura të shkruara për mbajtjen e regjistrimeve</w:t>
      </w:r>
      <w:r>
        <w:rPr>
          <w:lang w:val="sq-AL"/>
        </w:rPr>
        <w:t>,</w:t>
      </w:r>
      <w:r w:rsidRPr="004E35E1">
        <w:rPr>
          <w:lang w:val="sq-AL"/>
        </w:rPr>
        <w:t xml:space="preserve"> lidhur me modifikimet, shkatërrimet dhe transferimet e të dhënave gjatë përpunimit të tyre. Procedurat duhet të parashikojnë përpunimin e të dhënave në mënyrë manuale dhe në mënyrë elektronike.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 xml:space="preserve">12. Të hartojë dhe të zbatojë procedura të shkruara </w:t>
      </w:r>
      <w:r>
        <w:rPr>
          <w:lang w:val="sq-AL"/>
        </w:rPr>
        <w:t>“</w:t>
      </w:r>
      <w:r w:rsidRPr="004E35E1">
        <w:rPr>
          <w:lang w:val="sq-AL"/>
        </w:rPr>
        <w:t xml:space="preserve">Për </w:t>
      </w:r>
      <w:r>
        <w:rPr>
          <w:lang w:val="sq-AL"/>
        </w:rPr>
        <w:t>vazhdimësin</w:t>
      </w:r>
      <w:r w:rsidRPr="004E35E1">
        <w:rPr>
          <w:lang w:val="sq-AL"/>
        </w:rPr>
        <w:t>ë e biznesit</w:t>
      </w:r>
      <w:r>
        <w:rPr>
          <w:lang w:val="sq-AL"/>
        </w:rPr>
        <w:t>”</w:t>
      </w:r>
      <w:r w:rsidRPr="004E35E1">
        <w:rPr>
          <w:lang w:val="sq-AL"/>
        </w:rPr>
        <w:t xml:space="preserve"> në rast incidentesh dhe të shkeljes së sigurisë. Sistemi të garantojë integritet, disponueshmëri dhe besueshmëri në mënyrë të vazhdueshme. 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 xml:space="preserve">13. </w:t>
      </w:r>
      <w:r>
        <w:rPr>
          <w:lang w:val="sq-AL"/>
        </w:rPr>
        <w:t>Mos</w:t>
      </w:r>
      <w:r w:rsidRPr="004E35E1">
        <w:rPr>
          <w:lang w:val="sq-AL"/>
        </w:rPr>
        <w:t>zbatimi i detyrimeve të përcaktuara në këtë udhëzim dënohet sipas nenit 39 të ligjit për mbrojtjen e të dhënave personale, të  ndryshuar.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Janë përgjegjës për zbatimin e kërkesave të këtij vendimi të gjithë kontrolluesit publikë dhe privatë</w:t>
      </w:r>
      <w:r>
        <w:rPr>
          <w:lang w:val="sq-AL"/>
        </w:rPr>
        <w:t>,</w:t>
      </w:r>
      <w:r w:rsidRPr="004E35E1">
        <w:rPr>
          <w:lang w:val="sq-AL"/>
        </w:rPr>
        <w:t xml:space="preserve"> të cilët gjatë veprimtarisë së tyre të punës duhet të zbatojnë edhe parashikimet ligjore të përcaktuara në </w:t>
      </w:r>
      <w:r>
        <w:rPr>
          <w:lang w:val="sq-AL"/>
        </w:rPr>
        <w:t>u</w:t>
      </w:r>
      <w:r w:rsidRPr="004E35E1">
        <w:rPr>
          <w:lang w:val="sq-AL"/>
        </w:rPr>
        <w:t xml:space="preserve">dhëzimin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21, datë 24.9.2012 </w:t>
      </w:r>
      <w:r>
        <w:rPr>
          <w:lang w:val="sq-AL"/>
        </w:rPr>
        <w:t>“</w:t>
      </w:r>
      <w:r w:rsidRPr="004E35E1">
        <w:rPr>
          <w:lang w:val="sq-AL"/>
        </w:rPr>
        <w:t>Për përcaktimin e rregullave për ruajtjen e sigurisë të të dhënave personale të përpunuara nga kontrolluesit e mëdhenj</w:t>
      </w:r>
      <w:r>
        <w:rPr>
          <w:lang w:val="sq-AL"/>
        </w:rPr>
        <w:t>”</w:t>
      </w:r>
      <w:r w:rsidRPr="004E35E1">
        <w:rPr>
          <w:lang w:val="sq-AL"/>
        </w:rPr>
        <w:t xml:space="preserve">, të  ndryshuar dhe </w:t>
      </w:r>
      <w:r>
        <w:rPr>
          <w:lang w:val="sq-AL"/>
        </w:rPr>
        <w:t>u</w:t>
      </w:r>
      <w:r w:rsidRPr="004E35E1">
        <w:rPr>
          <w:lang w:val="sq-AL"/>
        </w:rPr>
        <w:t xml:space="preserve">dhëzimi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22, datë 24.9.2012 </w:t>
      </w:r>
      <w:r>
        <w:rPr>
          <w:lang w:val="sq-AL"/>
        </w:rPr>
        <w:t>“</w:t>
      </w:r>
      <w:r w:rsidRPr="004E35E1">
        <w:rPr>
          <w:lang w:val="sq-AL"/>
        </w:rPr>
        <w:t>Për përcaktimin e rreg</w:t>
      </w:r>
      <w:r>
        <w:rPr>
          <w:lang w:val="sq-AL"/>
        </w:rPr>
        <w:t>ullave për ruajtjen e sigurisë s</w:t>
      </w:r>
      <w:r w:rsidRPr="004E35E1">
        <w:rPr>
          <w:lang w:val="sq-AL"/>
        </w:rPr>
        <w:t>ë të dhënave personale të përpunuara nga kontrolluesit e vegjël</w:t>
      </w:r>
      <w:r>
        <w:rPr>
          <w:lang w:val="sq-AL"/>
        </w:rPr>
        <w:t>”</w:t>
      </w:r>
      <w:r w:rsidRPr="004E35E1">
        <w:rPr>
          <w:lang w:val="sq-AL"/>
        </w:rPr>
        <w:t>, të  ndryshuar.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 xml:space="preserve">Vendimi </w:t>
      </w:r>
      <w:r>
        <w:rPr>
          <w:lang w:val="sq-AL"/>
        </w:rPr>
        <w:t xml:space="preserve">nr. </w:t>
      </w:r>
      <w:r w:rsidRPr="004E35E1">
        <w:rPr>
          <w:lang w:val="sq-AL"/>
        </w:rPr>
        <w:t xml:space="preserve">1, datë 4.3.2010 </w:t>
      </w:r>
      <w:r>
        <w:rPr>
          <w:lang w:val="sq-AL"/>
        </w:rPr>
        <w:t>“</w:t>
      </w:r>
      <w:r w:rsidRPr="004E35E1">
        <w:rPr>
          <w:lang w:val="sq-AL"/>
        </w:rPr>
        <w:t>Për përcaktimin e rregullave të hollësishme për sigurimin e të dhënave personale</w:t>
      </w:r>
      <w:r>
        <w:rPr>
          <w:lang w:val="sq-AL"/>
        </w:rPr>
        <w:t>”</w:t>
      </w:r>
      <w:r w:rsidRPr="004E35E1">
        <w:rPr>
          <w:lang w:val="sq-AL"/>
        </w:rPr>
        <w:t xml:space="preserve">, shfuqizohet. </w:t>
      </w:r>
    </w:p>
    <w:p w:rsidR="003E45D1" w:rsidRPr="004E35E1" w:rsidRDefault="003E45D1" w:rsidP="003E45D1">
      <w:pPr>
        <w:pStyle w:val="Paragrafi"/>
        <w:rPr>
          <w:lang w:val="sq-AL"/>
        </w:rPr>
      </w:pPr>
      <w:r w:rsidRPr="004E35E1">
        <w:rPr>
          <w:lang w:val="sq-AL"/>
        </w:rPr>
        <w:t>Ky vendim hyn në fuqi menjëherë dhe botohet në Fletore</w:t>
      </w:r>
      <w:r>
        <w:rPr>
          <w:lang w:val="sq-AL"/>
        </w:rPr>
        <w:t>n</w:t>
      </w:r>
      <w:r w:rsidRPr="004E35E1">
        <w:rPr>
          <w:lang w:val="sq-AL"/>
        </w:rPr>
        <w:t xml:space="preserve"> Zyrtare.</w:t>
      </w:r>
    </w:p>
    <w:p w:rsidR="003E45D1" w:rsidRPr="004E35E1" w:rsidRDefault="003E45D1" w:rsidP="003E45D1">
      <w:pPr>
        <w:pStyle w:val="Autoriteti"/>
        <w:rPr>
          <w:lang w:val="sq-AL"/>
        </w:rPr>
      </w:pPr>
      <w:r>
        <w:rPr>
          <w:lang w:val="sq-AL"/>
        </w:rPr>
        <w:t>KOMISIONERe</w:t>
      </w:r>
    </w:p>
    <w:p w:rsidR="003E45D1" w:rsidRPr="004E35E1" w:rsidRDefault="003E45D1" w:rsidP="003E45D1">
      <w:pPr>
        <w:pStyle w:val="AutoritetiEmer"/>
        <w:rPr>
          <w:lang w:val="sq-AL"/>
        </w:rPr>
      </w:pPr>
      <w:r w:rsidRPr="004E35E1">
        <w:rPr>
          <w:lang w:val="sq-AL"/>
        </w:rPr>
        <w:t>Flora Çabej (Pogaçe)</w:t>
      </w:r>
    </w:p>
    <w:p w:rsidR="003E45D1" w:rsidRPr="004E35E1" w:rsidRDefault="002D1C6F" w:rsidP="003E45D1">
      <w:pPr>
        <w:pStyle w:val="Paragrafi"/>
        <w:ind w:firstLine="0"/>
        <w:rPr>
          <w:lang w:val="sq-AL"/>
        </w:rPr>
      </w:pPr>
      <w:r w:rsidRPr="009608F4">
        <w:rPr>
          <w:noProof/>
        </w:rPr>
        <w:drawing>
          <wp:inline distT="0" distB="0" distL="0" distR="0">
            <wp:extent cx="5753100" cy="7962900"/>
            <wp:effectExtent l="0" t="0" r="0" b="0"/>
            <wp:docPr id="1" name="Picture 31" descr="C:\Users\Nisida.Fagu\Documents\2013\Urdhër\Udhër 19\Untitled-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Nisida.Fagu\Documents\2013\Urdhër\Udhër 19\Untitled-1.t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796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45D1" w:rsidRPr="004E35E1" w:rsidRDefault="003E45D1" w:rsidP="003E45D1">
      <w:pPr>
        <w:pStyle w:val="Paragrafi"/>
        <w:rPr>
          <w:lang w:val="sq-AL"/>
        </w:rPr>
      </w:pPr>
    </w:p>
    <w:sectPr w:rsidR="003E45D1" w:rsidRPr="004E35E1" w:rsidSect="00A23DC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45D1"/>
    <w:rsid w:val="002D1C6F"/>
    <w:rsid w:val="003E45D1"/>
    <w:rsid w:val="00A23D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30DD74B-5E62-486A-98B9-668A9DA84C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23DCB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3E45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3E45D1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E45D1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3E45D1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3E45D1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E45D1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E45D1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3E45D1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3E45D1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3E45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E45D1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3E45D1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3E45D1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45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45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461</Words>
  <Characters>2630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2019-03-18T13:57:00Z</dcterms:created>
  <dcterms:modified xsi:type="dcterms:W3CDTF">2019-03-18T13:57:00Z</dcterms:modified>
</cp:coreProperties>
</file>