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6E1" w:rsidRPr="0022365C" w:rsidRDefault="005466E1" w:rsidP="005466E1">
      <w:pPr>
        <w:pStyle w:val="NeniTitull"/>
        <w:rPr>
          <w:spacing w:val="-4"/>
          <w:lang w:val="sq-AL"/>
        </w:rPr>
      </w:pPr>
      <w:bookmarkStart w:id="0" w:name="_GoBack"/>
      <w:bookmarkEnd w:id="0"/>
      <w:r w:rsidRPr="0022365C">
        <w:rPr>
          <w:spacing w:val="-4"/>
          <w:lang w:val="sq-AL"/>
        </w:rPr>
        <w:t>VENDIM</w:t>
      </w:r>
    </w:p>
    <w:p w:rsidR="005466E1" w:rsidRPr="0022365C" w:rsidRDefault="005466E1" w:rsidP="005466E1">
      <w:pPr>
        <w:pStyle w:val="NeniTitull"/>
        <w:rPr>
          <w:spacing w:val="-4"/>
          <w:lang w:val="sq-AL"/>
        </w:rPr>
      </w:pPr>
      <w:r w:rsidRPr="0022365C">
        <w:rPr>
          <w:spacing w:val="-4"/>
          <w:lang w:val="sq-AL"/>
        </w:rPr>
        <w:t>Nr. 8, datë 31.10.2016</w:t>
      </w:r>
    </w:p>
    <w:p w:rsidR="005466E1" w:rsidRPr="0022365C" w:rsidRDefault="005466E1" w:rsidP="005466E1">
      <w:pPr>
        <w:pStyle w:val="Hapesira7"/>
        <w:rPr>
          <w:spacing w:val="-4"/>
          <w:lang w:val="sq-AL"/>
        </w:rPr>
      </w:pPr>
    </w:p>
    <w:p w:rsidR="005466E1" w:rsidRDefault="005466E1" w:rsidP="005466E1">
      <w:pPr>
        <w:pStyle w:val="NeniTitull"/>
        <w:rPr>
          <w:spacing w:val="-4"/>
          <w:lang w:val="sq-AL"/>
        </w:rPr>
      </w:pPr>
      <w:r w:rsidRPr="0022365C">
        <w:rPr>
          <w:spacing w:val="-4"/>
          <w:lang w:val="sq-AL"/>
        </w:rPr>
        <w:t xml:space="preserve"> PËR PËRCAKTIMIN E SHTETEVE </w:t>
      </w:r>
    </w:p>
    <w:p w:rsidR="005466E1" w:rsidRPr="0022365C" w:rsidRDefault="005466E1" w:rsidP="005466E1">
      <w:pPr>
        <w:pStyle w:val="NeniTitull"/>
        <w:rPr>
          <w:spacing w:val="-4"/>
          <w:lang w:val="sq-AL"/>
        </w:rPr>
      </w:pPr>
      <w:r w:rsidRPr="0022365C">
        <w:rPr>
          <w:spacing w:val="-4"/>
          <w:lang w:val="sq-AL"/>
        </w:rPr>
        <w:t>ME NIVEL TË MJAFTUESHËM TË MBROJTJES SË TË DHËNAVE PERSONALE</w:t>
      </w:r>
    </w:p>
    <w:p w:rsidR="005466E1" w:rsidRPr="0022365C" w:rsidRDefault="005466E1" w:rsidP="005466E1">
      <w:pPr>
        <w:pStyle w:val="Hapesira7"/>
        <w:rPr>
          <w:spacing w:val="-4"/>
          <w:lang w:val="sq-AL"/>
        </w:rPr>
      </w:pPr>
    </w:p>
    <w:p w:rsidR="005466E1" w:rsidRPr="0022365C" w:rsidRDefault="005466E1" w:rsidP="005466E1">
      <w:pPr>
        <w:pStyle w:val="Paragrafi"/>
        <w:rPr>
          <w:spacing w:val="-4"/>
          <w:lang w:val="sq-AL"/>
        </w:rPr>
      </w:pPr>
      <w:r w:rsidRPr="0022365C">
        <w:rPr>
          <w:spacing w:val="-4"/>
          <w:lang w:val="sq-AL"/>
        </w:rPr>
        <w:t xml:space="preserve">Mbështetur në pikën 1, të nenit 8, të ligjit nr. 9887, datë 10.3.2008, “Për mbrojtjen e të dhënave personale”, i ndryshuar, </w:t>
      </w:r>
    </w:p>
    <w:p w:rsidR="005466E1" w:rsidRDefault="005466E1" w:rsidP="005466E1">
      <w:pPr>
        <w:pStyle w:val="Hapesira7"/>
        <w:rPr>
          <w:spacing w:val="-4"/>
          <w:lang w:val="sq-AL"/>
        </w:rPr>
      </w:pPr>
    </w:p>
    <w:p w:rsidR="005466E1" w:rsidRPr="0022365C" w:rsidRDefault="005466E1" w:rsidP="005466E1">
      <w:pPr>
        <w:pStyle w:val="Hapesira7"/>
        <w:rPr>
          <w:spacing w:val="-4"/>
          <w:lang w:val="sq-AL"/>
        </w:rPr>
      </w:pPr>
    </w:p>
    <w:p w:rsidR="005466E1" w:rsidRPr="0022365C" w:rsidRDefault="005466E1" w:rsidP="005466E1">
      <w:pPr>
        <w:pStyle w:val="NeniNr"/>
        <w:rPr>
          <w:spacing w:val="-4"/>
          <w:lang w:val="sq-AL"/>
        </w:rPr>
      </w:pPr>
      <w:r w:rsidRPr="0022365C">
        <w:rPr>
          <w:spacing w:val="-4"/>
          <w:lang w:val="sq-AL"/>
        </w:rPr>
        <w:t>VENDOSA:</w:t>
      </w:r>
    </w:p>
    <w:p w:rsidR="005466E1" w:rsidRPr="0022365C" w:rsidRDefault="005466E1" w:rsidP="005466E1">
      <w:pPr>
        <w:pStyle w:val="Hapesira7"/>
        <w:rPr>
          <w:spacing w:val="-4"/>
          <w:lang w:val="sq-AL"/>
        </w:rPr>
      </w:pPr>
    </w:p>
    <w:p w:rsidR="005466E1" w:rsidRPr="0022365C" w:rsidRDefault="005466E1" w:rsidP="005466E1">
      <w:pPr>
        <w:pStyle w:val="Paragrafi"/>
        <w:rPr>
          <w:spacing w:val="-4"/>
          <w:lang w:val="sq-AL"/>
        </w:rPr>
      </w:pPr>
      <w:r w:rsidRPr="0022365C">
        <w:rPr>
          <w:spacing w:val="-4"/>
          <w:lang w:val="sq-AL"/>
        </w:rPr>
        <w:t>1. Shtete që kanë nivel të mjaftueshëm të mbrojtjes së të dhënave personale, janë:</w:t>
      </w:r>
    </w:p>
    <w:p w:rsidR="005466E1" w:rsidRPr="0022365C" w:rsidRDefault="005466E1" w:rsidP="005466E1">
      <w:pPr>
        <w:pStyle w:val="Paragrafi"/>
        <w:rPr>
          <w:spacing w:val="-4"/>
          <w:lang w:val="sq-AL"/>
        </w:rPr>
      </w:pPr>
      <w:r w:rsidRPr="0022365C">
        <w:rPr>
          <w:spacing w:val="-4"/>
          <w:lang w:val="sq-AL"/>
        </w:rPr>
        <w:t>a) Shtetet anëtare të Bashkimit Evropian;</w:t>
      </w:r>
    </w:p>
    <w:p w:rsidR="005466E1" w:rsidRPr="0022365C" w:rsidRDefault="005466E1" w:rsidP="005466E1">
      <w:pPr>
        <w:pStyle w:val="Paragrafi"/>
        <w:rPr>
          <w:spacing w:val="-4"/>
          <w:lang w:val="sq-AL"/>
        </w:rPr>
      </w:pPr>
      <w:r w:rsidRPr="0022365C">
        <w:rPr>
          <w:spacing w:val="-4"/>
          <w:lang w:val="sq-AL"/>
        </w:rPr>
        <w:t>b) Shtetet anëtare të Zonës Ekonomike Evropiane;</w:t>
      </w:r>
    </w:p>
    <w:p w:rsidR="005466E1" w:rsidRPr="0022365C" w:rsidRDefault="005466E1" w:rsidP="005466E1">
      <w:pPr>
        <w:pStyle w:val="Paragrafi"/>
        <w:rPr>
          <w:spacing w:val="-4"/>
          <w:lang w:val="sq-AL"/>
        </w:rPr>
      </w:pPr>
      <w:r w:rsidRPr="0022365C">
        <w:rPr>
          <w:spacing w:val="-4"/>
          <w:lang w:val="sq-AL"/>
        </w:rPr>
        <w:t>c) “Palët e Konventës nr. 108 të Këshillit të Evropës “Për mbrojtjen e individëve në lidhje me përpunimin automatik të të dhënave personale”, si dhe të protokollit shtesë të saj të vitit 1981, të cilat kanë miratuar një ligj të posaçëm dhe kanë ngritur një autoritet mbikëqyrës që ushtron funksion në pavarësi të plotë, duke siguruar mekanizmat e duhur ligjorë, përfshirë trajtimin e ankesave, hetimin dhe garantimin e transparencës së përpunimit të të dhënave personale”;</w:t>
      </w:r>
    </w:p>
    <w:p w:rsidR="005466E1" w:rsidRPr="0022365C" w:rsidRDefault="005466E1" w:rsidP="005466E1">
      <w:pPr>
        <w:pStyle w:val="Paragrafi"/>
        <w:rPr>
          <w:spacing w:val="-4"/>
          <w:lang w:val="sq-AL"/>
        </w:rPr>
      </w:pPr>
      <w:r w:rsidRPr="0022365C">
        <w:rPr>
          <w:spacing w:val="-4"/>
          <w:lang w:val="sq-AL"/>
        </w:rPr>
        <w:t>d) Shtetet, ku mund të transferohen të dhëna personale, sipas një vendimi të Komisionit të Bashkimit Evropian.</w:t>
      </w:r>
    </w:p>
    <w:p w:rsidR="005466E1" w:rsidRPr="0022365C" w:rsidRDefault="005466E1" w:rsidP="005466E1">
      <w:pPr>
        <w:pStyle w:val="Paragrafi"/>
        <w:rPr>
          <w:spacing w:val="-4"/>
          <w:lang w:val="sq-AL"/>
        </w:rPr>
      </w:pPr>
      <w:r w:rsidRPr="0022365C">
        <w:rPr>
          <w:spacing w:val="-4"/>
          <w:lang w:val="sq-AL"/>
        </w:rPr>
        <w:t>2. Shtetet me nivel të mjaftueshëm të mbrojtjes së të dhënave personale, renditen në Lidhjen nr. 1 që i bashkëngjitet këtij vendimi.</w:t>
      </w:r>
    </w:p>
    <w:p w:rsidR="005466E1" w:rsidRPr="0022365C" w:rsidRDefault="005466E1" w:rsidP="005466E1">
      <w:pPr>
        <w:pStyle w:val="Paragrafi"/>
        <w:rPr>
          <w:spacing w:val="-4"/>
          <w:lang w:val="sq-AL"/>
        </w:rPr>
      </w:pPr>
      <w:r w:rsidRPr="0022365C">
        <w:rPr>
          <w:spacing w:val="-4"/>
          <w:lang w:val="sq-AL"/>
        </w:rPr>
        <w:t>3. Vendimi i Komisionerit nr. 3/2012, “Për përcaktimin e shteteve me nivel të mjaftueshëm të mbrojtjes së të dhënave personale”, i ndryshuar, shfuqizohet.</w:t>
      </w:r>
    </w:p>
    <w:p w:rsidR="005466E1" w:rsidRPr="0022365C" w:rsidRDefault="005466E1" w:rsidP="005466E1">
      <w:pPr>
        <w:pStyle w:val="Paragrafi"/>
        <w:rPr>
          <w:spacing w:val="-4"/>
          <w:lang w:val="sq-AL"/>
        </w:rPr>
      </w:pPr>
      <w:r w:rsidRPr="0022365C">
        <w:rPr>
          <w:spacing w:val="-4"/>
          <w:lang w:val="sq-AL"/>
        </w:rPr>
        <w:t>Ky vendim hyn në fuqi pas botimit në Fletoren Zyrtare.</w:t>
      </w:r>
    </w:p>
    <w:p w:rsidR="005466E1" w:rsidRPr="0022365C" w:rsidRDefault="005466E1" w:rsidP="005466E1">
      <w:pPr>
        <w:pStyle w:val="Hapesira7"/>
        <w:rPr>
          <w:spacing w:val="-4"/>
          <w:sz w:val="8"/>
          <w:lang w:val="sq-AL"/>
        </w:rPr>
      </w:pPr>
    </w:p>
    <w:p w:rsidR="005466E1" w:rsidRPr="0022365C" w:rsidRDefault="005466E1" w:rsidP="005466E1">
      <w:pPr>
        <w:pStyle w:val="Paragrafi"/>
        <w:jc w:val="right"/>
        <w:rPr>
          <w:spacing w:val="-4"/>
          <w:lang w:val="sq-AL"/>
        </w:rPr>
      </w:pPr>
      <w:r w:rsidRPr="0022365C">
        <w:rPr>
          <w:spacing w:val="-4"/>
          <w:lang w:val="sq-AL"/>
        </w:rPr>
        <w:t>KOMISIONERI</w:t>
      </w:r>
    </w:p>
    <w:p w:rsidR="005466E1" w:rsidRPr="0022365C" w:rsidRDefault="005466E1" w:rsidP="005466E1">
      <w:pPr>
        <w:pStyle w:val="Paragrafi"/>
        <w:jc w:val="right"/>
        <w:rPr>
          <w:b/>
          <w:spacing w:val="-4"/>
          <w:lang w:val="sq-AL"/>
        </w:rPr>
      </w:pPr>
      <w:r w:rsidRPr="0022365C">
        <w:rPr>
          <w:b/>
          <w:spacing w:val="-4"/>
          <w:lang w:val="sq-AL"/>
        </w:rPr>
        <w:t>Besnik Dervishi</w:t>
      </w:r>
    </w:p>
    <w:p w:rsidR="005466E1" w:rsidRPr="0022365C" w:rsidRDefault="005466E1" w:rsidP="005466E1">
      <w:pPr>
        <w:pStyle w:val="Paragrafi"/>
        <w:jc w:val="right"/>
        <w:rPr>
          <w:b/>
          <w:spacing w:val="-4"/>
          <w:sz w:val="16"/>
          <w:lang w:val="sq-AL"/>
        </w:rPr>
      </w:pPr>
    </w:p>
    <w:p w:rsidR="005466E1" w:rsidRPr="0022365C" w:rsidRDefault="005466E1" w:rsidP="005466E1">
      <w:pPr>
        <w:pStyle w:val="Paragrafi"/>
        <w:jc w:val="right"/>
        <w:rPr>
          <w:b/>
          <w:spacing w:val="-4"/>
          <w:lang w:val="sq-AL"/>
        </w:rPr>
      </w:pPr>
      <w:r w:rsidRPr="0022365C">
        <w:rPr>
          <w:b/>
          <w:spacing w:val="-4"/>
          <w:lang w:val="sq-AL"/>
        </w:rPr>
        <w:t>Lidhja nr. 1</w:t>
      </w:r>
    </w:p>
    <w:p w:rsidR="005466E1" w:rsidRPr="0022365C" w:rsidRDefault="005466E1" w:rsidP="005466E1">
      <w:pPr>
        <w:pStyle w:val="Hapesira7"/>
        <w:rPr>
          <w:spacing w:val="-4"/>
          <w:lang w:val="sq-AL"/>
        </w:rPr>
      </w:pPr>
    </w:p>
    <w:p w:rsidR="005466E1" w:rsidRPr="0022365C" w:rsidRDefault="005466E1" w:rsidP="005466E1">
      <w:pPr>
        <w:pStyle w:val="Paragrafi"/>
        <w:ind w:firstLine="0"/>
        <w:jc w:val="center"/>
        <w:rPr>
          <w:spacing w:val="-4"/>
          <w:lang w:val="sq-AL"/>
        </w:rPr>
      </w:pPr>
      <w:r w:rsidRPr="0022365C">
        <w:rPr>
          <w:spacing w:val="-4"/>
          <w:lang w:val="sq-AL"/>
        </w:rPr>
        <w:t>LISTA E VENDEVE ME NIVEL TË MJAFTUESHËM TË MBROJTJES SË TË DHËNAVE PERSONALE</w:t>
      </w:r>
    </w:p>
    <w:p w:rsidR="005466E1" w:rsidRPr="006E0DD6" w:rsidRDefault="005466E1" w:rsidP="005466E1">
      <w:pPr>
        <w:pStyle w:val="Paragrafi"/>
        <w:rPr>
          <w:spacing w:val="-4"/>
          <w:sz w:val="16"/>
          <w:lang w:val="sq-AL"/>
        </w:rPr>
      </w:pPr>
    </w:p>
    <w:p w:rsidR="005466E1" w:rsidRPr="0022365C" w:rsidRDefault="005466E1" w:rsidP="005466E1">
      <w:pPr>
        <w:pStyle w:val="Paragrafi"/>
        <w:rPr>
          <w:spacing w:val="-4"/>
          <w:lang w:val="sq-AL"/>
        </w:rPr>
      </w:pPr>
      <w:r w:rsidRPr="0022365C">
        <w:rPr>
          <w:spacing w:val="-4"/>
          <w:lang w:val="sq-AL"/>
        </w:rPr>
        <w:t>Në përputhje me pikën 1/a listohen “Shtetet anëtare të Bashkimit Evropian</w:t>
      </w:r>
      <w:r w:rsidRPr="0022365C">
        <w:rPr>
          <w:spacing w:val="-4"/>
          <w:vertAlign w:val="superscript"/>
          <w:lang w:val="sq-AL"/>
        </w:rPr>
        <w:footnoteReference w:id="1"/>
      </w:r>
      <w:r w:rsidRPr="0022365C">
        <w:rPr>
          <w:spacing w:val="-4"/>
          <w:lang w:val="sq-AL"/>
        </w:rPr>
        <w:t>”</w:t>
      </w:r>
    </w:p>
    <w:tbl>
      <w:tblPr>
        <w:tblStyle w:val="TableGrid"/>
        <w:tblW w:w="0" w:type="auto"/>
        <w:jc w:val="center"/>
        <w:tblLook w:val="04A0" w:firstRow="1" w:lastRow="0" w:firstColumn="1" w:lastColumn="0" w:noHBand="0" w:noVBand="1"/>
      </w:tblPr>
      <w:tblGrid>
        <w:gridCol w:w="2235"/>
        <w:gridCol w:w="2126"/>
      </w:tblGrid>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Austri</w:t>
            </w:r>
          </w:p>
        </w:tc>
        <w:tc>
          <w:tcPr>
            <w:tcW w:w="2126" w:type="dxa"/>
          </w:tcPr>
          <w:p w:rsidR="005466E1" w:rsidRPr="0022365C" w:rsidRDefault="005466E1" w:rsidP="00E64B98">
            <w:pPr>
              <w:pStyle w:val="Paragrafi"/>
              <w:ind w:firstLine="0"/>
              <w:rPr>
                <w:spacing w:val="-4"/>
                <w:lang w:val="sq-AL"/>
              </w:rPr>
            </w:pPr>
            <w:r w:rsidRPr="0022365C">
              <w:rPr>
                <w:spacing w:val="-4"/>
                <w:lang w:val="sq-AL"/>
              </w:rPr>
              <w:t>Holandë</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Belgjikë</w:t>
            </w:r>
          </w:p>
        </w:tc>
        <w:tc>
          <w:tcPr>
            <w:tcW w:w="2126" w:type="dxa"/>
          </w:tcPr>
          <w:p w:rsidR="005466E1" w:rsidRPr="0022365C" w:rsidRDefault="005466E1" w:rsidP="00E64B98">
            <w:pPr>
              <w:pStyle w:val="Paragrafi"/>
              <w:ind w:firstLine="0"/>
              <w:rPr>
                <w:spacing w:val="-4"/>
                <w:lang w:val="sq-AL"/>
              </w:rPr>
            </w:pPr>
            <w:r w:rsidRPr="0022365C">
              <w:rPr>
                <w:spacing w:val="-4"/>
                <w:lang w:val="sq-AL"/>
              </w:rPr>
              <w:t>Poloni</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Bullgari</w:t>
            </w:r>
          </w:p>
        </w:tc>
        <w:tc>
          <w:tcPr>
            <w:tcW w:w="2126" w:type="dxa"/>
          </w:tcPr>
          <w:p w:rsidR="005466E1" w:rsidRPr="0022365C" w:rsidRDefault="005466E1" w:rsidP="00E64B98">
            <w:pPr>
              <w:pStyle w:val="Paragrafi"/>
              <w:ind w:firstLine="0"/>
              <w:rPr>
                <w:spacing w:val="-4"/>
                <w:lang w:val="sq-AL"/>
              </w:rPr>
            </w:pPr>
            <w:r w:rsidRPr="0022365C">
              <w:rPr>
                <w:spacing w:val="-4"/>
                <w:lang w:val="sq-AL"/>
              </w:rPr>
              <w:t>Portugali</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Qipro</w:t>
            </w:r>
          </w:p>
        </w:tc>
        <w:tc>
          <w:tcPr>
            <w:tcW w:w="2126" w:type="dxa"/>
          </w:tcPr>
          <w:p w:rsidR="005466E1" w:rsidRPr="0022365C" w:rsidRDefault="005466E1" w:rsidP="00E64B98">
            <w:pPr>
              <w:pStyle w:val="Paragrafi"/>
              <w:ind w:firstLine="0"/>
              <w:rPr>
                <w:spacing w:val="-4"/>
                <w:lang w:val="sq-AL"/>
              </w:rPr>
            </w:pPr>
            <w:r w:rsidRPr="0022365C">
              <w:rPr>
                <w:spacing w:val="-4"/>
                <w:lang w:val="sq-AL"/>
              </w:rPr>
              <w:t>Rumani</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Republika Çeke</w:t>
            </w:r>
          </w:p>
        </w:tc>
        <w:tc>
          <w:tcPr>
            <w:tcW w:w="2126" w:type="dxa"/>
          </w:tcPr>
          <w:p w:rsidR="005466E1" w:rsidRPr="0022365C" w:rsidRDefault="005466E1" w:rsidP="00E64B98">
            <w:pPr>
              <w:pStyle w:val="Paragrafi"/>
              <w:ind w:firstLine="0"/>
              <w:rPr>
                <w:spacing w:val="-4"/>
                <w:lang w:val="sq-AL"/>
              </w:rPr>
            </w:pPr>
            <w:r w:rsidRPr="0022365C">
              <w:rPr>
                <w:spacing w:val="-4"/>
                <w:lang w:val="sq-AL"/>
              </w:rPr>
              <w:t>Sllovaki</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Danimarkë</w:t>
            </w:r>
          </w:p>
        </w:tc>
        <w:tc>
          <w:tcPr>
            <w:tcW w:w="2126" w:type="dxa"/>
          </w:tcPr>
          <w:p w:rsidR="005466E1" w:rsidRPr="0022365C" w:rsidRDefault="005466E1" w:rsidP="00E64B98">
            <w:pPr>
              <w:pStyle w:val="Paragrafi"/>
              <w:ind w:firstLine="0"/>
              <w:rPr>
                <w:spacing w:val="-4"/>
                <w:lang w:val="sq-AL"/>
              </w:rPr>
            </w:pPr>
            <w:r w:rsidRPr="0022365C">
              <w:rPr>
                <w:spacing w:val="-4"/>
                <w:lang w:val="sq-AL"/>
              </w:rPr>
              <w:t>Slloveni</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Estoni</w:t>
            </w:r>
          </w:p>
        </w:tc>
        <w:tc>
          <w:tcPr>
            <w:tcW w:w="2126" w:type="dxa"/>
          </w:tcPr>
          <w:p w:rsidR="005466E1" w:rsidRPr="0022365C" w:rsidRDefault="005466E1" w:rsidP="00E64B98">
            <w:pPr>
              <w:pStyle w:val="Paragrafi"/>
              <w:ind w:firstLine="0"/>
              <w:rPr>
                <w:spacing w:val="-4"/>
                <w:lang w:val="sq-AL"/>
              </w:rPr>
            </w:pPr>
            <w:r w:rsidRPr="0022365C">
              <w:rPr>
                <w:spacing w:val="-4"/>
                <w:lang w:val="sq-AL"/>
              </w:rPr>
              <w:t>Spanjë</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Finlandë</w:t>
            </w:r>
          </w:p>
        </w:tc>
        <w:tc>
          <w:tcPr>
            <w:tcW w:w="2126" w:type="dxa"/>
          </w:tcPr>
          <w:p w:rsidR="005466E1" w:rsidRPr="0022365C" w:rsidRDefault="005466E1" w:rsidP="00E64B98">
            <w:pPr>
              <w:pStyle w:val="Paragrafi"/>
              <w:ind w:firstLine="0"/>
              <w:rPr>
                <w:spacing w:val="-4"/>
                <w:lang w:val="sq-AL"/>
              </w:rPr>
            </w:pPr>
            <w:r w:rsidRPr="0022365C">
              <w:rPr>
                <w:spacing w:val="-4"/>
                <w:lang w:val="sq-AL"/>
              </w:rPr>
              <w:t>Suedi</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Francë</w:t>
            </w:r>
          </w:p>
        </w:tc>
        <w:tc>
          <w:tcPr>
            <w:tcW w:w="2126" w:type="dxa"/>
          </w:tcPr>
          <w:p w:rsidR="005466E1" w:rsidRPr="0022365C" w:rsidRDefault="005466E1" w:rsidP="00E64B98">
            <w:pPr>
              <w:pStyle w:val="Paragrafi"/>
              <w:ind w:firstLine="0"/>
              <w:rPr>
                <w:spacing w:val="-4"/>
                <w:lang w:val="sq-AL"/>
              </w:rPr>
            </w:pPr>
            <w:r w:rsidRPr="0022365C">
              <w:rPr>
                <w:spacing w:val="-4"/>
                <w:lang w:val="sq-AL"/>
              </w:rPr>
              <w:t>Britani e Madhe</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Gjermani</w:t>
            </w:r>
          </w:p>
        </w:tc>
        <w:tc>
          <w:tcPr>
            <w:tcW w:w="2126" w:type="dxa"/>
          </w:tcPr>
          <w:p w:rsidR="005466E1" w:rsidRPr="0022365C" w:rsidRDefault="005466E1" w:rsidP="00E64B98">
            <w:pPr>
              <w:pStyle w:val="Paragrafi"/>
              <w:ind w:firstLine="0"/>
              <w:rPr>
                <w:spacing w:val="-4"/>
                <w:lang w:val="sq-AL"/>
              </w:rPr>
            </w:pPr>
            <w:r w:rsidRPr="0022365C">
              <w:rPr>
                <w:spacing w:val="-4"/>
                <w:lang w:val="sq-AL"/>
              </w:rPr>
              <w:t>Kroacia</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lastRenderedPageBreak/>
              <w:t>- Greqi</w:t>
            </w:r>
          </w:p>
        </w:tc>
        <w:tc>
          <w:tcPr>
            <w:tcW w:w="2126" w:type="dxa"/>
          </w:tcPr>
          <w:p w:rsidR="005466E1" w:rsidRPr="0022365C" w:rsidRDefault="005466E1" w:rsidP="00E64B98">
            <w:pPr>
              <w:pStyle w:val="Paragrafi"/>
              <w:ind w:firstLine="0"/>
              <w:rPr>
                <w:spacing w:val="-4"/>
                <w:lang w:val="sq-AL"/>
              </w:rPr>
            </w:pPr>
            <w:r w:rsidRPr="0022365C">
              <w:rPr>
                <w:spacing w:val="-4"/>
                <w:lang w:val="sq-AL"/>
              </w:rPr>
              <w:t>Maltë</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Hungari</w:t>
            </w:r>
          </w:p>
        </w:tc>
        <w:tc>
          <w:tcPr>
            <w:tcW w:w="2126" w:type="dxa"/>
          </w:tcPr>
          <w:p w:rsidR="005466E1" w:rsidRPr="0022365C" w:rsidRDefault="005466E1" w:rsidP="00E64B98">
            <w:pPr>
              <w:pStyle w:val="Paragrafi"/>
              <w:ind w:firstLine="0"/>
              <w:rPr>
                <w:spacing w:val="-4"/>
                <w:lang w:val="sq-AL"/>
              </w:rPr>
            </w:pPr>
            <w:r w:rsidRPr="0022365C">
              <w:rPr>
                <w:spacing w:val="-4"/>
                <w:lang w:val="sq-AL"/>
              </w:rPr>
              <w:t>Letoni</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Irlandë</w:t>
            </w:r>
          </w:p>
        </w:tc>
        <w:tc>
          <w:tcPr>
            <w:tcW w:w="2126" w:type="dxa"/>
          </w:tcPr>
          <w:p w:rsidR="005466E1" w:rsidRPr="0022365C" w:rsidRDefault="005466E1" w:rsidP="00E64B98">
            <w:pPr>
              <w:pStyle w:val="Paragrafi"/>
              <w:ind w:firstLine="0"/>
              <w:rPr>
                <w:spacing w:val="-4"/>
                <w:lang w:val="sq-AL"/>
              </w:rPr>
            </w:pPr>
            <w:r w:rsidRPr="0022365C">
              <w:rPr>
                <w:spacing w:val="-4"/>
                <w:lang w:val="sq-AL"/>
              </w:rPr>
              <w:t>Lituani</w:t>
            </w:r>
          </w:p>
        </w:tc>
      </w:tr>
      <w:tr w:rsidR="005466E1" w:rsidRPr="0022365C" w:rsidTr="00E64B98">
        <w:trPr>
          <w:jc w:val="center"/>
        </w:trPr>
        <w:tc>
          <w:tcPr>
            <w:tcW w:w="2235" w:type="dxa"/>
          </w:tcPr>
          <w:p w:rsidR="005466E1" w:rsidRPr="0022365C" w:rsidRDefault="005466E1" w:rsidP="00E64B98">
            <w:pPr>
              <w:pStyle w:val="Paragrafi"/>
              <w:ind w:firstLine="0"/>
              <w:rPr>
                <w:spacing w:val="-4"/>
                <w:lang w:val="sq-AL"/>
              </w:rPr>
            </w:pPr>
            <w:r w:rsidRPr="0022365C">
              <w:rPr>
                <w:spacing w:val="-4"/>
                <w:lang w:val="sq-AL"/>
              </w:rPr>
              <w:t>- Itali</w:t>
            </w:r>
          </w:p>
        </w:tc>
        <w:tc>
          <w:tcPr>
            <w:tcW w:w="2126" w:type="dxa"/>
          </w:tcPr>
          <w:p w:rsidR="005466E1" w:rsidRPr="0022365C" w:rsidRDefault="005466E1" w:rsidP="00E64B98">
            <w:pPr>
              <w:pStyle w:val="Paragrafi"/>
              <w:ind w:firstLine="0"/>
              <w:rPr>
                <w:spacing w:val="-4"/>
                <w:lang w:val="sq-AL"/>
              </w:rPr>
            </w:pPr>
            <w:r w:rsidRPr="0022365C">
              <w:rPr>
                <w:spacing w:val="-4"/>
                <w:lang w:val="sq-AL"/>
              </w:rPr>
              <w:t>Luksemburgu</w:t>
            </w:r>
          </w:p>
        </w:tc>
      </w:tr>
    </w:tbl>
    <w:p w:rsidR="005466E1" w:rsidRPr="0022365C" w:rsidRDefault="005466E1" w:rsidP="005466E1">
      <w:pPr>
        <w:pStyle w:val="Paragrafi"/>
        <w:ind w:firstLine="0"/>
        <w:rPr>
          <w:spacing w:val="-4"/>
          <w:sz w:val="8"/>
          <w:lang w:val="sq-AL"/>
        </w:rPr>
      </w:pPr>
    </w:p>
    <w:p w:rsidR="005466E1" w:rsidRPr="0022365C" w:rsidRDefault="005466E1" w:rsidP="005466E1">
      <w:pPr>
        <w:pStyle w:val="Paragrafi"/>
        <w:rPr>
          <w:spacing w:val="-4"/>
          <w:lang w:val="sq-AL"/>
        </w:rPr>
      </w:pPr>
      <w:r w:rsidRPr="0022365C">
        <w:rPr>
          <w:spacing w:val="-4"/>
          <w:lang w:val="sq-AL"/>
        </w:rPr>
        <w:t>- Në përputhje me pikën 1/b listohen, “Shtetet anëtare të Zonës Ekonomike Evropiane</w:t>
      </w:r>
      <w:r w:rsidRPr="0022365C">
        <w:rPr>
          <w:spacing w:val="-4"/>
          <w:vertAlign w:val="superscript"/>
          <w:lang w:val="sq-AL"/>
        </w:rPr>
        <w:footnoteReference w:id="2"/>
      </w:r>
      <w:r w:rsidRPr="0022365C">
        <w:rPr>
          <w:spacing w:val="-4"/>
          <w:lang w:val="sq-AL"/>
        </w:rPr>
        <w:t>”</w:t>
      </w:r>
    </w:p>
    <w:p w:rsidR="005466E1" w:rsidRPr="0022365C" w:rsidRDefault="005466E1" w:rsidP="005466E1">
      <w:pPr>
        <w:pStyle w:val="Paragrafi"/>
        <w:rPr>
          <w:spacing w:val="-4"/>
          <w:lang w:val="sq-AL"/>
        </w:rPr>
      </w:pPr>
      <w:r w:rsidRPr="0022365C">
        <w:rPr>
          <w:spacing w:val="-4"/>
          <w:lang w:val="sq-AL"/>
        </w:rPr>
        <w:t>- Islandë;</w:t>
      </w:r>
    </w:p>
    <w:p w:rsidR="005466E1" w:rsidRPr="0022365C" w:rsidRDefault="005466E1" w:rsidP="005466E1">
      <w:pPr>
        <w:pStyle w:val="Paragrafi"/>
        <w:rPr>
          <w:spacing w:val="-4"/>
          <w:lang w:val="sq-AL"/>
        </w:rPr>
      </w:pPr>
      <w:r w:rsidRPr="0022365C">
        <w:rPr>
          <w:spacing w:val="-4"/>
          <w:lang w:val="sq-AL"/>
        </w:rPr>
        <w:t>- Lihtenshtajni;</w:t>
      </w:r>
    </w:p>
    <w:p w:rsidR="005466E1" w:rsidRPr="0022365C" w:rsidRDefault="005466E1" w:rsidP="005466E1">
      <w:pPr>
        <w:pStyle w:val="Paragrafi"/>
        <w:rPr>
          <w:spacing w:val="-4"/>
          <w:lang w:val="sq-AL"/>
        </w:rPr>
      </w:pPr>
      <w:r w:rsidRPr="0022365C">
        <w:rPr>
          <w:spacing w:val="-4"/>
          <w:lang w:val="sq-AL"/>
        </w:rPr>
        <w:t>- Norvegji;</w:t>
      </w:r>
    </w:p>
    <w:p w:rsidR="005466E1" w:rsidRPr="0022365C" w:rsidRDefault="005466E1" w:rsidP="005466E1">
      <w:pPr>
        <w:pStyle w:val="Paragrafi"/>
        <w:rPr>
          <w:spacing w:val="-4"/>
          <w:lang w:val="sq-AL"/>
        </w:rPr>
      </w:pPr>
      <w:r w:rsidRPr="0022365C">
        <w:rPr>
          <w:spacing w:val="-4"/>
          <w:lang w:val="sq-AL"/>
        </w:rPr>
        <w:t>- Zvicër.</w:t>
      </w:r>
    </w:p>
    <w:p w:rsidR="005466E1" w:rsidRPr="0022365C" w:rsidRDefault="005466E1" w:rsidP="005466E1">
      <w:pPr>
        <w:pStyle w:val="Paragrafi"/>
        <w:rPr>
          <w:spacing w:val="-4"/>
          <w:lang w:val="sq-AL"/>
        </w:rPr>
      </w:pPr>
      <w:r w:rsidRPr="0022365C">
        <w:rPr>
          <w:spacing w:val="-4"/>
          <w:lang w:val="sq-AL"/>
        </w:rPr>
        <w:t>- Në përputhje me pikën 1/c listohen, “Shtetet palë të Konventës nr. 108, të Këshillit të Evropës, “Për mbrojtjen e individëve në lidhje me përpunimin automatik të të dhënave personale”, si dhe të protokollit shtesë të saj, të vitit 1981, të cilat kanë miratuar një ligj të posaçëm dhe kanë ngritur një autoritet mbikëqyrës që ushtron funksion në pavarësi të plotë, duke siguruar mekanizmat e duhur ligjorë, përfshirë trajtimin e ankesave, hartimin dhe garantimin e transparencës së përpunimit të të dhënave personale.</w:t>
      </w:r>
    </w:p>
    <w:p w:rsidR="005466E1" w:rsidRPr="0022365C" w:rsidRDefault="005466E1" w:rsidP="005466E1">
      <w:pPr>
        <w:pStyle w:val="Paragrafi"/>
        <w:rPr>
          <w:spacing w:val="-4"/>
          <w:lang w:val="sq-AL"/>
        </w:rPr>
      </w:pPr>
      <w:r w:rsidRPr="0022365C">
        <w:rPr>
          <w:spacing w:val="-4"/>
          <w:lang w:val="sq-AL"/>
        </w:rPr>
        <w:t xml:space="preserve">- Shqipëria; </w:t>
      </w:r>
    </w:p>
    <w:p w:rsidR="005466E1" w:rsidRPr="0022365C" w:rsidRDefault="005466E1" w:rsidP="005466E1">
      <w:pPr>
        <w:pStyle w:val="Paragrafi"/>
        <w:rPr>
          <w:spacing w:val="-4"/>
          <w:lang w:val="sq-AL"/>
        </w:rPr>
      </w:pPr>
      <w:r w:rsidRPr="0022365C">
        <w:rPr>
          <w:spacing w:val="-4"/>
          <w:lang w:val="sq-AL"/>
        </w:rPr>
        <w:t>- Gjeorgjia;</w:t>
      </w:r>
    </w:p>
    <w:p w:rsidR="005466E1" w:rsidRPr="0022365C" w:rsidRDefault="005466E1" w:rsidP="005466E1">
      <w:pPr>
        <w:pStyle w:val="Paragrafi"/>
        <w:rPr>
          <w:spacing w:val="-4"/>
          <w:lang w:val="sq-AL"/>
        </w:rPr>
      </w:pPr>
      <w:r w:rsidRPr="0022365C">
        <w:rPr>
          <w:spacing w:val="-4"/>
          <w:lang w:val="sq-AL"/>
        </w:rPr>
        <w:t>- Bosnjë-Hercegovina;</w:t>
      </w:r>
    </w:p>
    <w:p w:rsidR="005466E1" w:rsidRPr="0022365C" w:rsidRDefault="005466E1" w:rsidP="005466E1">
      <w:pPr>
        <w:pStyle w:val="Paragrafi"/>
        <w:rPr>
          <w:spacing w:val="-4"/>
          <w:lang w:val="sq-AL"/>
        </w:rPr>
      </w:pPr>
      <w:r w:rsidRPr="0022365C">
        <w:rPr>
          <w:spacing w:val="-4"/>
          <w:lang w:val="sq-AL"/>
        </w:rPr>
        <w:t>- Republika e Maqedonisë;</w:t>
      </w:r>
    </w:p>
    <w:p w:rsidR="005466E1" w:rsidRPr="0022365C" w:rsidRDefault="005466E1" w:rsidP="005466E1">
      <w:pPr>
        <w:pStyle w:val="Paragrafi"/>
        <w:rPr>
          <w:spacing w:val="-4"/>
          <w:lang w:val="sq-AL"/>
        </w:rPr>
      </w:pPr>
      <w:r w:rsidRPr="0022365C">
        <w:rPr>
          <w:spacing w:val="-4"/>
          <w:lang w:val="sq-AL"/>
        </w:rPr>
        <w:t xml:space="preserve">- Mali i Zi; </w:t>
      </w:r>
    </w:p>
    <w:p w:rsidR="005466E1" w:rsidRPr="0022365C" w:rsidRDefault="005466E1" w:rsidP="005466E1">
      <w:pPr>
        <w:pStyle w:val="Paragrafi"/>
        <w:rPr>
          <w:spacing w:val="-4"/>
          <w:lang w:val="sq-AL"/>
        </w:rPr>
      </w:pPr>
      <w:r w:rsidRPr="0022365C">
        <w:rPr>
          <w:spacing w:val="-4"/>
          <w:lang w:val="sq-AL"/>
        </w:rPr>
        <w:t xml:space="preserve">- Moldavia; </w:t>
      </w:r>
    </w:p>
    <w:p w:rsidR="005466E1" w:rsidRPr="0022365C" w:rsidRDefault="005466E1" w:rsidP="005466E1">
      <w:pPr>
        <w:pStyle w:val="Paragrafi"/>
        <w:rPr>
          <w:spacing w:val="-4"/>
          <w:lang w:val="sq-AL"/>
        </w:rPr>
      </w:pPr>
      <w:r w:rsidRPr="0022365C">
        <w:rPr>
          <w:spacing w:val="-4"/>
          <w:lang w:val="sq-AL"/>
        </w:rPr>
        <w:t xml:space="preserve">- Principata e Monakos; </w:t>
      </w:r>
    </w:p>
    <w:p w:rsidR="005466E1" w:rsidRPr="0022365C" w:rsidRDefault="005466E1" w:rsidP="005466E1">
      <w:pPr>
        <w:pStyle w:val="Paragrafi"/>
        <w:rPr>
          <w:spacing w:val="-4"/>
          <w:lang w:val="sq-AL"/>
        </w:rPr>
      </w:pPr>
      <w:r w:rsidRPr="0022365C">
        <w:rPr>
          <w:spacing w:val="-4"/>
          <w:lang w:val="sq-AL"/>
        </w:rPr>
        <w:t>- Serbia.</w:t>
      </w:r>
    </w:p>
    <w:p w:rsidR="005466E1" w:rsidRPr="0022365C" w:rsidRDefault="005466E1" w:rsidP="005466E1">
      <w:pPr>
        <w:pStyle w:val="Paragrafi"/>
        <w:rPr>
          <w:spacing w:val="-4"/>
          <w:lang w:val="sq-AL"/>
        </w:rPr>
      </w:pPr>
      <w:r w:rsidRPr="0022365C">
        <w:rPr>
          <w:spacing w:val="-4"/>
          <w:lang w:val="sq-AL"/>
        </w:rPr>
        <w:t>- Në përputhje me pikën 1/ç listohen, “Shtetet në të cilat mund të transferohen të dhënat personale sipas një vendimi të Komisionit të Bashkimit Evropian”.</w:t>
      </w:r>
    </w:p>
    <w:p w:rsidR="005466E1" w:rsidRPr="0022365C" w:rsidRDefault="005466E1" w:rsidP="005466E1">
      <w:pPr>
        <w:pStyle w:val="Paragrafi"/>
        <w:rPr>
          <w:spacing w:val="-4"/>
          <w:lang w:val="sq-AL"/>
        </w:rPr>
      </w:pPr>
      <w:r w:rsidRPr="0022365C">
        <w:rPr>
          <w:spacing w:val="-4"/>
          <w:lang w:val="sq-AL"/>
        </w:rPr>
        <w:t xml:space="preserve">1. Andora </w:t>
      </w:r>
    </w:p>
    <w:p w:rsidR="005466E1" w:rsidRPr="0022365C" w:rsidRDefault="005466E1" w:rsidP="005466E1">
      <w:pPr>
        <w:pStyle w:val="Paragrafi"/>
        <w:rPr>
          <w:spacing w:val="-4"/>
          <w:lang w:val="sq-AL"/>
        </w:rPr>
      </w:pPr>
      <w:r w:rsidRPr="0022365C">
        <w:rPr>
          <w:spacing w:val="-4"/>
          <w:lang w:val="sq-AL"/>
        </w:rPr>
        <w:t>Vendimi i Komisionit nr. 2010/625, datë 19 tetor 2010, në bazë të direktivës 95/46/EC të Parlamentit Evropian dhe të Këshillit “Për mbrojtjen adekuate të të dhënave personale në Andora” (njoftuar sipas dokumentit C (2010/7084) (Opinion 7/2009 i grupit të punës të nenit 29, “Për nivelin e mbrojtjes së të dhënave personale në Principatën e Andorrës”).</w:t>
      </w:r>
    </w:p>
    <w:p w:rsidR="005466E1" w:rsidRPr="0022365C" w:rsidRDefault="005466E1" w:rsidP="005466E1">
      <w:pPr>
        <w:pStyle w:val="Paragrafi"/>
        <w:rPr>
          <w:spacing w:val="-4"/>
          <w:lang w:val="sq-AL"/>
        </w:rPr>
      </w:pPr>
      <w:r w:rsidRPr="0022365C">
        <w:rPr>
          <w:spacing w:val="-4"/>
          <w:lang w:val="sq-AL"/>
        </w:rPr>
        <w:t>2. Argjentinë</w:t>
      </w:r>
    </w:p>
    <w:p w:rsidR="005466E1" w:rsidRPr="0022365C" w:rsidRDefault="00BE4235" w:rsidP="005466E1">
      <w:pPr>
        <w:pStyle w:val="Paragrafi"/>
        <w:rPr>
          <w:spacing w:val="-4"/>
          <w:lang w:val="sq-AL"/>
        </w:rPr>
      </w:pPr>
      <w:hyperlink r:id="rId7">
        <w:r w:rsidR="005466E1" w:rsidRPr="0022365C">
          <w:rPr>
            <w:rStyle w:val="Hyperlink"/>
            <w:spacing w:val="-4"/>
            <w:lang w:val="sq-AL"/>
          </w:rPr>
          <w:t>Vendim</w:t>
        </w:r>
      </w:hyperlink>
      <w:r w:rsidR="005466E1" w:rsidRPr="0022365C">
        <w:rPr>
          <w:spacing w:val="-4"/>
          <w:lang w:val="sq-AL"/>
        </w:rPr>
        <w:t xml:space="preserve"> i Komisionit C (2003/1731), i datës 30 qershor 2003-O.J.L 168, 5.7.2003.</w:t>
      </w:r>
    </w:p>
    <w:p w:rsidR="005466E1" w:rsidRPr="0022365C" w:rsidRDefault="005466E1" w:rsidP="005466E1">
      <w:pPr>
        <w:pStyle w:val="Paragrafi"/>
        <w:rPr>
          <w:spacing w:val="-4"/>
          <w:lang w:val="sq-AL"/>
        </w:rPr>
      </w:pPr>
      <w:r w:rsidRPr="0022365C">
        <w:rPr>
          <w:spacing w:val="-4"/>
          <w:lang w:val="sq-AL"/>
        </w:rPr>
        <w:t>(Opinion 4/2002 i grupit të punës të nenit 29, “Për nivelin e mbrojtjes së të dhënave personale në Argjentinë”, dokumenti nr. 63).</w:t>
      </w:r>
    </w:p>
    <w:p w:rsidR="005466E1" w:rsidRPr="0022365C" w:rsidRDefault="005466E1" w:rsidP="005466E1">
      <w:pPr>
        <w:pStyle w:val="Paragrafi"/>
        <w:rPr>
          <w:spacing w:val="-4"/>
          <w:lang w:val="sq-AL"/>
        </w:rPr>
      </w:pPr>
      <w:r w:rsidRPr="0022365C">
        <w:rPr>
          <w:spacing w:val="-4"/>
          <w:lang w:val="sq-AL"/>
        </w:rPr>
        <w:t>3. Kanada</w:t>
      </w:r>
    </w:p>
    <w:p w:rsidR="005466E1" w:rsidRPr="0022365C" w:rsidRDefault="00BE4235" w:rsidP="005466E1">
      <w:pPr>
        <w:pStyle w:val="Paragrafi"/>
        <w:rPr>
          <w:spacing w:val="-4"/>
          <w:lang w:val="sq-AL"/>
        </w:rPr>
      </w:pPr>
      <w:hyperlink r:id="rId8">
        <w:r w:rsidR="005466E1" w:rsidRPr="0022365C">
          <w:rPr>
            <w:rStyle w:val="Hyperlink"/>
            <w:spacing w:val="-4"/>
            <w:lang w:val="sq-AL"/>
          </w:rPr>
          <w:t>Vendim</w:t>
        </w:r>
      </w:hyperlink>
      <w:r w:rsidR="005466E1" w:rsidRPr="0022365C">
        <w:rPr>
          <w:spacing w:val="-4"/>
          <w:lang w:val="sq-AL"/>
        </w:rPr>
        <w:t xml:space="preserve"> i Komisionit 2002/2/EC, i datës 20.12.2001, “Për mbrojtjen e mjaftueshme të dhënave personale nga ligji kanadez për mbrojtjen e informacionit personal dhe dokumenteve elektronike” - O.J.L 2/13 datë 4.1.2002.</w:t>
      </w:r>
    </w:p>
    <w:p w:rsidR="005466E1" w:rsidRPr="0022365C" w:rsidRDefault="005466E1" w:rsidP="005466E1">
      <w:pPr>
        <w:pStyle w:val="Paragrafi"/>
        <w:rPr>
          <w:spacing w:val="-4"/>
          <w:lang w:val="sq-AL"/>
        </w:rPr>
      </w:pPr>
      <w:r w:rsidRPr="0022365C">
        <w:rPr>
          <w:spacing w:val="-4"/>
          <w:lang w:val="sq-AL"/>
        </w:rPr>
        <w:t>(Opinion 2/2001 i grupit të punës të nenit 29, “Për mbrojtjen e mjaftueshme të dhënave nga Mbrojtja e Informacionit Personal Kanadez dhe Dokumenteve Elektronikë”, dokumenti nr. 39).</w:t>
      </w:r>
    </w:p>
    <w:p w:rsidR="005466E1" w:rsidRPr="0022365C" w:rsidRDefault="005466E1" w:rsidP="005466E1">
      <w:pPr>
        <w:pStyle w:val="Paragrafi"/>
        <w:rPr>
          <w:spacing w:val="-4"/>
          <w:lang w:val="sq-AL"/>
        </w:rPr>
      </w:pPr>
      <w:r w:rsidRPr="0022365C">
        <w:rPr>
          <w:spacing w:val="-4"/>
          <w:lang w:val="sq-AL"/>
        </w:rPr>
        <w:t>4. Guernsey</w:t>
      </w:r>
    </w:p>
    <w:p w:rsidR="005466E1" w:rsidRPr="0022365C" w:rsidRDefault="00BE4235" w:rsidP="005466E1">
      <w:pPr>
        <w:pStyle w:val="Paragrafi"/>
        <w:rPr>
          <w:spacing w:val="-4"/>
          <w:lang w:val="sq-AL"/>
        </w:rPr>
      </w:pPr>
      <w:hyperlink r:id="rId9">
        <w:r w:rsidR="005466E1" w:rsidRPr="0022365C">
          <w:rPr>
            <w:rStyle w:val="Hyperlink"/>
            <w:spacing w:val="-4"/>
            <w:lang w:val="sq-AL"/>
          </w:rPr>
          <w:t>Vendim</w:t>
        </w:r>
      </w:hyperlink>
      <w:r w:rsidR="005466E1" w:rsidRPr="0022365C">
        <w:rPr>
          <w:spacing w:val="-4"/>
          <w:lang w:val="sq-AL"/>
        </w:rPr>
        <w:t xml:space="preserve"> i Komisionit datë 21 nëntor 2003. “Për mbrojtjen e mjaftueshme të të dhënave personale në Guernsey”.</w:t>
      </w:r>
    </w:p>
    <w:p w:rsidR="005466E1" w:rsidRPr="0022365C" w:rsidRDefault="005466E1" w:rsidP="005466E1">
      <w:pPr>
        <w:pStyle w:val="Paragrafi"/>
        <w:rPr>
          <w:spacing w:val="-4"/>
          <w:lang w:val="sq-AL"/>
        </w:rPr>
      </w:pPr>
      <w:r w:rsidRPr="0022365C">
        <w:rPr>
          <w:spacing w:val="-4"/>
          <w:lang w:val="sq-AL"/>
        </w:rPr>
        <w:lastRenderedPageBreak/>
        <w:t>(Opinion 5/2003 i grupit të punës të nenit 29, “Për nivelin e mbrojtjes së dhënave Guernsey”, dokumenti nr. 79).</w:t>
      </w:r>
    </w:p>
    <w:p w:rsidR="005466E1" w:rsidRPr="0022365C" w:rsidRDefault="005466E1" w:rsidP="005466E1">
      <w:pPr>
        <w:pStyle w:val="Paragrafi"/>
        <w:rPr>
          <w:spacing w:val="-4"/>
          <w:lang w:val="sq-AL"/>
        </w:rPr>
      </w:pPr>
      <w:r w:rsidRPr="0022365C">
        <w:rPr>
          <w:spacing w:val="-4"/>
          <w:lang w:val="sq-AL"/>
        </w:rPr>
        <w:t>5. Isle of Man</w:t>
      </w:r>
    </w:p>
    <w:p w:rsidR="005466E1" w:rsidRPr="0022365C" w:rsidRDefault="00BE4235" w:rsidP="005466E1">
      <w:pPr>
        <w:pStyle w:val="Paragrafi"/>
        <w:rPr>
          <w:spacing w:val="-4"/>
          <w:lang w:val="sq-AL"/>
        </w:rPr>
      </w:pPr>
      <w:hyperlink r:id="rId10">
        <w:r w:rsidR="005466E1" w:rsidRPr="0022365C">
          <w:rPr>
            <w:rStyle w:val="Hyperlink"/>
            <w:spacing w:val="-4"/>
            <w:lang w:val="sq-AL"/>
          </w:rPr>
          <w:t>Vendim</w:t>
        </w:r>
      </w:hyperlink>
      <w:r w:rsidR="005466E1" w:rsidRPr="0022365C">
        <w:rPr>
          <w:spacing w:val="-4"/>
          <w:lang w:val="sq-AL"/>
        </w:rPr>
        <w:t xml:space="preserve"> i Komisionit 2004/411/EC, datë 28.4.2004, “Për mbrojtjen e mjaftueshme të të dhënave personale në Isle of Man”.</w:t>
      </w:r>
    </w:p>
    <w:p w:rsidR="005466E1" w:rsidRPr="0022365C" w:rsidRDefault="005466E1" w:rsidP="005466E1">
      <w:pPr>
        <w:pStyle w:val="Paragrafi"/>
        <w:rPr>
          <w:spacing w:val="-4"/>
          <w:lang w:val="sq-AL"/>
        </w:rPr>
      </w:pPr>
      <w:r w:rsidRPr="0022365C">
        <w:rPr>
          <w:spacing w:val="-4"/>
          <w:lang w:val="sq-AL"/>
        </w:rPr>
        <w:t>(Opinion 6/2003 i grupit të punës të nenit 29, “Për nivelin e mbrojtjes së të dhënave personale në Isle of Man”, dokumenti nr. 82).</w:t>
      </w:r>
    </w:p>
    <w:p w:rsidR="005466E1" w:rsidRPr="0022365C" w:rsidRDefault="005466E1" w:rsidP="005466E1">
      <w:pPr>
        <w:pStyle w:val="Paragrafi"/>
        <w:rPr>
          <w:spacing w:val="-4"/>
          <w:lang w:val="sq-AL"/>
        </w:rPr>
      </w:pPr>
      <w:r w:rsidRPr="0022365C">
        <w:rPr>
          <w:spacing w:val="-4"/>
          <w:lang w:val="sq-AL"/>
        </w:rPr>
        <w:t>6. Jersey</w:t>
      </w:r>
    </w:p>
    <w:p w:rsidR="005466E1" w:rsidRPr="0022365C" w:rsidRDefault="00BE4235" w:rsidP="005466E1">
      <w:pPr>
        <w:pStyle w:val="Paragrafi"/>
        <w:rPr>
          <w:spacing w:val="-4"/>
          <w:lang w:val="sq-AL"/>
        </w:rPr>
      </w:pPr>
      <w:hyperlink r:id="rId11">
        <w:r w:rsidR="005466E1" w:rsidRPr="0022365C">
          <w:rPr>
            <w:rStyle w:val="Hyperlink"/>
            <w:spacing w:val="-4"/>
            <w:lang w:val="sq-AL"/>
          </w:rPr>
          <w:t>Vendim</w:t>
        </w:r>
      </w:hyperlink>
      <w:r w:rsidR="005466E1" w:rsidRPr="0022365C">
        <w:rPr>
          <w:spacing w:val="-4"/>
          <w:lang w:val="sq-AL"/>
        </w:rPr>
        <w:t xml:space="preserve"> </w:t>
      </w:r>
      <w:hyperlink r:id="rId12">
        <w:r w:rsidR="005466E1" w:rsidRPr="0022365C">
          <w:rPr>
            <w:rStyle w:val="Hyperlink"/>
            <w:spacing w:val="-4"/>
            <w:lang w:val="sq-AL"/>
          </w:rPr>
          <w:t xml:space="preserve">i Komisionit i datës 8 maj 2008 sipas direktivës 95/46/EC </w:t>
        </w:r>
      </w:hyperlink>
      <w:r w:rsidR="005466E1" w:rsidRPr="0022365C">
        <w:rPr>
          <w:spacing w:val="-4"/>
          <w:lang w:val="sq-AL"/>
        </w:rPr>
        <w:t xml:space="preserve">të </w:t>
      </w:r>
      <w:hyperlink r:id="rId13">
        <w:r w:rsidR="005466E1" w:rsidRPr="0022365C">
          <w:rPr>
            <w:rStyle w:val="Hyperlink"/>
            <w:spacing w:val="-4"/>
            <w:lang w:val="sq-AL"/>
          </w:rPr>
          <w:t>Parlamentit Evropian dhe të Këshillit, “Për nivelin e mjaftueshëm të mbrojtjes</w:t>
        </w:r>
      </w:hyperlink>
      <w:r w:rsidR="005466E1" w:rsidRPr="0022365C">
        <w:rPr>
          <w:spacing w:val="-4"/>
          <w:lang w:val="sq-AL"/>
        </w:rPr>
        <w:t xml:space="preserve"> </w:t>
      </w:r>
      <w:hyperlink r:id="rId14">
        <w:r w:rsidR="005466E1" w:rsidRPr="0022365C">
          <w:rPr>
            <w:rStyle w:val="Hyperlink"/>
            <w:spacing w:val="-4"/>
            <w:lang w:val="sq-AL"/>
          </w:rPr>
          <w:t>së të dhënave personale në Jersey” (i njoftuar sipas dokumentit numër C(2008/1746)</w:t>
        </w:r>
      </w:hyperlink>
      <w:r w:rsidR="005466E1" w:rsidRPr="0022365C">
        <w:rPr>
          <w:rStyle w:val="Hyperlink"/>
          <w:spacing w:val="-4"/>
          <w:lang w:val="sq-AL"/>
        </w:rPr>
        <w:t>.</w:t>
      </w:r>
    </w:p>
    <w:p w:rsidR="005466E1" w:rsidRPr="0022365C" w:rsidRDefault="005466E1" w:rsidP="005466E1">
      <w:pPr>
        <w:pStyle w:val="Paragrafi"/>
        <w:rPr>
          <w:spacing w:val="-4"/>
          <w:lang w:val="sq-AL"/>
        </w:rPr>
      </w:pPr>
      <w:r w:rsidRPr="0022365C">
        <w:rPr>
          <w:spacing w:val="-4"/>
          <w:lang w:val="sq-AL"/>
        </w:rPr>
        <w:t>- OJ L 138, 28.05.2008)</w:t>
      </w:r>
    </w:p>
    <w:p w:rsidR="005466E1" w:rsidRPr="0022365C" w:rsidRDefault="005466E1" w:rsidP="005466E1">
      <w:pPr>
        <w:pStyle w:val="Paragrafi"/>
        <w:rPr>
          <w:spacing w:val="-4"/>
          <w:lang w:val="sq-AL"/>
        </w:rPr>
      </w:pPr>
      <w:r w:rsidRPr="0022365C">
        <w:rPr>
          <w:spacing w:val="-4"/>
          <w:lang w:val="sq-AL"/>
        </w:rPr>
        <w:t>(Opinion 8/2007 i grupit të punës të nenit 29, “Për nivelin e mbrojtjes së të dhënave personale në Jersey”, dokumenti nr. 141).</w:t>
      </w:r>
    </w:p>
    <w:p w:rsidR="005466E1" w:rsidRPr="0022365C" w:rsidRDefault="005466E1" w:rsidP="005466E1">
      <w:pPr>
        <w:pStyle w:val="Paragrafi"/>
        <w:rPr>
          <w:spacing w:val="-4"/>
          <w:lang w:val="sq-AL"/>
        </w:rPr>
      </w:pPr>
      <w:r w:rsidRPr="0022365C">
        <w:rPr>
          <w:spacing w:val="-4"/>
          <w:lang w:val="sq-AL"/>
        </w:rPr>
        <w:t xml:space="preserve">7. Zvicër (gjithashtu si anëtar i ZEE-së) </w:t>
      </w:r>
    </w:p>
    <w:p w:rsidR="005466E1" w:rsidRPr="0022365C" w:rsidRDefault="005466E1" w:rsidP="005466E1">
      <w:pPr>
        <w:pStyle w:val="Paragrafi"/>
        <w:rPr>
          <w:spacing w:val="-4"/>
          <w:lang w:val="sq-AL"/>
        </w:rPr>
      </w:pPr>
      <w:r w:rsidRPr="0022365C">
        <w:rPr>
          <w:spacing w:val="-4"/>
          <w:lang w:val="sq-AL"/>
        </w:rPr>
        <w:t>Vendim i Komisionit, i datës 26 korrik 2000, sipas direktivës 95/46/EC të Parlamentit Evropian dhe të Këshillit “Për nivelin e mjaftueshëm të mbrojtjes së të dhënave personale në Zvicër”.</w:t>
      </w:r>
    </w:p>
    <w:p w:rsidR="005466E1" w:rsidRDefault="005466E1" w:rsidP="005466E1">
      <w:pPr>
        <w:pStyle w:val="Paragrafi"/>
        <w:rPr>
          <w:spacing w:val="-4"/>
          <w:lang w:val="sq-AL"/>
        </w:rPr>
      </w:pPr>
    </w:p>
    <w:p w:rsidR="005466E1" w:rsidRDefault="005466E1" w:rsidP="005466E1">
      <w:pPr>
        <w:pStyle w:val="Paragrafi"/>
        <w:rPr>
          <w:spacing w:val="-4"/>
          <w:lang w:val="sq-AL"/>
        </w:rPr>
      </w:pPr>
    </w:p>
    <w:p w:rsidR="005466E1" w:rsidRPr="0022365C" w:rsidRDefault="005466E1" w:rsidP="005466E1">
      <w:pPr>
        <w:pStyle w:val="Paragrafi"/>
        <w:rPr>
          <w:spacing w:val="-4"/>
          <w:lang w:val="sq-AL"/>
        </w:rPr>
      </w:pPr>
      <w:r w:rsidRPr="0022365C">
        <w:rPr>
          <w:spacing w:val="-4"/>
          <w:lang w:val="sq-AL"/>
        </w:rPr>
        <w:t>(Opinion 5/1999 i grupit të punës të nenit 29, “Për nivelin e mbrojtjes së të dhënave personale në Zvicër”, dokumenti nr. 22).</w:t>
      </w:r>
    </w:p>
    <w:p w:rsidR="005466E1" w:rsidRPr="0022365C" w:rsidRDefault="005466E1" w:rsidP="005466E1">
      <w:pPr>
        <w:pStyle w:val="Paragrafi"/>
        <w:rPr>
          <w:spacing w:val="-4"/>
          <w:lang w:val="sq-AL"/>
        </w:rPr>
      </w:pPr>
      <w:r w:rsidRPr="0022365C">
        <w:rPr>
          <w:spacing w:val="-4"/>
          <w:lang w:val="sq-AL"/>
        </w:rPr>
        <w:t>8. Ishujt Faroe</w:t>
      </w:r>
    </w:p>
    <w:p w:rsidR="005466E1" w:rsidRPr="0022365C" w:rsidRDefault="00BE4235" w:rsidP="005466E1">
      <w:pPr>
        <w:pStyle w:val="Paragrafi"/>
        <w:rPr>
          <w:spacing w:val="-4"/>
          <w:lang w:val="sq-AL"/>
        </w:rPr>
      </w:pPr>
      <w:hyperlink r:id="rId15">
        <w:r w:rsidR="005466E1" w:rsidRPr="0022365C">
          <w:rPr>
            <w:rStyle w:val="Hyperlink"/>
            <w:spacing w:val="-4"/>
            <w:lang w:val="sq-AL"/>
          </w:rPr>
          <w:t>Vendim</w:t>
        </w:r>
      </w:hyperlink>
      <w:r w:rsidR="005466E1" w:rsidRPr="0022365C">
        <w:rPr>
          <w:spacing w:val="-4"/>
          <w:lang w:val="sq-AL"/>
        </w:rPr>
        <w:t xml:space="preserve"> i Komisionit, i datës 5 mars 2010 sipas direktivës 95/46/EC, të Parlamentit Evropian dhe të Këshillit, “Për nivelin e mjaftueshëm të mbrojtjes së të dhënave personale të parashikuar në aktin e ishujve Faroe për përpunimin e të dhënave personale”, dokumenti C 2010/1130 i grupit të punës të nenit 29).</w:t>
      </w:r>
    </w:p>
    <w:p w:rsidR="005466E1" w:rsidRPr="0022365C" w:rsidRDefault="005466E1" w:rsidP="005466E1">
      <w:pPr>
        <w:pStyle w:val="Paragrafi"/>
        <w:rPr>
          <w:spacing w:val="-4"/>
          <w:lang w:val="sq-AL"/>
        </w:rPr>
      </w:pPr>
      <w:r w:rsidRPr="0022365C">
        <w:rPr>
          <w:spacing w:val="-4"/>
          <w:lang w:val="sq-AL"/>
        </w:rPr>
        <w:t>9. Izrael</w:t>
      </w:r>
    </w:p>
    <w:p w:rsidR="005466E1" w:rsidRPr="0022365C" w:rsidRDefault="00BE4235" w:rsidP="005466E1">
      <w:pPr>
        <w:pStyle w:val="Paragrafi"/>
        <w:rPr>
          <w:spacing w:val="-4"/>
          <w:lang w:val="sq-AL"/>
        </w:rPr>
      </w:pPr>
      <w:hyperlink r:id="rId16">
        <w:r w:rsidR="005466E1" w:rsidRPr="0022365C">
          <w:rPr>
            <w:rStyle w:val="Hyperlink"/>
            <w:spacing w:val="-4"/>
            <w:lang w:val="sq-AL"/>
          </w:rPr>
          <w:t>Vendim</w:t>
        </w:r>
      </w:hyperlink>
      <w:r w:rsidR="005466E1" w:rsidRPr="0022365C">
        <w:rPr>
          <w:spacing w:val="-4"/>
          <w:lang w:val="sq-AL"/>
        </w:rPr>
        <w:t xml:space="preserve"> i Komisionit 2011/61/EU, i datës 31 janar 2011, sipas direktivës 95/46/EC, të Parlamentit Evropian dhe të Këshillit, “Për nivelin e mjaftueshëm të mbrojtjes së të dhënave personale nga shteti i Izraelit në lidhje me përpunimin automatik të të dhënave personale”.</w:t>
      </w:r>
    </w:p>
    <w:p w:rsidR="005466E1" w:rsidRPr="0022365C" w:rsidRDefault="005466E1" w:rsidP="005466E1">
      <w:pPr>
        <w:pStyle w:val="Paragrafi"/>
        <w:rPr>
          <w:spacing w:val="-4"/>
          <w:lang w:val="sq-AL"/>
        </w:rPr>
      </w:pPr>
      <w:r w:rsidRPr="0022365C">
        <w:rPr>
          <w:spacing w:val="-4"/>
          <w:lang w:val="sq-AL"/>
        </w:rPr>
        <w:t>(Opinion 6/2009 i grupit të punës të nenit 29 “Për nivelin e mjaftueshëm të mbrojtjes së të dhënave personale në Izrael”, dokumenti nr. 166).</w:t>
      </w:r>
    </w:p>
    <w:p w:rsidR="005466E1" w:rsidRPr="0022365C" w:rsidRDefault="005466E1" w:rsidP="005466E1">
      <w:pPr>
        <w:pStyle w:val="Paragrafi"/>
        <w:rPr>
          <w:spacing w:val="-4"/>
          <w:lang w:val="sq-AL"/>
        </w:rPr>
      </w:pPr>
      <w:r w:rsidRPr="0022365C">
        <w:rPr>
          <w:spacing w:val="-4"/>
          <w:lang w:val="sq-AL"/>
        </w:rPr>
        <w:t>10. Zelanda e Re</w:t>
      </w:r>
    </w:p>
    <w:p w:rsidR="005466E1" w:rsidRPr="0022365C" w:rsidRDefault="005466E1" w:rsidP="005466E1">
      <w:pPr>
        <w:pStyle w:val="Paragrafi"/>
        <w:rPr>
          <w:spacing w:val="-4"/>
          <w:lang w:val="sq-AL"/>
        </w:rPr>
      </w:pPr>
      <w:r w:rsidRPr="0022365C">
        <w:rPr>
          <w:spacing w:val="-4"/>
          <w:lang w:val="sq-AL"/>
        </w:rPr>
        <w:t>Vendim i Komisionit 2013/65 EU, i datës 19 dhjetor 2012, në bazë të direktivës 95/46/EC, të Parlamentit Evropian dhe të Këshillit, “Për mbrojtjen adekuate të të dhënave personale nga Zelanda e Re” (njoftuar sipas dokumentit C (2012/9557).</w:t>
      </w:r>
    </w:p>
    <w:p w:rsidR="005466E1" w:rsidRPr="0022365C" w:rsidRDefault="005466E1" w:rsidP="005466E1">
      <w:pPr>
        <w:pStyle w:val="Paragrafi"/>
        <w:rPr>
          <w:spacing w:val="-4"/>
          <w:lang w:val="sq-AL"/>
        </w:rPr>
      </w:pPr>
      <w:r w:rsidRPr="0022365C">
        <w:rPr>
          <w:spacing w:val="-4"/>
          <w:lang w:val="sq-AL"/>
        </w:rPr>
        <w:t>(Opinion 11/2011 i grupit të punës të nenit 29, “Për nivelin e mbrojtjes së të dhënave personale në Zelandën e Re”).</w:t>
      </w:r>
    </w:p>
    <w:p w:rsidR="005466E1" w:rsidRPr="0022365C" w:rsidRDefault="005466E1" w:rsidP="005466E1">
      <w:pPr>
        <w:pStyle w:val="Paragrafi"/>
        <w:rPr>
          <w:spacing w:val="-4"/>
          <w:lang w:val="sq-AL"/>
        </w:rPr>
      </w:pPr>
      <w:r w:rsidRPr="0022365C">
        <w:rPr>
          <w:spacing w:val="-4"/>
          <w:lang w:val="sq-AL"/>
        </w:rPr>
        <w:t>11. Shtetet e Bashkuara – Bashkimi Evropian “Privacy Shield”</w:t>
      </w:r>
    </w:p>
    <w:p w:rsidR="005466E1" w:rsidRPr="0022365C" w:rsidRDefault="005466E1" w:rsidP="005466E1">
      <w:pPr>
        <w:pStyle w:val="Paragrafi"/>
        <w:rPr>
          <w:spacing w:val="-4"/>
          <w:lang w:val="sq-AL"/>
        </w:rPr>
      </w:pPr>
      <w:r w:rsidRPr="0022365C">
        <w:rPr>
          <w:spacing w:val="-4"/>
          <w:lang w:val="sq-AL"/>
        </w:rPr>
        <w:t>Komisioni Evropian në 12 korrik 2016 miratoi një vendim për përshtatshmërinë e mbrojtjes së privatësisë “Privacy Shield”, midis BE-së dhe SHBA-së.</w:t>
      </w:r>
    </w:p>
    <w:p w:rsidR="005466E1" w:rsidRPr="0022365C" w:rsidRDefault="005466E1" w:rsidP="005466E1">
      <w:pPr>
        <w:pStyle w:val="Paragrafi"/>
        <w:rPr>
          <w:spacing w:val="-4"/>
          <w:lang w:val="sq-AL"/>
        </w:rPr>
      </w:pPr>
      <w:r w:rsidRPr="0022365C">
        <w:rPr>
          <w:spacing w:val="-4"/>
          <w:lang w:val="sq-AL"/>
        </w:rPr>
        <w:t xml:space="preserve">Më 2 shkurt 2016, Komisioni Evropian dhe Shtetet e Bashkuara ranë dakord për një kornizë të re për të dhënat e transfertave transatlantike: BE–SHBA “Privacy Shield”. Më 29 shkurt 2016, Komisioni publikoi një projekt-vendim të mjaftueshmërisë dhe zotimet përkatëse nga autoritetet SHBA-së. Komiteti përpara marrjes së vendimit përfundimtar u konsultua edhe me grupin e punës neni 29). </w:t>
      </w:r>
    </w:p>
    <w:p w:rsidR="005466E1" w:rsidRPr="0022365C" w:rsidRDefault="005466E1" w:rsidP="005466E1">
      <w:pPr>
        <w:pStyle w:val="Paragrafi"/>
        <w:rPr>
          <w:spacing w:val="-4"/>
          <w:lang w:val="sq-AL"/>
        </w:rPr>
      </w:pPr>
      <w:r w:rsidRPr="0022365C">
        <w:rPr>
          <w:spacing w:val="-4"/>
          <w:lang w:val="sq-AL"/>
        </w:rPr>
        <w:t xml:space="preserve">(Opinion 01/2016 i grupit të punës të nenit 29 mbi Privacy Shield, midis BE-së SHBA-së.) </w:t>
      </w:r>
    </w:p>
    <w:p w:rsidR="005466E1" w:rsidRDefault="005466E1" w:rsidP="005466E1">
      <w:pPr>
        <w:pStyle w:val="Paragrafi"/>
        <w:rPr>
          <w:spacing w:val="-4"/>
          <w:lang w:val="sq-AL"/>
        </w:rPr>
      </w:pPr>
    </w:p>
    <w:p w:rsidR="005466E1" w:rsidRDefault="005466E1" w:rsidP="005466E1">
      <w:pPr>
        <w:pStyle w:val="Paragrafi"/>
        <w:rPr>
          <w:spacing w:val="-4"/>
          <w:lang w:val="sq-AL"/>
        </w:rPr>
      </w:pPr>
    </w:p>
    <w:p w:rsidR="005466E1" w:rsidRPr="0022365C" w:rsidRDefault="005466E1" w:rsidP="005466E1">
      <w:pPr>
        <w:pStyle w:val="Paragrafi"/>
        <w:rPr>
          <w:spacing w:val="-4"/>
          <w:lang w:val="sq-AL"/>
        </w:rPr>
      </w:pPr>
      <w:r w:rsidRPr="0022365C">
        <w:rPr>
          <w:spacing w:val="-4"/>
          <w:lang w:val="sq-AL"/>
        </w:rPr>
        <w:lastRenderedPageBreak/>
        <w:t xml:space="preserve">Më 6 tetor 2015, Gjykata e Drejtësisë e BE-së me vendimin e Komisionit nr. 2000 ka deklaruar “Safe Harbour” të pavlefshëm. Më 6 nëntor 2015, Komisioni Evropian miratoi një komunikatë për transferimin e të dhënave personale nga BE-ja në Shtetet e Bashkuara të Amerikës nën direktivën 95/46/EC pas aktgjykimit të Gjykatës së Drejtësisë në Çështjen C-362/14 (Schrems). Qëllimi ishte që të ofrojë një pasqyrë të mjeteve alternative për transferimin transatlantik të të dhënave në mungesë të një vendimi përfundimtar. </w:t>
      </w:r>
    </w:p>
    <w:p w:rsidR="005466E1" w:rsidRPr="0022365C" w:rsidRDefault="005466E1" w:rsidP="005466E1">
      <w:pPr>
        <w:pStyle w:val="Paragrafi"/>
        <w:rPr>
          <w:spacing w:val="-4"/>
          <w:lang w:val="sq-AL"/>
        </w:rPr>
      </w:pPr>
      <w:r w:rsidRPr="0022365C">
        <w:rPr>
          <w:spacing w:val="-4"/>
          <w:lang w:val="sq-AL"/>
        </w:rPr>
        <w:t>12. Uruguai</w:t>
      </w:r>
    </w:p>
    <w:p w:rsidR="005466E1" w:rsidRPr="0022365C" w:rsidRDefault="00BE4235" w:rsidP="005466E1">
      <w:pPr>
        <w:pStyle w:val="Paragrafi"/>
        <w:rPr>
          <w:spacing w:val="-4"/>
          <w:lang w:val="sq-AL"/>
        </w:rPr>
      </w:pPr>
      <w:hyperlink r:id="rId17">
        <w:r w:rsidR="005466E1" w:rsidRPr="0022365C">
          <w:rPr>
            <w:rStyle w:val="Hyperlink"/>
            <w:spacing w:val="-4"/>
            <w:lang w:val="sq-AL"/>
          </w:rPr>
          <w:t>Vendim</w:t>
        </w:r>
      </w:hyperlink>
      <w:r w:rsidR="005466E1" w:rsidRPr="0022365C">
        <w:rPr>
          <w:spacing w:val="-4"/>
          <w:lang w:val="sq-AL"/>
        </w:rPr>
        <w:t xml:space="preserve"> i Komisionit C(2012) 5704, i datës 21.8.2012, sipas direktivës 95/46/EC, të Parlamentit Evropian dhe Këshillit për mbrojtjen e mjaftueshme të të dhënave personale nga Republika e Uruguait në lidhje me përpunimin automatik të të dhënave personale.</w:t>
      </w:r>
    </w:p>
    <w:p w:rsidR="005466E1" w:rsidRPr="0022365C" w:rsidRDefault="005466E1" w:rsidP="005466E1">
      <w:pPr>
        <w:pStyle w:val="Paragrafi"/>
        <w:rPr>
          <w:spacing w:val="-4"/>
          <w:lang w:val="sq-AL"/>
        </w:rPr>
      </w:pPr>
      <w:r w:rsidRPr="0022365C">
        <w:rPr>
          <w:spacing w:val="-4"/>
          <w:lang w:val="sq-AL"/>
        </w:rPr>
        <w:t>(Opinion 6/2010 i grupit të punës të nenit 29, “Mbi nivelin e mbrojtjes së të dhënave personale në Republikën e Uruguait”.)</w:t>
      </w:r>
    </w:p>
    <w:p w:rsidR="004F59B3" w:rsidRPr="005466E1" w:rsidRDefault="004F59B3" w:rsidP="005466E1"/>
    <w:sectPr w:rsidR="004F59B3" w:rsidRPr="005466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595" w:rsidRDefault="00184595" w:rsidP="00184595">
      <w:pPr>
        <w:spacing w:after="0" w:line="240" w:lineRule="auto"/>
      </w:pPr>
      <w:r>
        <w:separator/>
      </w:r>
    </w:p>
  </w:endnote>
  <w:endnote w:type="continuationSeparator" w:id="0">
    <w:p w:rsidR="00184595" w:rsidRDefault="00184595" w:rsidP="00184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595" w:rsidRDefault="00184595" w:rsidP="00184595">
      <w:pPr>
        <w:spacing w:after="0" w:line="240" w:lineRule="auto"/>
      </w:pPr>
      <w:r>
        <w:separator/>
      </w:r>
    </w:p>
  </w:footnote>
  <w:footnote w:type="continuationSeparator" w:id="0">
    <w:p w:rsidR="00184595" w:rsidRDefault="00184595" w:rsidP="00184595">
      <w:pPr>
        <w:spacing w:after="0" w:line="240" w:lineRule="auto"/>
      </w:pPr>
      <w:r>
        <w:continuationSeparator/>
      </w:r>
    </w:p>
  </w:footnote>
  <w:footnote w:id="1">
    <w:p w:rsidR="005466E1" w:rsidRPr="00EB3748" w:rsidRDefault="005466E1" w:rsidP="005466E1">
      <w:pPr>
        <w:pStyle w:val="FootnoteText"/>
        <w:ind w:firstLine="0"/>
        <w:rPr>
          <w:rFonts w:ascii="Garamond" w:hAnsi="Garamond"/>
        </w:rPr>
      </w:pPr>
      <w:r w:rsidRPr="00EB3748">
        <w:rPr>
          <w:rStyle w:val="FootnoteReference"/>
          <w:rFonts w:ascii="Garamond" w:hAnsi="Garamond"/>
        </w:rPr>
        <w:footnoteRef/>
      </w:r>
      <w:r w:rsidRPr="00EB3748">
        <w:rPr>
          <w:rFonts w:ascii="Garamond" w:hAnsi="Garamond"/>
        </w:rPr>
        <w:t xml:space="preserve"> </w:t>
      </w:r>
      <w:r w:rsidRPr="00EB3748">
        <w:rPr>
          <w:rFonts w:ascii="Garamond" w:eastAsia="Times New Roman" w:hAnsi="Garamond"/>
          <w:b/>
          <w:bCs/>
          <w:spacing w:val="-1"/>
        </w:rPr>
        <w:t>Shtetet anëtare</w:t>
      </w:r>
      <w:r w:rsidRPr="00EB3748">
        <w:rPr>
          <w:rFonts w:ascii="Garamond" w:eastAsia="Times New Roman" w:hAnsi="Garamond"/>
          <w:b/>
          <w:bCs/>
          <w:spacing w:val="2"/>
        </w:rPr>
        <w:t xml:space="preserve"> </w:t>
      </w:r>
      <w:r w:rsidRPr="00EB3748">
        <w:rPr>
          <w:rFonts w:ascii="Garamond" w:eastAsia="Times New Roman" w:hAnsi="Garamond"/>
          <w:b/>
          <w:bCs/>
          <w:spacing w:val="-1"/>
        </w:rPr>
        <w:t>të Bashkimit</w:t>
      </w:r>
      <w:r w:rsidRPr="00EB3748">
        <w:rPr>
          <w:rFonts w:ascii="Garamond" w:eastAsia="Times New Roman" w:hAnsi="Garamond"/>
          <w:b/>
          <w:bCs/>
        </w:rPr>
        <w:t xml:space="preserve"> Evropian</w:t>
      </w:r>
      <w:r w:rsidRPr="00EB3748">
        <w:rPr>
          <w:rFonts w:ascii="Garamond" w:eastAsia="Times New Roman" w:hAnsi="Garamond"/>
          <w:bCs/>
        </w:rPr>
        <w:t xml:space="preserve"> janë dhe </w:t>
      </w:r>
      <w:r w:rsidRPr="00EB3748">
        <w:rPr>
          <w:rFonts w:ascii="Garamond" w:hAnsi="Garamond"/>
          <w:bCs/>
          <w:spacing w:val="-1"/>
        </w:rPr>
        <w:t>palë</w:t>
      </w:r>
      <w:r w:rsidRPr="00EB3748">
        <w:rPr>
          <w:rFonts w:ascii="Garamond" w:hAnsi="Garamond"/>
          <w:bCs/>
          <w:spacing w:val="9"/>
        </w:rPr>
        <w:t xml:space="preserve"> </w:t>
      </w:r>
      <w:r w:rsidRPr="00EB3748">
        <w:rPr>
          <w:rFonts w:ascii="Garamond" w:hAnsi="Garamond"/>
          <w:bCs/>
        </w:rPr>
        <w:t>të</w:t>
      </w:r>
      <w:r w:rsidRPr="00EB3748">
        <w:rPr>
          <w:rFonts w:ascii="Garamond" w:hAnsi="Garamond"/>
          <w:bCs/>
          <w:spacing w:val="8"/>
        </w:rPr>
        <w:t xml:space="preserve"> </w:t>
      </w:r>
      <w:r w:rsidRPr="00EB3748">
        <w:rPr>
          <w:rFonts w:ascii="Garamond" w:hAnsi="Garamond"/>
          <w:bCs/>
          <w:spacing w:val="-1"/>
        </w:rPr>
        <w:t>Konventës</w:t>
      </w:r>
      <w:r w:rsidRPr="00EB3748">
        <w:rPr>
          <w:rFonts w:ascii="Garamond" w:hAnsi="Garamond"/>
          <w:bCs/>
          <w:spacing w:val="9"/>
        </w:rPr>
        <w:t xml:space="preserve"> </w:t>
      </w:r>
      <w:r w:rsidRPr="00EB3748">
        <w:rPr>
          <w:rFonts w:ascii="Garamond" w:hAnsi="Garamond"/>
          <w:bCs/>
          <w:spacing w:val="-1"/>
        </w:rPr>
        <w:t xml:space="preserve">nr. </w:t>
      </w:r>
      <w:r w:rsidRPr="00EB3748">
        <w:rPr>
          <w:rFonts w:ascii="Garamond" w:hAnsi="Garamond"/>
          <w:bCs/>
        </w:rPr>
        <w:t>108,</w:t>
      </w:r>
      <w:r w:rsidRPr="00EB3748">
        <w:rPr>
          <w:rFonts w:ascii="Garamond" w:hAnsi="Garamond"/>
          <w:bCs/>
          <w:spacing w:val="9"/>
        </w:rPr>
        <w:t xml:space="preserve"> </w:t>
      </w:r>
      <w:r w:rsidRPr="00EB3748">
        <w:rPr>
          <w:rFonts w:ascii="Garamond" w:hAnsi="Garamond"/>
          <w:bCs/>
        </w:rPr>
        <w:t>të</w:t>
      </w:r>
      <w:r w:rsidRPr="00EB3748">
        <w:rPr>
          <w:rFonts w:ascii="Garamond" w:hAnsi="Garamond"/>
          <w:bCs/>
          <w:spacing w:val="7"/>
        </w:rPr>
        <w:t xml:space="preserve"> </w:t>
      </w:r>
      <w:r w:rsidRPr="00EB3748">
        <w:rPr>
          <w:rFonts w:ascii="Garamond" w:hAnsi="Garamond"/>
          <w:bCs/>
        </w:rPr>
        <w:t>Këshillit</w:t>
      </w:r>
      <w:r w:rsidRPr="00EB3748">
        <w:rPr>
          <w:rFonts w:ascii="Garamond" w:hAnsi="Garamond"/>
          <w:bCs/>
          <w:spacing w:val="51"/>
        </w:rPr>
        <w:t xml:space="preserve"> </w:t>
      </w:r>
      <w:r w:rsidRPr="00EB3748">
        <w:rPr>
          <w:rFonts w:ascii="Garamond" w:hAnsi="Garamond"/>
          <w:bCs/>
        </w:rPr>
        <w:t>të</w:t>
      </w:r>
      <w:r w:rsidRPr="00EB3748">
        <w:rPr>
          <w:rFonts w:ascii="Garamond" w:hAnsi="Garamond"/>
          <w:bCs/>
          <w:spacing w:val="58"/>
        </w:rPr>
        <w:t xml:space="preserve"> </w:t>
      </w:r>
      <w:r w:rsidRPr="00EB3748">
        <w:rPr>
          <w:rFonts w:ascii="Garamond" w:hAnsi="Garamond"/>
          <w:bCs/>
          <w:spacing w:val="-1"/>
        </w:rPr>
        <w:t>Evropës,</w:t>
      </w:r>
      <w:r w:rsidRPr="00EB3748">
        <w:rPr>
          <w:rFonts w:ascii="Garamond" w:hAnsi="Garamond"/>
          <w:bCs/>
        </w:rPr>
        <w:t xml:space="preserve"> </w:t>
      </w:r>
      <w:r w:rsidRPr="00EB3748">
        <w:rPr>
          <w:rFonts w:ascii="Garamond" w:hAnsi="Garamond"/>
          <w:bCs/>
          <w:spacing w:val="-1"/>
        </w:rPr>
        <w:t>“Për</w:t>
      </w:r>
      <w:r w:rsidRPr="00EB3748">
        <w:rPr>
          <w:rFonts w:ascii="Garamond" w:hAnsi="Garamond"/>
          <w:bCs/>
        </w:rPr>
        <w:t xml:space="preserve"> </w:t>
      </w:r>
      <w:r w:rsidRPr="00EB3748">
        <w:rPr>
          <w:rFonts w:ascii="Garamond" w:hAnsi="Garamond"/>
          <w:bCs/>
          <w:spacing w:val="-1"/>
        </w:rPr>
        <w:t>mbrojtjen</w:t>
      </w:r>
      <w:r w:rsidRPr="00EB3748">
        <w:rPr>
          <w:rFonts w:ascii="Garamond" w:hAnsi="Garamond"/>
          <w:bCs/>
        </w:rPr>
        <w:t xml:space="preserve"> e</w:t>
      </w:r>
      <w:r w:rsidRPr="00EB3748">
        <w:rPr>
          <w:rFonts w:ascii="Garamond" w:hAnsi="Garamond"/>
          <w:bCs/>
          <w:spacing w:val="58"/>
        </w:rPr>
        <w:t xml:space="preserve"> </w:t>
      </w:r>
      <w:r w:rsidRPr="00EB3748">
        <w:rPr>
          <w:rFonts w:ascii="Garamond" w:hAnsi="Garamond"/>
          <w:bCs/>
          <w:spacing w:val="-1"/>
        </w:rPr>
        <w:t>individëve</w:t>
      </w:r>
      <w:r w:rsidRPr="00EB3748">
        <w:rPr>
          <w:rFonts w:ascii="Garamond" w:hAnsi="Garamond"/>
          <w:bCs/>
          <w:spacing w:val="58"/>
        </w:rPr>
        <w:t xml:space="preserve"> </w:t>
      </w:r>
      <w:r w:rsidRPr="00EB3748">
        <w:rPr>
          <w:rFonts w:ascii="Garamond" w:hAnsi="Garamond"/>
          <w:bCs/>
        </w:rPr>
        <w:t>në</w:t>
      </w:r>
      <w:r w:rsidRPr="00EB3748">
        <w:rPr>
          <w:rFonts w:ascii="Garamond" w:hAnsi="Garamond"/>
          <w:bCs/>
          <w:spacing w:val="58"/>
        </w:rPr>
        <w:t xml:space="preserve"> </w:t>
      </w:r>
      <w:r w:rsidRPr="00EB3748">
        <w:rPr>
          <w:rFonts w:ascii="Garamond" w:hAnsi="Garamond"/>
          <w:bCs/>
          <w:spacing w:val="-1"/>
        </w:rPr>
        <w:t>lidhje</w:t>
      </w:r>
      <w:r w:rsidRPr="00EB3748">
        <w:rPr>
          <w:rFonts w:ascii="Garamond" w:hAnsi="Garamond"/>
          <w:bCs/>
          <w:spacing w:val="56"/>
        </w:rPr>
        <w:t xml:space="preserve"> </w:t>
      </w:r>
      <w:r w:rsidRPr="00EB3748">
        <w:rPr>
          <w:rFonts w:ascii="Garamond" w:hAnsi="Garamond"/>
          <w:bCs/>
          <w:spacing w:val="1"/>
        </w:rPr>
        <w:t>me</w:t>
      </w:r>
      <w:r w:rsidRPr="00EB3748">
        <w:rPr>
          <w:rFonts w:ascii="Garamond" w:hAnsi="Garamond"/>
          <w:bCs/>
          <w:spacing w:val="58"/>
        </w:rPr>
        <w:t xml:space="preserve"> </w:t>
      </w:r>
      <w:r w:rsidRPr="00EB3748">
        <w:rPr>
          <w:rFonts w:ascii="Garamond" w:hAnsi="Garamond"/>
          <w:bCs/>
          <w:spacing w:val="-1"/>
        </w:rPr>
        <w:t>përpunimin</w:t>
      </w:r>
      <w:r w:rsidRPr="00EB3748">
        <w:rPr>
          <w:rFonts w:ascii="Garamond" w:hAnsi="Garamond"/>
          <w:bCs/>
          <w:spacing w:val="58"/>
        </w:rPr>
        <w:t xml:space="preserve"> </w:t>
      </w:r>
      <w:r w:rsidRPr="00EB3748">
        <w:rPr>
          <w:rFonts w:ascii="Garamond" w:hAnsi="Garamond"/>
          <w:bCs/>
          <w:spacing w:val="-1"/>
        </w:rPr>
        <w:t>automatik</w:t>
      </w:r>
      <w:r w:rsidRPr="00EB3748">
        <w:rPr>
          <w:rFonts w:ascii="Garamond" w:hAnsi="Garamond"/>
          <w:bCs/>
          <w:spacing w:val="57"/>
        </w:rPr>
        <w:t xml:space="preserve"> </w:t>
      </w:r>
      <w:r w:rsidRPr="00EB3748">
        <w:rPr>
          <w:rFonts w:ascii="Garamond" w:hAnsi="Garamond"/>
          <w:bCs/>
        </w:rPr>
        <w:t>të</w:t>
      </w:r>
      <w:r w:rsidRPr="00EB3748">
        <w:rPr>
          <w:rFonts w:ascii="Garamond" w:hAnsi="Garamond"/>
          <w:bCs/>
          <w:spacing w:val="59"/>
        </w:rPr>
        <w:t xml:space="preserve"> </w:t>
      </w:r>
      <w:r w:rsidRPr="00EB3748">
        <w:rPr>
          <w:rFonts w:ascii="Garamond" w:hAnsi="Garamond"/>
          <w:bCs/>
        </w:rPr>
        <w:t>të</w:t>
      </w:r>
      <w:r w:rsidRPr="00EB3748">
        <w:rPr>
          <w:rFonts w:ascii="Garamond" w:hAnsi="Garamond"/>
          <w:bCs/>
          <w:spacing w:val="75"/>
        </w:rPr>
        <w:t xml:space="preserve"> </w:t>
      </w:r>
      <w:r w:rsidRPr="00EB3748">
        <w:rPr>
          <w:rFonts w:ascii="Garamond" w:hAnsi="Garamond"/>
          <w:bCs/>
          <w:spacing w:val="-1"/>
        </w:rPr>
        <w:t xml:space="preserve">dhënave </w:t>
      </w:r>
      <w:r w:rsidRPr="00EB3748">
        <w:rPr>
          <w:rFonts w:ascii="Garamond" w:hAnsi="Garamond"/>
          <w:bCs/>
        </w:rPr>
        <w:t>personale”, si dhe</w:t>
      </w:r>
      <w:r w:rsidRPr="00EB3748">
        <w:rPr>
          <w:rFonts w:ascii="Garamond" w:hAnsi="Garamond"/>
          <w:bCs/>
          <w:spacing w:val="-1"/>
        </w:rPr>
        <w:t xml:space="preserve"> të</w:t>
      </w:r>
      <w:r w:rsidRPr="00EB3748">
        <w:rPr>
          <w:rFonts w:ascii="Garamond" w:hAnsi="Garamond"/>
          <w:bCs/>
          <w:spacing w:val="1"/>
        </w:rPr>
        <w:t xml:space="preserve"> </w:t>
      </w:r>
      <w:r w:rsidRPr="00EB3748">
        <w:rPr>
          <w:rFonts w:ascii="Garamond" w:hAnsi="Garamond"/>
          <w:bCs/>
          <w:spacing w:val="-1"/>
        </w:rPr>
        <w:t>protokollit</w:t>
      </w:r>
      <w:r w:rsidRPr="00EB3748">
        <w:rPr>
          <w:rFonts w:ascii="Garamond" w:hAnsi="Garamond"/>
          <w:bCs/>
        </w:rPr>
        <w:t xml:space="preserve"> </w:t>
      </w:r>
      <w:r w:rsidRPr="00EB3748">
        <w:rPr>
          <w:rFonts w:ascii="Garamond" w:hAnsi="Garamond"/>
          <w:bCs/>
          <w:spacing w:val="-1"/>
        </w:rPr>
        <w:t>shtesë</w:t>
      </w:r>
      <w:r w:rsidRPr="00EB3748">
        <w:rPr>
          <w:rFonts w:ascii="Garamond" w:hAnsi="Garamond"/>
          <w:bCs/>
          <w:spacing w:val="1"/>
        </w:rPr>
        <w:t xml:space="preserve"> </w:t>
      </w:r>
      <w:r w:rsidRPr="00EB3748">
        <w:rPr>
          <w:rFonts w:ascii="Garamond" w:hAnsi="Garamond"/>
          <w:bCs/>
        </w:rPr>
        <w:t>të</w:t>
      </w:r>
      <w:r w:rsidRPr="00EB3748">
        <w:rPr>
          <w:rFonts w:ascii="Garamond" w:hAnsi="Garamond"/>
          <w:bCs/>
          <w:spacing w:val="-2"/>
        </w:rPr>
        <w:t xml:space="preserve"> </w:t>
      </w:r>
      <w:r w:rsidRPr="00EB3748">
        <w:rPr>
          <w:rFonts w:ascii="Garamond" w:hAnsi="Garamond"/>
          <w:bCs/>
        </w:rPr>
        <w:t>saj, të</w:t>
      </w:r>
      <w:r w:rsidRPr="00EB3748">
        <w:rPr>
          <w:rFonts w:ascii="Garamond" w:hAnsi="Garamond"/>
          <w:bCs/>
          <w:spacing w:val="-1"/>
        </w:rPr>
        <w:t xml:space="preserve"> </w:t>
      </w:r>
      <w:r w:rsidRPr="00EB3748">
        <w:rPr>
          <w:rFonts w:ascii="Garamond" w:hAnsi="Garamond"/>
          <w:bCs/>
        </w:rPr>
        <w:t>vitit 1981.</w:t>
      </w:r>
    </w:p>
  </w:footnote>
  <w:footnote w:id="2">
    <w:p w:rsidR="005466E1" w:rsidRPr="00EB3748" w:rsidRDefault="005466E1" w:rsidP="005466E1">
      <w:pPr>
        <w:pStyle w:val="FootnoteText"/>
        <w:ind w:firstLine="0"/>
        <w:rPr>
          <w:rFonts w:ascii="Garamond" w:hAnsi="Garamond"/>
        </w:rPr>
      </w:pPr>
      <w:r w:rsidRPr="00EB3748">
        <w:rPr>
          <w:rStyle w:val="FootnoteReference"/>
          <w:rFonts w:ascii="Garamond" w:hAnsi="Garamond"/>
        </w:rPr>
        <w:footnoteRef/>
      </w:r>
      <w:r w:rsidRPr="00EB3748">
        <w:rPr>
          <w:rFonts w:ascii="Garamond" w:hAnsi="Garamond"/>
        </w:rPr>
        <w:t xml:space="preserve"> </w:t>
      </w:r>
      <w:r w:rsidRPr="00EB3748">
        <w:rPr>
          <w:rFonts w:ascii="Garamond" w:eastAsia="Times New Roman" w:hAnsi="Garamond"/>
          <w:b/>
          <w:bCs/>
          <w:spacing w:val="-1"/>
        </w:rPr>
        <w:t>Shtetet anëtare</w:t>
      </w:r>
      <w:r w:rsidRPr="00EB3748">
        <w:rPr>
          <w:rFonts w:ascii="Garamond" w:eastAsia="Times New Roman" w:hAnsi="Garamond"/>
          <w:b/>
          <w:bCs/>
          <w:spacing w:val="2"/>
        </w:rPr>
        <w:t xml:space="preserve"> </w:t>
      </w:r>
      <w:r w:rsidRPr="00EB3748">
        <w:rPr>
          <w:rFonts w:ascii="Garamond" w:eastAsia="Times New Roman" w:hAnsi="Garamond"/>
          <w:b/>
          <w:bCs/>
          <w:spacing w:val="-1"/>
        </w:rPr>
        <w:t xml:space="preserve">të Zonës Ekonomike </w:t>
      </w:r>
      <w:r w:rsidRPr="00EB3748">
        <w:rPr>
          <w:rFonts w:ascii="Garamond" w:eastAsia="Times New Roman" w:hAnsi="Garamond"/>
          <w:b/>
          <w:bCs/>
        </w:rPr>
        <w:t>Evropiane</w:t>
      </w:r>
      <w:r w:rsidRPr="00EB3748">
        <w:rPr>
          <w:rFonts w:ascii="Garamond" w:eastAsia="Times New Roman" w:hAnsi="Garamond"/>
          <w:bCs/>
        </w:rPr>
        <w:t xml:space="preserve"> janë dhe </w:t>
      </w:r>
      <w:r w:rsidRPr="00EB3748">
        <w:rPr>
          <w:rFonts w:ascii="Garamond" w:hAnsi="Garamond"/>
          <w:bCs/>
          <w:spacing w:val="-1"/>
        </w:rPr>
        <w:t>palë</w:t>
      </w:r>
      <w:r w:rsidRPr="00EB3748">
        <w:rPr>
          <w:rFonts w:ascii="Garamond" w:hAnsi="Garamond"/>
          <w:bCs/>
          <w:spacing w:val="9"/>
        </w:rPr>
        <w:t xml:space="preserve"> </w:t>
      </w:r>
      <w:r w:rsidRPr="00EB3748">
        <w:rPr>
          <w:rFonts w:ascii="Garamond" w:hAnsi="Garamond"/>
          <w:bCs/>
        </w:rPr>
        <w:t>të</w:t>
      </w:r>
      <w:r w:rsidRPr="00EB3748">
        <w:rPr>
          <w:rFonts w:ascii="Garamond" w:hAnsi="Garamond"/>
          <w:bCs/>
          <w:spacing w:val="8"/>
        </w:rPr>
        <w:t xml:space="preserve"> </w:t>
      </w:r>
      <w:r w:rsidRPr="00EB3748">
        <w:rPr>
          <w:rFonts w:ascii="Garamond" w:hAnsi="Garamond"/>
          <w:bCs/>
          <w:spacing w:val="-1"/>
        </w:rPr>
        <w:t>Konventës</w:t>
      </w:r>
      <w:r w:rsidRPr="00EB3748">
        <w:rPr>
          <w:rFonts w:ascii="Garamond" w:hAnsi="Garamond"/>
          <w:bCs/>
          <w:spacing w:val="9"/>
        </w:rPr>
        <w:t xml:space="preserve"> </w:t>
      </w:r>
      <w:r w:rsidRPr="00EB3748">
        <w:rPr>
          <w:rFonts w:ascii="Garamond" w:hAnsi="Garamond"/>
          <w:bCs/>
          <w:spacing w:val="-1"/>
        </w:rPr>
        <w:t xml:space="preserve">nr. </w:t>
      </w:r>
      <w:r w:rsidRPr="00EB3748">
        <w:rPr>
          <w:rFonts w:ascii="Garamond" w:hAnsi="Garamond"/>
          <w:bCs/>
        </w:rPr>
        <w:t>108,</w:t>
      </w:r>
      <w:r w:rsidRPr="00EB3748">
        <w:rPr>
          <w:rFonts w:ascii="Garamond" w:hAnsi="Garamond"/>
          <w:bCs/>
          <w:spacing w:val="9"/>
        </w:rPr>
        <w:t xml:space="preserve"> </w:t>
      </w:r>
      <w:r w:rsidRPr="00EB3748">
        <w:rPr>
          <w:rFonts w:ascii="Garamond" w:hAnsi="Garamond"/>
          <w:bCs/>
        </w:rPr>
        <w:t>të</w:t>
      </w:r>
      <w:r w:rsidRPr="00EB3748">
        <w:rPr>
          <w:rFonts w:ascii="Garamond" w:hAnsi="Garamond"/>
          <w:bCs/>
          <w:spacing w:val="7"/>
        </w:rPr>
        <w:t xml:space="preserve"> </w:t>
      </w:r>
      <w:r w:rsidRPr="00EB3748">
        <w:rPr>
          <w:rFonts w:ascii="Garamond" w:hAnsi="Garamond"/>
          <w:bCs/>
        </w:rPr>
        <w:t>Këshillit</w:t>
      </w:r>
      <w:r w:rsidRPr="00EB3748">
        <w:rPr>
          <w:rFonts w:ascii="Garamond" w:hAnsi="Garamond"/>
          <w:bCs/>
          <w:spacing w:val="51"/>
        </w:rPr>
        <w:t xml:space="preserve"> </w:t>
      </w:r>
      <w:r w:rsidRPr="00EB3748">
        <w:rPr>
          <w:rFonts w:ascii="Garamond" w:hAnsi="Garamond"/>
          <w:bCs/>
        </w:rPr>
        <w:t>të</w:t>
      </w:r>
      <w:r w:rsidRPr="00EB3748">
        <w:rPr>
          <w:rFonts w:ascii="Garamond" w:hAnsi="Garamond"/>
          <w:bCs/>
          <w:spacing w:val="58"/>
        </w:rPr>
        <w:t xml:space="preserve"> </w:t>
      </w:r>
      <w:r w:rsidRPr="00EB3748">
        <w:rPr>
          <w:rFonts w:ascii="Garamond" w:hAnsi="Garamond"/>
          <w:bCs/>
          <w:spacing w:val="-1"/>
        </w:rPr>
        <w:t>Evropës,</w:t>
      </w:r>
      <w:r w:rsidRPr="00EB3748">
        <w:rPr>
          <w:rFonts w:ascii="Garamond" w:hAnsi="Garamond"/>
          <w:bCs/>
        </w:rPr>
        <w:t xml:space="preserve"> </w:t>
      </w:r>
      <w:r w:rsidRPr="00EB3748">
        <w:rPr>
          <w:rFonts w:ascii="Garamond" w:hAnsi="Garamond"/>
          <w:bCs/>
          <w:spacing w:val="-1"/>
        </w:rPr>
        <w:t>“Për</w:t>
      </w:r>
      <w:r w:rsidRPr="00EB3748">
        <w:rPr>
          <w:rFonts w:ascii="Garamond" w:hAnsi="Garamond"/>
          <w:bCs/>
        </w:rPr>
        <w:t xml:space="preserve"> </w:t>
      </w:r>
      <w:r w:rsidRPr="00EB3748">
        <w:rPr>
          <w:rFonts w:ascii="Garamond" w:hAnsi="Garamond"/>
          <w:bCs/>
          <w:spacing w:val="-1"/>
        </w:rPr>
        <w:t>mbrojtjen</w:t>
      </w:r>
      <w:r w:rsidRPr="00EB3748">
        <w:rPr>
          <w:rFonts w:ascii="Garamond" w:hAnsi="Garamond"/>
          <w:bCs/>
        </w:rPr>
        <w:t xml:space="preserve"> e</w:t>
      </w:r>
      <w:r w:rsidRPr="00EB3748">
        <w:rPr>
          <w:rFonts w:ascii="Garamond" w:hAnsi="Garamond"/>
          <w:bCs/>
          <w:spacing w:val="58"/>
        </w:rPr>
        <w:t xml:space="preserve"> </w:t>
      </w:r>
      <w:r w:rsidRPr="00EB3748">
        <w:rPr>
          <w:rFonts w:ascii="Garamond" w:hAnsi="Garamond"/>
          <w:bCs/>
          <w:spacing w:val="-1"/>
        </w:rPr>
        <w:t>individëve</w:t>
      </w:r>
      <w:r w:rsidRPr="00EB3748">
        <w:rPr>
          <w:rFonts w:ascii="Garamond" w:hAnsi="Garamond"/>
          <w:bCs/>
          <w:spacing w:val="58"/>
        </w:rPr>
        <w:t xml:space="preserve"> </w:t>
      </w:r>
      <w:r w:rsidRPr="00EB3748">
        <w:rPr>
          <w:rFonts w:ascii="Garamond" w:hAnsi="Garamond"/>
          <w:bCs/>
        </w:rPr>
        <w:t>në</w:t>
      </w:r>
      <w:r w:rsidRPr="00EB3748">
        <w:rPr>
          <w:rFonts w:ascii="Garamond" w:hAnsi="Garamond"/>
          <w:bCs/>
          <w:spacing w:val="58"/>
        </w:rPr>
        <w:t xml:space="preserve"> </w:t>
      </w:r>
      <w:r w:rsidRPr="00EB3748">
        <w:rPr>
          <w:rFonts w:ascii="Garamond" w:hAnsi="Garamond"/>
          <w:bCs/>
          <w:spacing w:val="-1"/>
        </w:rPr>
        <w:t>lidhje</w:t>
      </w:r>
      <w:r w:rsidRPr="00EB3748">
        <w:rPr>
          <w:rFonts w:ascii="Garamond" w:hAnsi="Garamond"/>
          <w:bCs/>
          <w:spacing w:val="56"/>
        </w:rPr>
        <w:t xml:space="preserve"> </w:t>
      </w:r>
      <w:r w:rsidRPr="00EB3748">
        <w:rPr>
          <w:rFonts w:ascii="Garamond" w:hAnsi="Garamond"/>
          <w:bCs/>
          <w:spacing w:val="1"/>
        </w:rPr>
        <w:t>me</w:t>
      </w:r>
      <w:r w:rsidRPr="00EB3748">
        <w:rPr>
          <w:rFonts w:ascii="Garamond" w:hAnsi="Garamond"/>
          <w:bCs/>
          <w:spacing w:val="58"/>
        </w:rPr>
        <w:t xml:space="preserve"> </w:t>
      </w:r>
      <w:r w:rsidRPr="00EB3748">
        <w:rPr>
          <w:rFonts w:ascii="Garamond" w:hAnsi="Garamond"/>
          <w:bCs/>
          <w:spacing w:val="-1"/>
        </w:rPr>
        <w:t>përpunimin</w:t>
      </w:r>
      <w:r w:rsidRPr="00EB3748">
        <w:rPr>
          <w:rFonts w:ascii="Garamond" w:hAnsi="Garamond"/>
          <w:bCs/>
          <w:spacing w:val="58"/>
        </w:rPr>
        <w:t xml:space="preserve"> </w:t>
      </w:r>
      <w:r w:rsidRPr="00EB3748">
        <w:rPr>
          <w:rFonts w:ascii="Garamond" w:hAnsi="Garamond"/>
          <w:bCs/>
          <w:spacing w:val="-1"/>
        </w:rPr>
        <w:t>automatik</w:t>
      </w:r>
      <w:r w:rsidRPr="00EB3748">
        <w:rPr>
          <w:rFonts w:ascii="Garamond" w:hAnsi="Garamond"/>
          <w:bCs/>
          <w:spacing w:val="57"/>
        </w:rPr>
        <w:t xml:space="preserve"> </w:t>
      </w:r>
      <w:r w:rsidRPr="00EB3748">
        <w:rPr>
          <w:rFonts w:ascii="Garamond" w:hAnsi="Garamond"/>
          <w:bCs/>
        </w:rPr>
        <w:t>të</w:t>
      </w:r>
      <w:r w:rsidRPr="00EB3748">
        <w:rPr>
          <w:rFonts w:ascii="Garamond" w:hAnsi="Garamond"/>
          <w:bCs/>
          <w:spacing w:val="59"/>
        </w:rPr>
        <w:t xml:space="preserve"> </w:t>
      </w:r>
      <w:r w:rsidRPr="00EB3748">
        <w:rPr>
          <w:rFonts w:ascii="Garamond" w:hAnsi="Garamond"/>
          <w:bCs/>
        </w:rPr>
        <w:t>të</w:t>
      </w:r>
      <w:r w:rsidRPr="00EB3748">
        <w:rPr>
          <w:rFonts w:ascii="Garamond" w:hAnsi="Garamond"/>
          <w:bCs/>
          <w:spacing w:val="75"/>
        </w:rPr>
        <w:t xml:space="preserve"> </w:t>
      </w:r>
      <w:r w:rsidRPr="00EB3748">
        <w:rPr>
          <w:rFonts w:ascii="Garamond" w:hAnsi="Garamond"/>
          <w:bCs/>
          <w:spacing w:val="-1"/>
        </w:rPr>
        <w:t xml:space="preserve">dhënave </w:t>
      </w:r>
      <w:r w:rsidRPr="00EB3748">
        <w:rPr>
          <w:rFonts w:ascii="Garamond" w:hAnsi="Garamond"/>
          <w:bCs/>
        </w:rPr>
        <w:t>personale”, si dhe</w:t>
      </w:r>
      <w:r w:rsidRPr="00EB3748">
        <w:rPr>
          <w:rFonts w:ascii="Garamond" w:hAnsi="Garamond"/>
          <w:bCs/>
          <w:spacing w:val="-1"/>
        </w:rPr>
        <w:t xml:space="preserve"> të</w:t>
      </w:r>
      <w:r w:rsidRPr="00EB3748">
        <w:rPr>
          <w:rFonts w:ascii="Garamond" w:hAnsi="Garamond"/>
          <w:bCs/>
          <w:spacing w:val="1"/>
        </w:rPr>
        <w:t xml:space="preserve"> </w:t>
      </w:r>
      <w:r w:rsidRPr="00EB3748">
        <w:rPr>
          <w:rFonts w:ascii="Garamond" w:hAnsi="Garamond"/>
          <w:bCs/>
          <w:spacing w:val="-1"/>
        </w:rPr>
        <w:t>protokollit</w:t>
      </w:r>
      <w:r w:rsidRPr="00EB3748">
        <w:rPr>
          <w:rFonts w:ascii="Garamond" w:hAnsi="Garamond"/>
          <w:bCs/>
        </w:rPr>
        <w:t xml:space="preserve"> </w:t>
      </w:r>
      <w:r w:rsidRPr="00EB3748">
        <w:rPr>
          <w:rFonts w:ascii="Garamond" w:hAnsi="Garamond"/>
          <w:bCs/>
          <w:spacing w:val="-1"/>
        </w:rPr>
        <w:t>shtesë</w:t>
      </w:r>
      <w:r w:rsidRPr="00EB3748">
        <w:rPr>
          <w:rFonts w:ascii="Garamond" w:hAnsi="Garamond"/>
          <w:bCs/>
          <w:spacing w:val="1"/>
        </w:rPr>
        <w:t xml:space="preserve"> </w:t>
      </w:r>
      <w:r w:rsidRPr="00EB3748">
        <w:rPr>
          <w:rFonts w:ascii="Garamond" w:hAnsi="Garamond"/>
          <w:bCs/>
        </w:rPr>
        <w:t>të</w:t>
      </w:r>
      <w:r w:rsidRPr="00EB3748">
        <w:rPr>
          <w:rFonts w:ascii="Garamond" w:hAnsi="Garamond"/>
          <w:bCs/>
          <w:spacing w:val="-2"/>
        </w:rPr>
        <w:t xml:space="preserve"> </w:t>
      </w:r>
      <w:r w:rsidRPr="00EB3748">
        <w:rPr>
          <w:rFonts w:ascii="Garamond" w:hAnsi="Garamond"/>
          <w:bCs/>
        </w:rPr>
        <w:t>saj, të</w:t>
      </w:r>
      <w:r w:rsidRPr="00EB3748">
        <w:rPr>
          <w:rFonts w:ascii="Garamond" w:hAnsi="Garamond"/>
          <w:bCs/>
          <w:spacing w:val="-1"/>
        </w:rPr>
        <w:t xml:space="preserve"> </w:t>
      </w:r>
      <w:r w:rsidRPr="00EB3748">
        <w:rPr>
          <w:rFonts w:ascii="Garamond" w:hAnsi="Garamond"/>
          <w:bCs/>
        </w:rPr>
        <w:t>vitit 1981.</w:t>
      </w:r>
    </w:p>
    <w:p w:rsidR="005466E1" w:rsidRPr="00EB3748" w:rsidRDefault="005466E1" w:rsidP="005466E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670"/>
    <w:rsid w:val="00184595"/>
    <w:rsid w:val="004F59B3"/>
    <w:rsid w:val="005466E1"/>
    <w:rsid w:val="00672670"/>
    <w:rsid w:val="00BE4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59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845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84595"/>
    <w:rPr>
      <w:rFonts w:ascii="Garamond" w:eastAsia="MS Mincho" w:hAnsi="Garamond" w:cs="CG Times"/>
      <w:sz w:val="24"/>
    </w:rPr>
  </w:style>
  <w:style w:type="paragraph" w:customStyle="1" w:styleId="NeniNr">
    <w:name w:val="Neni_Nr"/>
    <w:next w:val="Normal"/>
    <w:link w:val="NeniNrChar"/>
    <w:rsid w:val="0018459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8459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84595"/>
    <w:rPr>
      <w:rFonts w:ascii="Garamond" w:eastAsia="MS Mincho" w:hAnsi="Garamond" w:cs="CG Times"/>
      <w:sz w:val="24"/>
      <w:lang w:val="en-GB"/>
    </w:rPr>
  </w:style>
  <w:style w:type="paragraph" w:customStyle="1" w:styleId="Hapesira7">
    <w:name w:val="Hapesira 7"/>
    <w:basedOn w:val="Paragrafi"/>
    <w:qFormat/>
    <w:rsid w:val="00184595"/>
    <w:rPr>
      <w:sz w:val="14"/>
      <w:szCs w:val="24"/>
    </w:rPr>
  </w:style>
  <w:style w:type="character" w:styleId="Hyperlink">
    <w:name w:val="Hyperlink"/>
    <w:uiPriority w:val="99"/>
    <w:unhideWhenUsed/>
    <w:rsid w:val="00184595"/>
    <w:rPr>
      <w:color w:val="0000FF"/>
      <w:u w:val="single"/>
    </w:rPr>
  </w:style>
  <w:style w:type="table" w:styleId="TableGrid">
    <w:name w:val="Table Grid"/>
    <w:basedOn w:val="TableNormal"/>
    <w:uiPriority w:val="59"/>
    <w:rsid w:val="0018459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8459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8459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184595"/>
    <w:rPr>
      <w:vertAlign w:val="superscript"/>
    </w:rPr>
  </w:style>
  <w:style w:type="paragraph" w:customStyle="1" w:styleId="BVIfnrCarCarCarCarChar">
    <w:name w:val="BVI fnr Car Car Car Car Char"/>
    <w:basedOn w:val="Normal"/>
    <w:link w:val="FootnoteReference"/>
    <w:uiPriority w:val="99"/>
    <w:rsid w:val="00184595"/>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59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845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84595"/>
    <w:rPr>
      <w:rFonts w:ascii="Garamond" w:eastAsia="MS Mincho" w:hAnsi="Garamond" w:cs="CG Times"/>
      <w:sz w:val="24"/>
    </w:rPr>
  </w:style>
  <w:style w:type="paragraph" w:customStyle="1" w:styleId="NeniNr">
    <w:name w:val="Neni_Nr"/>
    <w:next w:val="Normal"/>
    <w:link w:val="NeniNrChar"/>
    <w:rsid w:val="0018459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8459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84595"/>
    <w:rPr>
      <w:rFonts w:ascii="Garamond" w:eastAsia="MS Mincho" w:hAnsi="Garamond" w:cs="CG Times"/>
      <w:sz w:val="24"/>
      <w:lang w:val="en-GB"/>
    </w:rPr>
  </w:style>
  <w:style w:type="paragraph" w:customStyle="1" w:styleId="Hapesira7">
    <w:name w:val="Hapesira 7"/>
    <w:basedOn w:val="Paragrafi"/>
    <w:qFormat/>
    <w:rsid w:val="00184595"/>
    <w:rPr>
      <w:sz w:val="14"/>
      <w:szCs w:val="24"/>
    </w:rPr>
  </w:style>
  <w:style w:type="character" w:styleId="Hyperlink">
    <w:name w:val="Hyperlink"/>
    <w:uiPriority w:val="99"/>
    <w:unhideWhenUsed/>
    <w:rsid w:val="00184595"/>
    <w:rPr>
      <w:color w:val="0000FF"/>
      <w:u w:val="single"/>
    </w:rPr>
  </w:style>
  <w:style w:type="table" w:styleId="TableGrid">
    <w:name w:val="Table Grid"/>
    <w:basedOn w:val="TableNormal"/>
    <w:uiPriority w:val="59"/>
    <w:rsid w:val="0018459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8459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8459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184595"/>
    <w:rPr>
      <w:vertAlign w:val="superscript"/>
    </w:rPr>
  </w:style>
  <w:style w:type="paragraph" w:customStyle="1" w:styleId="BVIfnrCarCarCarCarChar">
    <w:name w:val="BVI fnr Car Car Car Car Char"/>
    <w:basedOn w:val="Normal"/>
    <w:link w:val="FootnoteReference"/>
    <w:uiPriority w:val="99"/>
    <w:rsid w:val="00184595"/>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justice_home/fsj/privacy/docs/adequacy/decision-c2003-1731/decision-argentine_en.pdf" TargetMode="External"/><Relationship Id="rId13" Type="http://schemas.openxmlformats.org/officeDocument/2006/relationships/hyperlink" Target="http://eur-lex.europa.eu/LexUriServ/LexUriServ.do?uri=CELEX%3A32008D0393%3AEN%3ANO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c.europa.eu/justice_home/fsj/privacy/docs/adequacy/decision-c2003-1731/decision-argentine_en.pdf" TargetMode="External"/><Relationship Id="rId12" Type="http://schemas.openxmlformats.org/officeDocument/2006/relationships/hyperlink" Target="http://eur-lex.europa.eu/LexUriServ/LexUriServ.do?uri=CELEX%3A32008D0393%3AEN%3ANOT" TargetMode="External"/><Relationship Id="rId17" Type="http://schemas.openxmlformats.org/officeDocument/2006/relationships/hyperlink" Target="http://ec.europa.eu/justice_home/fsj/privacy/docs/adequacy/decision-c2003-1731/decision-argentine_en.pdf" TargetMode="External"/><Relationship Id="rId2" Type="http://schemas.microsoft.com/office/2007/relationships/stylesWithEffects" Target="stylesWithEffects.xml"/><Relationship Id="rId16" Type="http://schemas.openxmlformats.org/officeDocument/2006/relationships/hyperlink" Target="http://ec.europa.eu/justice_home/fsj/privacy/docs/adequacy/decision-c2003-1731/decision-argentine_en.pd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eur-lex.europa.eu/LexUriServ/LexUriServ.do?uri=CELEX%3A32008D0393%3AEN%3ANOT" TargetMode="External"/><Relationship Id="rId5" Type="http://schemas.openxmlformats.org/officeDocument/2006/relationships/footnotes" Target="footnotes.xml"/><Relationship Id="rId15" Type="http://schemas.openxmlformats.org/officeDocument/2006/relationships/hyperlink" Target="http://ec.europa.eu/justice_home/fsj/privacy/docs/adequacy/decision-c2003-1731/decision-argentine_en.pdf" TargetMode="External"/><Relationship Id="rId10" Type="http://schemas.openxmlformats.org/officeDocument/2006/relationships/hyperlink" Target="http://ec.europa.eu/justice_home/fsj/privacy/docs/adequacy/decision-c2003-1731/decision-argentine_en.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ec.europa.eu/justice_home/fsj/privacy/docs/adequacy/decision-c2003-1731/decision-argentine_en.pdf" TargetMode="External"/><Relationship Id="rId14" Type="http://schemas.openxmlformats.org/officeDocument/2006/relationships/hyperlink" Target="http://eur-lex.europa.eu/LexUriServ/LexUriServ.do?uri=CELEX%3A32008D0393%3AEN%3AN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1346</Words>
  <Characters>7675</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2019-02-05T11:47:00Z</cp:lastPrinted>
  <dcterms:created xsi:type="dcterms:W3CDTF">2016-11-11T09:57:00Z</dcterms:created>
  <dcterms:modified xsi:type="dcterms:W3CDTF">2019-02-05T11:47:00Z</dcterms:modified>
</cp:coreProperties>
</file>