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C0" w:rsidRPr="00927F67" w:rsidRDefault="00A20BC0" w:rsidP="00A20BC0">
      <w:pPr>
        <w:pStyle w:val="Akti"/>
      </w:pPr>
      <w:bookmarkStart w:id="0" w:name="_GoBack"/>
      <w:bookmarkEnd w:id="0"/>
      <w:r w:rsidRPr="00927F67">
        <w:t>VENDIM</w:t>
      </w:r>
    </w:p>
    <w:p w:rsidR="00A20BC0" w:rsidRPr="00927F67" w:rsidRDefault="00A20BC0" w:rsidP="00A20BC0">
      <w:pPr>
        <w:pStyle w:val="NumriData"/>
      </w:pPr>
      <w:r w:rsidRPr="00927F67">
        <w:t>Nr.3, datë 20.10.2006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Titulli"/>
      </w:pPr>
      <w:r w:rsidRPr="00927F67">
        <w:t>PËR PËRJASHTIMIN NGA AKCIZA E KARBURANTIT TË PËRDORUR NË LINJAT E AGROPËRPUNIMIT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Paragrafi"/>
      </w:pPr>
      <w:r w:rsidRPr="00927F67">
        <w:t>Komisioni i Ndihmës Shtetërore, në mbledhjen e tij të datës 20.10.2006, shqyrtoi raportin “Për përjashtimin nga akciza e karburantit të përdorur në linjat e agropërpunimit”. Raportimi është bërë pranë Drejtorisë së Ndihmës Shtetërore në Ministrinë e Ekonomisë, Tregtisë dhe Energjetikës nga Ministria e Bujqësisë, Ushqimit dhe Mbrojtjes së Konsumatorit me shkresën nr.2029, datë 24.7.2006 dhe është regjistruar në regjistrin e DNSH-së  me nr.Al/010/2005.</w:t>
      </w:r>
    </w:p>
    <w:p w:rsidR="00A20BC0" w:rsidRPr="00927F67" w:rsidRDefault="00A20BC0" w:rsidP="00A20BC0">
      <w:pPr>
        <w:pStyle w:val="Paragrafi"/>
      </w:pPr>
      <w:r w:rsidRPr="00927F67">
        <w:t xml:space="preserve">Komisioni i Ndihmës Shtetërore, mbështetur në nenin 2 shkronja 2 të ligjit nr.9374, datë 21.4.2005 “Për ndihmën shtetërore”, 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VENDOSI"/>
      </w:pPr>
      <w:r w:rsidRPr="00927F67">
        <w:t>VENDOSI: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Paragrafi"/>
      </w:pPr>
      <w:r w:rsidRPr="00927F67">
        <w:t>Skema e dhënë  nuk bie në fushën e zbatimit të ligjit nr.9374, datë 21.4.2005 “Për ndihmën shtetërore”.</w:t>
      </w:r>
    </w:p>
    <w:p w:rsidR="00A20BC0" w:rsidRPr="00927F67" w:rsidRDefault="00A20BC0" w:rsidP="00A20BC0">
      <w:pPr>
        <w:pStyle w:val="Paragrafi"/>
      </w:pPr>
      <w:r w:rsidRPr="00927F67">
        <w:t>Në kuadër të detyrimeve të MSA-së dhe Marrëveshjes së OBT-së, Komisioni i Ndihmës Shtetërore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VENDOSI"/>
      </w:pPr>
      <w:r w:rsidRPr="00927F67">
        <w:t>REKOMANDON:</w:t>
      </w:r>
    </w:p>
    <w:p w:rsidR="00A20BC0" w:rsidRPr="00927F67" w:rsidRDefault="00A20BC0" w:rsidP="00A20BC0">
      <w:pPr>
        <w:pStyle w:val="VENDOSI"/>
      </w:pPr>
    </w:p>
    <w:p w:rsidR="00A20BC0" w:rsidRPr="00927F67" w:rsidRDefault="00A20BC0" w:rsidP="00A20BC0">
      <w:pPr>
        <w:pStyle w:val="Paragrafi"/>
      </w:pPr>
      <w:r w:rsidRPr="00927F67">
        <w:t xml:space="preserve">1. Ministria e Bujqësisë, Ushqimit dhe Mbrojtjes së Konsumatorit duhet të bëjë një klasifikim të saktë të subjekteve përfituese mbi bazën e nënsektorëve të veçantë. </w:t>
      </w:r>
    </w:p>
    <w:p w:rsidR="00A20BC0" w:rsidRPr="00927F67" w:rsidRDefault="00A20BC0" w:rsidP="00A20BC0">
      <w:pPr>
        <w:pStyle w:val="Paragrafi"/>
      </w:pPr>
      <w:r w:rsidRPr="00927F67">
        <w:t>2. Llogaritja e intensitetit të skemës të bëhet duke iu referuar treguesve të GDP-së të secilit prej nënsektorëve, duke mos kaluar në asnjë rast kufirin prej 5% të përcaktuar në Marrëveshjen e OBT-së.</w:t>
      </w:r>
    </w:p>
    <w:p w:rsidR="00A20BC0" w:rsidRPr="00927F67" w:rsidRDefault="00A20BC0" w:rsidP="00A20BC0">
      <w:pPr>
        <w:pStyle w:val="Paragrafi"/>
      </w:pPr>
      <w:r w:rsidRPr="00927F67">
        <w:t xml:space="preserve">3. Ministria e Bujqësisë, Ushqimit dhe Mbrojtjes së Konsumatorit duhet të marrë parasysh vlerën kumulative të të gjitha skemave të ndihmës që jepen në sektorët e bujqësisë, pasi kufiri prej 5% përfshin të gjitha format e ndihmës për këta sektorë. </w:t>
      </w:r>
    </w:p>
    <w:p w:rsidR="00A20BC0" w:rsidRPr="00927F67" w:rsidRDefault="00A20BC0" w:rsidP="00A20BC0">
      <w:pPr>
        <w:pStyle w:val="Paragrafi"/>
      </w:pPr>
    </w:p>
    <w:p w:rsidR="00A20BC0" w:rsidRPr="00927F67" w:rsidRDefault="00A20BC0" w:rsidP="00A20BC0">
      <w:pPr>
        <w:pStyle w:val="Autoriteti"/>
      </w:pPr>
      <w:r w:rsidRPr="00927F67">
        <w:t xml:space="preserve"> KRYETARI</w:t>
      </w:r>
    </w:p>
    <w:p w:rsidR="00A20BC0" w:rsidRPr="00927F67" w:rsidRDefault="00A20BC0" w:rsidP="00A20BC0">
      <w:pPr>
        <w:pStyle w:val="AutoritetiEmer"/>
      </w:pPr>
      <w:r w:rsidRPr="00927F67">
        <w:t>Genc Ruli</w:t>
      </w:r>
    </w:p>
    <w:p w:rsidR="00A20BC0" w:rsidRPr="00927F67" w:rsidRDefault="00A20BC0" w:rsidP="00A20BC0">
      <w:pPr>
        <w:pStyle w:val="Paragrafi"/>
      </w:pPr>
      <w:r w:rsidRPr="00927F67">
        <w:t xml:space="preserve">  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0BC0"/>
    <w:rsid w:val="00A246D1"/>
    <w:rsid w:val="00A43657"/>
    <w:rsid w:val="00A47BC4"/>
    <w:rsid w:val="00A923BE"/>
    <w:rsid w:val="00AA3124"/>
    <w:rsid w:val="00AA4D4B"/>
    <w:rsid w:val="00AD18B1"/>
    <w:rsid w:val="00AE2E93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9505F-1910-4212-AD3D-816461A1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20BC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20BC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