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5B0" w:rsidRPr="00E57E5E" w:rsidRDefault="00E665B0" w:rsidP="00E665B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E5E">
        <w:rPr>
          <w:sz w:val="21"/>
          <w:szCs w:val="21"/>
          <w:lang w:val="sq-AL"/>
        </w:rPr>
        <w:t xml:space="preserve">VENDIM </w:t>
      </w:r>
    </w:p>
    <w:p w:rsidR="00E665B0" w:rsidRPr="00E57E5E" w:rsidRDefault="00E665B0" w:rsidP="00E665B0">
      <w:pPr>
        <w:pStyle w:val="NumriData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Nr.22, datë 12.12.2007    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</w:p>
    <w:p w:rsidR="00E665B0" w:rsidRPr="00E57E5E" w:rsidRDefault="00E665B0" w:rsidP="00E665B0">
      <w:pPr>
        <w:pStyle w:val="Titull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PËR SKEMËN EKZISTUESE TË PËRJASHTIMIT TË OPERACIONEVE HIDROKARBURE NGA DETYRIMET DOGANORE DHE TVSH 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</w:p>
    <w:p w:rsidR="00E665B0" w:rsidRPr="00E57E5E" w:rsidRDefault="00E665B0" w:rsidP="00E665B0">
      <w:pPr>
        <w:pStyle w:val="BazLigjPropozues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Komisioni i Ndihmës Shtetërore me pjesëmarrjen e: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Z.Genc Ruli                  - kryetar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Znj. Mimoza Dhëmbi     - anëtare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Znj. Mimoza Vokshi      - anëtare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Z.Viktor Gumi              - anëtar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Në mbledhjen e tij të datës 12.12.2007, shqyrtoi raportin “Për skemën ekzistuese të përjashtimit të operacioneve hidrokarbure nga detyrimet doganore dhe TVSH-ja”. Raportimi është bërë pranë Drejtorisë së Ndihmës Shtetërore në Ministrinë e Ekonomisë, Tregtisë dhe Energjetikës nga Drejtoria e Politikave Industriale/METE dhe Agjencia Kombëtare e Burimeve Natyrore me shkresën nr.225/4, datë 7.3.2006 dhe është regjistruar në regjistrin e DNSH-së  me nr.Al/002/2005.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BAZA LIGJORE: Si bazë për përjashtimin e operacioneve hidrokarbure nga detyrimet doganore dhe TVSH-ja është dekreti nr.782, datë 22.2.1994 “Për sistemin fiskal në sektorin e hidrokarbureve  (kërkim-prodhim)” dhe dekreti nr.1510, datë 28.6.1996 “Për një ndryshim në ligjin nr.7928, datë 27.4.1995 “Për tatimin mbi vlerën e shtuar”, ndryshuar me ligjin nr.8070, datë 15.2.1996”.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OBJEKTIVI/AT: Skema synon të lehtësojë zhvillimin e veprimtarisë ekonomike të ndërmarrjeve që operojnë në fushën e hidrokarbureve, nëpërmjet përjashtimit të operacioneve hidrokarbure nga detyrimet doganore dhe TVSH-ja, duke mundësuar njëkohësisht zhvillimin social-ekonomik të zonave në të cilat është i autorizuar ushtrimi i kësaj veprimtarie. 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Komisioni i Ndihmës Shtetërore, pasi shqyrtoi raportin e përgatitur nga Drejtoria e Ndihmës Shtetërore dhe të gjithë dokumentacionin mbështetës,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</w:p>
    <w:p w:rsidR="00E665B0" w:rsidRPr="00E57E5E" w:rsidRDefault="00E665B0" w:rsidP="00E665B0">
      <w:pPr>
        <w:pStyle w:val="VENDOS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VËREN SE:</w:t>
      </w:r>
    </w:p>
    <w:p w:rsidR="00E665B0" w:rsidRPr="009E49E5" w:rsidRDefault="00E665B0" w:rsidP="00E665B0">
      <w:pPr>
        <w:pStyle w:val="Paragrafi"/>
        <w:rPr>
          <w:sz w:val="18"/>
          <w:szCs w:val="21"/>
          <w:lang w:val="sq-AL"/>
        </w:rPr>
      </w:pP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1. Skema mbulon të gjitha ndërmarrjet, të cilat ushtojnë veprimtarinë e tyre ekonomike në fushën e operacioneve hidrokarbure. 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2. Skema synon të ndihmojë ndërmarrjet që nënshkruajnë “Marrëveshje hidrokarburesh” dhe nënkontraktuesit e tyre, duke iu ofruar një përjashtim nga detyrimet doganore për pajisjet, makineritë, materialet, si dhe një përjashtim nga tatimi mbi vlerën e shtuar të të gjithë kontraktorëve dhe nënkontraktorëve për realizimin e fazave të kërkimit dhe të zhvillimit të operacioneve hidrokarbure, përjashtim i cili nuk jepet për sektorët e tjerë të ekonomisë.    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3. Në sektorin e hidrokarbureve funksionon një sistem i veçantë fiskal. Ndërmarrjet që ushtrojnë veprimtarinë në këtë fushë, i nënshtrohen një tatimi mbi fitimin, në masën  50%. 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4. Deri më sot, të gjitha ndërmarrjet që kanë ushtruar veprimtarinë e tyre në bazë të kësaj skeme, nuk kanë pasur detyrimin për pagesën e tatimit mbi fitimin, sepse nga aktiviteti i tyre nuk ka rezultuar zbulimi i naftës dhe më pas shfrytëzimi i rezervave të reja të naftës dhe gazit dhe rrjedhimisht nuk ka pasur shitje të produktit. Përjashtimi ekziston për ndërmarrjen e Bankers Petroleum Albania, e cila deri më sot nuk ka arritur të mbulojë me të ardhurat e saj kostot totale të aktivitetit të saj në përputhje me programin e zhvillimit. Mbështetur në këtë program, në vitin 2009, kjo ndërmarrje parashikon të realizojë një rezultat financiar pozitiv, duke iu nënshtruar detyrimit për pagesën e tatim fitimit. 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5. Aktualisht disa prej ndërmarrjeve janë duke kryer një veprimtari fitimprurëse nga nxjerrja, shitja dhe eksportimi i naftës dhe nënprodukteve të saj. Buxheti i Shtetit nuk ka njohur, deri në këtë periudhë, të ardhura nga aplikimi i faktorit R dhe nga tatimi mbi fitimin në kontratat me ndarje prodhimi për kërkimin dhe prodhimin e hidrokarbureve të lidhura mes METE dhe personave.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</w:p>
    <w:p w:rsidR="00E665B0" w:rsidRPr="00E57E5E" w:rsidRDefault="00E665B0" w:rsidP="00E665B0">
      <w:pPr>
        <w:pStyle w:val="VENDOS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PËR KËTO ARSYE,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Komisioni i Ndihmës Shtetërore, mbështetur në nenin 13, shkronja “c” dhe nenin 23 të ligjit nr.9374, datë 21.4.2005 “Për ndihmën Shtetërore”, 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</w:p>
    <w:p w:rsidR="00E665B0" w:rsidRPr="00E57E5E" w:rsidRDefault="00E665B0" w:rsidP="00E665B0">
      <w:pPr>
        <w:pStyle w:val="VENDOS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PROPOZON:</w:t>
      </w:r>
    </w:p>
    <w:p w:rsidR="00E665B0" w:rsidRPr="009E49E5" w:rsidRDefault="00E665B0" w:rsidP="00E665B0">
      <w:pPr>
        <w:pStyle w:val="Paragrafi"/>
        <w:rPr>
          <w:sz w:val="16"/>
          <w:szCs w:val="21"/>
          <w:lang w:val="sq-AL"/>
        </w:rPr>
      </w:pP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1. Agjencia Kombëtare e Burimeve Natyrore të raportojë brenda datës 31 mars të çdo viti, të </w:t>
      </w:r>
      <w:r w:rsidRPr="00E57E5E">
        <w:rPr>
          <w:sz w:val="21"/>
          <w:szCs w:val="21"/>
          <w:lang w:val="sq-AL"/>
        </w:rPr>
        <w:lastRenderedPageBreak/>
        <w:t>dhënat për rezultatet e zbatimit të marrëveshjeve hidrokarbure në vitin paraardhës financiar.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2. Agjencia Kombëtare e Burimeve Natyrore, të ruajë të dhënat për skemat e ndihmës dhe ndihmat individuale deri pas 10 vjetësh nga data e përfundimit të marrëveshjes së fundit hidrokarbure në kuadër të zbatimit të këtij ligji. </w:t>
      </w:r>
    </w:p>
    <w:p w:rsidR="00E665B0" w:rsidRPr="00E57E5E" w:rsidRDefault="00E665B0" w:rsidP="00E665B0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3. Ky vendim hyn në fuqi menjëherë.</w:t>
      </w:r>
    </w:p>
    <w:p w:rsidR="00E665B0" w:rsidRPr="00E57E5E" w:rsidRDefault="00E665B0" w:rsidP="00E665B0">
      <w:pPr>
        <w:pStyle w:val="Autoritet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   KRYETARI</w:t>
      </w:r>
    </w:p>
    <w:p w:rsidR="00E665B0" w:rsidRPr="00E57E5E" w:rsidRDefault="00E665B0" w:rsidP="00E665B0">
      <w:pPr>
        <w:pStyle w:val="AutoritetiEmer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                                                                                                              Genc Ruli</w:t>
      </w:r>
    </w:p>
    <w:p w:rsidR="00E665B0" w:rsidRPr="00E57E5E" w:rsidRDefault="00E665B0" w:rsidP="00E665B0">
      <w:pPr>
        <w:pStyle w:val="Akti"/>
        <w:keepNext w:val="0"/>
        <w:jc w:val="left"/>
        <w:rPr>
          <w:sz w:val="21"/>
          <w:szCs w:val="21"/>
          <w:lang w:val="sq-AL"/>
        </w:rPr>
      </w:pPr>
    </w:p>
    <w:p w:rsidR="00E665B0" w:rsidRPr="00E57E5E" w:rsidRDefault="00E665B0" w:rsidP="00E665B0">
      <w:pPr>
        <w:pStyle w:val="Akti"/>
        <w:keepNext w:val="0"/>
        <w:rPr>
          <w:sz w:val="21"/>
          <w:szCs w:val="21"/>
          <w:lang w:val="sq-AL"/>
        </w:rPr>
      </w:pPr>
    </w:p>
    <w:p w:rsidR="000178C2" w:rsidRPr="00C84B66" w:rsidRDefault="000178C2" w:rsidP="00E665B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65B0"/>
    <w:rsid w:val="000178C2"/>
    <w:rsid w:val="004A2DA7"/>
    <w:rsid w:val="00C84B66"/>
    <w:rsid w:val="00E6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1B4E4F-7D29-489B-819C-7F4508737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E665B0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E665B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665B0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665B0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E665B0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665B0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E665B0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1"/>
    <w:rsid w:val="00E665B0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E665B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665B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665B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E665B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4285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