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A01" w:rsidRDefault="006E4A01" w:rsidP="006E4A01">
      <w:pPr>
        <w:pStyle w:val="Akti"/>
      </w:pPr>
      <w:bookmarkStart w:id="0" w:name="_GoBack"/>
      <w:bookmarkEnd w:id="0"/>
      <w:r>
        <w:t>Vendim</w:t>
      </w:r>
    </w:p>
    <w:p w:rsidR="006E4A01" w:rsidRDefault="006E4A01" w:rsidP="006E4A01">
      <w:pPr>
        <w:pStyle w:val="NumriData"/>
      </w:pPr>
      <w:r>
        <w:t>Nr.27, datë 18.8.2008</w:t>
      </w:r>
    </w:p>
    <w:p w:rsidR="006E4A01" w:rsidRDefault="006E4A01" w:rsidP="006E4A01">
      <w:pPr>
        <w:pStyle w:val="Paragrafi"/>
      </w:pPr>
    </w:p>
    <w:p w:rsidR="006E4A01" w:rsidRDefault="006E4A01" w:rsidP="006E4A01">
      <w:pPr>
        <w:pStyle w:val="Titulli"/>
      </w:pPr>
      <w:r>
        <w:t>Për disa ndryshime në vendimin nr.25, datë 2.5.2008 “Për planin e dhënies së ndihmës shtetërore, për përjashtimin nga akciza të lëndëve djegëse, të përdorura për prodhimin e energjisë elektrike nga termocentralet me fuqi më të madhe se 5MW”</w:t>
      </w:r>
    </w:p>
    <w:p w:rsidR="006E4A01" w:rsidRDefault="006E4A01" w:rsidP="006E4A01">
      <w:pPr>
        <w:pStyle w:val="Paragrafi"/>
      </w:pPr>
    </w:p>
    <w:p w:rsidR="006E4A01" w:rsidRPr="006E4A01" w:rsidRDefault="006E4A01" w:rsidP="006E4A01">
      <w:pPr>
        <w:pStyle w:val="Paragrafi"/>
        <w:rPr>
          <w:lang w:val="it-IT"/>
        </w:rPr>
      </w:pPr>
      <w:r w:rsidRPr="006E4A01">
        <w:rPr>
          <w:lang w:val="it-IT"/>
        </w:rPr>
        <w:t>Komisioni i Ndihmës Shtetërore, me pjesëmarrjen e:</w:t>
      </w:r>
    </w:p>
    <w:p w:rsidR="006E4A01" w:rsidRPr="006E4A01" w:rsidRDefault="006E4A01" w:rsidP="006E4A01">
      <w:pPr>
        <w:pStyle w:val="Paragrafi"/>
        <w:rPr>
          <w:lang w:val="it-IT"/>
        </w:rPr>
      </w:pPr>
    </w:p>
    <w:p w:rsidR="006E4A01" w:rsidRPr="006E4A01" w:rsidRDefault="006E4A01" w:rsidP="006E4A01">
      <w:pPr>
        <w:pStyle w:val="Paragrafi"/>
        <w:rPr>
          <w:lang w:val="it-IT"/>
        </w:rPr>
      </w:pPr>
      <w:r w:rsidRPr="006E4A01">
        <w:rPr>
          <w:lang w:val="it-IT"/>
        </w:rPr>
        <w:t>- Z.Genc Ruli</w:t>
      </w:r>
      <w:r w:rsidRPr="006E4A01">
        <w:rPr>
          <w:lang w:val="it-IT"/>
        </w:rPr>
        <w:tab/>
      </w:r>
      <w:r w:rsidRPr="006E4A01">
        <w:rPr>
          <w:lang w:val="it-IT"/>
        </w:rPr>
        <w:tab/>
      </w:r>
      <w:r w:rsidRPr="006E4A01">
        <w:rPr>
          <w:lang w:val="it-IT"/>
        </w:rPr>
        <w:tab/>
        <w:t>Kryetar</w:t>
      </w:r>
    </w:p>
    <w:p w:rsidR="006E4A01" w:rsidRPr="006E4A01" w:rsidRDefault="006E4A01" w:rsidP="006E4A01">
      <w:pPr>
        <w:pStyle w:val="Paragrafi"/>
        <w:rPr>
          <w:lang w:val="it-IT"/>
        </w:rPr>
      </w:pPr>
      <w:r w:rsidRPr="006E4A01">
        <w:rPr>
          <w:lang w:val="it-IT"/>
        </w:rPr>
        <w:t>- Znj.Mimoza Dhëmbi</w:t>
      </w:r>
      <w:r w:rsidRPr="006E4A01">
        <w:rPr>
          <w:lang w:val="it-IT"/>
        </w:rPr>
        <w:tab/>
      </w:r>
      <w:r w:rsidRPr="006E4A01">
        <w:rPr>
          <w:lang w:val="it-IT"/>
        </w:rPr>
        <w:tab/>
        <w:t>Anëtare</w:t>
      </w:r>
    </w:p>
    <w:p w:rsidR="006E4A01" w:rsidRPr="006E4A01" w:rsidRDefault="006E4A01" w:rsidP="006E4A01">
      <w:pPr>
        <w:pStyle w:val="Paragrafi"/>
        <w:rPr>
          <w:lang w:val="it-IT"/>
        </w:rPr>
      </w:pPr>
      <w:r w:rsidRPr="006E4A01">
        <w:rPr>
          <w:lang w:val="it-IT"/>
        </w:rPr>
        <w:t>- Z.Viktor Gumi</w:t>
      </w:r>
      <w:r w:rsidRPr="006E4A01">
        <w:rPr>
          <w:lang w:val="it-IT"/>
        </w:rPr>
        <w:tab/>
      </w:r>
      <w:r w:rsidRPr="006E4A01">
        <w:rPr>
          <w:lang w:val="it-IT"/>
        </w:rPr>
        <w:tab/>
        <w:t>Anëtar</w:t>
      </w:r>
    </w:p>
    <w:p w:rsidR="006E4A01" w:rsidRPr="006E4A01" w:rsidRDefault="006E4A01" w:rsidP="006E4A01">
      <w:pPr>
        <w:pStyle w:val="Paragrafi"/>
        <w:rPr>
          <w:lang w:val="it-IT"/>
        </w:rPr>
      </w:pPr>
      <w:r w:rsidRPr="006E4A01">
        <w:rPr>
          <w:lang w:val="it-IT"/>
        </w:rPr>
        <w:t>- Znj.Mimoza Vokshi</w:t>
      </w:r>
      <w:r w:rsidRPr="006E4A01">
        <w:rPr>
          <w:lang w:val="it-IT"/>
        </w:rPr>
        <w:tab/>
      </w:r>
      <w:r w:rsidRPr="006E4A01">
        <w:rPr>
          <w:lang w:val="it-IT"/>
        </w:rPr>
        <w:tab/>
        <w:t>Anëtare</w:t>
      </w:r>
    </w:p>
    <w:p w:rsidR="006E4A01" w:rsidRPr="006E4A01" w:rsidRDefault="006E4A01" w:rsidP="006E4A01">
      <w:pPr>
        <w:pStyle w:val="Paragrafi"/>
        <w:rPr>
          <w:lang w:val="it-IT"/>
        </w:rPr>
      </w:pPr>
    </w:p>
    <w:p w:rsidR="006E4A01" w:rsidRDefault="006E4A01" w:rsidP="006E4A01">
      <w:pPr>
        <w:pStyle w:val="Paragrafi"/>
      </w:pPr>
      <w:r>
        <w:t>Në mbledhjen e tij të datës 18.8.2008, pasi shqyrtoi argumentet e paraqitura nga Drejtoria e Poitikave Elektro-Energjetike lidhur me kushtet për zbatimin e vendimit të Komisionit të Ndihmës Shtetërore nr.25, datë 2.5.2008, për planin e dhënies së ndihmës shtetërore “Për përjashtimin nga akciza të lëndëve djegëse, të përdorura për prodhimin e energjisë elektrike nga termocentralet me fuqi më të madhe se 5 MW”, mbështetur në nenin 128 të Kodit të Procedurave Administrative, si dhe në nenin 19 dhe nenin 22 pika 2 të ligjit nr.9374, datë 21.4.2005 “Për ndihmën shtetërore”,</w:t>
      </w:r>
    </w:p>
    <w:p w:rsidR="006E4A01" w:rsidRDefault="006E4A01" w:rsidP="006E4A01">
      <w:pPr>
        <w:pStyle w:val="Paragrafi"/>
      </w:pPr>
    </w:p>
    <w:p w:rsidR="006E4A01" w:rsidRDefault="006E4A01" w:rsidP="006E4A01">
      <w:pPr>
        <w:pStyle w:val="VENDOSI"/>
      </w:pPr>
      <w:r>
        <w:t>Vendosi:</w:t>
      </w:r>
    </w:p>
    <w:p w:rsidR="006E4A01" w:rsidRDefault="006E4A01" w:rsidP="006E4A01">
      <w:pPr>
        <w:pStyle w:val="Paragrafi"/>
      </w:pPr>
    </w:p>
    <w:p w:rsidR="006E4A01" w:rsidRDefault="006E4A01" w:rsidP="006E4A01">
      <w:pPr>
        <w:pStyle w:val="Paragrafi"/>
      </w:pPr>
      <w:r>
        <w:t>1. Në vendimin nr.25, datë 2.5.2008 të Komisionit të Ndihmës Shtetërore, pikat 1 dhe 2 ndryshohen, si më poshtë:</w:t>
      </w:r>
    </w:p>
    <w:p w:rsidR="006E4A01" w:rsidRDefault="006E4A01" w:rsidP="006E4A01">
      <w:pPr>
        <w:pStyle w:val="Paragrafi"/>
      </w:pPr>
      <w:r>
        <w:t>“1. Skema e përjashtimit nga akciza për lëndët djegëse, të përdorura nga subjektet, të cilat ndërtojnë burime të prodhimit të energjisë elektrike, me fuqi të instaluar jo më pak se 5 MW për burim, për nevojat e veta ose për  shitje brenda vendit, duke respektuar edhe aktet e tjera normative në fuqi, lejohet, me kusht që akciza e lëndëve djegëse të përdorura të rimbursohet në masën 100% deri në datën 31 dhjetor 2014. Nga data 1 janar 2015 akciza e lëndëve djegëse të përdorura rimbursohet deri në masën 80%. Pjesa tjetër prej 20% të përballohet nga ndërmarrjet përfituese.”</w:t>
      </w:r>
    </w:p>
    <w:p w:rsidR="006E4A01" w:rsidRDefault="006E4A01" w:rsidP="006E4A01">
      <w:pPr>
        <w:pStyle w:val="Paragrafi"/>
      </w:pPr>
      <w:r>
        <w:t>“2. Investimet që do të përdoren për gjenerimin e energjisë duhet të jenë investime me teknologji moderne që respektojnë të gjitha standardet mjedisore, të përcaktuara në kuadrin ligjor të miratuar nga Republika e Shqipërisë. Ndërmarrjet janë të detyruara të lidhin marrëveshje me Ministrinë e Mjedisit dhe Ministrinë e Ekonomisë, Tregtisë dhe Energjetikës, ku të marrin përsipër përmirësimin e efiçencës së tyre për sa i takon respektimit të kushteve mjedisore.”</w:t>
      </w:r>
    </w:p>
    <w:p w:rsidR="006E4A01" w:rsidRDefault="006E4A01" w:rsidP="006E4A01">
      <w:pPr>
        <w:pStyle w:val="Paragrafi"/>
      </w:pPr>
      <w:r>
        <w:t>2. Ky vendim hyn në fuqi menjëherë.</w:t>
      </w:r>
    </w:p>
    <w:p w:rsidR="006E4A01" w:rsidRDefault="006E4A01" w:rsidP="006E4A01">
      <w:pPr>
        <w:pStyle w:val="Paragrafi"/>
      </w:pPr>
    </w:p>
    <w:p w:rsidR="006E4A01" w:rsidRDefault="006E4A01" w:rsidP="006E4A01">
      <w:pPr>
        <w:pStyle w:val="Autoriteti"/>
      </w:pPr>
      <w:r>
        <w:t>Kryetari</w:t>
      </w:r>
    </w:p>
    <w:p w:rsidR="006E4A01" w:rsidRDefault="006E4A01" w:rsidP="006E4A01">
      <w:pPr>
        <w:pStyle w:val="AutoritetiEmer"/>
      </w:pPr>
      <w:r>
        <w:t>Genc Ruli</w:t>
      </w:r>
    </w:p>
    <w:sectPr w:rsidR="006E4A01" w:rsidSect="006E4A01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9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419F">
      <w:r>
        <w:separator/>
      </w:r>
    </w:p>
  </w:endnote>
  <w:endnote w:type="continuationSeparator" w:id="0">
    <w:p w:rsidR="00000000" w:rsidRDefault="00B4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A01" w:rsidRDefault="006E4A01" w:rsidP="006E4A0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4A01" w:rsidRDefault="006E4A01" w:rsidP="006E4A0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A01" w:rsidRPr="00F7213C" w:rsidRDefault="006E4A01" w:rsidP="006E4A0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7213C">
      <w:rPr>
        <w:rStyle w:val="PageNumber"/>
        <w:rFonts w:ascii="CG Times" w:hAnsi="CG Times"/>
        <w:sz w:val="22"/>
        <w:szCs w:val="22"/>
      </w:rPr>
      <w:fldChar w:fldCharType="begin"/>
    </w:r>
    <w:r w:rsidRPr="00F7213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7213C">
      <w:rPr>
        <w:rStyle w:val="PageNumber"/>
        <w:rFonts w:ascii="CG Times" w:hAnsi="CG Times"/>
        <w:sz w:val="22"/>
        <w:szCs w:val="22"/>
      </w:rPr>
      <w:fldChar w:fldCharType="separate"/>
    </w:r>
    <w:r w:rsidR="00B4419F">
      <w:rPr>
        <w:rStyle w:val="PageNumber"/>
        <w:rFonts w:ascii="CG Times" w:hAnsi="CG Times"/>
        <w:noProof/>
        <w:sz w:val="22"/>
        <w:szCs w:val="22"/>
      </w:rPr>
      <w:t>5981</w:t>
    </w:r>
    <w:r w:rsidRPr="00F7213C">
      <w:rPr>
        <w:rStyle w:val="PageNumber"/>
        <w:rFonts w:ascii="CG Times" w:hAnsi="CG Times"/>
        <w:sz w:val="22"/>
        <w:szCs w:val="22"/>
      </w:rPr>
      <w:fldChar w:fldCharType="end"/>
    </w:r>
  </w:p>
  <w:p w:rsidR="006E4A01" w:rsidRDefault="006E4A01" w:rsidP="006E4A0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419F">
      <w:r>
        <w:separator/>
      </w:r>
    </w:p>
  </w:footnote>
  <w:footnote w:type="continuationSeparator" w:id="0">
    <w:p w:rsidR="00000000" w:rsidRDefault="00B44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4A0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E4A01"/>
    <w:rsid w:val="009723D5"/>
    <w:rsid w:val="009B365E"/>
    <w:rsid w:val="009C7562"/>
    <w:rsid w:val="00B4419F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8B63AF-E28E-47DD-9C65-3DDA6375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A0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E4A0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