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75B4" w:rsidRPr="00F23BE7" w:rsidRDefault="002975B4" w:rsidP="002975B4">
      <w:pPr>
        <w:pStyle w:val="Akti"/>
      </w:pPr>
      <w:bookmarkStart w:id="0" w:name="_GoBack"/>
      <w:bookmarkEnd w:id="0"/>
      <w:r w:rsidRPr="00F23BE7">
        <w:t>Vendim</w:t>
      </w:r>
    </w:p>
    <w:p w:rsidR="002975B4" w:rsidRPr="00F23BE7" w:rsidRDefault="002975B4" w:rsidP="002975B4">
      <w:pPr>
        <w:pStyle w:val="NumriData"/>
      </w:pPr>
      <w:r w:rsidRPr="00F23BE7">
        <w:t>Nr.30, dat</w:t>
      </w:r>
      <w:r>
        <w:t>ë</w:t>
      </w:r>
      <w:r w:rsidRPr="00F23BE7">
        <w:t xml:space="preserve"> 8.4.2009</w:t>
      </w:r>
    </w:p>
    <w:p w:rsidR="002975B4" w:rsidRPr="00F23BE7" w:rsidRDefault="002975B4" w:rsidP="002975B4">
      <w:pPr>
        <w:pStyle w:val="Paragrafi0"/>
      </w:pPr>
    </w:p>
    <w:p w:rsidR="002975B4" w:rsidRPr="00F23BE7" w:rsidRDefault="002975B4" w:rsidP="002975B4">
      <w:pPr>
        <w:pStyle w:val="Titulli0"/>
      </w:pPr>
      <w:r w:rsidRPr="00F23BE7">
        <w:t>P</w:t>
      </w:r>
      <w:r>
        <w:t>ë</w:t>
      </w:r>
      <w:r w:rsidRPr="00F23BE7">
        <w:t>r miratimin e “Hart</w:t>
      </w:r>
      <w:r>
        <w:t>ë</w:t>
      </w:r>
      <w:r w:rsidRPr="00F23BE7">
        <w:t>s s</w:t>
      </w:r>
      <w:r>
        <w:t>ë</w:t>
      </w:r>
      <w:r w:rsidRPr="00F23BE7">
        <w:t xml:space="preserve"> ndihm</w:t>
      </w:r>
      <w:r>
        <w:t>ë</w:t>
      </w:r>
      <w:r w:rsidRPr="00F23BE7">
        <w:t>s shtet</w:t>
      </w:r>
      <w:r>
        <w:t>ë</w:t>
      </w:r>
      <w:r w:rsidRPr="00F23BE7">
        <w:t>rore”</w:t>
      </w:r>
    </w:p>
    <w:p w:rsidR="002975B4" w:rsidRPr="00F23BE7" w:rsidRDefault="002975B4" w:rsidP="002975B4">
      <w:pPr>
        <w:pStyle w:val="Paragrafi0"/>
      </w:pPr>
    </w:p>
    <w:p w:rsidR="002975B4" w:rsidRPr="00F23BE7" w:rsidRDefault="002975B4" w:rsidP="002975B4">
      <w:pPr>
        <w:pStyle w:val="Paragrafi0"/>
      </w:pPr>
      <w:r w:rsidRPr="00F23BE7">
        <w:t>N</w:t>
      </w:r>
      <w:r>
        <w:t>ë</w:t>
      </w:r>
      <w:r w:rsidRPr="00F23BE7">
        <w:t xml:space="preserve"> mb</w:t>
      </w:r>
      <w:r>
        <w:t>ë</w:t>
      </w:r>
      <w:r w:rsidRPr="00F23BE7">
        <w:t>shtetje t</w:t>
      </w:r>
      <w:r>
        <w:t>ë nenit 17</w:t>
      </w:r>
      <w:r w:rsidRPr="00F23BE7">
        <w:t xml:space="preserve"> shkronja </w:t>
      </w:r>
      <w:r>
        <w:t>“ç”</w:t>
      </w:r>
      <w:r w:rsidRPr="00F23BE7">
        <w:t xml:space="preserve"> t</w:t>
      </w:r>
      <w:r>
        <w:t>ë</w:t>
      </w:r>
      <w:r w:rsidRPr="00F23BE7">
        <w:t xml:space="preserve"> ligjit nr.9374, dat</w:t>
      </w:r>
      <w:r>
        <w:t>ë</w:t>
      </w:r>
      <w:r w:rsidRPr="00F23BE7">
        <w:t xml:space="preserve"> 21.4.2005 “P</w:t>
      </w:r>
      <w:r>
        <w:t>ë</w:t>
      </w:r>
      <w:r w:rsidRPr="00F23BE7">
        <w:t>r ndihm</w:t>
      </w:r>
      <w:r>
        <w:t>ë</w:t>
      </w:r>
      <w:r w:rsidRPr="00F23BE7">
        <w:t>n shtet</w:t>
      </w:r>
      <w:r>
        <w:t>ë</w:t>
      </w:r>
      <w:r w:rsidRPr="00F23BE7">
        <w:t>rore” dhe t</w:t>
      </w:r>
      <w:r>
        <w:t>ë</w:t>
      </w:r>
      <w:r w:rsidRPr="00F23BE7">
        <w:t xml:space="preserve"> nenit 5, pika 2 dhe 3, t</w:t>
      </w:r>
      <w:r>
        <w:t>ë</w:t>
      </w:r>
      <w:r w:rsidRPr="00F23BE7">
        <w:t xml:space="preserve"> rregullores “P</w:t>
      </w:r>
      <w:r>
        <w:t>ë</w:t>
      </w:r>
      <w:r w:rsidRPr="00F23BE7">
        <w:t>r kushtet dhe procedurat e dh</w:t>
      </w:r>
      <w:r>
        <w:t>ë</w:t>
      </w:r>
      <w:r w:rsidRPr="00F23BE7">
        <w:t>nies s</w:t>
      </w:r>
      <w:r>
        <w:t>ë</w:t>
      </w:r>
      <w:r w:rsidRPr="00F23BE7">
        <w:t xml:space="preserve"> ndihm</w:t>
      </w:r>
      <w:r>
        <w:t>ë</w:t>
      </w:r>
      <w:r w:rsidRPr="00F23BE7">
        <w:t>s rajonale”, miratuar me vendimin e K</w:t>
      </w:r>
      <w:r>
        <w:t>ë</w:t>
      </w:r>
      <w:r w:rsidRPr="00F23BE7">
        <w:t>shillit t</w:t>
      </w:r>
      <w:r>
        <w:t>ë</w:t>
      </w:r>
      <w:r w:rsidRPr="00F23BE7">
        <w:t xml:space="preserve"> Ministrave nr.816, dat</w:t>
      </w:r>
      <w:r>
        <w:t>ë</w:t>
      </w:r>
      <w:r w:rsidRPr="00F23BE7">
        <w:t xml:space="preserve"> 28.12.2005, Komisioni i Ndihm</w:t>
      </w:r>
      <w:r>
        <w:t>ë</w:t>
      </w:r>
      <w:r w:rsidRPr="00F23BE7">
        <w:t>s Shtet</w:t>
      </w:r>
      <w:r>
        <w:t>ë</w:t>
      </w:r>
      <w:r w:rsidRPr="00F23BE7">
        <w:t>rore</w:t>
      </w:r>
    </w:p>
    <w:p w:rsidR="002975B4" w:rsidRPr="00F23BE7" w:rsidRDefault="002975B4" w:rsidP="002975B4">
      <w:pPr>
        <w:pStyle w:val="Paragrafi0"/>
      </w:pPr>
    </w:p>
    <w:p w:rsidR="002975B4" w:rsidRPr="00F23BE7" w:rsidRDefault="002975B4" w:rsidP="002975B4">
      <w:pPr>
        <w:pStyle w:val="VENDOSI0"/>
      </w:pPr>
      <w:r w:rsidRPr="00F23BE7">
        <w:t>Vendosi:</w:t>
      </w:r>
    </w:p>
    <w:p w:rsidR="002975B4" w:rsidRPr="00F23BE7" w:rsidRDefault="002975B4" w:rsidP="002975B4">
      <w:pPr>
        <w:pStyle w:val="Paragrafi0"/>
      </w:pPr>
    </w:p>
    <w:p w:rsidR="002975B4" w:rsidRPr="00F23BE7" w:rsidRDefault="002975B4" w:rsidP="002975B4">
      <w:pPr>
        <w:pStyle w:val="Paragrafi0"/>
      </w:pPr>
      <w:r w:rsidRPr="00F23BE7">
        <w:t>1.</w:t>
      </w:r>
      <w:r>
        <w:t xml:space="preserve"> </w:t>
      </w:r>
      <w:r w:rsidRPr="00F23BE7">
        <w:t>Miratimin e “Hart</w:t>
      </w:r>
      <w:r>
        <w:t>ë</w:t>
      </w:r>
      <w:r w:rsidRPr="00F23BE7">
        <w:t>s s</w:t>
      </w:r>
      <w:r>
        <w:t>ë n</w:t>
      </w:r>
      <w:r w:rsidRPr="00F23BE7">
        <w:t>dihm</w:t>
      </w:r>
      <w:r>
        <w:t>ës s</w:t>
      </w:r>
      <w:r w:rsidRPr="00F23BE7">
        <w:t>htet</w:t>
      </w:r>
      <w:r>
        <w:t>ë</w:t>
      </w:r>
      <w:r w:rsidRPr="00F23BE7">
        <w:t>ro</w:t>
      </w:r>
      <w:r>
        <w:t>r</w:t>
      </w:r>
      <w:r w:rsidRPr="00F23BE7">
        <w:t>e”, sipas tekstit q</w:t>
      </w:r>
      <w:r>
        <w:t>ë</w:t>
      </w:r>
      <w:r w:rsidRPr="00F23BE7">
        <w:t xml:space="preserve"> i bashk</w:t>
      </w:r>
      <w:r>
        <w:t>ë</w:t>
      </w:r>
      <w:r w:rsidRPr="00F23BE7">
        <w:t>lidhet k</w:t>
      </w:r>
      <w:r>
        <w:t>ë</w:t>
      </w:r>
      <w:r w:rsidRPr="00F23BE7">
        <w:t>tij vendimi.</w:t>
      </w:r>
    </w:p>
    <w:p w:rsidR="002975B4" w:rsidRPr="00F23BE7" w:rsidRDefault="002975B4" w:rsidP="002975B4">
      <w:pPr>
        <w:pStyle w:val="Paragrafi0"/>
      </w:pPr>
      <w:r w:rsidRPr="00F23BE7">
        <w:t>2.</w:t>
      </w:r>
      <w:r>
        <w:t xml:space="preserve"> </w:t>
      </w:r>
      <w:r w:rsidRPr="00F23BE7">
        <w:t>Ky vendim hyn n</w:t>
      </w:r>
      <w:r>
        <w:t>ë</w:t>
      </w:r>
      <w:r w:rsidRPr="00F23BE7">
        <w:t xml:space="preserve"> fuqi menj</w:t>
      </w:r>
      <w:r>
        <w:t>ë</w:t>
      </w:r>
      <w:r w:rsidRPr="00F23BE7">
        <w:t>her</w:t>
      </w:r>
      <w:r>
        <w:t>ë</w:t>
      </w:r>
      <w:r w:rsidRPr="00F23BE7">
        <w:t>.</w:t>
      </w:r>
    </w:p>
    <w:p w:rsidR="002975B4" w:rsidRPr="00F23BE7" w:rsidRDefault="002975B4" w:rsidP="002975B4">
      <w:pPr>
        <w:pStyle w:val="Paragrafi0"/>
      </w:pPr>
    </w:p>
    <w:p w:rsidR="002975B4" w:rsidRPr="00F23BE7" w:rsidRDefault="002975B4" w:rsidP="002975B4">
      <w:pPr>
        <w:pStyle w:val="Autoriteti"/>
      </w:pPr>
      <w:r w:rsidRPr="00F23BE7">
        <w:t>Kryetari</w:t>
      </w:r>
    </w:p>
    <w:p w:rsidR="002975B4" w:rsidRPr="00F23BE7" w:rsidRDefault="002975B4" w:rsidP="002975B4">
      <w:pPr>
        <w:pStyle w:val="AutoritetiEmer"/>
      </w:pPr>
      <w:r w:rsidRPr="00F23BE7">
        <w:t>Genc Ruli</w:t>
      </w:r>
    </w:p>
    <w:p w:rsidR="002975B4" w:rsidRDefault="002975B4" w:rsidP="002975B4">
      <w:pPr>
        <w:pStyle w:val="Paragrafi0"/>
      </w:pPr>
    </w:p>
    <w:p w:rsidR="002975B4" w:rsidRPr="0017197A" w:rsidRDefault="002975B4" w:rsidP="002975B4">
      <w:pPr>
        <w:pStyle w:val="TitulliTitull"/>
      </w:pPr>
      <w:r w:rsidRPr="0017197A">
        <w:t xml:space="preserve">HARTA  E  NDIHMËS  SHTETËRORE  </w:t>
      </w:r>
    </w:p>
    <w:p w:rsidR="002975B4" w:rsidRPr="0017197A" w:rsidRDefault="002975B4" w:rsidP="002975B4">
      <w:pPr>
        <w:pStyle w:val="Paragrafi0"/>
      </w:pPr>
      <w:r w:rsidRPr="0017197A">
        <w:t xml:space="preserve"> </w:t>
      </w:r>
    </w:p>
    <w:p w:rsidR="002975B4" w:rsidRPr="0017197A" w:rsidRDefault="002975B4" w:rsidP="002975B4">
      <w:pPr>
        <w:pStyle w:val="Paragrafi0"/>
      </w:pPr>
      <w:r w:rsidRPr="0017197A">
        <w:t xml:space="preserve"> </w:t>
      </w:r>
      <w:r>
        <w:t xml:space="preserve">1. </w:t>
      </w:r>
      <w:r w:rsidRPr="0017197A">
        <w:t xml:space="preserve">Hyrje </w:t>
      </w:r>
    </w:p>
    <w:p w:rsidR="002975B4" w:rsidRPr="0017197A" w:rsidRDefault="002975B4" w:rsidP="002975B4">
      <w:pPr>
        <w:pStyle w:val="Paragrafi0"/>
      </w:pPr>
      <w:r w:rsidRPr="0017197A">
        <w:t xml:space="preserve"> Në kuadër të MSA-së</w:t>
      </w:r>
      <w:r>
        <w:rPr>
          <w:rStyle w:val="FootnoteReference"/>
        </w:rPr>
        <w:footnoteReference w:id="1"/>
      </w:r>
      <w:r>
        <w:t xml:space="preserve"> dhe  Marrëveshjes së n</w:t>
      </w:r>
      <w:r w:rsidRPr="0017197A">
        <w:t>dërmjetme</w:t>
      </w:r>
      <w:r>
        <w:rPr>
          <w:rStyle w:val="FootnoteReference"/>
        </w:rPr>
        <w:footnoteReference w:id="2"/>
      </w:r>
      <w:r>
        <w:t>,  duhet të</w:t>
      </w:r>
      <w:r w:rsidRPr="0017197A">
        <w:t xml:space="preserve"> përgatitet harta rajonale për ndihmën </w:t>
      </w:r>
      <w:r>
        <w:t>shtetërore. Konkretisht neni 71</w:t>
      </w:r>
      <w:r w:rsidRPr="0017197A">
        <w:t xml:space="preserve"> pika 7 paragrafi </w:t>
      </w:r>
      <w:r>
        <w:t>“</w:t>
      </w:r>
      <w:r w:rsidRPr="0017197A">
        <w:t>b</w:t>
      </w:r>
      <w:r>
        <w:t>”</w:t>
      </w:r>
      <w:r w:rsidRPr="0017197A">
        <w:t xml:space="preserve"> i MSA-së përcakton: </w:t>
      </w:r>
    </w:p>
    <w:p w:rsidR="002975B4" w:rsidRPr="0017197A" w:rsidRDefault="002975B4" w:rsidP="002975B4">
      <w:pPr>
        <w:pStyle w:val="Paragrafi0"/>
      </w:pPr>
      <w:r w:rsidRPr="0017197A">
        <w:t>Brenda pesë viteve që prej hyrjes në fuqi të kësaj Marrëveshjeje, Shqipëria do t’i paraqesë Komisionit të Komuniteteve Europiane shifrat e PBB-së së saj për frymë të harmonizuar me nivelin NUTS II. Më pas, autoriteti i përmendur në paragrafin 4</w:t>
      </w:r>
      <w:r>
        <w:rPr>
          <w:rStyle w:val="FootnoteReference"/>
        </w:rPr>
        <w:footnoteReference w:id="3"/>
      </w:r>
      <w:r w:rsidRPr="0017197A">
        <w:t xml:space="preserve"> dhe Komisioni i Komuniteteve Europiane vlerëson bashkërisht kriteret për pranueshmërinë e zonave të Shqipërisë, si dhe intensitetin  maksimal të ndihmës në lidhje me to, në mënyrë që të hartohet harta rajonale e ndihmave në bazë të direktivave përkatëse të Komunitetit.  </w:t>
      </w:r>
    </w:p>
    <w:p w:rsidR="002975B4" w:rsidRPr="0017197A" w:rsidRDefault="002975B4" w:rsidP="002975B4">
      <w:pPr>
        <w:pStyle w:val="Paragrafi0"/>
      </w:pPr>
      <w:r>
        <w:t xml:space="preserve"> Duke pas</w:t>
      </w:r>
      <w:r w:rsidRPr="0017197A">
        <w:t xml:space="preserve">ur parasysh mungesën në Shqipëri të këtyre treguesve sipas nivelit NUTS II, por edhe diferencat e mëdha që ekzistojnë brenda vendit, në periudhën e parë tranzitore është parashikuar një ndarje e zonave mbi bazën e treguesve të disponueshëm statistikorë.  </w:t>
      </w:r>
    </w:p>
    <w:p w:rsidR="002975B4" w:rsidRPr="0017197A" w:rsidRDefault="002975B4" w:rsidP="002975B4">
      <w:pPr>
        <w:pStyle w:val="Paragrafi0"/>
      </w:pPr>
      <w:r w:rsidRPr="0017197A">
        <w:t xml:space="preserve"> Pra,  si objektiv prioritar është përcaktuar harta rajonale, që d</w:t>
      </w:r>
      <w:r>
        <w:t>uhet të miratohet në zbatim të r</w:t>
      </w:r>
      <w:r w:rsidRPr="0017197A">
        <w:t>regullores “Për kushtet dhe procedurat e dhënies së ndihmës rajonale”</w:t>
      </w:r>
      <w:r>
        <w:rPr>
          <w:rStyle w:val="FootnoteReference"/>
        </w:rPr>
        <w:footnoteReference w:id="4"/>
      </w:r>
      <w:r>
        <w:t>,</w:t>
      </w:r>
      <w:r w:rsidRPr="0017197A">
        <w:t xml:space="preserve"> e miratuar me </w:t>
      </w:r>
      <w:r>
        <w:t>vendimin e Këshillit të Ministrave nr.</w:t>
      </w:r>
      <w:r w:rsidRPr="0017197A">
        <w:t>816, datë 28.12.2005</w:t>
      </w:r>
      <w:r>
        <w:t>,</w:t>
      </w:r>
      <w:r w:rsidRPr="0017197A">
        <w:t xml:space="preserve"> pavarësisht</w:t>
      </w:r>
      <w:r>
        <w:t xml:space="preserve"> se, sipas nenit 71 pika 7</w:t>
      </w:r>
      <w:r w:rsidRPr="0017197A">
        <w:t xml:space="preserve"> paragrafi </w:t>
      </w:r>
      <w:r>
        <w:t>“</w:t>
      </w:r>
      <w:r w:rsidRPr="0017197A">
        <w:t>a</w:t>
      </w:r>
      <w:r>
        <w:t>”</w:t>
      </w:r>
      <w:r w:rsidRPr="0017197A">
        <w:t xml:space="preserve"> i MSA-së:  </w:t>
      </w:r>
    </w:p>
    <w:p w:rsidR="002975B4" w:rsidRPr="0017197A" w:rsidRDefault="002975B4" w:rsidP="002975B4">
      <w:pPr>
        <w:pStyle w:val="Paragrafi0"/>
      </w:pPr>
      <w:r w:rsidRPr="0017197A">
        <w:t xml:space="preserve"> “i gjithë territori i Republikës së Shqipërisë konsiderohet si një zonë e prapambetur” </w:t>
      </w:r>
    </w:p>
    <w:p w:rsidR="002975B4" w:rsidRPr="0017197A" w:rsidRDefault="002975B4" w:rsidP="002975B4">
      <w:pPr>
        <w:pStyle w:val="Paragrafi0"/>
      </w:pPr>
      <w:r w:rsidRPr="0017197A">
        <w:t xml:space="preserve"> Neni 5 i rregullores, në pikat 2 dhe 3</w:t>
      </w:r>
      <w:r>
        <w:t>,</w:t>
      </w:r>
      <w:r w:rsidRPr="0017197A">
        <w:t xml:space="preserve"> parashikon: </w:t>
      </w:r>
    </w:p>
    <w:p w:rsidR="002975B4" w:rsidRPr="0017197A" w:rsidRDefault="002975B4" w:rsidP="002975B4">
      <w:pPr>
        <w:pStyle w:val="Paragrafi0"/>
      </w:pPr>
      <w:r w:rsidRPr="0017197A">
        <w:t xml:space="preserve"> </w:t>
      </w:r>
      <w:r>
        <w:t xml:space="preserve">2. </w:t>
      </w:r>
      <w:r w:rsidRPr="0017197A">
        <w:t xml:space="preserve">Intensiteti i ndihmës rajonale nuk duhet të kalojë 50%  të ENG-së, me përjashtim të zonave të thella, ku ai  mund të arrijë deri në 65%  të ENG-së. </w:t>
      </w:r>
    </w:p>
    <w:p w:rsidR="002975B4" w:rsidRPr="0017197A" w:rsidRDefault="002975B4" w:rsidP="002975B4">
      <w:pPr>
        <w:pStyle w:val="Paragrafi0"/>
      </w:pPr>
      <w:r w:rsidRPr="0017197A">
        <w:t xml:space="preserve"> </w:t>
      </w:r>
      <w:r>
        <w:t xml:space="preserve">3. </w:t>
      </w:r>
      <w:r w:rsidRPr="0017197A">
        <w:t xml:space="preserve">Kufijtë e përcaktuar në pikën 2 të këtij neni mund të rriten për ndërmarrjet e vogla dhe të mesme me 15% të vlerës bruto, me kusht që vlera neto e intensitetit të ndihmës të mos kalojë 75%.  </w:t>
      </w:r>
    </w:p>
    <w:p w:rsidR="002975B4" w:rsidRPr="0017197A" w:rsidRDefault="002975B4" w:rsidP="002975B4">
      <w:pPr>
        <w:pStyle w:val="Paragrafi0"/>
      </w:pPr>
      <w:r w:rsidRPr="0017197A">
        <w:t xml:space="preserve">Më tej, në shënimin shpjegues theksohet se: </w:t>
      </w:r>
    </w:p>
    <w:p w:rsidR="002975B4" w:rsidRPr="0017197A" w:rsidRDefault="002975B4" w:rsidP="002975B4">
      <w:pPr>
        <w:pStyle w:val="Paragrafi0"/>
      </w:pPr>
      <w:r w:rsidRPr="0017197A">
        <w:t xml:space="preserve"> Për zbatimin e kësaj rregulloreje, zonat e thella janë përcaktuar në bazë të raportit të numrit të personave të varfër kundrejt numrit të përgjithshëm të populls</w:t>
      </w:r>
      <w:r>
        <w:t>isë (në %), siç është dhënë në hartën e v</w:t>
      </w:r>
      <w:r w:rsidRPr="0017197A">
        <w:t>arfëri</w:t>
      </w:r>
      <w:r>
        <w:t>së dhe pabarazisë në Shqipëri.</w:t>
      </w:r>
      <w:r w:rsidRPr="0017197A">
        <w:t xml:space="preserve"> Çdo vit, Komisioni i Ndihmës Shtetërore, bazuar në të dhënat më të fundit statistikore, do të publikojë zonat me shifrat përkatëse.  </w:t>
      </w:r>
    </w:p>
    <w:p w:rsidR="002975B4" w:rsidRDefault="002975B4" w:rsidP="002975B4">
      <w:pPr>
        <w:pStyle w:val="Paragrafi0"/>
      </w:pPr>
      <w:r w:rsidRPr="0017197A">
        <w:t>Qëllimi i përgatitjes së hartës rajonale që në këtë fazë, ka qenë përcaktimi i atyre zonave që mund të përfitojnë  ndihmë shtetërore me një intensitet deri në 65% për ndërmarrjet e mëdha dhe deri në 75% për SME-të, në kushtet kur duhen ngushtuar sa më shumë diferencat që ekzistojnë në zhvillimin ekonomiko-shoqëror të zonav</w:t>
      </w:r>
      <w:r>
        <w:t>e të ndryshme, por edhe duke pas</w:t>
      </w:r>
      <w:r w:rsidRPr="0017197A">
        <w:t xml:space="preserve">ur parasysh se mundësitë e buxhetit për mbështetje maksimale në të gjithë vendin janë të kufizuara. </w:t>
      </w:r>
    </w:p>
    <w:p w:rsidR="002975B4" w:rsidRPr="0017197A" w:rsidRDefault="002975B4" w:rsidP="002975B4">
      <w:pPr>
        <w:pStyle w:val="Paragrafi0"/>
      </w:pPr>
      <w:r>
        <w:t xml:space="preserve">2. </w:t>
      </w:r>
      <w:r w:rsidRPr="0017197A">
        <w:t xml:space="preserve">Metodologjia </w:t>
      </w:r>
    </w:p>
    <w:p w:rsidR="002975B4" w:rsidRPr="0017197A" w:rsidRDefault="002975B4" w:rsidP="002975B4">
      <w:pPr>
        <w:pStyle w:val="Paragrafi0"/>
      </w:pPr>
      <w:r w:rsidRPr="0017197A">
        <w:t>Shqipëria nuk ka një klasifikim statistikor ose rajonal sipas NUTS II</w:t>
      </w:r>
      <w:r>
        <w:rPr>
          <w:rStyle w:val="FootnoteReference"/>
        </w:rPr>
        <w:footnoteReference w:id="5"/>
      </w:r>
      <w:r w:rsidRPr="0017197A">
        <w:t>, që përbën bazën për hartimin e hartës së ndihmës shtetërore. Përveç kësaj, edhe treguesit në nivel qarku nuk paraqesin të dhënat e PPB-së, që është treguesi kryesor, prej nga merr zanafillën klasifikimi i zonave lidhur me nivelin e tyre ekono</w:t>
      </w:r>
      <w:r>
        <w:t>mik. Nga ana tjetër, bazuar në nenin 5 të r</w:t>
      </w:r>
      <w:r w:rsidRPr="0017197A">
        <w:t>regullores “ Për kushtet dhe procedurat e dhënies së ndihmës rajonale” nga ana e Komisionit të Ndihmës Shtetërore duhet bërë rregullisht një përditës</w:t>
      </w:r>
      <w:r>
        <w:t>im i hartës së v</w:t>
      </w:r>
      <w:r w:rsidRPr="0017197A">
        <w:t>arfërisë. Në mungesë të kësaj harte, vlerësohet si i domosdoshëm krijimi i hartës së ndihmës shtetërore “Për përcaktimin e zon</w:t>
      </w:r>
      <w:r>
        <w:t>ave thellësisht të prapambetura”</w:t>
      </w:r>
      <w:r w:rsidRPr="0017197A">
        <w:t xml:space="preserve">, në mënyrë që t’i japë mundësi KNSH-së për të bërë rishikimin e kufijve të intensitetit të lejueshëm të ndihmës.  </w:t>
      </w:r>
    </w:p>
    <w:p w:rsidR="002975B4" w:rsidRPr="0017197A" w:rsidRDefault="002975B4" w:rsidP="002975B4">
      <w:pPr>
        <w:pStyle w:val="Paragrafi0"/>
      </w:pPr>
      <w:r w:rsidRPr="0017197A">
        <w:t xml:space="preserve">Lidhur me metodologjinë e ndjekur për përgatitjen e hartës së ndihmës shtetërore, vlerësohen dy momente të rëndësishme: </w:t>
      </w:r>
    </w:p>
    <w:p w:rsidR="002975B4" w:rsidRPr="0017197A" w:rsidRDefault="002975B4" w:rsidP="002975B4">
      <w:pPr>
        <w:pStyle w:val="Paragrafi0"/>
      </w:pPr>
      <w:r w:rsidRPr="0017197A">
        <w:t xml:space="preserve">Së pari, “raporti i numrit të të varfërve ndaj numrit total të popullsisë (në %)” - si një indikator </w:t>
      </w:r>
      <w:r>
        <w:t>i prapambetjes social-ekonomik</w:t>
      </w:r>
      <w:r w:rsidRPr="0017197A">
        <w:t xml:space="preserve">, por jo domosdoshmërisht si tregues i zonave të varfra. Një tregues i mirëfilltë konsiderohet dendësia e vogël e popullsisë.  </w:t>
      </w:r>
    </w:p>
    <w:p w:rsidR="002975B4" w:rsidRPr="0017197A" w:rsidRDefault="002975B4" w:rsidP="002975B4">
      <w:pPr>
        <w:pStyle w:val="Paragrafi0"/>
      </w:pPr>
      <w:r>
        <w:t>Së dyti, koncepti i “dhënies së bonusit”</w:t>
      </w:r>
      <w:r w:rsidRPr="0017197A">
        <w:t xml:space="preserve"> (shtesës) të intensitetit të ndihmës në zonat e prapambetura, mbështetur në rregullat e ndihmës rajonale të BE-së. Këtu duhet të merret parasysh klasifikimi në dy kategori - (i) “zona  thellësisht të prapambetura” që përkon me përcaktimin e zonave sipas nenit 87(3)(a) të Traktatit dhe (ii) “zona me dendësi të vogël popullsie” që përkon me përcaktimin e zonave sipas nenit 87(3)(c) të Traktatit.  </w:t>
      </w:r>
    </w:p>
    <w:p w:rsidR="002975B4" w:rsidRPr="0017197A" w:rsidRDefault="002975B4" w:rsidP="002975B4">
      <w:pPr>
        <w:pStyle w:val="Paragrafi0"/>
      </w:pPr>
      <w:r w:rsidRPr="0017197A">
        <w:t xml:space="preserve">Për të mënjanuar përplasjen me legjislacionin shqiptar të termit të prapambetjes, rekomandojmë që nga këndvështrimi i politikës së ndihmës shtetërore, të merret si bazë trajtimi </w:t>
      </w:r>
      <w:smartTag w:uri="urn:schemas-microsoft-com:office:smarttags" w:element="place">
        <w:smartTag w:uri="urn:schemas-microsoft-com:office:smarttags" w:element="country-region">
          <w:r w:rsidRPr="0017197A">
            <w:t>vendas</w:t>
          </w:r>
        </w:smartTag>
      </w:smartTag>
      <w:r w:rsidRPr="0017197A">
        <w:t xml:space="preserve"> i zonave të prapambetura, sidomos në këtë moment</w:t>
      </w:r>
      <w:r>
        <w:t>,</w:t>
      </w:r>
      <w:r w:rsidRPr="0017197A">
        <w:t xml:space="preserve"> duke qenë se në të reflektohen koncepti i zonave të thella në përputhje me nenin 87(3)(a) të rregullave të BE-së për zonat e prapambetura.  </w:t>
      </w:r>
    </w:p>
    <w:p w:rsidR="002975B4" w:rsidRPr="0017197A" w:rsidRDefault="002975B4" w:rsidP="002975B4">
      <w:pPr>
        <w:pStyle w:val="Paragrafi0"/>
      </w:pPr>
      <w:r w:rsidRPr="0017197A">
        <w:t>Në udhëzimin e  BE-së për ndihmën rajonale kombëtar</w:t>
      </w:r>
      <w:r>
        <w:t>e për periudhën 2007-</w:t>
      </w:r>
      <w:r w:rsidRPr="0017197A">
        <w:t>2013</w:t>
      </w:r>
      <w:r>
        <w:rPr>
          <w:rStyle w:val="FootnoteReference"/>
        </w:rPr>
        <w:footnoteReference w:id="6"/>
      </w:r>
      <w:r w:rsidRPr="0017197A">
        <w:t>, ndërmarrjet e më</w:t>
      </w:r>
      <w:r>
        <w:t>dha mund të përfitojnë ndihmë me</w:t>
      </w:r>
      <w:r w:rsidRPr="0017197A">
        <w:t xml:space="preserve"> një</w:t>
      </w:r>
      <w:r>
        <w:t xml:space="preserve"> intensitet maksimal deri në 50</w:t>
      </w:r>
      <w:r w:rsidRPr="0017197A">
        <w:t xml:space="preserve">%, të shprehur si ENG (ekuivalenti neto i grantit), të cilit mund t’i shtohet edhe 20 % kur përfituesi është ndërmarrje e vogël ( ose 10 % në rastin e ndërmarrjeve të mesme).   </w:t>
      </w:r>
    </w:p>
    <w:p w:rsidR="002975B4" w:rsidRPr="0017197A" w:rsidRDefault="002975B4" w:rsidP="002975B4">
      <w:pPr>
        <w:pStyle w:val="Paragrafi0"/>
      </w:pPr>
      <w:r w:rsidRPr="0017197A">
        <w:t>Metodologjia e propozuar pasqyron frymën e trajtimit të BE-së për zonat e thella (neni 87(3) (a)). Nivelet më të larta të intensitetit të ndihmës për zonat e prapambetura sipas le</w:t>
      </w:r>
      <w:r>
        <w:t xml:space="preserve">gjislacionit shqiptar (deri në </w:t>
      </w:r>
      <w:r w:rsidRPr="0017197A">
        <w:t xml:space="preserve">65% NGE për </w:t>
      </w:r>
      <w:r>
        <w:t xml:space="preserve">ndërmarrjet e mëdha dhe </w:t>
      </w:r>
      <w:r w:rsidRPr="0017197A">
        <w:t>75% NG</w:t>
      </w:r>
      <w:r>
        <w:t>E për SME-të</w:t>
      </w:r>
      <w:r w:rsidRPr="0017197A">
        <w:t>) janë të pr</w:t>
      </w:r>
      <w:r>
        <w:t>anueshme dhe brenda kufijve të udhëzimit të BE-së për ndihmën r</w:t>
      </w:r>
      <w:r w:rsidRPr="0017197A">
        <w:t xml:space="preserve">ajonale. </w:t>
      </w:r>
    </w:p>
    <w:p w:rsidR="002975B4" w:rsidRPr="0017197A" w:rsidRDefault="002975B4" w:rsidP="002975B4">
      <w:pPr>
        <w:pStyle w:val="Paragrafi0"/>
      </w:pPr>
      <w:r w:rsidRPr="0017197A">
        <w:t>Në mungesë të të dhënave të PPB-së në nivel qarku, u caktua q</w:t>
      </w:r>
      <w:r>
        <w:t>ë elementi bazë i metodologjisë</w:t>
      </w:r>
      <w:r w:rsidRPr="0017197A">
        <w:t xml:space="preserve"> të jetë përcaktimi i rajoneve të thella të vendit sipas nivelit të prapambetjes ekonomiko-shoqërore. Kështu, krijimi i hartës u mbështet në analizën në nivel qarku (Shqipëria ndahet në 12 qarqe),  si dhe në vlerësimin e peshës së treguesve të zhvillimit, bazuar në të dhënat e  Strategjisë Ndërsektoriale për Zhvillimin Rajonal (SNZHR) të miratuar me </w:t>
      </w:r>
      <w:r>
        <w:t>vendimin e Këshillit të Ministrave nr.</w:t>
      </w:r>
      <w:r w:rsidRPr="0017197A">
        <w:t xml:space="preserve">773, datë 14.11.2007.  </w:t>
      </w:r>
    </w:p>
    <w:p w:rsidR="002975B4" w:rsidRDefault="002975B4" w:rsidP="002975B4">
      <w:pPr>
        <w:pStyle w:val="Paragrafi0"/>
      </w:pPr>
      <w:r w:rsidRPr="0017197A">
        <w:t>Përcaktimi i zonave të prapambetura (disavantazhuara), sipas SNZHR, është kryer në bazë të modelit të vlerësimit të nivelit të zhvillimit ekonomiko-shoqëror, që kryen një indeksim të bazuar në llogaritjen e menduar të disa treguesve statistikorë (indikatorët). Edhe pë</w:t>
      </w:r>
      <w:r>
        <w:t>r përgatitjen e hartës rajonale</w:t>
      </w:r>
      <w:r w:rsidRPr="0017197A">
        <w:t xml:space="preserve"> është ndjekur e njëjta logjikë, por pesha e disa prej treguesve në totalin e vlerësimit ka qenë më e lartë. Ndërkohë, analiza është bazuar në vlerësimin e 6 indikatorëve dhe jo 7, sikurse në SNZHR. Për të llogaritur treguesin e zhvillimit, u analizuan të dhënat e nivelit të varfërisë, nivelit të papunësisë, të ardhurat lokale, si dhe aksesi në shërbimet bazë për secilin nga qarqet në raport me mesataren kombëtare. Tabela 1 paraqet treguesit statistikorë të marrë në analizë dhe peshën që zë secili prej tyre në vlerësimin e përgjithshëm. </w:t>
      </w:r>
    </w:p>
    <w:p w:rsidR="002975B4" w:rsidRDefault="002975B4" w:rsidP="002975B4">
      <w:pPr>
        <w:pStyle w:val="Paragrafi0"/>
      </w:pPr>
    </w:p>
    <w:p w:rsidR="002975B4" w:rsidRDefault="002975B4" w:rsidP="002975B4">
      <w:pPr>
        <w:pStyle w:val="Paragrafi0"/>
      </w:pPr>
    </w:p>
    <w:p w:rsidR="002975B4" w:rsidRPr="0017197A" w:rsidRDefault="002975B4" w:rsidP="002975B4">
      <w:pPr>
        <w:pStyle w:val="Paragrafi0"/>
      </w:pPr>
      <w:r w:rsidRPr="0017197A">
        <w:t xml:space="preserve">Tabela 1. Treguesit statistikorë të vlerësuar për përgatitjen e hartës rajonale </w:t>
      </w:r>
    </w:p>
    <w:p w:rsidR="002975B4" w:rsidRPr="00060006" w:rsidRDefault="002975B4" w:rsidP="002975B4">
      <w:pPr>
        <w:pStyle w:val="Paragrafi0"/>
        <w:rPr>
          <w:sz w:val="16"/>
        </w:rPr>
      </w:pPr>
      <w:r w:rsidRPr="0017197A">
        <w:t xml:space="preserve"> </w:t>
      </w:r>
    </w:p>
    <w:tbl>
      <w:tblPr>
        <w:tblStyle w:val="TableGrid"/>
        <w:tblW w:w="0" w:type="auto"/>
        <w:tblInd w:w="0" w:type="dxa"/>
        <w:tblLook w:val="01E0" w:firstRow="1" w:lastRow="1" w:firstColumn="1" w:lastColumn="1" w:noHBand="0" w:noVBand="0"/>
      </w:tblPr>
      <w:tblGrid>
        <w:gridCol w:w="1451"/>
        <w:gridCol w:w="4480"/>
        <w:gridCol w:w="2925"/>
      </w:tblGrid>
      <w:tr w:rsidR="002975B4" w:rsidRPr="00633E8D" w:rsidTr="007F3BEB">
        <w:tc>
          <w:tcPr>
            <w:tcW w:w="1668" w:type="dxa"/>
            <w:tcBorders>
              <w:top w:val="single" w:sz="4" w:space="0" w:color="auto"/>
              <w:left w:val="single" w:sz="4" w:space="0" w:color="auto"/>
              <w:bottom w:val="single" w:sz="4" w:space="0" w:color="auto"/>
              <w:right w:val="single" w:sz="4" w:space="0" w:color="auto"/>
            </w:tcBorders>
          </w:tcPr>
          <w:p w:rsidR="002975B4" w:rsidRPr="00633E8D" w:rsidRDefault="002975B4" w:rsidP="002975B4">
            <w:pPr>
              <w:pStyle w:val="Tabele"/>
            </w:pPr>
          </w:p>
        </w:tc>
        <w:tc>
          <w:tcPr>
            <w:tcW w:w="5160" w:type="dxa"/>
            <w:tcBorders>
              <w:top w:val="single" w:sz="4" w:space="0" w:color="auto"/>
              <w:left w:val="single" w:sz="4" w:space="0" w:color="auto"/>
              <w:bottom w:val="single" w:sz="4" w:space="0" w:color="auto"/>
              <w:right w:val="single" w:sz="4" w:space="0" w:color="auto"/>
            </w:tcBorders>
          </w:tcPr>
          <w:p w:rsidR="002975B4" w:rsidRPr="00633E8D" w:rsidRDefault="002975B4" w:rsidP="002975B4">
            <w:pPr>
              <w:pStyle w:val="Tabele"/>
            </w:pPr>
            <w:r w:rsidRPr="00633E8D">
              <w:t>TREGUESIT</w:t>
            </w:r>
          </w:p>
        </w:tc>
        <w:tc>
          <w:tcPr>
            <w:tcW w:w="3414" w:type="dxa"/>
            <w:tcBorders>
              <w:top w:val="single" w:sz="4" w:space="0" w:color="auto"/>
              <w:left w:val="single" w:sz="4" w:space="0" w:color="auto"/>
              <w:bottom w:val="single" w:sz="4" w:space="0" w:color="auto"/>
              <w:right w:val="single" w:sz="4" w:space="0" w:color="auto"/>
            </w:tcBorders>
          </w:tcPr>
          <w:p w:rsidR="002975B4" w:rsidRPr="00633E8D" w:rsidRDefault="002975B4" w:rsidP="002975B4">
            <w:pPr>
              <w:pStyle w:val="Tabele"/>
            </w:pPr>
            <w:r w:rsidRPr="00633E8D">
              <w:t>Pesha (%)</w:t>
            </w:r>
          </w:p>
        </w:tc>
      </w:tr>
      <w:tr w:rsidR="002975B4" w:rsidRPr="00512F78" w:rsidTr="007F3BEB">
        <w:tc>
          <w:tcPr>
            <w:tcW w:w="1668" w:type="dxa"/>
            <w:tcBorders>
              <w:top w:val="single" w:sz="4" w:space="0" w:color="auto"/>
              <w:left w:val="single" w:sz="4" w:space="0" w:color="auto"/>
              <w:bottom w:val="single" w:sz="4" w:space="0" w:color="auto"/>
              <w:right w:val="single" w:sz="4" w:space="0" w:color="auto"/>
            </w:tcBorders>
          </w:tcPr>
          <w:p w:rsidR="002975B4" w:rsidRPr="00512F78" w:rsidRDefault="002975B4" w:rsidP="002975B4">
            <w:pPr>
              <w:pStyle w:val="Tabele"/>
            </w:pPr>
            <w:r w:rsidRPr="00512F78">
              <w:rPr>
                <w:rFonts w:cs="Arial"/>
                <w:bCs/>
                <w:sz w:val="23"/>
                <w:szCs w:val="23"/>
              </w:rPr>
              <w:t>T1</w:t>
            </w:r>
          </w:p>
        </w:tc>
        <w:tc>
          <w:tcPr>
            <w:tcW w:w="5160" w:type="dxa"/>
            <w:tcBorders>
              <w:top w:val="single" w:sz="4" w:space="0" w:color="auto"/>
              <w:left w:val="single" w:sz="4" w:space="0" w:color="auto"/>
              <w:bottom w:val="single" w:sz="4" w:space="0" w:color="auto"/>
              <w:right w:val="single" w:sz="4" w:space="0" w:color="auto"/>
            </w:tcBorders>
          </w:tcPr>
          <w:p w:rsidR="002975B4" w:rsidRPr="00512F78" w:rsidRDefault="002975B4" w:rsidP="002975B4">
            <w:pPr>
              <w:pStyle w:val="Tabele"/>
            </w:pPr>
            <w:r w:rsidRPr="00512F78">
              <w:rPr>
                <w:rFonts w:cs="Arial"/>
                <w:sz w:val="23"/>
                <w:szCs w:val="23"/>
              </w:rPr>
              <w:t xml:space="preserve">Niveli i varfërisë  </w:t>
            </w:r>
          </w:p>
        </w:tc>
        <w:tc>
          <w:tcPr>
            <w:tcW w:w="3414" w:type="dxa"/>
            <w:tcBorders>
              <w:top w:val="single" w:sz="4" w:space="0" w:color="auto"/>
              <w:left w:val="single" w:sz="4" w:space="0" w:color="auto"/>
              <w:bottom w:val="single" w:sz="4" w:space="0" w:color="auto"/>
              <w:right w:val="single" w:sz="4" w:space="0" w:color="auto"/>
            </w:tcBorders>
          </w:tcPr>
          <w:p w:rsidR="002975B4" w:rsidRPr="00512F78" w:rsidRDefault="002975B4" w:rsidP="002975B4">
            <w:pPr>
              <w:pStyle w:val="Tabele"/>
            </w:pPr>
            <w:r w:rsidRPr="00512F78">
              <w:rPr>
                <w:rFonts w:cs="Arial"/>
                <w:bCs/>
                <w:sz w:val="23"/>
                <w:szCs w:val="23"/>
              </w:rPr>
              <w:t>25</w:t>
            </w:r>
          </w:p>
        </w:tc>
      </w:tr>
      <w:tr w:rsidR="002975B4" w:rsidRPr="00512F78" w:rsidTr="007F3BEB">
        <w:tc>
          <w:tcPr>
            <w:tcW w:w="1668" w:type="dxa"/>
            <w:tcBorders>
              <w:top w:val="single" w:sz="4" w:space="0" w:color="auto"/>
              <w:left w:val="single" w:sz="4" w:space="0" w:color="auto"/>
              <w:bottom w:val="single" w:sz="4" w:space="0" w:color="auto"/>
              <w:right w:val="single" w:sz="4" w:space="0" w:color="auto"/>
            </w:tcBorders>
          </w:tcPr>
          <w:p w:rsidR="002975B4" w:rsidRPr="00512F78" w:rsidRDefault="002975B4" w:rsidP="002975B4">
            <w:pPr>
              <w:pStyle w:val="Tabele"/>
            </w:pPr>
            <w:r w:rsidRPr="00512F78">
              <w:rPr>
                <w:rFonts w:cs="Arial"/>
                <w:bCs/>
                <w:sz w:val="23"/>
                <w:szCs w:val="23"/>
              </w:rPr>
              <w:t>T2</w:t>
            </w:r>
          </w:p>
        </w:tc>
        <w:tc>
          <w:tcPr>
            <w:tcW w:w="5160" w:type="dxa"/>
            <w:tcBorders>
              <w:top w:val="single" w:sz="4" w:space="0" w:color="auto"/>
              <w:left w:val="single" w:sz="4" w:space="0" w:color="auto"/>
              <w:bottom w:val="single" w:sz="4" w:space="0" w:color="auto"/>
              <w:right w:val="single" w:sz="4" w:space="0" w:color="auto"/>
            </w:tcBorders>
          </w:tcPr>
          <w:p w:rsidR="002975B4" w:rsidRPr="00512F78" w:rsidRDefault="002975B4" w:rsidP="002975B4">
            <w:pPr>
              <w:pStyle w:val="Tabele"/>
            </w:pPr>
            <w:r w:rsidRPr="00512F78">
              <w:rPr>
                <w:rFonts w:cs="Arial"/>
                <w:sz w:val="23"/>
                <w:szCs w:val="23"/>
              </w:rPr>
              <w:t xml:space="preserve">Niveli i papunësisë  </w:t>
            </w:r>
          </w:p>
        </w:tc>
        <w:tc>
          <w:tcPr>
            <w:tcW w:w="3414" w:type="dxa"/>
            <w:tcBorders>
              <w:top w:val="single" w:sz="4" w:space="0" w:color="auto"/>
              <w:left w:val="single" w:sz="4" w:space="0" w:color="auto"/>
              <w:bottom w:val="single" w:sz="4" w:space="0" w:color="auto"/>
              <w:right w:val="single" w:sz="4" w:space="0" w:color="auto"/>
            </w:tcBorders>
          </w:tcPr>
          <w:p w:rsidR="002975B4" w:rsidRPr="00512F78" w:rsidRDefault="002975B4" w:rsidP="002975B4">
            <w:pPr>
              <w:pStyle w:val="Tabele"/>
            </w:pPr>
            <w:r w:rsidRPr="00512F78">
              <w:rPr>
                <w:rFonts w:cs="Arial"/>
                <w:bCs/>
                <w:color w:val="000000"/>
                <w:sz w:val="23"/>
                <w:szCs w:val="23"/>
              </w:rPr>
              <w:t>25</w:t>
            </w:r>
          </w:p>
        </w:tc>
      </w:tr>
      <w:tr w:rsidR="002975B4" w:rsidRPr="00512F78" w:rsidTr="007F3BEB">
        <w:tc>
          <w:tcPr>
            <w:tcW w:w="1668" w:type="dxa"/>
            <w:tcBorders>
              <w:top w:val="single" w:sz="4" w:space="0" w:color="auto"/>
              <w:left w:val="single" w:sz="4" w:space="0" w:color="auto"/>
              <w:bottom w:val="single" w:sz="4" w:space="0" w:color="auto"/>
              <w:right w:val="single" w:sz="4" w:space="0" w:color="auto"/>
            </w:tcBorders>
          </w:tcPr>
          <w:p w:rsidR="002975B4" w:rsidRPr="00512F78" w:rsidRDefault="002975B4" w:rsidP="002975B4">
            <w:pPr>
              <w:pStyle w:val="Tabele"/>
            </w:pPr>
            <w:r w:rsidRPr="00512F78">
              <w:rPr>
                <w:rFonts w:cs="Arial"/>
                <w:bCs/>
                <w:sz w:val="23"/>
                <w:szCs w:val="23"/>
              </w:rPr>
              <w:t>T3</w:t>
            </w:r>
          </w:p>
        </w:tc>
        <w:tc>
          <w:tcPr>
            <w:tcW w:w="5160" w:type="dxa"/>
            <w:tcBorders>
              <w:top w:val="single" w:sz="4" w:space="0" w:color="auto"/>
              <w:left w:val="single" w:sz="4" w:space="0" w:color="auto"/>
              <w:bottom w:val="single" w:sz="4" w:space="0" w:color="auto"/>
              <w:right w:val="single" w:sz="4" w:space="0" w:color="auto"/>
            </w:tcBorders>
          </w:tcPr>
          <w:p w:rsidR="002975B4" w:rsidRPr="00512F78" w:rsidRDefault="002975B4" w:rsidP="002975B4">
            <w:pPr>
              <w:pStyle w:val="Tabele"/>
            </w:pPr>
            <w:r w:rsidRPr="00512F78">
              <w:rPr>
                <w:rFonts w:cs="Arial"/>
                <w:sz w:val="23"/>
                <w:szCs w:val="23"/>
              </w:rPr>
              <w:t xml:space="preserve">Të ardhurat lokale   </w:t>
            </w:r>
          </w:p>
        </w:tc>
        <w:tc>
          <w:tcPr>
            <w:tcW w:w="3414" w:type="dxa"/>
            <w:tcBorders>
              <w:top w:val="single" w:sz="4" w:space="0" w:color="auto"/>
              <w:left w:val="single" w:sz="4" w:space="0" w:color="auto"/>
              <w:bottom w:val="single" w:sz="4" w:space="0" w:color="auto"/>
              <w:right w:val="single" w:sz="4" w:space="0" w:color="auto"/>
            </w:tcBorders>
          </w:tcPr>
          <w:p w:rsidR="002975B4" w:rsidRPr="00512F78" w:rsidRDefault="002975B4" w:rsidP="002975B4">
            <w:pPr>
              <w:pStyle w:val="Tabele"/>
            </w:pPr>
            <w:r w:rsidRPr="00512F78">
              <w:rPr>
                <w:rFonts w:cs="Arial"/>
                <w:bCs/>
                <w:sz w:val="23"/>
                <w:szCs w:val="23"/>
              </w:rPr>
              <w:t>15</w:t>
            </w:r>
          </w:p>
        </w:tc>
      </w:tr>
      <w:tr w:rsidR="002975B4" w:rsidRPr="00512F78" w:rsidTr="007F3BEB">
        <w:tc>
          <w:tcPr>
            <w:tcW w:w="1668" w:type="dxa"/>
            <w:tcBorders>
              <w:top w:val="single" w:sz="4" w:space="0" w:color="auto"/>
              <w:left w:val="single" w:sz="4" w:space="0" w:color="auto"/>
              <w:bottom w:val="single" w:sz="4" w:space="0" w:color="auto"/>
              <w:right w:val="single" w:sz="4" w:space="0" w:color="auto"/>
            </w:tcBorders>
          </w:tcPr>
          <w:p w:rsidR="002975B4" w:rsidRPr="00512F78" w:rsidRDefault="002975B4" w:rsidP="002975B4">
            <w:pPr>
              <w:pStyle w:val="Tabele"/>
            </w:pPr>
            <w:r w:rsidRPr="00512F78">
              <w:rPr>
                <w:rFonts w:cs="Arial"/>
                <w:bCs/>
                <w:sz w:val="23"/>
                <w:szCs w:val="23"/>
              </w:rPr>
              <w:t>T4</w:t>
            </w:r>
          </w:p>
        </w:tc>
        <w:tc>
          <w:tcPr>
            <w:tcW w:w="5160" w:type="dxa"/>
            <w:tcBorders>
              <w:top w:val="single" w:sz="4" w:space="0" w:color="auto"/>
              <w:left w:val="single" w:sz="4" w:space="0" w:color="auto"/>
              <w:bottom w:val="single" w:sz="4" w:space="0" w:color="auto"/>
              <w:right w:val="single" w:sz="4" w:space="0" w:color="auto"/>
            </w:tcBorders>
          </w:tcPr>
          <w:p w:rsidR="002975B4" w:rsidRPr="00512F78" w:rsidRDefault="002975B4" w:rsidP="002975B4">
            <w:pPr>
              <w:pStyle w:val="Tabele"/>
            </w:pPr>
            <w:r w:rsidRPr="00512F78">
              <w:rPr>
                <w:rFonts w:cs="Arial"/>
                <w:sz w:val="23"/>
                <w:szCs w:val="23"/>
              </w:rPr>
              <w:t xml:space="preserve">Niveli i aksesit në furnizimin me ujë   </w:t>
            </w:r>
          </w:p>
        </w:tc>
        <w:tc>
          <w:tcPr>
            <w:tcW w:w="3414" w:type="dxa"/>
            <w:tcBorders>
              <w:top w:val="single" w:sz="4" w:space="0" w:color="auto"/>
              <w:left w:val="single" w:sz="4" w:space="0" w:color="auto"/>
              <w:bottom w:val="single" w:sz="4" w:space="0" w:color="auto"/>
              <w:right w:val="single" w:sz="4" w:space="0" w:color="auto"/>
            </w:tcBorders>
          </w:tcPr>
          <w:p w:rsidR="002975B4" w:rsidRPr="00512F78" w:rsidRDefault="002975B4" w:rsidP="002975B4">
            <w:pPr>
              <w:pStyle w:val="Tabele"/>
            </w:pPr>
            <w:r w:rsidRPr="00512F78">
              <w:rPr>
                <w:rFonts w:cs="Arial"/>
                <w:bCs/>
                <w:sz w:val="23"/>
                <w:szCs w:val="23"/>
              </w:rPr>
              <w:t>15</w:t>
            </w:r>
          </w:p>
        </w:tc>
      </w:tr>
      <w:tr w:rsidR="002975B4" w:rsidRPr="00512F78" w:rsidTr="007F3BEB">
        <w:tc>
          <w:tcPr>
            <w:tcW w:w="1668" w:type="dxa"/>
            <w:tcBorders>
              <w:top w:val="single" w:sz="4" w:space="0" w:color="auto"/>
              <w:left w:val="single" w:sz="4" w:space="0" w:color="auto"/>
              <w:bottom w:val="single" w:sz="4" w:space="0" w:color="auto"/>
              <w:right w:val="single" w:sz="4" w:space="0" w:color="auto"/>
            </w:tcBorders>
          </w:tcPr>
          <w:p w:rsidR="002975B4" w:rsidRPr="00512F78" w:rsidRDefault="002975B4" w:rsidP="002975B4">
            <w:pPr>
              <w:pStyle w:val="Tabele"/>
            </w:pPr>
            <w:r w:rsidRPr="00512F78">
              <w:rPr>
                <w:rFonts w:cs="Arial"/>
                <w:bCs/>
                <w:sz w:val="23"/>
                <w:szCs w:val="23"/>
              </w:rPr>
              <w:t>T5</w:t>
            </w:r>
          </w:p>
        </w:tc>
        <w:tc>
          <w:tcPr>
            <w:tcW w:w="5160" w:type="dxa"/>
            <w:tcBorders>
              <w:top w:val="single" w:sz="4" w:space="0" w:color="auto"/>
              <w:left w:val="single" w:sz="4" w:space="0" w:color="auto"/>
              <w:bottom w:val="single" w:sz="4" w:space="0" w:color="auto"/>
              <w:right w:val="single" w:sz="4" w:space="0" w:color="auto"/>
            </w:tcBorders>
          </w:tcPr>
          <w:p w:rsidR="002975B4" w:rsidRPr="00512F78" w:rsidRDefault="002975B4" w:rsidP="002975B4">
            <w:pPr>
              <w:pStyle w:val="Tabele"/>
            </w:pPr>
            <w:r w:rsidRPr="00512F78">
              <w:rPr>
                <w:rFonts w:cs="Arial"/>
                <w:sz w:val="23"/>
                <w:szCs w:val="23"/>
              </w:rPr>
              <w:t xml:space="preserve">Numri i vizitave mjekësore  </w:t>
            </w:r>
          </w:p>
        </w:tc>
        <w:tc>
          <w:tcPr>
            <w:tcW w:w="3414" w:type="dxa"/>
            <w:tcBorders>
              <w:top w:val="single" w:sz="4" w:space="0" w:color="auto"/>
              <w:left w:val="single" w:sz="4" w:space="0" w:color="auto"/>
              <w:bottom w:val="single" w:sz="4" w:space="0" w:color="auto"/>
              <w:right w:val="single" w:sz="4" w:space="0" w:color="auto"/>
            </w:tcBorders>
          </w:tcPr>
          <w:p w:rsidR="002975B4" w:rsidRPr="00512F78" w:rsidRDefault="002975B4" w:rsidP="002975B4">
            <w:pPr>
              <w:pStyle w:val="Tabele"/>
            </w:pPr>
            <w:r w:rsidRPr="00512F78">
              <w:rPr>
                <w:rFonts w:cs="Arial"/>
                <w:bCs/>
                <w:sz w:val="23"/>
                <w:szCs w:val="23"/>
              </w:rPr>
              <w:t>10</w:t>
            </w:r>
          </w:p>
        </w:tc>
      </w:tr>
      <w:tr w:rsidR="002975B4" w:rsidRPr="00512F78" w:rsidTr="007F3BEB">
        <w:tc>
          <w:tcPr>
            <w:tcW w:w="1668" w:type="dxa"/>
            <w:tcBorders>
              <w:top w:val="single" w:sz="4" w:space="0" w:color="auto"/>
              <w:left w:val="single" w:sz="4" w:space="0" w:color="auto"/>
              <w:bottom w:val="single" w:sz="4" w:space="0" w:color="auto"/>
              <w:right w:val="single" w:sz="4" w:space="0" w:color="auto"/>
            </w:tcBorders>
          </w:tcPr>
          <w:p w:rsidR="002975B4" w:rsidRPr="00512F78" w:rsidRDefault="002975B4" w:rsidP="002975B4">
            <w:pPr>
              <w:pStyle w:val="Tabele"/>
            </w:pPr>
            <w:r w:rsidRPr="00512F78">
              <w:rPr>
                <w:rFonts w:cs="Arial"/>
                <w:bCs/>
                <w:sz w:val="23"/>
                <w:szCs w:val="23"/>
              </w:rPr>
              <w:t>T6</w:t>
            </w:r>
          </w:p>
        </w:tc>
        <w:tc>
          <w:tcPr>
            <w:tcW w:w="5160" w:type="dxa"/>
            <w:tcBorders>
              <w:top w:val="single" w:sz="4" w:space="0" w:color="auto"/>
              <w:left w:val="single" w:sz="4" w:space="0" w:color="auto"/>
              <w:bottom w:val="single" w:sz="4" w:space="0" w:color="auto"/>
              <w:right w:val="single" w:sz="4" w:space="0" w:color="auto"/>
            </w:tcBorders>
          </w:tcPr>
          <w:p w:rsidR="002975B4" w:rsidRPr="00512F78" w:rsidRDefault="002975B4" w:rsidP="002975B4">
            <w:pPr>
              <w:pStyle w:val="Tabele"/>
            </w:pPr>
            <w:r w:rsidRPr="00512F78">
              <w:rPr>
                <w:rFonts w:cs="Arial"/>
                <w:sz w:val="23"/>
                <w:szCs w:val="23"/>
              </w:rPr>
              <w:t>Niveli i arsimit të detyrueshëm</w:t>
            </w:r>
          </w:p>
        </w:tc>
        <w:tc>
          <w:tcPr>
            <w:tcW w:w="3414" w:type="dxa"/>
            <w:tcBorders>
              <w:top w:val="single" w:sz="4" w:space="0" w:color="auto"/>
              <w:left w:val="single" w:sz="4" w:space="0" w:color="auto"/>
              <w:bottom w:val="single" w:sz="4" w:space="0" w:color="auto"/>
              <w:right w:val="single" w:sz="4" w:space="0" w:color="auto"/>
            </w:tcBorders>
          </w:tcPr>
          <w:p w:rsidR="002975B4" w:rsidRPr="00512F78" w:rsidRDefault="002975B4" w:rsidP="002975B4">
            <w:pPr>
              <w:pStyle w:val="Tabele"/>
            </w:pPr>
            <w:r w:rsidRPr="00512F78">
              <w:rPr>
                <w:rFonts w:cs="Arial"/>
                <w:bCs/>
                <w:sz w:val="23"/>
                <w:szCs w:val="23"/>
              </w:rPr>
              <w:t>10</w:t>
            </w:r>
          </w:p>
        </w:tc>
      </w:tr>
    </w:tbl>
    <w:p w:rsidR="002975B4" w:rsidRPr="00060006" w:rsidRDefault="002975B4" w:rsidP="002975B4">
      <w:pPr>
        <w:pStyle w:val="Paragrafi0"/>
        <w:ind w:firstLine="0"/>
        <w:rPr>
          <w:sz w:val="14"/>
        </w:rPr>
      </w:pPr>
    </w:p>
    <w:p w:rsidR="002975B4" w:rsidRPr="0017197A" w:rsidRDefault="002975B4" w:rsidP="002975B4">
      <w:pPr>
        <w:pStyle w:val="Paragrafi0"/>
      </w:pPr>
      <w:r w:rsidRPr="0017197A">
        <w:t xml:space="preserve">Llogaritja e treguesit të zhvillimit, kryhet në bazë të ekuacionit (1) : </w:t>
      </w:r>
    </w:p>
    <w:p w:rsidR="002975B4" w:rsidRDefault="002975B4" w:rsidP="002975B4">
      <w:pPr>
        <w:pStyle w:val="Paragrafi0"/>
      </w:pPr>
      <w:r w:rsidRPr="0017197A">
        <w:t xml:space="preserve"> </w:t>
      </w:r>
      <w:r w:rsidR="00A725E5" w:rsidRPr="0017197A">
        <w:rPr>
          <w:noProof/>
        </w:rPr>
        <w:drawing>
          <wp:inline distT="0" distB="0" distL="0" distR="0">
            <wp:extent cx="4152900" cy="5619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152900" cy="561975"/>
                    </a:xfrm>
                    <a:prstGeom prst="rect">
                      <a:avLst/>
                    </a:prstGeom>
                    <a:noFill/>
                    <a:ln>
                      <a:noFill/>
                    </a:ln>
                  </pic:spPr>
                </pic:pic>
              </a:graphicData>
            </a:graphic>
          </wp:inline>
        </w:drawing>
      </w:r>
      <w:r w:rsidRPr="0017197A">
        <w:t xml:space="preserve">    (1) </w:t>
      </w:r>
    </w:p>
    <w:p w:rsidR="002975B4" w:rsidRPr="0017197A" w:rsidRDefault="002975B4" w:rsidP="002975B4">
      <w:pPr>
        <w:pStyle w:val="Paragrafi0"/>
      </w:pPr>
      <w:r w:rsidRPr="0017197A">
        <w:t>Sipas kësaj metodologjie, do të konsiderohen më të pazhvilluar qarqet që e kanë TZH-në në vlerat më të ul</w:t>
      </w:r>
      <w:r>
        <w:t>ë</w:t>
      </w:r>
      <w:r w:rsidRPr="0017197A">
        <w:t xml:space="preserve">ta. </w:t>
      </w:r>
    </w:p>
    <w:p w:rsidR="002975B4" w:rsidRPr="0017197A" w:rsidRDefault="002975B4" w:rsidP="002975B4">
      <w:pPr>
        <w:pStyle w:val="Paragrafi0"/>
      </w:pPr>
      <w:r w:rsidRPr="0017197A">
        <w:t>Të dhënat kryesore janë marrë nga buletini i  Institutit të Statistikave, INSTAT</w:t>
      </w:r>
      <w:r>
        <w:rPr>
          <w:rStyle w:val="FootnoteReference"/>
        </w:rPr>
        <w:footnoteReference w:id="7"/>
      </w:r>
      <w:r w:rsidRPr="0017197A">
        <w:t>. Gjithashtu,  janë marrë në konsideratë edhe të dhënat e  Strategjisë Ndërsektoriale për Zhvillimin Rajonal (SNZHR)</w:t>
      </w:r>
      <w:r>
        <w:t>,</w:t>
      </w:r>
      <w:r w:rsidRPr="0017197A">
        <w:t xml:space="preserve"> e miratuar me </w:t>
      </w:r>
      <w:r>
        <w:t>vendimin e Këshillit të Ministrave nr.</w:t>
      </w:r>
      <w:r w:rsidRPr="0017197A">
        <w:t>773</w:t>
      </w:r>
      <w:r>
        <w:t>,</w:t>
      </w:r>
      <w:r w:rsidRPr="0017197A">
        <w:t xml:space="preserve"> datë 14.11.2007. </w:t>
      </w:r>
    </w:p>
    <w:p w:rsidR="002975B4" w:rsidRPr="0017197A" w:rsidRDefault="002975B4" w:rsidP="002975B4">
      <w:pPr>
        <w:pStyle w:val="Paragrafi0"/>
      </w:pPr>
      <w:r w:rsidRPr="0017197A">
        <w:t xml:space="preserve">Në aneks janë paraqitur, në mënyrë të detajuar, të dhënat statistikore të secilit qark, për vitin 2007.  </w:t>
      </w:r>
    </w:p>
    <w:p w:rsidR="002975B4" w:rsidRPr="0017197A" w:rsidRDefault="002975B4" w:rsidP="002975B4">
      <w:pPr>
        <w:pStyle w:val="Paragrafi0"/>
      </w:pPr>
      <w:r w:rsidRPr="0017197A">
        <w:t xml:space="preserve"> </w:t>
      </w:r>
      <w:r>
        <w:t xml:space="preserve">3. </w:t>
      </w:r>
      <w:r w:rsidRPr="0017197A">
        <w:t xml:space="preserve">Vlerësimi </w:t>
      </w:r>
    </w:p>
    <w:p w:rsidR="002975B4" w:rsidRPr="0017197A" w:rsidRDefault="002975B4" w:rsidP="002975B4">
      <w:pPr>
        <w:pStyle w:val="Paragrafi0"/>
      </w:pPr>
      <w:r w:rsidRPr="0017197A">
        <w:t>Në bazë të t</w:t>
      </w:r>
      <w:r>
        <w:t>ë dhënave ekonomiko-shoqërore (</w:t>
      </w:r>
      <w:r w:rsidRPr="0017197A">
        <w:t>sipas tabelës 2 në aneks), është përgatitur tabela 3, e cila paraqet nivelin e treguesve në krahasim me mesataren në shkallë vendi, për secilin nga të 12 qarqet, si dhe treguesit përkatës të zhvillimit. Janë konsideruar si qarqe me nivel varfërie më të lartë, ata që paraqesin këtë tregues në vlera më të ul</w:t>
      </w:r>
      <w:r>
        <w:t>ë</w:t>
      </w:r>
      <w:r w:rsidRPr="0017197A">
        <w:t xml:space="preserve">ta se qarqet e tjera.  </w:t>
      </w:r>
    </w:p>
    <w:p w:rsidR="002975B4" w:rsidRPr="00060006" w:rsidRDefault="002975B4" w:rsidP="002975B4">
      <w:pPr>
        <w:pStyle w:val="Paragrafi0"/>
        <w:rPr>
          <w:sz w:val="14"/>
        </w:rPr>
      </w:pPr>
      <w:r w:rsidRPr="0017197A">
        <w:t xml:space="preserve"> </w:t>
      </w:r>
    </w:p>
    <w:p w:rsidR="002975B4" w:rsidRPr="0017197A" w:rsidRDefault="002975B4" w:rsidP="002975B4">
      <w:pPr>
        <w:pStyle w:val="Paragrafi0"/>
      </w:pPr>
      <w:r w:rsidRPr="0017197A">
        <w:t xml:space="preserve">Tabela 3. Pesha e treguesve për çdo qark referuar mesatares së tyre në shkallë vendi </w:t>
      </w:r>
    </w:p>
    <w:p w:rsidR="002975B4" w:rsidRPr="0017197A" w:rsidRDefault="002975B4" w:rsidP="002975B4">
      <w:pPr>
        <w:pStyle w:val="Paragrafi0"/>
      </w:pPr>
    </w:p>
    <w:p w:rsidR="002975B4" w:rsidRDefault="00A725E5" w:rsidP="002975B4">
      <w:pPr>
        <w:pStyle w:val="Paragrafi0"/>
        <w:ind w:firstLine="0"/>
        <w:jc w:val="center"/>
      </w:pPr>
      <w:r w:rsidRPr="0086594E">
        <w:rPr>
          <w:noProof/>
        </w:rPr>
        <w:drawing>
          <wp:inline distT="0" distB="0" distL="0" distR="0">
            <wp:extent cx="5753100" cy="3200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53100" cy="3200400"/>
                    </a:xfrm>
                    <a:prstGeom prst="rect">
                      <a:avLst/>
                    </a:prstGeom>
                    <a:noFill/>
                    <a:ln>
                      <a:noFill/>
                    </a:ln>
                  </pic:spPr>
                </pic:pic>
              </a:graphicData>
            </a:graphic>
          </wp:inline>
        </w:drawing>
      </w:r>
    </w:p>
    <w:p w:rsidR="002975B4" w:rsidRPr="00060006" w:rsidRDefault="002975B4" w:rsidP="002975B4">
      <w:pPr>
        <w:pStyle w:val="Paragrafi0"/>
        <w:rPr>
          <w:szCs w:val="22"/>
        </w:rPr>
      </w:pPr>
      <w:r w:rsidRPr="00060006">
        <w:rPr>
          <w:szCs w:val="22"/>
        </w:rPr>
        <w:t>Burimi:  INSTAT, Treguesit sipas qarqeve 2006/2007, SNZHR</w:t>
      </w:r>
      <w:r w:rsidRPr="00060006">
        <w:rPr>
          <w:rStyle w:val="FootnoteReference"/>
          <w:szCs w:val="22"/>
        </w:rPr>
        <w:footnoteReference w:id="8"/>
      </w:r>
      <w:r w:rsidRPr="00060006">
        <w:rPr>
          <w:szCs w:val="22"/>
        </w:rPr>
        <w:t xml:space="preserve"> </w:t>
      </w:r>
    </w:p>
    <w:p w:rsidR="002975B4" w:rsidRPr="0017197A" w:rsidRDefault="002975B4" w:rsidP="002975B4">
      <w:pPr>
        <w:pStyle w:val="Paragrafi0"/>
      </w:pPr>
    </w:p>
    <w:p w:rsidR="002975B4" w:rsidRPr="0017197A" w:rsidRDefault="002975B4" w:rsidP="002975B4">
      <w:pPr>
        <w:pStyle w:val="Paragrafi0"/>
      </w:pPr>
      <w:smartTag w:uri="urn:schemas-microsoft-com:office:smarttags" w:element="place">
        <w:r w:rsidRPr="0017197A">
          <w:t>Po</w:t>
        </w:r>
      </w:smartTag>
      <w:r w:rsidRPr="0017197A">
        <w:t xml:space="preserve"> kështu, mbi bazën e të dhënave statistikore për vitet 2006 e 2007, u bë vlerësimi  i peshës që zënë treguesit e dendësisë së popullsisë dhe nivelit të papunësisë për çdo qark, kundrejt mesatares kombëtare për secilin nga këto vite. Tabela 4 paraqet këtë vlerësim, referuar edhe treguesit të llogaritur të nivelit të zhvillimit.   </w:t>
      </w:r>
    </w:p>
    <w:p w:rsidR="002975B4" w:rsidRDefault="002975B4" w:rsidP="002975B4">
      <w:pPr>
        <w:pStyle w:val="Paragrafi0"/>
      </w:pPr>
      <w:r w:rsidRPr="0017197A">
        <w:t xml:space="preserve"> Tabela 4. Pesha që zënë për çdo qark treguesit e dendësisë së popullsisë dhe të papunësisë kundrejt mesatares kombëtare dhe treguesit të përgjithshëm të prapambetjes. </w:t>
      </w:r>
    </w:p>
    <w:p w:rsidR="002975B4" w:rsidRPr="0017197A" w:rsidRDefault="002975B4" w:rsidP="002975B4">
      <w:pPr>
        <w:pStyle w:val="Paragrafi0"/>
      </w:pPr>
    </w:p>
    <w:p w:rsidR="002975B4" w:rsidRPr="0086594E" w:rsidRDefault="00A725E5" w:rsidP="002975B4">
      <w:pPr>
        <w:pStyle w:val="Paragrafi0"/>
        <w:ind w:firstLine="0"/>
        <w:jc w:val="center"/>
      </w:pPr>
      <w:r w:rsidRPr="0086594E">
        <w:rPr>
          <w:noProof/>
        </w:rPr>
        <w:drawing>
          <wp:inline distT="0" distB="0" distL="0" distR="0">
            <wp:extent cx="5295900" cy="32004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95900" cy="3200400"/>
                    </a:xfrm>
                    <a:prstGeom prst="rect">
                      <a:avLst/>
                    </a:prstGeom>
                    <a:noFill/>
                    <a:ln>
                      <a:noFill/>
                    </a:ln>
                  </pic:spPr>
                </pic:pic>
              </a:graphicData>
            </a:graphic>
          </wp:inline>
        </w:drawing>
      </w:r>
    </w:p>
    <w:p w:rsidR="002975B4" w:rsidRDefault="002975B4" w:rsidP="002975B4">
      <w:pPr>
        <w:pStyle w:val="Paragrafi0"/>
      </w:pPr>
    </w:p>
    <w:p w:rsidR="002975B4" w:rsidRDefault="002975B4" w:rsidP="002975B4">
      <w:pPr>
        <w:pStyle w:val="Paragrafi0"/>
      </w:pPr>
    </w:p>
    <w:p w:rsidR="002975B4" w:rsidRPr="0017197A" w:rsidRDefault="002975B4" w:rsidP="002975B4">
      <w:pPr>
        <w:pStyle w:val="Paragrafi0"/>
      </w:pPr>
      <w:r w:rsidRPr="0017197A">
        <w:t xml:space="preserve">Analiza e kryqëzuar e rezultateve të tabelës lë vend për diskutim. Nëse marrim në konsideratë të dhënat e dendësisë </w:t>
      </w:r>
      <w:r>
        <w:t xml:space="preserve">së </w:t>
      </w:r>
      <w:r w:rsidRPr="0017197A">
        <w:t>popullsisë, si për vitin 2006, ashtu edhe për 2007, Kukësi, Gjirokastra, Dibra, Vlora dhe Shkodra shfaqen si qarqet me tregues më të ulët. Nga 2006 në 2007, vërehet një rritje e konsiderueshme e dendësisë së popullsisë për qarqet e Tiranës dhe të Durrësit (+3% e +4.9%). Përveç Vlorës, ku dendësia e popullsisë u ul me pothuajse 11% nga 2006 në 2007, prirja e këtij treguesi për  9 qarqet e tj</w:t>
      </w:r>
      <w:r>
        <w:t>era</w:t>
      </w:r>
      <w:r w:rsidRPr="0017197A">
        <w:t xml:space="preserve"> mbetet e pandryshuar. </w:t>
      </w:r>
    </w:p>
    <w:p w:rsidR="002975B4" w:rsidRPr="0017197A" w:rsidRDefault="002975B4" w:rsidP="002975B4">
      <w:pPr>
        <w:pStyle w:val="Paragrafi0"/>
      </w:pPr>
      <w:r w:rsidRPr="0017197A">
        <w:t>Norma e papunësisë shfaqet në nivele të larta në Kukës, Shkodër dhe Lezhë për të dy vitet, edhe pse ky tregues në secilin nga këto qarqe ka pësuar një ulje të lehtë në vitin 2007, në krahasim me vitin 2006. Në terma të përgjith</w:t>
      </w:r>
      <w:r>
        <w:t>shëm</w:t>
      </w:r>
      <w:r w:rsidRPr="0017197A">
        <w:t>, norma kombëtare e papunësisë në vitin 2007 ishte 13.2% kundrejt 13.8% për 2006. Në vitin 2007, edhe qarqet e tjera shfaqin një ulje të normës së papunësisë. Bëjnë përjash</w:t>
      </w:r>
      <w:r>
        <w:t>tim  qarku i Elbasanit, që ka pas</w:t>
      </w:r>
      <w:r w:rsidRPr="0017197A">
        <w:t>ur një normë të njëjtë papunësie dhe</w:t>
      </w:r>
      <w:r>
        <w:t xml:space="preserve"> qarqet e Gjirokastrës dhe Fierit, ku është vën</w:t>
      </w:r>
      <w:r w:rsidRPr="0017197A">
        <w:t xml:space="preserve">ë re rritje e nivelit të papunësisë.  </w:t>
      </w:r>
    </w:p>
    <w:p w:rsidR="002975B4" w:rsidRPr="0017197A" w:rsidRDefault="002975B4" w:rsidP="002975B4">
      <w:pPr>
        <w:pStyle w:val="Paragrafi0"/>
      </w:pPr>
      <w:r w:rsidRPr="0017197A">
        <w:t xml:space="preserve">Nëse kryejmë analizën e kryqëzuar për vitin 2006 dhe 2007 për treguesit e dendësisë së popullsisë dhe papunësisë vërehet se, përgjithësisht, ndryshimet janë në kah të kundërt. Në qarqet ku vërehet një rritje relative e dendësisë së popullsisë nga 2006 në 2007, kemi ulje respektive të normës së papunësisë.  </w:t>
      </w:r>
    </w:p>
    <w:p w:rsidR="002975B4" w:rsidRDefault="002975B4" w:rsidP="002975B4">
      <w:pPr>
        <w:pStyle w:val="Paragrafi0"/>
      </w:pPr>
      <w:r w:rsidRPr="0017197A">
        <w:t>Ky konstatim është i rëndësishëm në rastin kur duam të përcaktojmë se cilit qark do t’i jepet prioritet  zhvillimi: Lezhës (si në SNZHR) ose Gjirokastrës (e cila radhitet e dyta me dendësi të popullsisë më të ulët) apo Vlorës</w:t>
      </w:r>
      <w:r>
        <w:t>,</w:t>
      </w:r>
      <w:r w:rsidRPr="0017197A">
        <w:t xml:space="preserve"> (e cila radhitet e treta së bashku me Dibrën për dendësi më të ulët). </w:t>
      </w:r>
    </w:p>
    <w:p w:rsidR="002975B4" w:rsidRDefault="002975B4" w:rsidP="002975B4">
      <w:pPr>
        <w:pStyle w:val="Paragrafi0"/>
      </w:pPr>
    </w:p>
    <w:p w:rsidR="002975B4" w:rsidRPr="0017197A" w:rsidRDefault="002975B4" w:rsidP="002975B4">
      <w:pPr>
        <w:pStyle w:val="Paragrafi0"/>
      </w:pPr>
    </w:p>
    <w:p w:rsidR="002975B4" w:rsidRDefault="002975B4" w:rsidP="002975B4">
      <w:pPr>
        <w:pStyle w:val="Paragrafi0"/>
      </w:pPr>
      <w:r w:rsidRPr="0017197A">
        <w:t>Për të bërë këtë vlerë</w:t>
      </w:r>
      <w:r>
        <w:t>sim, në analizën e përgjithshme</w:t>
      </w:r>
      <w:r w:rsidRPr="0017197A">
        <w:t xml:space="preserve"> duhet të marrim parasysh edhe analizën e treguesve të </w:t>
      </w:r>
      <w:r>
        <w:t>tjerë</w:t>
      </w:r>
      <w:r w:rsidRPr="0017197A">
        <w:t xml:space="preserve"> me p</w:t>
      </w:r>
      <w:r>
        <w:t>eshë më të vogël. Konkretisht:</w:t>
      </w:r>
    </w:p>
    <w:p w:rsidR="002975B4" w:rsidRPr="0017197A" w:rsidRDefault="002975B4" w:rsidP="002975B4">
      <w:pPr>
        <w:pStyle w:val="Paragrafi0"/>
      </w:pPr>
      <w:r>
        <w:t xml:space="preserve">1. </w:t>
      </w:r>
      <w:r w:rsidRPr="0017197A">
        <w:t>Bazuar në numrin e ndër</w:t>
      </w:r>
      <w:r>
        <w:t>marrjeve (aktiviteteve) (shiko a</w:t>
      </w:r>
      <w:r w:rsidRPr="0017197A">
        <w:t xml:space="preserve">neksin), qarqet e Gjirokastrës dhe Vlorës janë më të zhvilluara se qarku i Lezhës. </w:t>
      </w:r>
    </w:p>
    <w:p w:rsidR="002975B4" w:rsidRPr="0017197A" w:rsidRDefault="002975B4" w:rsidP="002975B4">
      <w:pPr>
        <w:pStyle w:val="Paragrafi0"/>
      </w:pPr>
      <w:r>
        <w:t xml:space="preserve">2. </w:t>
      </w:r>
      <w:r w:rsidRPr="0017197A">
        <w:t xml:space="preserve">Përqindja e bizneseve të krijuara në qarkun e Gjirokastrës është e ulët, por norma e papunësisë është relativisht e ulët, kjo tregon se të dhënat e dendësisë së popullsisë dhe  papunësisë influencohen nga turizmi sezonal.  </w:t>
      </w:r>
    </w:p>
    <w:p w:rsidR="002975B4" w:rsidRPr="0017197A" w:rsidRDefault="002975B4" w:rsidP="002975B4">
      <w:pPr>
        <w:pStyle w:val="Paragrafi0"/>
      </w:pPr>
      <w:r>
        <w:t xml:space="preserve">3. </w:t>
      </w:r>
      <w:r w:rsidRPr="0017197A">
        <w:t xml:space="preserve">Ndërsa norma zyrtare e papunësisë  për Gjirokastrën është 12.6% (pothuajse gjysma e asaj të qarkut të Lezhës), norma e të papunëve të regjistruar për  Gjirokastrën është 3% (1/3 e asaj të Lezhës dhe më e ulët se norma e Vlorës, e cila është afërsisht gjysma e Lezhës). </w:t>
      </w:r>
    </w:p>
    <w:p w:rsidR="002975B4" w:rsidRPr="0017197A" w:rsidRDefault="002975B4" w:rsidP="002975B4">
      <w:pPr>
        <w:pStyle w:val="Paragrafi0"/>
      </w:pPr>
      <w:r>
        <w:t xml:space="preserve">4. </w:t>
      </w:r>
      <w:r w:rsidRPr="0017197A">
        <w:t>Pa paragjykuar</w:t>
      </w:r>
      <w:r>
        <w:t xml:space="preserve"> për përcaktime në të ardhmen e</w:t>
      </w:r>
      <w:r w:rsidRPr="0017197A">
        <w:t xml:space="preserve"> rajoneve sipas NUTS II në Shqipëri, zgjedhja e Lezhës lejon përfshirjen edhe të 3  qarqeve të tjera,  </w:t>
      </w:r>
      <w:r>
        <w:t>të cilat janë në vijimësi të njëri-tjetrit</w:t>
      </w:r>
      <w:r w:rsidRPr="0017197A">
        <w:t xml:space="preserve"> brenda së njëjtës zonë. Megjithatë, të mar</w:t>
      </w:r>
      <w:r>
        <w:t>r</w:t>
      </w:r>
      <w:r w:rsidRPr="0017197A">
        <w:t>a së bashku</w:t>
      </w:r>
      <w:r>
        <w:t>,</w:t>
      </w:r>
      <w:r w:rsidRPr="0017197A">
        <w:t xml:space="preserve"> 4 qarqet kanë një numër popullsie prej 628,839, që përbën 20% të popullsisë totale, por që nuk arrin numrin e përcaktuar nga NUTS II, prej 800,000 banorësh për rajon.  </w:t>
      </w:r>
    </w:p>
    <w:p w:rsidR="002975B4" w:rsidRPr="0017197A" w:rsidRDefault="002975B4" w:rsidP="002975B4">
      <w:pPr>
        <w:pStyle w:val="Paragrafi0"/>
      </w:pPr>
      <w:r w:rsidRPr="0017197A">
        <w:t>Pavarësisht vendi</w:t>
      </w:r>
      <w:r>
        <w:t>m</w:t>
      </w:r>
      <w:r w:rsidRPr="0017197A">
        <w:t xml:space="preserve">marrjes së mëtejshme për përzgjedhjen e rajoneve sipas NUTS II, analiza e mësipërme tregon se qarkut të Lezhës duhet t’i jepet prioritet zhvillimi në krahasim me  qarqet e Gjirokastër dhe </w:t>
      </w:r>
      <w:r>
        <w:t xml:space="preserve">të </w:t>
      </w:r>
      <w:r w:rsidRPr="0017197A">
        <w:t xml:space="preserve">Vlorës. </w:t>
      </w:r>
    </w:p>
    <w:p w:rsidR="002975B4" w:rsidRPr="0017197A" w:rsidRDefault="002975B4" w:rsidP="002975B4">
      <w:pPr>
        <w:pStyle w:val="Paragrafi0"/>
      </w:pPr>
      <w:r>
        <w:t>Figura 1 paraqet h</w:t>
      </w:r>
      <w:r w:rsidRPr="0017197A">
        <w:t xml:space="preserve">artën e ndihmës shtetërore, të përgatitur në zbatim të legjislacionit në fuqi për ndihmën shtetërore, e cila konsideron si zona thellësisht të prapambetura, pra me intensitetin maksimal të ndihmës (65%), qarqet e Kukësit, Shkodrës, Lezhës dhe Dibrës.  </w:t>
      </w:r>
    </w:p>
    <w:p w:rsidR="002975B4" w:rsidRDefault="002975B4" w:rsidP="002975B4">
      <w:pPr>
        <w:pStyle w:val="Paragrafi0"/>
      </w:pPr>
      <w:r w:rsidRPr="0017197A">
        <w:t xml:space="preserve"> </w:t>
      </w:r>
    </w:p>
    <w:p w:rsidR="002975B4" w:rsidRDefault="002975B4" w:rsidP="002975B4">
      <w:pPr>
        <w:pStyle w:val="Paragrafi0"/>
      </w:pPr>
    </w:p>
    <w:p w:rsidR="002975B4" w:rsidRDefault="002975B4" w:rsidP="002975B4">
      <w:pPr>
        <w:pStyle w:val="Paragrafi0"/>
      </w:pPr>
    </w:p>
    <w:p w:rsidR="002975B4" w:rsidRDefault="002975B4" w:rsidP="002975B4">
      <w:pPr>
        <w:pStyle w:val="Paragrafi0"/>
      </w:pPr>
    </w:p>
    <w:p w:rsidR="002975B4" w:rsidRDefault="002975B4" w:rsidP="002975B4">
      <w:pPr>
        <w:pStyle w:val="Paragrafi0"/>
      </w:pPr>
    </w:p>
    <w:p w:rsidR="002975B4" w:rsidRDefault="002975B4" w:rsidP="002975B4">
      <w:pPr>
        <w:pStyle w:val="Paragrafi0"/>
      </w:pPr>
    </w:p>
    <w:p w:rsidR="002975B4" w:rsidRDefault="002975B4" w:rsidP="002975B4">
      <w:pPr>
        <w:pStyle w:val="Paragrafi0"/>
      </w:pPr>
    </w:p>
    <w:p w:rsidR="002975B4" w:rsidRDefault="002975B4" w:rsidP="002975B4">
      <w:pPr>
        <w:pStyle w:val="Paragrafi0"/>
      </w:pPr>
    </w:p>
    <w:p w:rsidR="002975B4" w:rsidRDefault="002975B4" w:rsidP="002975B4">
      <w:pPr>
        <w:pStyle w:val="Paragrafi0"/>
      </w:pPr>
    </w:p>
    <w:p w:rsidR="002975B4" w:rsidRDefault="002975B4" w:rsidP="002975B4">
      <w:pPr>
        <w:pStyle w:val="Paragrafi0"/>
      </w:pPr>
    </w:p>
    <w:p w:rsidR="002975B4" w:rsidRDefault="002975B4" w:rsidP="002975B4">
      <w:pPr>
        <w:pStyle w:val="Paragrafi0"/>
      </w:pPr>
    </w:p>
    <w:p w:rsidR="002975B4" w:rsidRDefault="002975B4" w:rsidP="002975B4">
      <w:pPr>
        <w:pStyle w:val="Paragrafi0"/>
      </w:pPr>
    </w:p>
    <w:p w:rsidR="002975B4" w:rsidRDefault="002975B4" w:rsidP="002975B4">
      <w:pPr>
        <w:pStyle w:val="Paragrafi0"/>
      </w:pPr>
    </w:p>
    <w:p w:rsidR="002975B4" w:rsidRDefault="002975B4" w:rsidP="002975B4">
      <w:pPr>
        <w:pStyle w:val="Paragrafi0"/>
      </w:pPr>
    </w:p>
    <w:p w:rsidR="002975B4" w:rsidRDefault="002975B4" w:rsidP="002975B4">
      <w:pPr>
        <w:pStyle w:val="Paragrafi0"/>
      </w:pPr>
    </w:p>
    <w:p w:rsidR="002975B4" w:rsidRDefault="002975B4" w:rsidP="002975B4">
      <w:pPr>
        <w:pStyle w:val="Paragrafi0"/>
      </w:pPr>
    </w:p>
    <w:p w:rsidR="002975B4" w:rsidRDefault="002975B4" w:rsidP="002975B4">
      <w:pPr>
        <w:pStyle w:val="Paragrafi0"/>
      </w:pPr>
    </w:p>
    <w:p w:rsidR="002975B4" w:rsidRDefault="002975B4" w:rsidP="002975B4">
      <w:pPr>
        <w:pStyle w:val="Paragrafi0"/>
      </w:pPr>
    </w:p>
    <w:p w:rsidR="002975B4" w:rsidRDefault="002975B4" w:rsidP="002975B4">
      <w:pPr>
        <w:pStyle w:val="Paragrafi0"/>
      </w:pPr>
    </w:p>
    <w:p w:rsidR="002975B4" w:rsidRDefault="002975B4" w:rsidP="002975B4">
      <w:pPr>
        <w:pStyle w:val="Paragrafi0"/>
      </w:pPr>
    </w:p>
    <w:p w:rsidR="002975B4" w:rsidRDefault="002975B4" w:rsidP="002975B4">
      <w:pPr>
        <w:pStyle w:val="Paragrafi0"/>
      </w:pPr>
    </w:p>
    <w:p w:rsidR="002975B4" w:rsidRDefault="002975B4" w:rsidP="002975B4">
      <w:pPr>
        <w:pStyle w:val="Paragrafi0"/>
      </w:pPr>
    </w:p>
    <w:p w:rsidR="002975B4" w:rsidRDefault="002975B4" w:rsidP="002975B4">
      <w:pPr>
        <w:pStyle w:val="Paragrafi0"/>
      </w:pPr>
    </w:p>
    <w:p w:rsidR="002975B4" w:rsidRDefault="002975B4" w:rsidP="002975B4">
      <w:pPr>
        <w:pStyle w:val="Paragrafi0"/>
      </w:pPr>
    </w:p>
    <w:p w:rsidR="002975B4" w:rsidRDefault="002975B4" w:rsidP="002975B4">
      <w:pPr>
        <w:pStyle w:val="Paragrafi0"/>
      </w:pPr>
    </w:p>
    <w:p w:rsidR="002975B4" w:rsidRDefault="002975B4" w:rsidP="002975B4">
      <w:pPr>
        <w:pStyle w:val="Paragrafi0"/>
      </w:pPr>
    </w:p>
    <w:p w:rsidR="002975B4" w:rsidRDefault="002975B4" w:rsidP="002975B4">
      <w:pPr>
        <w:pStyle w:val="Paragrafi0"/>
      </w:pPr>
    </w:p>
    <w:p w:rsidR="002975B4" w:rsidRDefault="002975B4" w:rsidP="002975B4">
      <w:pPr>
        <w:pStyle w:val="Paragrafi0"/>
      </w:pPr>
    </w:p>
    <w:p w:rsidR="002975B4" w:rsidRDefault="002975B4" w:rsidP="002975B4">
      <w:pPr>
        <w:pStyle w:val="Paragrafi0"/>
      </w:pPr>
    </w:p>
    <w:p w:rsidR="002975B4" w:rsidRDefault="002975B4" w:rsidP="002975B4">
      <w:pPr>
        <w:pStyle w:val="Paragrafi0"/>
      </w:pPr>
    </w:p>
    <w:p w:rsidR="002975B4" w:rsidRDefault="002975B4" w:rsidP="002975B4">
      <w:pPr>
        <w:pStyle w:val="Paragrafi0"/>
      </w:pPr>
    </w:p>
    <w:p w:rsidR="002975B4" w:rsidRPr="0017197A" w:rsidRDefault="002975B4" w:rsidP="002975B4">
      <w:pPr>
        <w:pStyle w:val="Paragrafi0"/>
      </w:pPr>
    </w:p>
    <w:p w:rsidR="002975B4" w:rsidRPr="0017197A" w:rsidRDefault="002975B4" w:rsidP="002975B4">
      <w:pPr>
        <w:pStyle w:val="Paragrafi0"/>
        <w:jc w:val="center"/>
      </w:pPr>
      <w:r w:rsidRPr="0017197A">
        <w:t>Figura 1: Harta e ndihmës shtetërore për përcaktimin e zonave thellësisht</w:t>
      </w:r>
    </w:p>
    <w:p w:rsidR="002975B4" w:rsidRPr="0017197A" w:rsidRDefault="002975B4" w:rsidP="002975B4">
      <w:pPr>
        <w:pStyle w:val="Paragrafi0"/>
        <w:jc w:val="center"/>
      </w:pPr>
      <w:r w:rsidRPr="0017197A">
        <w:t>të prapambetura për vitin 2009</w:t>
      </w:r>
    </w:p>
    <w:p w:rsidR="002975B4" w:rsidRDefault="002975B4" w:rsidP="002975B4">
      <w:pPr>
        <w:pStyle w:val="Paragrafi0"/>
      </w:pPr>
      <w:r w:rsidRPr="0017197A">
        <w:t xml:space="preserve"> </w:t>
      </w:r>
    </w:p>
    <w:p w:rsidR="002975B4" w:rsidRDefault="002975B4" w:rsidP="002975B4">
      <w:pPr>
        <w:pStyle w:val="Paragrafi0"/>
      </w:pPr>
    </w:p>
    <w:p w:rsidR="002975B4" w:rsidRPr="00F01D91" w:rsidRDefault="00A725E5" w:rsidP="002975B4">
      <w:pPr>
        <w:pStyle w:val="Paragrafi0"/>
        <w:jc w:val="center"/>
      </w:pPr>
      <w:r w:rsidRPr="00F01D91">
        <w:rPr>
          <w:noProof/>
        </w:rPr>
        <w:drawing>
          <wp:inline distT="0" distB="0" distL="0" distR="0">
            <wp:extent cx="4343400" cy="60674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t="9798"/>
                    <a:stretch>
                      <a:fillRect/>
                    </a:stretch>
                  </pic:blipFill>
                  <pic:spPr bwMode="auto">
                    <a:xfrm>
                      <a:off x="0" y="0"/>
                      <a:ext cx="4343400" cy="6067425"/>
                    </a:xfrm>
                    <a:prstGeom prst="rect">
                      <a:avLst/>
                    </a:prstGeom>
                    <a:noFill/>
                    <a:ln>
                      <a:noFill/>
                    </a:ln>
                  </pic:spPr>
                </pic:pic>
              </a:graphicData>
            </a:graphic>
          </wp:inline>
        </w:drawing>
      </w:r>
    </w:p>
    <w:p w:rsidR="002975B4" w:rsidRDefault="002975B4" w:rsidP="002975B4">
      <w:pPr>
        <w:pStyle w:val="Paragrafi0"/>
        <w:jc w:val="center"/>
      </w:pPr>
    </w:p>
    <w:p w:rsidR="002975B4" w:rsidRDefault="002975B4" w:rsidP="002975B4">
      <w:pPr>
        <w:pStyle w:val="Paragrafi0"/>
        <w:jc w:val="center"/>
      </w:pPr>
    </w:p>
    <w:p w:rsidR="002975B4" w:rsidRDefault="002975B4" w:rsidP="002975B4">
      <w:pPr>
        <w:pStyle w:val="Paragrafi0"/>
        <w:jc w:val="center"/>
      </w:pPr>
    </w:p>
    <w:p w:rsidR="002975B4" w:rsidRDefault="002975B4" w:rsidP="002975B4">
      <w:pPr>
        <w:pStyle w:val="Paragrafi0"/>
        <w:jc w:val="center"/>
      </w:pPr>
    </w:p>
    <w:p w:rsidR="002975B4" w:rsidRDefault="002975B4" w:rsidP="002975B4">
      <w:pPr>
        <w:pStyle w:val="Paragrafi0"/>
        <w:jc w:val="center"/>
      </w:pPr>
    </w:p>
    <w:p w:rsidR="002975B4" w:rsidRDefault="002975B4" w:rsidP="002975B4">
      <w:pPr>
        <w:pStyle w:val="Paragrafi0"/>
        <w:jc w:val="center"/>
      </w:pPr>
    </w:p>
    <w:p w:rsidR="002975B4" w:rsidRDefault="002975B4" w:rsidP="002975B4">
      <w:pPr>
        <w:pStyle w:val="Paragrafi0"/>
        <w:jc w:val="center"/>
      </w:pPr>
    </w:p>
    <w:p w:rsidR="002975B4" w:rsidRDefault="002975B4" w:rsidP="002975B4">
      <w:pPr>
        <w:pStyle w:val="Paragrafi0"/>
        <w:jc w:val="center"/>
      </w:pPr>
    </w:p>
    <w:p w:rsidR="002975B4" w:rsidRDefault="002975B4" w:rsidP="002975B4">
      <w:pPr>
        <w:pStyle w:val="Paragrafi0"/>
        <w:jc w:val="center"/>
      </w:pPr>
    </w:p>
    <w:p w:rsidR="002975B4" w:rsidRDefault="002975B4" w:rsidP="002975B4">
      <w:pPr>
        <w:pStyle w:val="Paragrafi0"/>
        <w:jc w:val="center"/>
      </w:pPr>
    </w:p>
    <w:p w:rsidR="002975B4" w:rsidRDefault="002975B4" w:rsidP="002975B4">
      <w:pPr>
        <w:pStyle w:val="Paragrafi0"/>
        <w:jc w:val="center"/>
      </w:pPr>
    </w:p>
    <w:p w:rsidR="002975B4" w:rsidRDefault="002975B4" w:rsidP="002975B4">
      <w:pPr>
        <w:pStyle w:val="Paragrafi0"/>
        <w:jc w:val="center"/>
      </w:pPr>
    </w:p>
    <w:p w:rsidR="002975B4" w:rsidRDefault="002975B4" w:rsidP="002975B4">
      <w:pPr>
        <w:pStyle w:val="Paragrafi0"/>
        <w:jc w:val="center"/>
      </w:pPr>
    </w:p>
    <w:p w:rsidR="002975B4" w:rsidRDefault="002975B4" w:rsidP="002975B4">
      <w:pPr>
        <w:pStyle w:val="Paragrafi0"/>
        <w:jc w:val="center"/>
      </w:pPr>
      <w:r>
        <w:t>Aneks</w:t>
      </w:r>
    </w:p>
    <w:p w:rsidR="002975B4" w:rsidRPr="00F01D91" w:rsidRDefault="002975B4" w:rsidP="002975B4">
      <w:pPr>
        <w:pStyle w:val="Paragrafi0"/>
        <w:jc w:val="center"/>
      </w:pPr>
      <w:r>
        <w:t>Të dhënat kryesore social-ekonomike në nivel kombëtar dhe për çdo qark</w:t>
      </w:r>
    </w:p>
    <w:p w:rsidR="002975B4" w:rsidRPr="00107429" w:rsidRDefault="00A725E5" w:rsidP="002975B4">
      <w:pPr>
        <w:pStyle w:val="Paragrafi0"/>
      </w:pPr>
      <w:r w:rsidRPr="00107429">
        <w:rPr>
          <w:noProof/>
        </w:rPr>
        <w:drawing>
          <wp:inline distT="0" distB="0" distL="0" distR="0">
            <wp:extent cx="4829175" cy="40100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t="29630" b="5473"/>
                    <a:stretch>
                      <a:fillRect/>
                    </a:stretch>
                  </pic:blipFill>
                  <pic:spPr bwMode="auto">
                    <a:xfrm>
                      <a:off x="0" y="0"/>
                      <a:ext cx="4829175" cy="4010025"/>
                    </a:xfrm>
                    <a:prstGeom prst="rect">
                      <a:avLst/>
                    </a:prstGeom>
                    <a:noFill/>
                    <a:ln>
                      <a:noFill/>
                    </a:ln>
                  </pic:spPr>
                </pic:pic>
              </a:graphicData>
            </a:graphic>
          </wp:inline>
        </w:drawing>
      </w:r>
    </w:p>
    <w:p w:rsidR="002975B4" w:rsidRDefault="002975B4" w:rsidP="002975B4">
      <w:pPr>
        <w:pStyle w:val="Paragrafi0"/>
        <w:ind w:firstLine="0"/>
      </w:pPr>
    </w:p>
    <w:p w:rsidR="002975B4" w:rsidRDefault="002975B4" w:rsidP="002975B4">
      <w:pPr>
        <w:pStyle w:val="Paragrafi0"/>
        <w:ind w:left="720"/>
      </w:pPr>
      <w:r>
        <w:t>Burimi: INSTAT, Treguesit sipas qarqeve 2006/2007</w:t>
      </w:r>
    </w:p>
    <w:p w:rsidR="002975B4" w:rsidRDefault="002975B4" w:rsidP="002975B4">
      <w:pPr>
        <w:pStyle w:val="Paragrafi0"/>
      </w:pPr>
    </w:p>
    <w:p w:rsidR="002975B4" w:rsidRDefault="002975B4" w:rsidP="002975B4">
      <w:pPr>
        <w:pStyle w:val="Paragrafi0"/>
      </w:pPr>
    </w:p>
    <w:p w:rsidR="002975B4" w:rsidRDefault="002975B4" w:rsidP="002975B4">
      <w:pPr>
        <w:pStyle w:val="Paragrafi0"/>
      </w:pPr>
    </w:p>
    <w:p w:rsidR="002975B4" w:rsidRDefault="002975B4" w:rsidP="002975B4">
      <w:pPr>
        <w:pStyle w:val="Paragrafi0"/>
      </w:pPr>
    </w:p>
    <w:p w:rsidR="002975B4" w:rsidRDefault="002975B4" w:rsidP="002975B4">
      <w:pPr>
        <w:pStyle w:val="Paragrafi0"/>
      </w:pPr>
    </w:p>
    <w:p w:rsidR="002975B4" w:rsidRDefault="002975B4" w:rsidP="002975B4">
      <w:pPr>
        <w:pStyle w:val="Paragrafi0"/>
      </w:pPr>
    </w:p>
    <w:p w:rsidR="002975B4" w:rsidRDefault="002975B4" w:rsidP="002975B4">
      <w:pPr>
        <w:pStyle w:val="Paragrafi0"/>
      </w:pPr>
    </w:p>
    <w:p w:rsidR="002975B4" w:rsidRDefault="002975B4" w:rsidP="002975B4">
      <w:pPr>
        <w:pStyle w:val="Paragrafi0"/>
        <w:ind w:firstLine="0"/>
      </w:pPr>
    </w:p>
    <w:p w:rsidR="002975B4" w:rsidRDefault="002975B4" w:rsidP="002975B4">
      <w:pPr>
        <w:pStyle w:val="Paragrafi0"/>
        <w:ind w:firstLine="0"/>
      </w:pPr>
    </w:p>
    <w:p w:rsidR="002975B4" w:rsidRDefault="002975B4" w:rsidP="002975B4">
      <w:pPr>
        <w:pStyle w:val="Paragrafi0"/>
        <w:ind w:firstLine="0"/>
      </w:pPr>
    </w:p>
    <w:p w:rsidR="002975B4" w:rsidRDefault="002975B4" w:rsidP="002975B4">
      <w:pPr>
        <w:pStyle w:val="Paragrafi0"/>
        <w:ind w:firstLine="0"/>
      </w:pPr>
    </w:p>
    <w:p w:rsidR="002975B4" w:rsidRDefault="002975B4" w:rsidP="002975B4">
      <w:pPr>
        <w:pStyle w:val="Paragrafi0"/>
        <w:ind w:firstLine="0"/>
      </w:pPr>
    </w:p>
    <w:p w:rsidR="002975B4" w:rsidRDefault="002975B4" w:rsidP="002975B4">
      <w:pPr>
        <w:pStyle w:val="Paragrafi0"/>
        <w:ind w:firstLine="0"/>
      </w:pPr>
    </w:p>
    <w:p w:rsidR="002975B4" w:rsidRDefault="002975B4" w:rsidP="002975B4">
      <w:pPr>
        <w:pStyle w:val="Paragrafi0"/>
        <w:ind w:firstLine="0"/>
      </w:pPr>
    </w:p>
    <w:p w:rsidR="002975B4" w:rsidRDefault="002975B4" w:rsidP="002975B4">
      <w:pPr>
        <w:pStyle w:val="Paragrafi0"/>
        <w:ind w:firstLine="0"/>
      </w:pPr>
    </w:p>
    <w:p w:rsidR="002975B4" w:rsidRDefault="002975B4" w:rsidP="002975B4">
      <w:pPr>
        <w:pStyle w:val="Paragrafi0"/>
        <w:ind w:firstLine="0"/>
      </w:pPr>
    </w:p>
    <w:p w:rsidR="002975B4" w:rsidRDefault="002975B4" w:rsidP="002975B4">
      <w:pPr>
        <w:pStyle w:val="Paragrafi0"/>
        <w:ind w:firstLine="0"/>
      </w:pPr>
    </w:p>
    <w:p w:rsidR="002975B4" w:rsidRDefault="002975B4" w:rsidP="002975B4">
      <w:pPr>
        <w:pStyle w:val="Paragrafi0"/>
        <w:ind w:firstLine="0"/>
      </w:pPr>
    </w:p>
    <w:p w:rsidR="002975B4" w:rsidRPr="0046230F" w:rsidRDefault="00A725E5" w:rsidP="002975B4">
      <w:pPr>
        <w:pStyle w:val="Paragrafi0"/>
        <w:ind w:firstLine="0"/>
      </w:pPr>
      <w:r w:rsidRPr="0046230F">
        <w:rPr>
          <w:noProof/>
        </w:rPr>
        <w:drawing>
          <wp:inline distT="0" distB="0" distL="0" distR="0">
            <wp:extent cx="5486400" cy="7239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86400" cy="7239000"/>
                    </a:xfrm>
                    <a:prstGeom prst="rect">
                      <a:avLst/>
                    </a:prstGeom>
                    <a:noFill/>
                    <a:ln>
                      <a:noFill/>
                    </a:ln>
                  </pic:spPr>
                </pic:pic>
              </a:graphicData>
            </a:graphic>
          </wp:inline>
        </w:drawing>
      </w:r>
    </w:p>
    <w:p w:rsidR="002975B4" w:rsidRDefault="002975B4" w:rsidP="002975B4">
      <w:pPr>
        <w:pStyle w:val="Paragrafi0"/>
        <w:ind w:firstLine="0"/>
      </w:pPr>
    </w:p>
    <w:p w:rsidR="002975B4" w:rsidRDefault="002975B4" w:rsidP="002975B4">
      <w:pPr>
        <w:pStyle w:val="Paragrafi0"/>
        <w:ind w:firstLine="0"/>
        <w:jc w:val="center"/>
      </w:pPr>
    </w:p>
    <w:p w:rsidR="002975B4" w:rsidRDefault="002975B4" w:rsidP="002975B4">
      <w:pPr>
        <w:pStyle w:val="Paragrafi0"/>
        <w:ind w:firstLine="0"/>
        <w:jc w:val="center"/>
      </w:pPr>
    </w:p>
    <w:p w:rsidR="002975B4" w:rsidRDefault="002975B4" w:rsidP="002975B4">
      <w:pPr>
        <w:pStyle w:val="Paragrafi0"/>
        <w:ind w:firstLine="0"/>
        <w:jc w:val="center"/>
      </w:pPr>
    </w:p>
    <w:p w:rsidR="002975B4" w:rsidRPr="00107429" w:rsidRDefault="002975B4" w:rsidP="002975B4">
      <w:pPr>
        <w:pStyle w:val="Paragrafi0"/>
        <w:ind w:firstLine="0"/>
        <w:jc w:val="center"/>
      </w:pPr>
    </w:p>
    <w:p w:rsidR="002975B4" w:rsidRDefault="002975B4" w:rsidP="002975B4">
      <w:pPr>
        <w:pStyle w:val="Paragrafi0"/>
      </w:pPr>
    </w:p>
    <w:p w:rsidR="002975B4" w:rsidRDefault="002975B4" w:rsidP="002975B4">
      <w:pPr>
        <w:pStyle w:val="Paragrafi0"/>
      </w:pPr>
    </w:p>
    <w:p w:rsidR="002975B4" w:rsidRPr="00485779" w:rsidRDefault="00A725E5" w:rsidP="002975B4">
      <w:pPr>
        <w:pStyle w:val="Paragrafi0"/>
        <w:ind w:firstLine="0"/>
      </w:pPr>
      <w:r w:rsidRPr="00485779">
        <w:rPr>
          <w:noProof/>
        </w:rPr>
        <w:drawing>
          <wp:inline distT="0" distB="0" distL="0" distR="0">
            <wp:extent cx="5476875" cy="708660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76875" cy="7086600"/>
                    </a:xfrm>
                    <a:prstGeom prst="rect">
                      <a:avLst/>
                    </a:prstGeom>
                    <a:noFill/>
                    <a:ln>
                      <a:noFill/>
                    </a:ln>
                  </pic:spPr>
                </pic:pic>
              </a:graphicData>
            </a:graphic>
          </wp:inline>
        </w:drawing>
      </w:r>
    </w:p>
    <w:p w:rsidR="002975B4" w:rsidRDefault="002975B4" w:rsidP="002975B4">
      <w:pPr>
        <w:pStyle w:val="Paragrafi0"/>
        <w:ind w:firstLine="0"/>
      </w:pPr>
    </w:p>
    <w:p w:rsidR="002975B4" w:rsidRDefault="002975B4" w:rsidP="002975B4">
      <w:pPr>
        <w:pStyle w:val="Paragrafi0"/>
        <w:ind w:firstLine="0"/>
      </w:pPr>
    </w:p>
    <w:p w:rsidR="002975B4" w:rsidRDefault="002975B4" w:rsidP="002975B4">
      <w:pPr>
        <w:pStyle w:val="Paragrafi0"/>
        <w:ind w:firstLine="0"/>
      </w:pPr>
    </w:p>
    <w:p w:rsidR="002975B4" w:rsidRDefault="002975B4" w:rsidP="002975B4">
      <w:pPr>
        <w:pStyle w:val="Paragrafi0"/>
        <w:ind w:firstLine="0"/>
      </w:pPr>
    </w:p>
    <w:p w:rsidR="002975B4" w:rsidRDefault="002975B4" w:rsidP="002975B4">
      <w:pPr>
        <w:pStyle w:val="Paragrafi0"/>
        <w:ind w:firstLine="0"/>
      </w:pPr>
    </w:p>
    <w:p w:rsidR="002975B4" w:rsidRDefault="002975B4" w:rsidP="002975B4">
      <w:pPr>
        <w:pStyle w:val="Paragrafi0"/>
        <w:ind w:firstLine="0"/>
      </w:pPr>
    </w:p>
    <w:p w:rsidR="002975B4" w:rsidRDefault="002975B4" w:rsidP="002975B4">
      <w:pPr>
        <w:pStyle w:val="Paragrafi0"/>
        <w:ind w:firstLine="0"/>
      </w:pPr>
    </w:p>
    <w:p w:rsidR="002975B4" w:rsidRDefault="002975B4" w:rsidP="002975B4">
      <w:pPr>
        <w:pStyle w:val="Paragrafi0"/>
        <w:ind w:firstLine="0"/>
      </w:pPr>
    </w:p>
    <w:p w:rsidR="002975B4" w:rsidRDefault="002975B4" w:rsidP="002975B4">
      <w:pPr>
        <w:pStyle w:val="Paragrafi0"/>
        <w:ind w:firstLine="0"/>
      </w:pPr>
    </w:p>
    <w:p w:rsidR="002975B4" w:rsidRDefault="002975B4" w:rsidP="002975B4">
      <w:pPr>
        <w:pStyle w:val="Paragrafi0"/>
        <w:ind w:firstLine="0"/>
      </w:pPr>
    </w:p>
    <w:p w:rsidR="002975B4" w:rsidRPr="005952C8" w:rsidRDefault="00A725E5" w:rsidP="002975B4">
      <w:pPr>
        <w:pStyle w:val="Paragrafi0"/>
        <w:ind w:firstLine="0"/>
      </w:pPr>
      <w:r w:rsidRPr="005952C8">
        <w:rPr>
          <w:noProof/>
        </w:rPr>
        <w:drawing>
          <wp:inline distT="0" distB="0" distL="0" distR="0">
            <wp:extent cx="5753100" cy="762952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53100" cy="7629525"/>
                    </a:xfrm>
                    <a:prstGeom prst="rect">
                      <a:avLst/>
                    </a:prstGeom>
                    <a:noFill/>
                    <a:ln>
                      <a:noFill/>
                    </a:ln>
                  </pic:spPr>
                </pic:pic>
              </a:graphicData>
            </a:graphic>
          </wp:inline>
        </w:drawing>
      </w:r>
    </w:p>
    <w:p w:rsidR="002975B4" w:rsidRDefault="002975B4" w:rsidP="002975B4">
      <w:pPr>
        <w:pStyle w:val="Paragrafi0"/>
        <w:ind w:firstLine="0"/>
      </w:pPr>
    </w:p>
    <w:p w:rsidR="002975B4" w:rsidRDefault="002975B4" w:rsidP="002975B4">
      <w:pPr>
        <w:pStyle w:val="Paragrafi0"/>
        <w:ind w:firstLine="0"/>
      </w:pPr>
    </w:p>
    <w:p w:rsidR="002975B4" w:rsidRDefault="002975B4" w:rsidP="002975B4">
      <w:pPr>
        <w:pStyle w:val="Paragrafi0"/>
        <w:ind w:firstLine="0"/>
      </w:pPr>
    </w:p>
    <w:p w:rsidR="002975B4" w:rsidRDefault="002975B4" w:rsidP="002975B4">
      <w:pPr>
        <w:pStyle w:val="Paragrafi0"/>
        <w:ind w:firstLine="0"/>
      </w:pPr>
    </w:p>
    <w:p w:rsidR="002975B4" w:rsidRDefault="002975B4" w:rsidP="002975B4">
      <w:pPr>
        <w:pStyle w:val="Paragrafi0"/>
        <w:ind w:firstLine="0"/>
      </w:pPr>
    </w:p>
    <w:p w:rsidR="002975B4" w:rsidRDefault="002975B4" w:rsidP="002975B4">
      <w:pPr>
        <w:pStyle w:val="Paragrafi0"/>
        <w:ind w:firstLine="0"/>
      </w:pPr>
    </w:p>
    <w:p w:rsidR="002975B4" w:rsidRDefault="002975B4" w:rsidP="002975B4">
      <w:pPr>
        <w:pStyle w:val="Paragrafi0"/>
        <w:ind w:firstLine="0"/>
      </w:pPr>
    </w:p>
    <w:p w:rsidR="002975B4" w:rsidRDefault="002975B4" w:rsidP="002975B4">
      <w:pPr>
        <w:pStyle w:val="Paragrafi0"/>
        <w:ind w:firstLine="0"/>
      </w:pPr>
    </w:p>
    <w:p w:rsidR="002975B4" w:rsidRPr="00107429" w:rsidRDefault="002975B4" w:rsidP="002975B4">
      <w:pPr>
        <w:pStyle w:val="Paragrafi0"/>
      </w:pPr>
    </w:p>
    <w:p w:rsidR="002975B4" w:rsidRPr="00F60A35" w:rsidRDefault="00A725E5" w:rsidP="002975B4">
      <w:pPr>
        <w:pStyle w:val="Paragrafi0"/>
        <w:ind w:firstLine="0"/>
      </w:pPr>
      <w:r w:rsidRPr="00F60A35">
        <w:rPr>
          <w:noProof/>
        </w:rPr>
        <w:drawing>
          <wp:inline distT="0" distB="0" distL="0" distR="0">
            <wp:extent cx="5486400" cy="68008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86400" cy="6800850"/>
                    </a:xfrm>
                    <a:prstGeom prst="rect">
                      <a:avLst/>
                    </a:prstGeom>
                    <a:noFill/>
                    <a:ln>
                      <a:noFill/>
                    </a:ln>
                  </pic:spPr>
                </pic:pic>
              </a:graphicData>
            </a:graphic>
          </wp:inline>
        </w:drawing>
      </w:r>
    </w:p>
    <w:p w:rsidR="002975B4" w:rsidRPr="0017197A" w:rsidRDefault="002975B4" w:rsidP="002975B4">
      <w:pPr>
        <w:pStyle w:val="Paragrafi0"/>
      </w:pPr>
      <w:r w:rsidRPr="0017197A">
        <w:t xml:space="preserve"> </w:t>
      </w:r>
    </w:p>
    <w:p w:rsidR="002975B4" w:rsidRPr="0017197A" w:rsidRDefault="002975B4" w:rsidP="002975B4">
      <w:pPr>
        <w:pStyle w:val="Paragrafi0"/>
      </w:pPr>
      <w:r w:rsidRPr="0017197A">
        <w:t xml:space="preserve"> </w:t>
      </w:r>
    </w:p>
    <w:p w:rsidR="002975B4" w:rsidRPr="0017197A" w:rsidRDefault="002975B4" w:rsidP="002975B4">
      <w:pPr>
        <w:pStyle w:val="Paragrafi0"/>
        <w:ind w:firstLine="0"/>
      </w:pPr>
    </w:p>
    <w:p w:rsidR="002975B4" w:rsidRPr="0017197A" w:rsidRDefault="002975B4" w:rsidP="002975B4">
      <w:pPr>
        <w:pStyle w:val="Paragrafi0"/>
      </w:pPr>
    </w:p>
    <w:p w:rsidR="002975B4" w:rsidRPr="0017197A" w:rsidRDefault="002975B4" w:rsidP="002975B4">
      <w:pPr>
        <w:pStyle w:val="Paragrafi0"/>
      </w:pPr>
      <w:r w:rsidRPr="0017197A">
        <w:t xml:space="preserve"> </w:t>
      </w:r>
    </w:p>
    <w:p w:rsidR="002975B4" w:rsidRPr="0017197A" w:rsidRDefault="002975B4" w:rsidP="002975B4">
      <w:pPr>
        <w:pStyle w:val="Paragrafi0"/>
      </w:pPr>
      <w:r w:rsidRPr="0017197A">
        <w:t xml:space="preserve"> </w:t>
      </w:r>
    </w:p>
    <w:p w:rsidR="002975B4" w:rsidRPr="0017197A" w:rsidRDefault="002975B4" w:rsidP="002975B4">
      <w:pPr>
        <w:pStyle w:val="Paragrafi0"/>
      </w:pPr>
      <w:r w:rsidRPr="0017197A">
        <w:t xml:space="preserve"> </w:t>
      </w:r>
    </w:p>
    <w:p w:rsidR="002975B4" w:rsidRPr="0017197A" w:rsidRDefault="002975B4" w:rsidP="002975B4">
      <w:pPr>
        <w:pStyle w:val="Paragrafi0"/>
      </w:pPr>
      <w:r w:rsidRPr="0017197A">
        <w:t xml:space="preserve"> </w:t>
      </w:r>
    </w:p>
    <w:p w:rsidR="002975B4" w:rsidRPr="00F60A35" w:rsidRDefault="00A725E5" w:rsidP="002975B4">
      <w:pPr>
        <w:pStyle w:val="Paragrafi0"/>
        <w:ind w:firstLine="0"/>
      </w:pPr>
      <w:r w:rsidRPr="00F60A35">
        <w:rPr>
          <w:noProof/>
        </w:rPr>
        <w:drawing>
          <wp:inline distT="0" distB="0" distL="0" distR="0">
            <wp:extent cx="5476875" cy="67532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76875" cy="6753225"/>
                    </a:xfrm>
                    <a:prstGeom prst="rect">
                      <a:avLst/>
                    </a:prstGeom>
                    <a:noFill/>
                    <a:ln>
                      <a:noFill/>
                    </a:ln>
                  </pic:spPr>
                </pic:pic>
              </a:graphicData>
            </a:graphic>
          </wp:inline>
        </w:drawing>
      </w:r>
    </w:p>
    <w:p w:rsidR="002975B4" w:rsidRPr="0017197A" w:rsidRDefault="002975B4" w:rsidP="002975B4">
      <w:pPr>
        <w:pStyle w:val="Paragrafi0"/>
      </w:pPr>
    </w:p>
    <w:p w:rsidR="002975B4" w:rsidRPr="0017197A" w:rsidRDefault="002975B4" w:rsidP="002975B4">
      <w:pPr>
        <w:pStyle w:val="Paragrafi0"/>
      </w:pPr>
      <w:r w:rsidRPr="0017197A">
        <w:t xml:space="preserve"> </w:t>
      </w:r>
    </w:p>
    <w:p w:rsidR="002975B4" w:rsidRPr="0017197A" w:rsidRDefault="002975B4" w:rsidP="002975B4">
      <w:pPr>
        <w:pStyle w:val="Paragrafi0"/>
      </w:pPr>
      <w:r w:rsidRPr="0017197A">
        <w:t xml:space="preserve"> </w:t>
      </w:r>
    </w:p>
    <w:p w:rsidR="002975B4" w:rsidRPr="0017197A" w:rsidRDefault="002975B4" w:rsidP="002975B4">
      <w:pPr>
        <w:pStyle w:val="Paragrafi0"/>
      </w:pPr>
      <w:r w:rsidRPr="0017197A">
        <w:t xml:space="preserve"> </w:t>
      </w:r>
    </w:p>
    <w:p w:rsidR="002975B4" w:rsidRPr="0017197A" w:rsidRDefault="002975B4" w:rsidP="002975B4">
      <w:pPr>
        <w:pStyle w:val="Paragrafi0"/>
      </w:pPr>
      <w:r w:rsidRPr="0017197A">
        <w:t xml:space="preserve"> </w:t>
      </w:r>
    </w:p>
    <w:p w:rsidR="002975B4" w:rsidRPr="0017197A" w:rsidRDefault="002975B4" w:rsidP="002975B4">
      <w:pPr>
        <w:pStyle w:val="Paragrafi0"/>
      </w:pPr>
    </w:p>
    <w:p w:rsidR="002975B4" w:rsidRPr="0017197A" w:rsidRDefault="002975B4" w:rsidP="002975B4">
      <w:pPr>
        <w:pStyle w:val="Paragrafi0"/>
      </w:pPr>
    </w:p>
    <w:p w:rsidR="002975B4" w:rsidRPr="0017197A" w:rsidRDefault="002975B4" w:rsidP="002975B4">
      <w:pPr>
        <w:pStyle w:val="Paragrafi0"/>
      </w:pPr>
      <w:r w:rsidRPr="0017197A">
        <w:t xml:space="preserve"> </w:t>
      </w:r>
    </w:p>
    <w:p w:rsidR="002975B4" w:rsidRPr="00F60A35" w:rsidRDefault="002975B4" w:rsidP="002975B4">
      <w:pPr>
        <w:pStyle w:val="Paragrafi0"/>
        <w:ind w:firstLine="0"/>
      </w:pPr>
      <w:r w:rsidRPr="0017197A">
        <w:t xml:space="preserve"> </w:t>
      </w:r>
      <w:r w:rsidR="00A725E5" w:rsidRPr="00F60A35">
        <w:rPr>
          <w:noProof/>
        </w:rPr>
        <w:drawing>
          <wp:inline distT="0" distB="0" distL="0" distR="0">
            <wp:extent cx="5486400" cy="719137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86400" cy="7191375"/>
                    </a:xfrm>
                    <a:prstGeom prst="rect">
                      <a:avLst/>
                    </a:prstGeom>
                    <a:noFill/>
                    <a:ln>
                      <a:noFill/>
                    </a:ln>
                  </pic:spPr>
                </pic:pic>
              </a:graphicData>
            </a:graphic>
          </wp:inline>
        </w:drawing>
      </w:r>
    </w:p>
    <w:p w:rsidR="002975B4" w:rsidRDefault="002975B4" w:rsidP="002975B4">
      <w:pPr>
        <w:pStyle w:val="Paragrafi0"/>
      </w:pPr>
    </w:p>
    <w:p w:rsidR="002975B4" w:rsidRDefault="002975B4" w:rsidP="002975B4">
      <w:pPr>
        <w:pStyle w:val="Paragrafi0"/>
      </w:pPr>
    </w:p>
    <w:p w:rsidR="002975B4" w:rsidRDefault="002975B4" w:rsidP="002975B4">
      <w:pPr>
        <w:pStyle w:val="Paragrafi0"/>
      </w:pPr>
    </w:p>
    <w:p w:rsidR="002975B4" w:rsidRDefault="002975B4" w:rsidP="002975B4">
      <w:pPr>
        <w:pStyle w:val="Paragrafi0"/>
      </w:pPr>
    </w:p>
    <w:p w:rsidR="002975B4" w:rsidRPr="0017197A" w:rsidRDefault="002975B4" w:rsidP="002975B4">
      <w:pPr>
        <w:pStyle w:val="Paragrafi0"/>
      </w:pPr>
    </w:p>
    <w:p w:rsidR="002975B4" w:rsidRPr="0017197A" w:rsidRDefault="00A725E5" w:rsidP="002975B4">
      <w:pPr>
        <w:pStyle w:val="Paragrafi0"/>
      </w:pPr>
      <w:r w:rsidRPr="00F60A35">
        <w:rPr>
          <w:noProof/>
        </w:rPr>
        <w:drawing>
          <wp:inline distT="0" distB="0" distL="0" distR="0">
            <wp:extent cx="5143500" cy="703897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143500" cy="7038975"/>
                    </a:xfrm>
                    <a:prstGeom prst="rect">
                      <a:avLst/>
                    </a:prstGeom>
                    <a:noFill/>
                    <a:ln>
                      <a:noFill/>
                    </a:ln>
                  </pic:spPr>
                </pic:pic>
              </a:graphicData>
            </a:graphic>
          </wp:inline>
        </w:drawing>
      </w:r>
      <w:r w:rsidR="002975B4" w:rsidRPr="0017197A">
        <w:t xml:space="preserve"> </w:t>
      </w:r>
    </w:p>
    <w:p w:rsidR="002975B4" w:rsidRPr="0017197A" w:rsidRDefault="002975B4" w:rsidP="002975B4">
      <w:pPr>
        <w:pStyle w:val="Paragrafi0"/>
        <w:ind w:firstLine="0"/>
      </w:pPr>
    </w:p>
    <w:p w:rsidR="002975B4" w:rsidRDefault="002975B4" w:rsidP="002975B4">
      <w:pPr>
        <w:pStyle w:val="Paragrafi0"/>
      </w:pPr>
    </w:p>
    <w:p w:rsidR="002975B4" w:rsidRDefault="002975B4" w:rsidP="002975B4">
      <w:pPr>
        <w:pStyle w:val="Paragrafi0"/>
      </w:pPr>
    </w:p>
    <w:p w:rsidR="002975B4" w:rsidRPr="0017197A" w:rsidRDefault="002975B4" w:rsidP="002975B4">
      <w:pPr>
        <w:pStyle w:val="Paragrafi0"/>
      </w:pPr>
    </w:p>
    <w:p w:rsidR="002975B4" w:rsidRPr="0017197A" w:rsidRDefault="002975B4" w:rsidP="002975B4">
      <w:pPr>
        <w:pStyle w:val="Paragrafi0"/>
      </w:pPr>
      <w:r w:rsidRPr="0017197A">
        <w:t xml:space="preserve"> </w:t>
      </w:r>
    </w:p>
    <w:p w:rsidR="002975B4" w:rsidRPr="0017197A" w:rsidRDefault="002975B4" w:rsidP="002975B4">
      <w:pPr>
        <w:pStyle w:val="Paragrafi0"/>
      </w:pPr>
    </w:p>
    <w:p w:rsidR="002975B4" w:rsidRPr="0017197A" w:rsidRDefault="00A725E5" w:rsidP="002975B4">
      <w:pPr>
        <w:pStyle w:val="Paragrafi0"/>
      </w:pPr>
      <w:r w:rsidRPr="0017197A">
        <w:rPr>
          <w:noProof/>
        </w:rPr>
        <w:drawing>
          <wp:inline distT="0" distB="0" distL="0" distR="0">
            <wp:extent cx="5372100" cy="696277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372100" cy="6962775"/>
                    </a:xfrm>
                    <a:prstGeom prst="rect">
                      <a:avLst/>
                    </a:prstGeom>
                    <a:noFill/>
                    <a:ln>
                      <a:noFill/>
                    </a:ln>
                  </pic:spPr>
                </pic:pic>
              </a:graphicData>
            </a:graphic>
          </wp:inline>
        </w:drawing>
      </w:r>
      <w:r w:rsidR="002975B4" w:rsidRPr="0017197A">
        <w:t xml:space="preserve"> </w:t>
      </w:r>
    </w:p>
    <w:p w:rsidR="002975B4" w:rsidRPr="0017197A" w:rsidRDefault="002975B4" w:rsidP="002975B4">
      <w:pPr>
        <w:pStyle w:val="Paragrafi0"/>
      </w:pPr>
      <w:r w:rsidRPr="0017197A">
        <w:t xml:space="preserve"> </w:t>
      </w:r>
    </w:p>
    <w:p w:rsidR="002975B4" w:rsidRPr="0017197A" w:rsidRDefault="002975B4" w:rsidP="002975B4">
      <w:pPr>
        <w:pStyle w:val="Paragrafi0"/>
      </w:pPr>
      <w:r w:rsidRPr="0017197A">
        <w:t xml:space="preserve"> </w:t>
      </w:r>
    </w:p>
    <w:p w:rsidR="002975B4" w:rsidRPr="0017197A" w:rsidRDefault="002975B4" w:rsidP="002975B4">
      <w:pPr>
        <w:pStyle w:val="Paragrafi0"/>
      </w:pPr>
      <w:r w:rsidRPr="0017197A">
        <w:t xml:space="preserve"> </w:t>
      </w:r>
    </w:p>
    <w:p w:rsidR="002975B4" w:rsidRPr="0017197A" w:rsidRDefault="002975B4" w:rsidP="002975B4">
      <w:pPr>
        <w:pStyle w:val="Paragrafi0"/>
      </w:pPr>
    </w:p>
    <w:p w:rsidR="002975B4" w:rsidRPr="0017197A" w:rsidRDefault="00A725E5" w:rsidP="002975B4">
      <w:pPr>
        <w:pStyle w:val="Paragrafi0"/>
      </w:pPr>
      <w:r w:rsidRPr="0017197A">
        <w:rPr>
          <w:noProof/>
        </w:rPr>
        <w:drawing>
          <wp:inline distT="0" distB="0" distL="0" distR="0">
            <wp:extent cx="5257800" cy="7019925"/>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257800" cy="7019925"/>
                    </a:xfrm>
                    <a:prstGeom prst="rect">
                      <a:avLst/>
                    </a:prstGeom>
                    <a:noFill/>
                    <a:ln>
                      <a:noFill/>
                    </a:ln>
                  </pic:spPr>
                </pic:pic>
              </a:graphicData>
            </a:graphic>
          </wp:inline>
        </w:drawing>
      </w:r>
      <w:r w:rsidR="002975B4" w:rsidRPr="0017197A">
        <w:t xml:space="preserve"> </w:t>
      </w:r>
    </w:p>
    <w:p w:rsidR="002975B4" w:rsidRPr="0017197A" w:rsidRDefault="002975B4" w:rsidP="002975B4">
      <w:pPr>
        <w:pStyle w:val="Paragrafi0"/>
      </w:pPr>
      <w:r w:rsidRPr="0017197A">
        <w:t xml:space="preserve"> </w:t>
      </w:r>
    </w:p>
    <w:p w:rsidR="002975B4" w:rsidRPr="0017197A" w:rsidRDefault="002975B4" w:rsidP="002975B4">
      <w:pPr>
        <w:pStyle w:val="Paragrafi0"/>
      </w:pPr>
      <w:r w:rsidRPr="0017197A">
        <w:t xml:space="preserve"> </w:t>
      </w:r>
    </w:p>
    <w:p w:rsidR="002975B4" w:rsidRPr="0017197A" w:rsidRDefault="002975B4" w:rsidP="002975B4">
      <w:pPr>
        <w:pStyle w:val="Paragrafi0"/>
      </w:pPr>
      <w:r w:rsidRPr="0017197A">
        <w:t xml:space="preserve"> </w:t>
      </w:r>
    </w:p>
    <w:p w:rsidR="002975B4" w:rsidRPr="0017197A" w:rsidRDefault="002975B4" w:rsidP="002975B4">
      <w:pPr>
        <w:pStyle w:val="Paragrafi0"/>
      </w:pPr>
      <w:r w:rsidRPr="0017197A">
        <w:t xml:space="preserve">  </w:t>
      </w:r>
    </w:p>
    <w:p w:rsidR="002975B4" w:rsidRPr="0017197A" w:rsidRDefault="002975B4" w:rsidP="002975B4">
      <w:pPr>
        <w:pStyle w:val="Paragrafi0"/>
      </w:pPr>
      <w:r w:rsidRPr="0017197A">
        <w:t xml:space="preserve"> </w:t>
      </w:r>
    </w:p>
    <w:p w:rsidR="002975B4" w:rsidRPr="0017197A" w:rsidRDefault="002975B4" w:rsidP="002975B4">
      <w:pPr>
        <w:pStyle w:val="Paragrafi0"/>
      </w:pPr>
      <w:r w:rsidRPr="0017197A">
        <w:t xml:space="preserve"> </w:t>
      </w:r>
    </w:p>
    <w:p w:rsidR="002975B4" w:rsidRPr="0017197A" w:rsidRDefault="002975B4" w:rsidP="002975B4">
      <w:pPr>
        <w:pStyle w:val="Paragrafi0"/>
      </w:pPr>
      <w:r w:rsidRPr="0017197A">
        <w:t xml:space="preserve"> </w:t>
      </w:r>
    </w:p>
    <w:p w:rsidR="002975B4" w:rsidRPr="0017197A" w:rsidRDefault="00A725E5" w:rsidP="002975B4">
      <w:pPr>
        <w:pStyle w:val="Paragrafi0"/>
      </w:pPr>
      <w:r w:rsidRPr="0017197A">
        <w:rPr>
          <w:noProof/>
        </w:rPr>
        <w:drawing>
          <wp:inline distT="0" distB="0" distL="0" distR="0">
            <wp:extent cx="5095875" cy="693420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095875" cy="6934200"/>
                    </a:xfrm>
                    <a:prstGeom prst="rect">
                      <a:avLst/>
                    </a:prstGeom>
                    <a:noFill/>
                    <a:ln>
                      <a:noFill/>
                    </a:ln>
                  </pic:spPr>
                </pic:pic>
              </a:graphicData>
            </a:graphic>
          </wp:inline>
        </w:drawing>
      </w:r>
    </w:p>
    <w:p w:rsidR="002975B4" w:rsidRPr="0017197A" w:rsidRDefault="002975B4" w:rsidP="002975B4">
      <w:pPr>
        <w:pStyle w:val="Paragrafi0"/>
      </w:pPr>
    </w:p>
    <w:p w:rsidR="002975B4" w:rsidRPr="0017197A" w:rsidRDefault="00A725E5" w:rsidP="002975B4">
      <w:pPr>
        <w:pStyle w:val="Paragrafi0"/>
      </w:pPr>
      <w:r w:rsidRPr="0017197A">
        <w:rPr>
          <w:noProof/>
        </w:rPr>
        <w:drawing>
          <wp:inline distT="0" distB="0" distL="0" distR="0">
            <wp:extent cx="5257800" cy="715327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257800" cy="7153275"/>
                    </a:xfrm>
                    <a:prstGeom prst="rect">
                      <a:avLst/>
                    </a:prstGeom>
                    <a:noFill/>
                    <a:ln>
                      <a:noFill/>
                    </a:ln>
                  </pic:spPr>
                </pic:pic>
              </a:graphicData>
            </a:graphic>
          </wp:inline>
        </w:drawing>
      </w:r>
      <w:r w:rsidR="002975B4" w:rsidRPr="0017197A">
        <w:t xml:space="preserve"> </w:t>
      </w:r>
    </w:p>
    <w:p w:rsidR="002975B4" w:rsidRPr="0017197A" w:rsidRDefault="002975B4" w:rsidP="002975B4">
      <w:pPr>
        <w:pStyle w:val="Paragrafi0"/>
      </w:pPr>
      <w:r w:rsidRPr="0017197A">
        <w:t xml:space="preserve"> </w:t>
      </w:r>
    </w:p>
    <w:p w:rsidR="002975B4" w:rsidRPr="0017197A" w:rsidRDefault="002975B4" w:rsidP="002975B4">
      <w:pPr>
        <w:pStyle w:val="Paragrafi0"/>
      </w:pPr>
      <w:r w:rsidRPr="0017197A">
        <w:t xml:space="preserve"> </w:t>
      </w:r>
    </w:p>
    <w:p w:rsidR="002975B4" w:rsidRPr="0017197A" w:rsidRDefault="002975B4" w:rsidP="002975B4">
      <w:pPr>
        <w:pStyle w:val="Paragrafi0"/>
      </w:pPr>
      <w:r w:rsidRPr="0017197A">
        <w:t xml:space="preserve"> </w:t>
      </w:r>
    </w:p>
    <w:p w:rsidR="002975B4" w:rsidRPr="0017197A" w:rsidRDefault="002975B4" w:rsidP="002975B4">
      <w:pPr>
        <w:pStyle w:val="Paragrafi0"/>
      </w:pPr>
    </w:p>
    <w:p w:rsidR="002975B4" w:rsidRPr="0017197A" w:rsidRDefault="00A725E5" w:rsidP="002975B4">
      <w:pPr>
        <w:pStyle w:val="Figure"/>
      </w:pPr>
      <w:r w:rsidRPr="0017197A">
        <w:rPr>
          <w:noProof/>
        </w:rPr>
        <w:drawing>
          <wp:inline distT="0" distB="0" distL="0" distR="0">
            <wp:extent cx="5257800" cy="7115175"/>
            <wp:effectExtent l="0" t="0" r="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57800" cy="7115175"/>
                    </a:xfrm>
                    <a:prstGeom prst="rect">
                      <a:avLst/>
                    </a:prstGeom>
                    <a:noFill/>
                    <a:ln>
                      <a:noFill/>
                    </a:ln>
                  </pic:spPr>
                </pic:pic>
              </a:graphicData>
            </a:graphic>
          </wp:inline>
        </w:drawing>
      </w:r>
      <w:r w:rsidR="002975B4" w:rsidRPr="0017197A">
        <w:t xml:space="preserve"> </w:t>
      </w:r>
    </w:p>
    <w:sectPr w:rsidR="002975B4" w:rsidRPr="0017197A">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F3BEB" w:rsidRDefault="007F3BEB">
      <w:r>
        <w:separator/>
      </w:r>
    </w:p>
  </w:endnote>
  <w:endnote w:type="continuationSeparator" w:id="0">
    <w:p w:rsidR="007F3BEB" w:rsidRDefault="007F3B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F3BEB" w:rsidRDefault="007F3BEB">
      <w:r>
        <w:separator/>
      </w:r>
    </w:p>
  </w:footnote>
  <w:footnote w:type="continuationSeparator" w:id="0">
    <w:p w:rsidR="007F3BEB" w:rsidRDefault="007F3BEB">
      <w:r>
        <w:continuationSeparator/>
      </w:r>
    </w:p>
  </w:footnote>
  <w:footnote w:id="1">
    <w:p w:rsidR="002975B4" w:rsidRPr="00494865" w:rsidRDefault="002975B4" w:rsidP="002975B4">
      <w:pPr>
        <w:pStyle w:val="Paragrafi0"/>
        <w:ind w:firstLine="0"/>
        <w:rPr>
          <w:sz w:val="18"/>
          <w:szCs w:val="18"/>
        </w:rPr>
      </w:pPr>
      <w:r>
        <w:rPr>
          <w:rStyle w:val="FootnoteReference"/>
        </w:rPr>
        <w:footnoteRef/>
      </w:r>
      <w:r>
        <w:t xml:space="preserve"> </w:t>
      </w:r>
      <w:r w:rsidRPr="00494865">
        <w:rPr>
          <w:sz w:val="18"/>
          <w:szCs w:val="18"/>
        </w:rPr>
        <w:t>Marrëveshja e Stabilizim Asoci</w:t>
      </w:r>
      <w:r>
        <w:rPr>
          <w:sz w:val="18"/>
          <w:szCs w:val="18"/>
        </w:rPr>
        <w:t>i</w:t>
      </w:r>
      <w:r w:rsidRPr="00494865">
        <w:rPr>
          <w:sz w:val="18"/>
          <w:szCs w:val="18"/>
        </w:rPr>
        <w:t>mit (MSA) midis Komunitetit Eur</w:t>
      </w:r>
      <w:r>
        <w:rPr>
          <w:sz w:val="18"/>
          <w:szCs w:val="18"/>
        </w:rPr>
        <w:t>opian dhe shteteve a</w:t>
      </w:r>
      <w:r w:rsidRPr="00494865">
        <w:rPr>
          <w:sz w:val="18"/>
          <w:szCs w:val="18"/>
        </w:rPr>
        <w:t xml:space="preserve">nëtare nga njëra anë dhe  Republikës së Shqipërisë nga ana tjetër, nënshkruar në Luksemburg , 12 qershor 2006. </w:t>
      </w:r>
    </w:p>
  </w:footnote>
  <w:footnote w:id="2">
    <w:p w:rsidR="002975B4" w:rsidRPr="00494865" w:rsidRDefault="002975B4" w:rsidP="002975B4">
      <w:pPr>
        <w:pStyle w:val="Paragrafi0"/>
        <w:ind w:firstLine="0"/>
        <w:rPr>
          <w:sz w:val="18"/>
          <w:szCs w:val="18"/>
        </w:rPr>
      </w:pPr>
      <w:r w:rsidRPr="00494865">
        <w:rPr>
          <w:rStyle w:val="FootnoteReference"/>
          <w:sz w:val="18"/>
          <w:szCs w:val="18"/>
        </w:rPr>
        <w:footnoteRef/>
      </w:r>
      <w:r>
        <w:rPr>
          <w:sz w:val="18"/>
          <w:szCs w:val="18"/>
        </w:rPr>
        <w:t xml:space="preserve"> Marrëveshja e n</w:t>
      </w:r>
      <w:r w:rsidRPr="00494865">
        <w:rPr>
          <w:sz w:val="18"/>
          <w:szCs w:val="18"/>
        </w:rPr>
        <w:t xml:space="preserve">dërmjetme mbi tregtinë dhe çështje të lidhura me tregtinë,  midis Komunitetit Europian nga njëra anë dhe Republikës së Shqipërisë nga ana tjetër, 22 maj 2006. </w:t>
      </w:r>
    </w:p>
  </w:footnote>
  <w:footnote w:id="3">
    <w:p w:rsidR="002975B4" w:rsidRPr="00494865" w:rsidRDefault="002975B4" w:rsidP="002975B4">
      <w:pPr>
        <w:pStyle w:val="Paragrafi0"/>
        <w:ind w:firstLine="0"/>
        <w:rPr>
          <w:sz w:val="18"/>
          <w:szCs w:val="18"/>
        </w:rPr>
      </w:pPr>
      <w:r w:rsidRPr="00494865">
        <w:rPr>
          <w:rStyle w:val="FootnoteReference"/>
          <w:sz w:val="18"/>
          <w:szCs w:val="18"/>
        </w:rPr>
        <w:footnoteRef/>
      </w:r>
      <w:r w:rsidRPr="00494865">
        <w:rPr>
          <w:sz w:val="18"/>
          <w:szCs w:val="18"/>
        </w:rPr>
        <w:t xml:space="preserve"> Autoriteti për kontrollin e ndihmës shtetërore në  Republikën e Shqipërisë </w:t>
      </w:r>
    </w:p>
  </w:footnote>
  <w:footnote w:id="4">
    <w:p w:rsidR="002975B4" w:rsidRPr="00494865" w:rsidRDefault="002975B4" w:rsidP="002975B4">
      <w:pPr>
        <w:pStyle w:val="Paragrafi0"/>
        <w:ind w:firstLine="0"/>
        <w:rPr>
          <w:sz w:val="18"/>
          <w:szCs w:val="18"/>
        </w:rPr>
      </w:pPr>
      <w:r w:rsidRPr="00494865">
        <w:rPr>
          <w:rStyle w:val="FootnoteReference"/>
          <w:sz w:val="18"/>
          <w:szCs w:val="18"/>
        </w:rPr>
        <w:footnoteRef/>
      </w:r>
      <w:r w:rsidRPr="00494865">
        <w:t xml:space="preserve"> </w:t>
      </w:r>
      <w:r>
        <w:rPr>
          <w:sz w:val="18"/>
          <w:szCs w:val="18"/>
        </w:rPr>
        <w:t>Rregullorja “Për kushtet dhe procedurat e dhënies së n</w:t>
      </w:r>
      <w:r w:rsidRPr="00494865">
        <w:rPr>
          <w:sz w:val="18"/>
          <w:szCs w:val="18"/>
        </w:rPr>
        <w:t xml:space="preserve">dihmës </w:t>
      </w:r>
      <w:r>
        <w:rPr>
          <w:sz w:val="18"/>
          <w:szCs w:val="18"/>
        </w:rPr>
        <w:t>r</w:t>
      </w:r>
      <w:r w:rsidRPr="00494865">
        <w:rPr>
          <w:sz w:val="18"/>
          <w:szCs w:val="18"/>
        </w:rPr>
        <w:t xml:space="preserve">ajonale”, në bazë të </w:t>
      </w:r>
      <w:r>
        <w:rPr>
          <w:sz w:val="18"/>
          <w:szCs w:val="18"/>
        </w:rPr>
        <w:t>nenit 14 pika 2 të ligjit “Për ndihmën s</w:t>
      </w:r>
      <w:r w:rsidRPr="00494865">
        <w:rPr>
          <w:sz w:val="18"/>
          <w:szCs w:val="18"/>
        </w:rPr>
        <w:t xml:space="preserve">htetërore”. </w:t>
      </w:r>
    </w:p>
  </w:footnote>
  <w:footnote w:id="5">
    <w:p w:rsidR="002975B4" w:rsidRPr="00A6299B" w:rsidRDefault="002975B4" w:rsidP="002975B4">
      <w:pPr>
        <w:pStyle w:val="Paragrafi0"/>
        <w:ind w:firstLine="0"/>
        <w:rPr>
          <w:sz w:val="18"/>
          <w:szCs w:val="18"/>
        </w:rPr>
      </w:pPr>
      <w:r>
        <w:rPr>
          <w:rStyle w:val="FootnoteReference"/>
        </w:rPr>
        <w:footnoteRef/>
      </w:r>
      <w:r>
        <w:t xml:space="preserve"> </w:t>
      </w:r>
      <w:r>
        <w:rPr>
          <w:sz w:val="18"/>
          <w:szCs w:val="18"/>
        </w:rPr>
        <w:t>NUTS (Nomenklatura për njësitë statistikore t</w:t>
      </w:r>
      <w:r w:rsidRPr="00A6299B">
        <w:rPr>
          <w:sz w:val="18"/>
          <w:szCs w:val="18"/>
        </w:rPr>
        <w:t>erritoriale ) është një standard i BE</w:t>
      </w:r>
      <w:r>
        <w:rPr>
          <w:sz w:val="18"/>
          <w:szCs w:val="18"/>
        </w:rPr>
        <w:t>-së</w:t>
      </w:r>
      <w:r w:rsidRPr="00A6299B">
        <w:rPr>
          <w:sz w:val="18"/>
          <w:szCs w:val="18"/>
        </w:rPr>
        <w:t xml:space="preserve"> për ndarjen administrative të vendeve për qëllime statis</w:t>
      </w:r>
      <w:r>
        <w:rPr>
          <w:sz w:val="18"/>
          <w:szCs w:val="18"/>
        </w:rPr>
        <w:t>tikore. NUTS gjen rregullim në r</w:t>
      </w:r>
      <w:r w:rsidRPr="00A6299B">
        <w:rPr>
          <w:sz w:val="18"/>
          <w:szCs w:val="18"/>
        </w:rPr>
        <w:t>regullor</w:t>
      </w:r>
      <w:r>
        <w:rPr>
          <w:sz w:val="18"/>
          <w:szCs w:val="18"/>
        </w:rPr>
        <w:t>en nr.</w:t>
      </w:r>
      <w:r w:rsidRPr="00A6299B">
        <w:rPr>
          <w:sz w:val="18"/>
          <w:szCs w:val="18"/>
        </w:rPr>
        <w:t xml:space="preserve">1059/2003 të Parlamentit dhe Këshillit Europian të datës 26 maj 2003 “Mbi krijimin e një klasifikimi të përbashkët e njësive territoriale për </w:t>
      </w:r>
      <w:r>
        <w:rPr>
          <w:sz w:val="18"/>
          <w:szCs w:val="18"/>
        </w:rPr>
        <w:t>statistikat” OJ L 154, datë 21.</w:t>
      </w:r>
      <w:r w:rsidRPr="00A6299B">
        <w:rPr>
          <w:sz w:val="18"/>
          <w:szCs w:val="18"/>
        </w:rPr>
        <w:t>6.2003</w:t>
      </w:r>
      <w:r>
        <w:rPr>
          <w:sz w:val="18"/>
          <w:szCs w:val="18"/>
        </w:rPr>
        <w:t>,</w:t>
      </w:r>
      <w:r w:rsidRPr="00A6299B">
        <w:rPr>
          <w:sz w:val="18"/>
          <w:szCs w:val="18"/>
        </w:rPr>
        <w:t xml:space="preserve"> faqe 1. Nomenklatur</w:t>
      </w:r>
      <w:r>
        <w:rPr>
          <w:sz w:val="18"/>
          <w:szCs w:val="18"/>
        </w:rPr>
        <w:t xml:space="preserve">a e NUTS përdoret nga EUROSTAT </w:t>
      </w:r>
      <w:r w:rsidRPr="00A6299B">
        <w:rPr>
          <w:sz w:val="18"/>
          <w:szCs w:val="18"/>
        </w:rPr>
        <w:t>si referencë për  mbledhjen, zhvillimin dhe harmonizimin e statistikave rajonale të BE</w:t>
      </w:r>
      <w:r>
        <w:rPr>
          <w:sz w:val="18"/>
          <w:szCs w:val="18"/>
        </w:rPr>
        <w:t>-së,</w:t>
      </w:r>
      <w:r w:rsidRPr="00A6299B">
        <w:rPr>
          <w:sz w:val="18"/>
          <w:szCs w:val="18"/>
        </w:rPr>
        <w:t xml:space="preserve">  si dhe për analizën socio-ekonomike të rajoneve. Rajonet e NUTS II  kanë një popullsi midis 800.000 dhe 3 milion banorëve.</w:t>
      </w:r>
      <w:r w:rsidRPr="00A6299B">
        <w:t xml:space="preserve">  </w:t>
      </w:r>
    </w:p>
  </w:footnote>
  <w:footnote w:id="6">
    <w:p w:rsidR="002975B4" w:rsidRDefault="002975B4" w:rsidP="002975B4">
      <w:pPr>
        <w:pStyle w:val="FootnoteText"/>
      </w:pPr>
      <w:r>
        <w:rPr>
          <w:rStyle w:val="FootnoteReference"/>
        </w:rPr>
        <w:footnoteRef/>
      </w:r>
      <w:r>
        <w:t xml:space="preserve"> </w:t>
      </w:r>
      <w:r w:rsidRPr="00C0773D">
        <w:rPr>
          <w:rFonts w:ascii="CG Times" w:hAnsi="CG Times"/>
          <w:sz w:val="18"/>
          <w:szCs w:val="18"/>
        </w:rPr>
        <w:t>OJ C 54, 4</w:t>
      </w:r>
      <w:r>
        <w:rPr>
          <w:rFonts w:ascii="CG Times" w:hAnsi="CG Times"/>
          <w:sz w:val="18"/>
          <w:szCs w:val="18"/>
        </w:rPr>
        <w:t xml:space="preserve"> mars 2006, parag. 44, 45 dhe 49</w:t>
      </w:r>
    </w:p>
  </w:footnote>
  <w:footnote w:id="7">
    <w:p w:rsidR="002975B4" w:rsidRDefault="002975B4" w:rsidP="002975B4">
      <w:pPr>
        <w:pStyle w:val="Paragrafi0"/>
        <w:ind w:firstLine="0"/>
      </w:pPr>
      <w:r>
        <w:rPr>
          <w:rStyle w:val="FootnoteReference"/>
        </w:rPr>
        <w:footnoteRef/>
      </w:r>
      <w:r>
        <w:t xml:space="preserve"> </w:t>
      </w:r>
      <w:r w:rsidRPr="00900467">
        <w:t>Publikim i INSTAT « Treguesit sipas qarqeve » për vitet 2006-2007</w:t>
      </w:r>
      <w:r>
        <w:t xml:space="preserve"> </w:t>
      </w:r>
    </w:p>
  </w:footnote>
  <w:footnote w:id="8">
    <w:p w:rsidR="002975B4" w:rsidRPr="0017197A" w:rsidRDefault="002975B4" w:rsidP="002975B4">
      <w:pPr>
        <w:pStyle w:val="Paragrafi0"/>
        <w:ind w:firstLine="0"/>
      </w:pPr>
      <w:r>
        <w:rPr>
          <w:rStyle w:val="FootnoteReference"/>
        </w:rPr>
        <w:footnoteRef/>
      </w:r>
      <w:r>
        <w:t xml:space="preserve"> </w:t>
      </w:r>
      <w:r>
        <w:rPr>
          <w:sz w:val="18"/>
          <w:szCs w:val="18"/>
        </w:rPr>
        <w:t>Strategjia ndërsektoriale për zhvillimin rajonal, miratuar me vendimin e Këshillit të Ministrave nr.</w:t>
      </w:r>
      <w:r w:rsidRPr="00B84899">
        <w:rPr>
          <w:sz w:val="18"/>
          <w:szCs w:val="18"/>
        </w:rPr>
        <w:t>773</w:t>
      </w:r>
      <w:r>
        <w:rPr>
          <w:sz w:val="18"/>
          <w:szCs w:val="18"/>
        </w:rPr>
        <w:t>,</w:t>
      </w:r>
      <w:r w:rsidRPr="00B84899">
        <w:rPr>
          <w:sz w:val="18"/>
          <w:szCs w:val="18"/>
        </w:rPr>
        <w:t xml:space="preserve"> datë 14.11.2007</w:t>
      </w:r>
      <w:r>
        <w:rPr>
          <w:sz w:val="18"/>
          <w:szCs w:val="18"/>
        </w:rPr>
        <w:t>.</w:t>
      </w:r>
      <w:r w:rsidRPr="0017197A">
        <w:t xml:space="preserve"> </w:t>
      </w:r>
    </w:p>
    <w:p w:rsidR="002975B4" w:rsidRDefault="002975B4" w:rsidP="002975B4">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975B4"/>
    <w:rsid w:val="00001ED4"/>
    <w:rsid w:val="0000253A"/>
    <w:rsid w:val="00005805"/>
    <w:rsid w:val="00010C90"/>
    <w:rsid w:val="000116E2"/>
    <w:rsid w:val="000152A2"/>
    <w:rsid w:val="00016505"/>
    <w:rsid w:val="00016606"/>
    <w:rsid w:val="00016B7F"/>
    <w:rsid w:val="00017EBE"/>
    <w:rsid w:val="00017F82"/>
    <w:rsid w:val="0002384E"/>
    <w:rsid w:val="000239EC"/>
    <w:rsid w:val="000253C1"/>
    <w:rsid w:val="0002748B"/>
    <w:rsid w:val="00030428"/>
    <w:rsid w:val="00030839"/>
    <w:rsid w:val="000312C8"/>
    <w:rsid w:val="00032605"/>
    <w:rsid w:val="00034158"/>
    <w:rsid w:val="0003682E"/>
    <w:rsid w:val="00041A56"/>
    <w:rsid w:val="00042FCA"/>
    <w:rsid w:val="000437E7"/>
    <w:rsid w:val="00043973"/>
    <w:rsid w:val="00046373"/>
    <w:rsid w:val="00053FD5"/>
    <w:rsid w:val="00054914"/>
    <w:rsid w:val="00055B92"/>
    <w:rsid w:val="0005641C"/>
    <w:rsid w:val="00056BD8"/>
    <w:rsid w:val="00056CF5"/>
    <w:rsid w:val="00056FDA"/>
    <w:rsid w:val="00057B3F"/>
    <w:rsid w:val="000660E6"/>
    <w:rsid w:val="00066D6B"/>
    <w:rsid w:val="00071072"/>
    <w:rsid w:val="00071282"/>
    <w:rsid w:val="00076807"/>
    <w:rsid w:val="000813AD"/>
    <w:rsid w:val="00081DED"/>
    <w:rsid w:val="00082343"/>
    <w:rsid w:val="00082775"/>
    <w:rsid w:val="00082B4B"/>
    <w:rsid w:val="00084FC5"/>
    <w:rsid w:val="00085D56"/>
    <w:rsid w:val="00086849"/>
    <w:rsid w:val="00087365"/>
    <w:rsid w:val="000903B6"/>
    <w:rsid w:val="000918AA"/>
    <w:rsid w:val="00096F6A"/>
    <w:rsid w:val="000A03EC"/>
    <w:rsid w:val="000A6264"/>
    <w:rsid w:val="000B0ADE"/>
    <w:rsid w:val="000B2043"/>
    <w:rsid w:val="000B3B20"/>
    <w:rsid w:val="000B5F74"/>
    <w:rsid w:val="000B6FDE"/>
    <w:rsid w:val="000B7659"/>
    <w:rsid w:val="000B7702"/>
    <w:rsid w:val="000C01D9"/>
    <w:rsid w:val="000C2D93"/>
    <w:rsid w:val="000C4B13"/>
    <w:rsid w:val="000C4D31"/>
    <w:rsid w:val="000C4FFA"/>
    <w:rsid w:val="000C61F8"/>
    <w:rsid w:val="000C6BA6"/>
    <w:rsid w:val="000C750C"/>
    <w:rsid w:val="000D1F2B"/>
    <w:rsid w:val="000D24B7"/>
    <w:rsid w:val="000D5C29"/>
    <w:rsid w:val="000D648F"/>
    <w:rsid w:val="000D65A1"/>
    <w:rsid w:val="000E09FD"/>
    <w:rsid w:val="000E0DE0"/>
    <w:rsid w:val="000E42C9"/>
    <w:rsid w:val="000E47F5"/>
    <w:rsid w:val="000F0EC8"/>
    <w:rsid w:val="000F3B8B"/>
    <w:rsid w:val="00103440"/>
    <w:rsid w:val="0011007C"/>
    <w:rsid w:val="00110C87"/>
    <w:rsid w:val="00115644"/>
    <w:rsid w:val="00115A10"/>
    <w:rsid w:val="00116E1D"/>
    <w:rsid w:val="001178F8"/>
    <w:rsid w:val="0012215A"/>
    <w:rsid w:val="001249B9"/>
    <w:rsid w:val="00125054"/>
    <w:rsid w:val="00132DD0"/>
    <w:rsid w:val="00132FBB"/>
    <w:rsid w:val="00133667"/>
    <w:rsid w:val="00134172"/>
    <w:rsid w:val="00134231"/>
    <w:rsid w:val="00134F17"/>
    <w:rsid w:val="00134F2A"/>
    <w:rsid w:val="0014092F"/>
    <w:rsid w:val="001441DD"/>
    <w:rsid w:val="001445FD"/>
    <w:rsid w:val="0014598C"/>
    <w:rsid w:val="0015074C"/>
    <w:rsid w:val="0015202D"/>
    <w:rsid w:val="00152456"/>
    <w:rsid w:val="001532F4"/>
    <w:rsid w:val="00154D78"/>
    <w:rsid w:val="00155B8F"/>
    <w:rsid w:val="001623F8"/>
    <w:rsid w:val="00162C4F"/>
    <w:rsid w:val="00163B8A"/>
    <w:rsid w:val="001664E1"/>
    <w:rsid w:val="001719D2"/>
    <w:rsid w:val="001743DB"/>
    <w:rsid w:val="001763D1"/>
    <w:rsid w:val="0018508F"/>
    <w:rsid w:val="00186D2B"/>
    <w:rsid w:val="00191231"/>
    <w:rsid w:val="001952F8"/>
    <w:rsid w:val="00197CB4"/>
    <w:rsid w:val="001A2871"/>
    <w:rsid w:val="001A2C51"/>
    <w:rsid w:val="001A3A7E"/>
    <w:rsid w:val="001A5C54"/>
    <w:rsid w:val="001B05F9"/>
    <w:rsid w:val="001B06BA"/>
    <w:rsid w:val="001B10B7"/>
    <w:rsid w:val="001B39D0"/>
    <w:rsid w:val="001B3AC8"/>
    <w:rsid w:val="001C1609"/>
    <w:rsid w:val="001C19B3"/>
    <w:rsid w:val="001C345E"/>
    <w:rsid w:val="001C3F7F"/>
    <w:rsid w:val="001C407E"/>
    <w:rsid w:val="001C42DD"/>
    <w:rsid w:val="001C6FD6"/>
    <w:rsid w:val="001D150D"/>
    <w:rsid w:val="001D184A"/>
    <w:rsid w:val="001D4DCD"/>
    <w:rsid w:val="001D52B7"/>
    <w:rsid w:val="001D6951"/>
    <w:rsid w:val="001D69B9"/>
    <w:rsid w:val="001E0AF3"/>
    <w:rsid w:val="001E264B"/>
    <w:rsid w:val="001E3756"/>
    <w:rsid w:val="001E4ADE"/>
    <w:rsid w:val="001E4F6A"/>
    <w:rsid w:val="001F0318"/>
    <w:rsid w:val="001F06EC"/>
    <w:rsid w:val="001F45BB"/>
    <w:rsid w:val="001F5B03"/>
    <w:rsid w:val="001F6DBB"/>
    <w:rsid w:val="00203073"/>
    <w:rsid w:val="00204565"/>
    <w:rsid w:val="002047F1"/>
    <w:rsid w:val="00206485"/>
    <w:rsid w:val="002112FF"/>
    <w:rsid w:val="00211D2B"/>
    <w:rsid w:val="00215295"/>
    <w:rsid w:val="00215C58"/>
    <w:rsid w:val="0022109E"/>
    <w:rsid w:val="002218B3"/>
    <w:rsid w:val="0022239B"/>
    <w:rsid w:val="00222CD5"/>
    <w:rsid w:val="002278F6"/>
    <w:rsid w:val="00230F4B"/>
    <w:rsid w:val="002320D4"/>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6A90"/>
    <w:rsid w:val="00271E49"/>
    <w:rsid w:val="00273B1C"/>
    <w:rsid w:val="00280AB6"/>
    <w:rsid w:val="002819BD"/>
    <w:rsid w:val="00284095"/>
    <w:rsid w:val="0028421E"/>
    <w:rsid w:val="00287798"/>
    <w:rsid w:val="002917CD"/>
    <w:rsid w:val="002923C0"/>
    <w:rsid w:val="00292DE9"/>
    <w:rsid w:val="0029358C"/>
    <w:rsid w:val="002975B4"/>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9D8"/>
    <w:rsid w:val="002C2F7E"/>
    <w:rsid w:val="002C663A"/>
    <w:rsid w:val="002D3A64"/>
    <w:rsid w:val="002D3AB2"/>
    <w:rsid w:val="002D631D"/>
    <w:rsid w:val="002D6667"/>
    <w:rsid w:val="002E39B7"/>
    <w:rsid w:val="002E5548"/>
    <w:rsid w:val="002E64E8"/>
    <w:rsid w:val="002E6924"/>
    <w:rsid w:val="002E72C3"/>
    <w:rsid w:val="002E7680"/>
    <w:rsid w:val="002F0A38"/>
    <w:rsid w:val="002F164E"/>
    <w:rsid w:val="002F3328"/>
    <w:rsid w:val="002F3591"/>
    <w:rsid w:val="002F737E"/>
    <w:rsid w:val="00300B45"/>
    <w:rsid w:val="00304541"/>
    <w:rsid w:val="003107C7"/>
    <w:rsid w:val="00310CBB"/>
    <w:rsid w:val="003110EF"/>
    <w:rsid w:val="00311464"/>
    <w:rsid w:val="0031550B"/>
    <w:rsid w:val="003228C5"/>
    <w:rsid w:val="00323062"/>
    <w:rsid w:val="00324C47"/>
    <w:rsid w:val="00327C0E"/>
    <w:rsid w:val="00327E43"/>
    <w:rsid w:val="00332C88"/>
    <w:rsid w:val="00336085"/>
    <w:rsid w:val="003424F0"/>
    <w:rsid w:val="0034544B"/>
    <w:rsid w:val="003460C1"/>
    <w:rsid w:val="00346A8A"/>
    <w:rsid w:val="003504D9"/>
    <w:rsid w:val="00354C70"/>
    <w:rsid w:val="00356EA6"/>
    <w:rsid w:val="00357FBC"/>
    <w:rsid w:val="00360426"/>
    <w:rsid w:val="003604C4"/>
    <w:rsid w:val="00362CEA"/>
    <w:rsid w:val="00363AEF"/>
    <w:rsid w:val="00364171"/>
    <w:rsid w:val="00365087"/>
    <w:rsid w:val="003655DE"/>
    <w:rsid w:val="003659D8"/>
    <w:rsid w:val="00370819"/>
    <w:rsid w:val="003714DD"/>
    <w:rsid w:val="00371546"/>
    <w:rsid w:val="00373FD0"/>
    <w:rsid w:val="0037658A"/>
    <w:rsid w:val="00380620"/>
    <w:rsid w:val="00380843"/>
    <w:rsid w:val="0038255E"/>
    <w:rsid w:val="003863E0"/>
    <w:rsid w:val="0038645D"/>
    <w:rsid w:val="003877F9"/>
    <w:rsid w:val="00387B5A"/>
    <w:rsid w:val="00397546"/>
    <w:rsid w:val="003A0F41"/>
    <w:rsid w:val="003A3C7E"/>
    <w:rsid w:val="003A59E8"/>
    <w:rsid w:val="003B18BA"/>
    <w:rsid w:val="003B370C"/>
    <w:rsid w:val="003B5D62"/>
    <w:rsid w:val="003B7283"/>
    <w:rsid w:val="003C34AC"/>
    <w:rsid w:val="003C39AE"/>
    <w:rsid w:val="003C3E7E"/>
    <w:rsid w:val="003C3FA9"/>
    <w:rsid w:val="003C5597"/>
    <w:rsid w:val="003D046C"/>
    <w:rsid w:val="003D1BDF"/>
    <w:rsid w:val="003D3DA9"/>
    <w:rsid w:val="003D5F38"/>
    <w:rsid w:val="003E2373"/>
    <w:rsid w:val="003E29AB"/>
    <w:rsid w:val="003E48D2"/>
    <w:rsid w:val="003E586C"/>
    <w:rsid w:val="003E5A3C"/>
    <w:rsid w:val="003E5CE5"/>
    <w:rsid w:val="003F01F0"/>
    <w:rsid w:val="003F0C74"/>
    <w:rsid w:val="003F341F"/>
    <w:rsid w:val="003F3FB6"/>
    <w:rsid w:val="003F570E"/>
    <w:rsid w:val="003F62D2"/>
    <w:rsid w:val="00400414"/>
    <w:rsid w:val="00402051"/>
    <w:rsid w:val="00402398"/>
    <w:rsid w:val="00402656"/>
    <w:rsid w:val="004035B3"/>
    <w:rsid w:val="00403602"/>
    <w:rsid w:val="0040426E"/>
    <w:rsid w:val="00404369"/>
    <w:rsid w:val="00404D01"/>
    <w:rsid w:val="00411350"/>
    <w:rsid w:val="00412459"/>
    <w:rsid w:val="00412625"/>
    <w:rsid w:val="004130DD"/>
    <w:rsid w:val="00413B02"/>
    <w:rsid w:val="004158E2"/>
    <w:rsid w:val="00420062"/>
    <w:rsid w:val="00423745"/>
    <w:rsid w:val="0042500E"/>
    <w:rsid w:val="004257EA"/>
    <w:rsid w:val="00425AC9"/>
    <w:rsid w:val="00426A74"/>
    <w:rsid w:val="00426DCB"/>
    <w:rsid w:val="00427F76"/>
    <w:rsid w:val="004311CF"/>
    <w:rsid w:val="004319C3"/>
    <w:rsid w:val="00434A36"/>
    <w:rsid w:val="00437C52"/>
    <w:rsid w:val="0044061A"/>
    <w:rsid w:val="00441BE8"/>
    <w:rsid w:val="004450DD"/>
    <w:rsid w:val="004475C5"/>
    <w:rsid w:val="004476E3"/>
    <w:rsid w:val="00450263"/>
    <w:rsid w:val="004516B2"/>
    <w:rsid w:val="00453249"/>
    <w:rsid w:val="0045357A"/>
    <w:rsid w:val="00460D88"/>
    <w:rsid w:val="00461D98"/>
    <w:rsid w:val="00461EC8"/>
    <w:rsid w:val="00465837"/>
    <w:rsid w:val="004676E2"/>
    <w:rsid w:val="00471BC0"/>
    <w:rsid w:val="00474045"/>
    <w:rsid w:val="004766A6"/>
    <w:rsid w:val="00476E38"/>
    <w:rsid w:val="0047736D"/>
    <w:rsid w:val="004811FB"/>
    <w:rsid w:val="00481895"/>
    <w:rsid w:val="00481BB0"/>
    <w:rsid w:val="004833A8"/>
    <w:rsid w:val="00483AD8"/>
    <w:rsid w:val="0049210A"/>
    <w:rsid w:val="00494FC4"/>
    <w:rsid w:val="004952F5"/>
    <w:rsid w:val="0049593A"/>
    <w:rsid w:val="004A18ED"/>
    <w:rsid w:val="004A5FEE"/>
    <w:rsid w:val="004A7B01"/>
    <w:rsid w:val="004A7CD1"/>
    <w:rsid w:val="004B2212"/>
    <w:rsid w:val="004B257B"/>
    <w:rsid w:val="004B30A8"/>
    <w:rsid w:val="004B4D1B"/>
    <w:rsid w:val="004B67AA"/>
    <w:rsid w:val="004B7E2C"/>
    <w:rsid w:val="004C1AB1"/>
    <w:rsid w:val="004C3481"/>
    <w:rsid w:val="004C505A"/>
    <w:rsid w:val="004C798A"/>
    <w:rsid w:val="004D1DD3"/>
    <w:rsid w:val="004D490B"/>
    <w:rsid w:val="004D53B7"/>
    <w:rsid w:val="004D71CF"/>
    <w:rsid w:val="004D7643"/>
    <w:rsid w:val="004D7EC5"/>
    <w:rsid w:val="004E19EF"/>
    <w:rsid w:val="004E4819"/>
    <w:rsid w:val="004E661B"/>
    <w:rsid w:val="004E72E6"/>
    <w:rsid w:val="004F2F11"/>
    <w:rsid w:val="004F3B34"/>
    <w:rsid w:val="004F3D7A"/>
    <w:rsid w:val="004F4DF9"/>
    <w:rsid w:val="004F5B0D"/>
    <w:rsid w:val="004F5C9A"/>
    <w:rsid w:val="004F63FD"/>
    <w:rsid w:val="004F6760"/>
    <w:rsid w:val="005009A9"/>
    <w:rsid w:val="00502300"/>
    <w:rsid w:val="00503766"/>
    <w:rsid w:val="00505C74"/>
    <w:rsid w:val="0051218E"/>
    <w:rsid w:val="0051334F"/>
    <w:rsid w:val="0051565A"/>
    <w:rsid w:val="00520904"/>
    <w:rsid w:val="0052236E"/>
    <w:rsid w:val="0052414B"/>
    <w:rsid w:val="005267D0"/>
    <w:rsid w:val="00530279"/>
    <w:rsid w:val="00530570"/>
    <w:rsid w:val="00536D4B"/>
    <w:rsid w:val="00537D3B"/>
    <w:rsid w:val="00540E4B"/>
    <w:rsid w:val="0054268F"/>
    <w:rsid w:val="005431DD"/>
    <w:rsid w:val="005469E2"/>
    <w:rsid w:val="00551675"/>
    <w:rsid w:val="00552B6D"/>
    <w:rsid w:val="0055383C"/>
    <w:rsid w:val="00554516"/>
    <w:rsid w:val="00557A25"/>
    <w:rsid w:val="00557C2A"/>
    <w:rsid w:val="00560DBD"/>
    <w:rsid w:val="00561E01"/>
    <w:rsid w:val="00562274"/>
    <w:rsid w:val="0056254A"/>
    <w:rsid w:val="00570FBD"/>
    <w:rsid w:val="00571417"/>
    <w:rsid w:val="00571B16"/>
    <w:rsid w:val="00572B76"/>
    <w:rsid w:val="0058085B"/>
    <w:rsid w:val="00582220"/>
    <w:rsid w:val="00584E79"/>
    <w:rsid w:val="00585AFC"/>
    <w:rsid w:val="005871A4"/>
    <w:rsid w:val="005878CA"/>
    <w:rsid w:val="00587E94"/>
    <w:rsid w:val="005915C1"/>
    <w:rsid w:val="005919F1"/>
    <w:rsid w:val="005942EB"/>
    <w:rsid w:val="005951D5"/>
    <w:rsid w:val="0059540E"/>
    <w:rsid w:val="00596A83"/>
    <w:rsid w:val="005A1632"/>
    <w:rsid w:val="005A6181"/>
    <w:rsid w:val="005A76EA"/>
    <w:rsid w:val="005B2711"/>
    <w:rsid w:val="005B3F61"/>
    <w:rsid w:val="005B3FEB"/>
    <w:rsid w:val="005B56D6"/>
    <w:rsid w:val="005B643E"/>
    <w:rsid w:val="005C1ED6"/>
    <w:rsid w:val="005C2A9E"/>
    <w:rsid w:val="005D0EFC"/>
    <w:rsid w:val="005D3BF4"/>
    <w:rsid w:val="005D778C"/>
    <w:rsid w:val="005E1300"/>
    <w:rsid w:val="005E3F56"/>
    <w:rsid w:val="005E4476"/>
    <w:rsid w:val="005E55F7"/>
    <w:rsid w:val="005E5EF2"/>
    <w:rsid w:val="005E6E32"/>
    <w:rsid w:val="005F1B52"/>
    <w:rsid w:val="005F436D"/>
    <w:rsid w:val="005F70EE"/>
    <w:rsid w:val="00601817"/>
    <w:rsid w:val="00602F29"/>
    <w:rsid w:val="00603BBB"/>
    <w:rsid w:val="00606941"/>
    <w:rsid w:val="0060696A"/>
    <w:rsid w:val="006073C9"/>
    <w:rsid w:val="00611E75"/>
    <w:rsid w:val="006135A6"/>
    <w:rsid w:val="00614EDE"/>
    <w:rsid w:val="00614F77"/>
    <w:rsid w:val="00615333"/>
    <w:rsid w:val="00615823"/>
    <w:rsid w:val="006159DC"/>
    <w:rsid w:val="00615F4E"/>
    <w:rsid w:val="00616583"/>
    <w:rsid w:val="00616B11"/>
    <w:rsid w:val="00625423"/>
    <w:rsid w:val="00626E38"/>
    <w:rsid w:val="00630305"/>
    <w:rsid w:val="00632252"/>
    <w:rsid w:val="00634970"/>
    <w:rsid w:val="00637880"/>
    <w:rsid w:val="00641F4D"/>
    <w:rsid w:val="0064249D"/>
    <w:rsid w:val="006425FC"/>
    <w:rsid w:val="00643E4C"/>
    <w:rsid w:val="00645B61"/>
    <w:rsid w:val="0065059B"/>
    <w:rsid w:val="006522B7"/>
    <w:rsid w:val="00653BE5"/>
    <w:rsid w:val="00655C2E"/>
    <w:rsid w:val="006575FA"/>
    <w:rsid w:val="006605F5"/>
    <w:rsid w:val="0066100F"/>
    <w:rsid w:val="006647E4"/>
    <w:rsid w:val="00666A89"/>
    <w:rsid w:val="00670E90"/>
    <w:rsid w:val="00671577"/>
    <w:rsid w:val="00671792"/>
    <w:rsid w:val="00671C0A"/>
    <w:rsid w:val="00673FD9"/>
    <w:rsid w:val="00673FF0"/>
    <w:rsid w:val="00674C29"/>
    <w:rsid w:val="0067601E"/>
    <w:rsid w:val="006771AC"/>
    <w:rsid w:val="006810AB"/>
    <w:rsid w:val="00682F33"/>
    <w:rsid w:val="00683536"/>
    <w:rsid w:val="006837F1"/>
    <w:rsid w:val="00683F12"/>
    <w:rsid w:val="00687A9B"/>
    <w:rsid w:val="00691A67"/>
    <w:rsid w:val="006924B9"/>
    <w:rsid w:val="00692B75"/>
    <w:rsid w:val="006933FE"/>
    <w:rsid w:val="00694E32"/>
    <w:rsid w:val="006965EA"/>
    <w:rsid w:val="00697647"/>
    <w:rsid w:val="006A03BF"/>
    <w:rsid w:val="006A504D"/>
    <w:rsid w:val="006A5EAF"/>
    <w:rsid w:val="006A74B6"/>
    <w:rsid w:val="006B0DDC"/>
    <w:rsid w:val="006B2EF9"/>
    <w:rsid w:val="006B7BCE"/>
    <w:rsid w:val="006C10D2"/>
    <w:rsid w:val="006C11F5"/>
    <w:rsid w:val="006C2034"/>
    <w:rsid w:val="006C40C4"/>
    <w:rsid w:val="006C659B"/>
    <w:rsid w:val="006C6838"/>
    <w:rsid w:val="006C6C4B"/>
    <w:rsid w:val="006C6CC1"/>
    <w:rsid w:val="006D47BB"/>
    <w:rsid w:val="006D67FD"/>
    <w:rsid w:val="006D6EFE"/>
    <w:rsid w:val="006E0B99"/>
    <w:rsid w:val="006E111E"/>
    <w:rsid w:val="006E28EF"/>
    <w:rsid w:val="006E2A46"/>
    <w:rsid w:val="006E32A1"/>
    <w:rsid w:val="006E3575"/>
    <w:rsid w:val="006E6B7D"/>
    <w:rsid w:val="006F340A"/>
    <w:rsid w:val="006F3D8B"/>
    <w:rsid w:val="006F4F95"/>
    <w:rsid w:val="006F577E"/>
    <w:rsid w:val="006F702C"/>
    <w:rsid w:val="007009F8"/>
    <w:rsid w:val="00701DE5"/>
    <w:rsid w:val="00704754"/>
    <w:rsid w:val="00705FE0"/>
    <w:rsid w:val="007061BC"/>
    <w:rsid w:val="007070CD"/>
    <w:rsid w:val="007071C1"/>
    <w:rsid w:val="007100D6"/>
    <w:rsid w:val="00711D77"/>
    <w:rsid w:val="00715049"/>
    <w:rsid w:val="007169FF"/>
    <w:rsid w:val="007176E8"/>
    <w:rsid w:val="0072068E"/>
    <w:rsid w:val="007227BA"/>
    <w:rsid w:val="007235A2"/>
    <w:rsid w:val="00723C7E"/>
    <w:rsid w:val="0072535F"/>
    <w:rsid w:val="00727E09"/>
    <w:rsid w:val="00730AB5"/>
    <w:rsid w:val="007317E7"/>
    <w:rsid w:val="0073198A"/>
    <w:rsid w:val="007331A1"/>
    <w:rsid w:val="007355EB"/>
    <w:rsid w:val="00740041"/>
    <w:rsid w:val="00741EEA"/>
    <w:rsid w:val="00743FCD"/>
    <w:rsid w:val="0074432C"/>
    <w:rsid w:val="00750536"/>
    <w:rsid w:val="007524FF"/>
    <w:rsid w:val="00756B4E"/>
    <w:rsid w:val="0075728B"/>
    <w:rsid w:val="00760AA6"/>
    <w:rsid w:val="00761FEB"/>
    <w:rsid w:val="0076487C"/>
    <w:rsid w:val="00766B78"/>
    <w:rsid w:val="007708DE"/>
    <w:rsid w:val="00772B5C"/>
    <w:rsid w:val="00773377"/>
    <w:rsid w:val="007770EC"/>
    <w:rsid w:val="00777F43"/>
    <w:rsid w:val="00780ED6"/>
    <w:rsid w:val="0078151F"/>
    <w:rsid w:val="007819BC"/>
    <w:rsid w:val="00782DEA"/>
    <w:rsid w:val="0078554A"/>
    <w:rsid w:val="00785771"/>
    <w:rsid w:val="00785FFC"/>
    <w:rsid w:val="00786BC7"/>
    <w:rsid w:val="00786CE2"/>
    <w:rsid w:val="00787197"/>
    <w:rsid w:val="00790401"/>
    <w:rsid w:val="007912FE"/>
    <w:rsid w:val="007913F0"/>
    <w:rsid w:val="00792743"/>
    <w:rsid w:val="0079382F"/>
    <w:rsid w:val="007969AC"/>
    <w:rsid w:val="007970A2"/>
    <w:rsid w:val="00797ED8"/>
    <w:rsid w:val="007A11CE"/>
    <w:rsid w:val="007A278B"/>
    <w:rsid w:val="007A2CB0"/>
    <w:rsid w:val="007A2F8A"/>
    <w:rsid w:val="007A4824"/>
    <w:rsid w:val="007B1ED0"/>
    <w:rsid w:val="007B5384"/>
    <w:rsid w:val="007B55A8"/>
    <w:rsid w:val="007C36BB"/>
    <w:rsid w:val="007C561F"/>
    <w:rsid w:val="007C68D3"/>
    <w:rsid w:val="007D12D3"/>
    <w:rsid w:val="007D169D"/>
    <w:rsid w:val="007D178B"/>
    <w:rsid w:val="007D3D1F"/>
    <w:rsid w:val="007D4410"/>
    <w:rsid w:val="007D4F2F"/>
    <w:rsid w:val="007E01BC"/>
    <w:rsid w:val="007E1033"/>
    <w:rsid w:val="007E1300"/>
    <w:rsid w:val="007E2FED"/>
    <w:rsid w:val="007E35B5"/>
    <w:rsid w:val="007E4506"/>
    <w:rsid w:val="007E4705"/>
    <w:rsid w:val="007E4BB8"/>
    <w:rsid w:val="007E5BA3"/>
    <w:rsid w:val="007E7322"/>
    <w:rsid w:val="007E75E0"/>
    <w:rsid w:val="007E7F0F"/>
    <w:rsid w:val="007F090E"/>
    <w:rsid w:val="007F2A12"/>
    <w:rsid w:val="007F3BEB"/>
    <w:rsid w:val="007F4A22"/>
    <w:rsid w:val="007F60D2"/>
    <w:rsid w:val="007F663F"/>
    <w:rsid w:val="007F7EEA"/>
    <w:rsid w:val="008014A9"/>
    <w:rsid w:val="0080191A"/>
    <w:rsid w:val="00802579"/>
    <w:rsid w:val="008034BC"/>
    <w:rsid w:val="008041F7"/>
    <w:rsid w:val="008066EE"/>
    <w:rsid w:val="008073B6"/>
    <w:rsid w:val="0081025B"/>
    <w:rsid w:val="008109DA"/>
    <w:rsid w:val="00814982"/>
    <w:rsid w:val="008162EE"/>
    <w:rsid w:val="00821AB2"/>
    <w:rsid w:val="00823050"/>
    <w:rsid w:val="008236C1"/>
    <w:rsid w:val="008236C9"/>
    <w:rsid w:val="00824655"/>
    <w:rsid w:val="00826023"/>
    <w:rsid w:val="00831966"/>
    <w:rsid w:val="00837999"/>
    <w:rsid w:val="0084152F"/>
    <w:rsid w:val="00843D8C"/>
    <w:rsid w:val="00844A57"/>
    <w:rsid w:val="0084505E"/>
    <w:rsid w:val="00851193"/>
    <w:rsid w:val="008518B1"/>
    <w:rsid w:val="008533FC"/>
    <w:rsid w:val="008569AD"/>
    <w:rsid w:val="00856B30"/>
    <w:rsid w:val="00857DB5"/>
    <w:rsid w:val="0086235D"/>
    <w:rsid w:val="00864FF5"/>
    <w:rsid w:val="008669F4"/>
    <w:rsid w:val="00870D62"/>
    <w:rsid w:val="00870E4B"/>
    <w:rsid w:val="00876E17"/>
    <w:rsid w:val="0088053B"/>
    <w:rsid w:val="008812CF"/>
    <w:rsid w:val="00881FC9"/>
    <w:rsid w:val="00883176"/>
    <w:rsid w:val="0088753F"/>
    <w:rsid w:val="00887763"/>
    <w:rsid w:val="00887EBD"/>
    <w:rsid w:val="00890E90"/>
    <w:rsid w:val="0089109C"/>
    <w:rsid w:val="00891713"/>
    <w:rsid w:val="00891BFF"/>
    <w:rsid w:val="0089617E"/>
    <w:rsid w:val="0089728D"/>
    <w:rsid w:val="008A41D6"/>
    <w:rsid w:val="008A4B90"/>
    <w:rsid w:val="008A5100"/>
    <w:rsid w:val="008A651B"/>
    <w:rsid w:val="008B10ED"/>
    <w:rsid w:val="008B61D4"/>
    <w:rsid w:val="008B6512"/>
    <w:rsid w:val="008C0D19"/>
    <w:rsid w:val="008C347F"/>
    <w:rsid w:val="008C49D2"/>
    <w:rsid w:val="008C5ACD"/>
    <w:rsid w:val="008C6066"/>
    <w:rsid w:val="008D242F"/>
    <w:rsid w:val="008D658B"/>
    <w:rsid w:val="008D72F9"/>
    <w:rsid w:val="008D73A9"/>
    <w:rsid w:val="008E294F"/>
    <w:rsid w:val="008E65BC"/>
    <w:rsid w:val="008E7307"/>
    <w:rsid w:val="008F0846"/>
    <w:rsid w:val="008F1BE3"/>
    <w:rsid w:val="008F3C07"/>
    <w:rsid w:val="008F5979"/>
    <w:rsid w:val="008F6034"/>
    <w:rsid w:val="008F71A1"/>
    <w:rsid w:val="00901184"/>
    <w:rsid w:val="009016F3"/>
    <w:rsid w:val="0090402D"/>
    <w:rsid w:val="00906F47"/>
    <w:rsid w:val="0091129D"/>
    <w:rsid w:val="00913360"/>
    <w:rsid w:val="00913BAD"/>
    <w:rsid w:val="00916097"/>
    <w:rsid w:val="009166AF"/>
    <w:rsid w:val="0091681E"/>
    <w:rsid w:val="00920E26"/>
    <w:rsid w:val="009221B5"/>
    <w:rsid w:val="009250E2"/>
    <w:rsid w:val="009253A5"/>
    <w:rsid w:val="00925CB4"/>
    <w:rsid w:val="0092684B"/>
    <w:rsid w:val="00927B74"/>
    <w:rsid w:val="0093145E"/>
    <w:rsid w:val="009316DB"/>
    <w:rsid w:val="0093327C"/>
    <w:rsid w:val="00933883"/>
    <w:rsid w:val="00937789"/>
    <w:rsid w:val="00937C3E"/>
    <w:rsid w:val="00943098"/>
    <w:rsid w:val="009430FD"/>
    <w:rsid w:val="009436C5"/>
    <w:rsid w:val="00944D63"/>
    <w:rsid w:val="00945122"/>
    <w:rsid w:val="00947074"/>
    <w:rsid w:val="009475C0"/>
    <w:rsid w:val="00947AB8"/>
    <w:rsid w:val="00947AF2"/>
    <w:rsid w:val="00947E87"/>
    <w:rsid w:val="00947F08"/>
    <w:rsid w:val="00952B82"/>
    <w:rsid w:val="00961AD4"/>
    <w:rsid w:val="009656A8"/>
    <w:rsid w:val="009669EF"/>
    <w:rsid w:val="00970BA4"/>
    <w:rsid w:val="00970DF8"/>
    <w:rsid w:val="009710C4"/>
    <w:rsid w:val="00971B20"/>
    <w:rsid w:val="0097217B"/>
    <w:rsid w:val="009820D2"/>
    <w:rsid w:val="00984C25"/>
    <w:rsid w:val="009865D7"/>
    <w:rsid w:val="0098676C"/>
    <w:rsid w:val="00990A5D"/>
    <w:rsid w:val="0099463C"/>
    <w:rsid w:val="00995555"/>
    <w:rsid w:val="009961A1"/>
    <w:rsid w:val="0099639A"/>
    <w:rsid w:val="00997733"/>
    <w:rsid w:val="009978CE"/>
    <w:rsid w:val="00997B16"/>
    <w:rsid w:val="009A1FDB"/>
    <w:rsid w:val="009A4576"/>
    <w:rsid w:val="009A5059"/>
    <w:rsid w:val="009A5905"/>
    <w:rsid w:val="009A69DD"/>
    <w:rsid w:val="009A7512"/>
    <w:rsid w:val="009B3645"/>
    <w:rsid w:val="009B5DE8"/>
    <w:rsid w:val="009B64FE"/>
    <w:rsid w:val="009C244E"/>
    <w:rsid w:val="009C42B3"/>
    <w:rsid w:val="009C59E2"/>
    <w:rsid w:val="009C5EB1"/>
    <w:rsid w:val="009C6724"/>
    <w:rsid w:val="009C698B"/>
    <w:rsid w:val="009D2EA6"/>
    <w:rsid w:val="009D3C2A"/>
    <w:rsid w:val="009D5141"/>
    <w:rsid w:val="009E12A3"/>
    <w:rsid w:val="009E196D"/>
    <w:rsid w:val="009E3162"/>
    <w:rsid w:val="009E38B5"/>
    <w:rsid w:val="009E43E5"/>
    <w:rsid w:val="009E79E8"/>
    <w:rsid w:val="009F4425"/>
    <w:rsid w:val="009F6FD2"/>
    <w:rsid w:val="00A013DD"/>
    <w:rsid w:val="00A05452"/>
    <w:rsid w:val="00A0546E"/>
    <w:rsid w:val="00A05F7E"/>
    <w:rsid w:val="00A0690B"/>
    <w:rsid w:val="00A06ECC"/>
    <w:rsid w:val="00A102E8"/>
    <w:rsid w:val="00A1081B"/>
    <w:rsid w:val="00A1252B"/>
    <w:rsid w:val="00A1481A"/>
    <w:rsid w:val="00A23238"/>
    <w:rsid w:val="00A26D21"/>
    <w:rsid w:val="00A308F3"/>
    <w:rsid w:val="00A30FB1"/>
    <w:rsid w:val="00A32061"/>
    <w:rsid w:val="00A32DBB"/>
    <w:rsid w:val="00A33AF7"/>
    <w:rsid w:val="00A36F61"/>
    <w:rsid w:val="00A4003A"/>
    <w:rsid w:val="00A44CE9"/>
    <w:rsid w:val="00A507D7"/>
    <w:rsid w:val="00A512E6"/>
    <w:rsid w:val="00A51C90"/>
    <w:rsid w:val="00A51EB4"/>
    <w:rsid w:val="00A520E9"/>
    <w:rsid w:val="00A52535"/>
    <w:rsid w:val="00A52E74"/>
    <w:rsid w:val="00A553C4"/>
    <w:rsid w:val="00A55AA8"/>
    <w:rsid w:val="00A55AFE"/>
    <w:rsid w:val="00A55E9F"/>
    <w:rsid w:val="00A564F3"/>
    <w:rsid w:val="00A56B57"/>
    <w:rsid w:val="00A622B5"/>
    <w:rsid w:val="00A67CEB"/>
    <w:rsid w:val="00A67D65"/>
    <w:rsid w:val="00A67FDB"/>
    <w:rsid w:val="00A70520"/>
    <w:rsid w:val="00A70A4F"/>
    <w:rsid w:val="00A725E5"/>
    <w:rsid w:val="00A731A2"/>
    <w:rsid w:val="00A80C9A"/>
    <w:rsid w:val="00A81297"/>
    <w:rsid w:val="00A9111F"/>
    <w:rsid w:val="00A93486"/>
    <w:rsid w:val="00A95020"/>
    <w:rsid w:val="00A95AEE"/>
    <w:rsid w:val="00A97655"/>
    <w:rsid w:val="00AA0126"/>
    <w:rsid w:val="00AA0509"/>
    <w:rsid w:val="00AA1654"/>
    <w:rsid w:val="00AA2013"/>
    <w:rsid w:val="00AA402E"/>
    <w:rsid w:val="00AA578A"/>
    <w:rsid w:val="00AA752B"/>
    <w:rsid w:val="00AB098B"/>
    <w:rsid w:val="00AB4005"/>
    <w:rsid w:val="00AB45F9"/>
    <w:rsid w:val="00AB6598"/>
    <w:rsid w:val="00AB6ED0"/>
    <w:rsid w:val="00AC113B"/>
    <w:rsid w:val="00AC1A6A"/>
    <w:rsid w:val="00AD2585"/>
    <w:rsid w:val="00AD3A6B"/>
    <w:rsid w:val="00AD49C1"/>
    <w:rsid w:val="00AD76A8"/>
    <w:rsid w:val="00AE0346"/>
    <w:rsid w:val="00AE0FFC"/>
    <w:rsid w:val="00AE2C3A"/>
    <w:rsid w:val="00AE5EAF"/>
    <w:rsid w:val="00AE7833"/>
    <w:rsid w:val="00AF09C3"/>
    <w:rsid w:val="00AF11BA"/>
    <w:rsid w:val="00AF3CC5"/>
    <w:rsid w:val="00AF6FC9"/>
    <w:rsid w:val="00B01885"/>
    <w:rsid w:val="00B0397B"/>
    <w:rsid w:val="00B046E0"/>
    <w:rsid w:val="00B0655D"/>
    <w:rsid w:val="00B10E27"/>
    <w:rsid w:val="00B10E45"/>
    <w:rsid w:val="00B15CCB"/>
    <w:rsid w:val="00B221B7"/>
    <w:rsid w:val="00B231C6"/>
    <w:rsid w:val="00B24ACD"/>
    <w:rsid w:val="00B27796"/>
    <w:rsid w:val="00B304AB"/>
    <w:rsid w:val="00B30A87"/>
    <w:rsid w:val="00B317DB"/>
    <w:rsid w:val="00B31AA8"/>
    <w:rsid w:val="00B320FC"/>
    <w:rsid w:val="00B34681"/>
    <w:rsid w:val="00B3592B"/>
    <w:rsid w:val="00B36C00"/>
    <w:rsid w:val="00B40E2A"/>
    <w:rsid w:val="00B42264"/>
    <w:rsid w:val="00B42CE2"/>
    <w:rsid w:val="00B4411A"/>
    <w:rsid w:val="00B464A1"/>
    <w:rsid w:val="00B47811"/>
    <w:rsid w:val="00B5070C"/>
    <w:rsid w:val="00B50FA7"/>
    <w:rsid w:val="00B527BD"/>
    <w:rsid w:val="00B54C31"/>
    <w:rsid w:val="00B5548A"/>
    <w:rsid w:val="00B56B16"/>
    <w:rsid w:val="00B6247D"/>
    <w:rsid w:val="00B65249"/>
    <w:rsid w:val="00B71539"/>
    <w:rsid w:val="00B7170D"/>
    <w:rsid w:val="00B724EB"/>
    <w:rsid w:val="00B73086"/>
    <w:rsid w:val="00B75278"/>
    <w:rsid w:val="00B77628"/>
    <w:rsid w:val="00B80503"/>
    <w:rsid w:val="00B805CC"/>
    <w:rsid w:val="00B82E41"/>
    <w:rsid w:val="00B8431C"/>
    <w:rsid w:val="00B84698"/>
    <w:rsid w:val="00B8484C"/>
    <w:rsid w:val="00B852B1"/>
    <w:rsid w:val="00B87DCC"/>
    <w:rsid w:val="00B94AE5"/>
    <w:rsid w:val="00B95C43"/>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D09"/>
    <w:rsid w:val="00BE0564"/>
    <w:rsid w:val="00BE1622"/>
    <w:rsid w:val="00BE1DDF"/>
    <w:rsid w:val="00BF214C"/>
    <w:rsid w:val="00BF3F95"/>
    <w:rsid w:val="00BF47D7"/>
    <w:rsid w:val="00BF6A44"/>
    <w:rsid w:val="00BF6E17"/>
    <w:rsid w:val="00C04730"/>
    <w:rsid w:val="00C04C46"/>
    <w:rsid w:val="00C0606C"/>
    <w:rsid w:val="00C0738A"/>
    <w:rsid w:val="00C07D45"/>
    <w:rsid w:val="00C14A69"/>
    <w:rsid w:val="00C15324"/>
    <w:rsid w:val="00C15A00"/>
    <w:rsid w:val="00C17328"/>
    <w:rsid w:val="00C2033A"/>
    <w:rsid w:val="00C22D97"/>
    <w:rsid w:val="00C25FA7"/>
    <w:rsid w:val="00C2724E"/>
    <w:rsid w:val="00C310D1"/>
    <w:rsid w:val="00C316DD"/>
    <w:rsid w:val="00C31E3F"/>
    <w:rsid w:val="00C32907"/>
    <w:rsid w:val="00C33F71"/>
    <w:rsid w:val="00C3526B"/>
    <w:rsid w:val="00C36135"/>
    <w:rsid w:val="00C368BA"/>
    <w:rsid w:val="00C37FE8"/>
    <w:rsid w:val="00C41A80"/>
    <w:rsid w:val="00C42808"/>
    <w:rsid w:val="00C436DB"/>
    <w:rsid w:val="00C4424D"/>
    <w:rsid w:val="00C45F69"/>
    <w:rsid w:val="00C462A9"/>
    <w:rsid w:val="00C47B52"/>
    <w:rsid w:val="00C5019E"/>
    <w:rsid w:val="00C50C6D"/>
    <w:rsid w:val="00C516C5"/>
    <w:rsid w:val="00C53871"/>
    <w:rsid w:val="00C540FA"/>
    <w:rsid w:val="00C54DEC"/>
    <w:rsid w:val="00C57901"/>
    <w:rsid w:val="00C622F4"/>
    <w:rsid w:val="00C63800"/>
    <w:rsid w:val="00C72FCC"/>
    <w:rsid w:val="00C7562E"/>
    <w:rsid w:val="00C76C12"/>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4FE2"/>
    <w:rsid w:val="00CA51CA"/>
    <w:rsid w:val="00CA6FC1"/>
    <w:rsid w:val="00CB1A2D"/>
    <w:rsid w:val="00CB44E7"/>
    <w:rsid w:val="00CB7CB2"/>
    <w:rsid w:val="00CC1BCA"/>
    <w:rsid w:val="00CC2512"/>
    <w:rsid w:val="00CC3C92"/>
    <w:rsid w:val="00CC7AA1"/>
    <w:rsid w:val="00CD158C"/>
    <w:rsid w:val="00CD3859"/>
    <w:rsid w:val="00CD5371"/>
    <w:rsid w:val="00CD6BA3"/>
    <w:rsid w:val="00CD728E"/>
    <w:rsid w:val="00CD758C"/>
    <w:rsid w:val="00CE179E"/>
    <w:rsid w:val="00CE3B1B"/>
    <w:rsid w:val="00CE6530"/>
    <w:rsid w:val="00CE6CC0"/>
    <w:rsid w:val="00CF1020"/>
    <w:rsid w:val="00D03F6E"/>
    <w:rsid w:val="00D046F8"/>
    <w:rsid w:val="00D06106"/>
    <w:rsid w:val="00D07148"/>
    <w:rsid w:val="00D078B5"/>
    <w:rsid w:val="00D11AEB"/>
    <w:rsid w:val="00D13A72"/>
    <w:rsid w:val="00D14D49"/>
    <w:rsid w:val="00D14F5E"/>
    <w:rsid w:val="00D2018C"/>
    <w:rsid w:val="00D210BC"/>
    <w:rsid w:val="00D21120"/>
    <w:rsid w:val="00D220AD"/>
    <w:rsid w:val="00D22173"/>
    <w:rsid w:val="00D274FC"/>
    <w:rsid w:val="00D2751E"/>
    <w:rsid w:val="00D27D65"/>
    <w:rsid w:val="00D32262"/>
    <w:rsid w:val="00D3253A"/>
    <w:rsid w:val="00D32652"/>
    <w:rsid w:val="00D3409E"/>
    <w:rsid w:val="00D4083D"/>
    <w:rsid w:val="00D410AC"/>
    <w:rsid w:val="00D440A8"/>
    <w:rsid w:val="00D50BDE"/>
    <w:rsid w:val="00D51C6D"/>
    <w:rsid w:val="00D525D5"/>
    <w:rsid w:val="00D55569"/>
    <w:rsid w:val="00D56EEC"/>
    <w:rsid w:val="00D601C0"/>
    <w:rsid w:val="00D60C1C"/>
    <w:rsid w:val="00D61D9D"/>
    <w:rsid w:val="00D623C3"/>
    <w:rsid w:val="00D62D8F"/>
    <w:rsid w:val="00D62E93"/>
    <w:rsid w:val="00D63381"/>
    <w:rsid w:val="00D63FC4"/>
    <w:rsid w:val="00D65923"/>
    <w:rsid w:val="00D6683B"/>
    <w:rsid w:val="00D70F57"/>
    <w:rsid w:val="00D7449C"/>
    <w:rsid w:val="00D75EA0"/>
    <w:rsid w:val="00D76EEB"/>
    <w:rsid w:val="00D8028C"/>
    <w:rsid w:val="00D838B0"/>
    <w:rsid w:val="00D83FA3"/>
    <w:rsid w:val="00D8488D"/>
    <w:rsid w:val="00D869A8"/>
    <w:rsid w:val="00D86C7B"/>
    <w:rsid w:val="00D9091F"/>
    <w:rsid w:val="00D91B15"/>
    <w:rsid w:val="00D9769C"/>
    <w:rsid w:val="00D97F9F"/>
    <w:rsid w:val="00DA14E8"/>
    <w:rsid w:val="00DA506B"/>
    <w:rsid w:val="00DA5A2E"/>
    <w:rsid w:val="00DA7194"/>
    <w:rsid w:val="00DB5FEF"/>
    <w:rsid w:val="00DC22F7"/>
    <w:rsid w:val="00DC54F8"/>
    <w:rsid w:val="00DC70E0"/>
    <w:rsid w:val="00DC7635"/>
    <w:rsid w:val="00DD02C9"/>
    <w:rsid w:val="00DD0751"/>
    <w:rsid w:val="00DD0A92"/>
    <w:rsid w:val="00DD4888"/>
    <w:rsid w:val="00DD5009"/>
    <w:rsid w:val="00DD64CF"/>
    <w:rsid w:val="00DD75BE"/>
    <w:rsid w:val="00DE1D90"/>
    <w:rsid w:val="00DE71ED"/>
    <w:rsid w:val="00DF1F3C"/>
    <w:rsid w:val="00DF265E"/>
    <w:rsid w:val="00E00020"/>
    <w:rsid w:val="00E02436"/>
    <w:rsid w:val="00E02A89"/>
    <w:rsid w:val="00E02E71"/>
    <w:rsid w:val="00E03C4C"/>
    <w:rsid w:val="00E10CA3"/>
    <w:rsid w:val="00E12A78"/>
    <w:rsid w:val="00E146F6"/>
    <w:rsid w:val="00E21997"/>
    <w:rsid w:val="00E24687"/>
    <w:rsid w:val="00E24AD0"/>
    <w:rsid w:val="00E254F0"/>
    <w:rsid w:val="00E262B2"/>
    <w:rsid w:val="00E269BA"/>
    <w:rsid w:val="00E26EC0"/>
    <w:rsid w:val="00E30183"/>
    <w:rsid w:val="00E3100F"/>
    <w:rsid w:val="00E326FA"/>
    <w:rsid w:val="00E34938"/>
    <w:rsid w:val="00E35CA9"/>
    <w:rsid w:val="00E35F12"/>
    <w:rsid w:val="00E367E4"/>
    <w:rsid w:val="00E444F6"/>
    <w:rsid w:val="00E45827"/>
    <w:rsid w:val="00E4586A"/>
    <w:rsid w:val="00E464FA"/>
    <w:rsid w:val="00E472BF"/>
    <w:rsid w:val="00E47701"/>
    <w:rsid w:val="00E55949"/>
    <w:rsid w:val="00E56080"/>
    <w:rsid w:val="00E56424"/>
    <w:rsid w:val="00E61F48"/>
    <w:rsid w:val="00E6386F"/>
    <w:rsid w:val="00E65AE7"/>
    <w:rsid w:val="00E65C36"/>
    <w:rsid w:val="00E66CA9"/>
    <w:rsid w:val="00E71D15"/>
    <w:rsid w:val="00E768E6"/>
    <w:rsid w:val="00E76EF6"/>
    <w:rsid w:val="00E777DA"/>
    <w:rsid w:val="00E83136"/>
    <w:rsid w:val="00E834AF"/>
    <w:rsid w:val="00E842D0"/>
    <w:rsid w:val="00E843DA"/>
    <w:rsid w:val="00E900E7"/>
    <w:rsid w:val="00E9166E"/>
    <w:rsid w:val="00E93259"/>
    <w:rsid w:val="00E943E3"/>
    <w:rsid w:val="00E96895"/>
    <w:rsid w:val="00E96982"/>
    <w:rsid w:val="00E977BC"/>
    <w:rsid w:val="00EA06F4"/>
    <w:rsid w:val="00EA177B"/>
    <w:rsid w:val="00EA1CC0"/>
    <w:rsid w:val="00EA28AE"/>
    <w:rsid w:val="00EA4D99"/>
    <w:rsid w:val="00EA4DF1"/>
    <w:rsid w:val="00EB1957"/>
    <w:rsid w:val="00EB24A9"/>
    <w:rsid w:val="00EB35B4"/>
    <w:rsid w:val="00EB441B"/>
    <w:rsid w:val="00EB4BAF"/>
    <w:rsid w:val="00EB68E6"/>
    <w:rsid w:val="00EC0561"/>
    <w:rsid w:val="00EC15B7"/>
    <w:rsid w:val="00EC3315"/>
    <w:rsid w:val="00EC657B"/>
    <w:rsid w:val="00ED345D"/>
    <w:rsid w:val="00ED6362"/>
    <w:rsid w:val="00EE0D44"/>
    <w:rsid w:val="00EE4BA9"/>
    <w:rsid w:val="00EE7A53"/>
    <w:rsid w:val="00EF2A2B"/>
    <w:rsid w:val="00EF7E31"/>
    <w:rsid w:val="00F022A2"/>
    <w:rsid w:val="00F02C33"/>
    <w:rsid w:val="00F042D3"/>
    <w:rsid w:val="00F11706"/>
    <w:rsid w:val="00F15A54"/>
    <w:rsid w:val="00F15C00"/>
    <w:rsid w:val="00F2187B"/>
    <w:rsid w:val="00F24CFB"/>
    <w:rsid w:val="00F25957"/>
    <w:rsid w:val="00F25E06"/>
    <w:rsid w:val="00F2678B"/>
    <w:rsid w:val="00F2798F"/>
    <w:rsid w:val="00F27F4A"/>
    <w:rsid w:val="00F3083F"/>
    <w:rsid w:val="00F32B15"/>
    <w:rsid w:val="00F340BF"/>
    <w:rsid w:val="00F35D20"/>
    <w:rsid w:val="00F37A38"/>
    <w:rsid w:val="00F37D59"/>
    <w:rsid w:val="00F41DCF"/>
    <w:rsid w:val="00F424BF"/>
    <w:rsid w:val="00F43E17"/>
    <w:rsid w:val="00F46890"/>
    <w:rsid w:val="00F50DBD"/>
    <w:rsid w:val="00F51C76"/>
    <w:rsid w:val="00F54C8F"/>
    <w:rsid w:val="00F55A3E"/>
    <w:rsid w:val="00F563AB"/>
    <w:rsid w:val="00F56748"/>
    <w:rsid w:val="00F56840"/>
    <w:rsid w:val="00F5691C"/>
    <w:rsid w:val="00F579B6"/>
    <w:rsid w:val="00F63996"/>
    <w:rsid w:val="00F6485E"/>
    <w:rsid w:val="00F64FA5"/>
    <w:rsid w:val="00F6716B"/>
    <w:rsid w:val="00F74096"/>
    <w:rsid w:val="00F76686"/>
    <w:rsid w:val="00F768D3"/>
    <w:rsid w:val="00F7724A"/>
    <w:rsid w:val="00F81867"/>
    <w:rsid w:val="00F83DBC"/>
    <w:rsid w:val="00F84FFD"/>
    <w:rsid w:val="00F87CE0"/>
    <w:rsid w:val="00F91553"/>
    <w:rsid w:val="00F9168A"/>
    <w:rsid w:val="00F91815"/>
    <w:rsid w:val="00F91AFA"/>
    <w:rsid w:val="00F92E39"/>
    <w:rsid w:val="00F9522D"/>
    <w:rsid w:val="00F95DC9"/>
    <w:rsid w:val="00FA0E41"/>
    <w:rsid w:val="00FA164F"/>
    <w:rsid w:val="00FA1CF2"/>
    <w:rsid w:val="00FA247F"/>
    <w:rsid w:val="00FA4178"/>
    <w:rsid w:val="00FA73BF"/>
    <w:rsid w:val="00FA796B"/>
    <w:rsid w:val="00FB4018"/>
    <w:rsid w:val="00FB5B12"/>
    <w:rsid w:val="00FB7558"/>
    <w:rsid w:val="00FB7650"/>
    <w:rsid w:val="00FC19E3"/>
    <w:rsid w:val="00FC3560"/>
    <w:rsid w:val="00FC3C6E"/>
    <w:rsid w:val="00FC6AB0"/>
    <w:rsid w:val="00FC7E5F"/>
    <w:rsid w:val="00FD1061"/>
    <w:rsid w:val="00FD246D"/>
    <w:rsid w:val="00FD6657"/>
    <w:rsid w:val="00FD7020"/>
    <w:rsid w:val="00FE0D74"/>
    <w:rsid w:val="00FE5C72"/>
    <w:rsid w:val="00FE6FED"/>
    <w:rsid w:val="00FF22F6"/>
    <w:rsid w:val="00FF44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6015C201-3F2B-4D26-ACAE-F5C007ABD9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75B4"/>
    <w:pPr>
      <w:widowControl w:val="0"/>
      <w:autoSpaceDE w:val="0"/>
      <w:autoSpaceDN w:val="0"/>
      <w:adjustRightInd w:val="0"/>
    </w:pPr>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320FC"/>
    <w:pPr>
      <w:spacing w:after="160" w:line="240" w:lineRule="exact"/>
    </w:pPr>
    <w:rPr>
      <w:rFonts w:ascii="Tahoma" w:eastAsia="MS Mincho" w:hAnsi="Tahoma"/>
      <w:sz w:val="20"/>
      <w:szCs w:val="20"/>
      <w:lang w:val="sq-AL" w:eastAsia="en-GB"/>
    </w:rPr>
  </w:style>
  <w:style w:type="paragraph" w:customStyle="1" w:styleId="ADDRESS">
    <w:name w:val="ADDRESS"/>
    <w:basedOn w:val="Normal"/>
    <w:rsid w:val="00B320FC"/>
    <w:pPr>
      <w:keepLines/>
      <w:tabs>
        <w:tab w:val="left" w:pos="1701"/>
        <w:tab w:val="left" w:pos="2268"/>
        <w:tab w:val="left" w:pos="5387"/>
      </w:tabs>
      <w:overflowPunct w:val="0"/>
      <w:spacing w:after="120" w:line="240" w:lineRule="atLeast"/>
      <w:ind w:left="5103" w:hanging="4282"/>
      <w:textAlignment w:val="baseline"/>
    </w:pPr>
    <w:rPr>
      <w:rFonts w:ascii="Arial" w:hAnsi="Arial"/>
      <w:sz w:val="20"/>
      <w:szCs w:val="20"/>
      <w:lang w:val="en-GB"/>
    </w:rPr>
  </w:style>
  <w:style w:type="paragraph" w:customStyle="1" w:styleId="Akti">
    <w:name w:val="Akti"/>
    <w:rsid w:val="00B320FC"/>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B320FC"/>
    <w:rPr>
      <w:rFonts w:ascii="CG Times" w:hAnsi="CG Times"/>
      <w:sz w:val="22"/>
      <w:lang w:val="en-GB"/>
    </w:rPr>
  </w:style>
  <w:style w:type="paragraph" w:customStyle="1" w:styleId="AneksiNr">
    <w:name w:val="Aneksi_Nr"/>
    <w:next w:val="Normal"/>
    <w:rsid w:val="00B320FC"/>
    <w:pPr>
      <w:keepNext/>
      <w:widowControl w:val="0"/>
      <w:jc w:val="center"/>
    </w:pPr>
    <w:rPr>
      <w:rFonts w:ascii="CG Times" w:hAnsi="CG Times"/>
      <w:caps/>
      <w:sz w:val="22"/>
      <w:szCs w:val="22"/>
      <w:lang w:val="en-GB"/>
    </w:rPr>
  </w:style>
  <w:style w:type="paragraph" w:customStyle="1" w:styleId="AneksiTitull">
    <w:name w:val="Aneksi_Titull"/>
    <w:next w:val="Normal"/>
    <w:rsid w:val="00B320FC"/>
    <w:pPr>
      <w:jc w:val="center"/>
    </w:pPr>
    <w:rPr>
      <w:rFonts w:ascii="CG Times" w:hAnsi="CG Times"/>
      <w:sz w:val="24"/>
      <w:szCs w:val="24"/>
      <w:lang w:val="en-GB"/>
    </w:rPr>
  </w:style>
  <w:style w:type="character" w:customStyle="1" w:styleId="apple-converted-space">
    <w:name w:val="apple-converted-space"/>
    <w:basedOn w:val="DefaultParagraphFont"/>
    <w:rsid w:val="00B320FC"/>
  </w:style>
  <w:style w:type="paragraph" w:customStyle="1" w:styleId="Autoriteti">
    <w:name w:val="Autoriteti"/>
    <w:next w:val="Normal"/>
    <w:rsid w:val="00B320FC"/>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B320FC"/>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B320FC"/>
    <w:rPr>
      <w:rFonts w:ascii="CG Times" w:eastAsia="MS Mincho" w:hAnsi="CG Times"/>
      <w:b/>
      <w:sz w:val="22"/>
      <w:szCs w:val="22"/>
      <w:lang w:val="en-GB" w:eastAsia="en-US" w:bidi="ar-SA"/>
    </w:rPr>
  </w:style>
  <w:style w:type="paragraph" w:customStyle="1" w:styleId="BazLigjPropozues">
    <w:name w:val="Baz_Ligj_Propozues"/>
    <w:rsid w:val="00B320FC"/>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B320FC"/>
    <w:pPr>
      <w:spacing w:before="100" w:beforeAutospacing="1" w:after="100" w:afterAutospacing="1"/>
    </w:pPr>
    <w:rPr>
      <w:lang w:val="sq-AL"/>
    </w:rPr>
  </w:style>
  <w:style w:type="paragraph" w:customStyle="1" w:styleId="bcpara">
    <w:name w:val="bc para"/>
    <w:basedOn w:val="Normal"/>
    <w:rsid w:val="00B320FC"/>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B320FC"/>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B320FC"/>
    <w:pPr>
      <w:spacing w:after="720"/>
      <w:ind w:left="1134"/>
      <w:jc w:val="both"/>
    </w:pPr>
    <w:rPr>
      <w:rFonts w:ascii="Arial" w:hAnsi="Arial"/>
      <w:sz w:val="20"/>
      <w:szCs w:val="20"/>
      <w:lang w:val="en-GB"/>
    </w:rPr>
  </w:style>
  <w:style w:type="paragraph" w:customStyle="1" w:styleId="bcverylastparaa">
    <w:name w:val="bc very last para (a)"/>
    <w:basedOn w:val="Normal"/>
    <w:rsid w:val="00B320FC"/>
    <w:pPr>
      <w:spacing w:after="720"/>
      <w:ind w:left="1843" w:hanging="709"/>
      <w:jc w:val="both"/>
    </w:pPr>
    <w:rPr>
      <w:rFonts w:ascii="Arial" w:hAnsi="Arial"/>
      <w:noProof/>
      <w:sz w:val="20"/>
      <w:szCs w:val="20"/>
      <w:lang w:val="en-GB"/>
    </w:rPr>
  </w:style>
  <w:style w:type="paragraph" w:customStyle="1" w:styleId="Bllok">
    <w:name w:val="Bllok"/>
    <w:next w:val="Normal"/>
    <w:rsid w:val="00B320FC"/>
    <w:pPr>
      <w:jc w:val="center"/>
    </w:pPr>
    <w:rPr>
      <w:rFonts w:ascii="CG Times" w:hAnsi="CG Times"/>
      <w:caps/>
      <w:sz w:val="22"/>
      <w:szCs w:val="22"/>
      <w:lang w:val="en-GB"/>
    </w:rPr>
  </w:style>
  <w:style w:type="paragraph" w:customStyle="1" w:styleId="Char0">
    <w:name w:val="Char"/>
    <w:basedOn w:val="Normal"/>
    <w:rsid w:val="00B320FC"/>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B320FC"/>
    <w:rPr>
      <w:lang w:val="sq-AL"/>
    </w:rPr>
  </w:style>
  <w:style w:type="paragraph" w:customStyle="1" w:styleId="CM5">
    <w:name w:val="CM5"/>
    <w:basedOn w:val="Normal"/>
    <w:next w:val="Normal"/>
    <w:rsid w:val="00B320FC"/>
    <w:rPr>
      <w:lang w:val="sq-AL"/>
    </w:rPr>
  </w:style>
  <w:style w:type="paragraph" w:customStyle="1" w:styleId="CM6">
    <w:name w:val="CM6"/>
    <w:basedOn w:val="Normal"/>
    <w:next w:val="Normal"/>
    <w:rsid w:val="00B320FC"/>
    <w:rPr>
      <w:lang w:val="sq-AL"/>
    </w:rPr>
  </w:style>
  <w:style w:type="paragraph" w:customStyle="1" w:styleId="CM7">
    <w:name w:val="CM7"/>
    <w:basedOn w:val="Normal"/>
    <w:next w:val="Normal"/>
    <w:rsid w:val="00B320FC"/>
    <w:rPr>
      <w:lang w:val="sq-AL"/>
    </w:rPr>
  </w:style>
  <w:style w:type="paragraph" w:customStyle="1" w:styleId="Default">
    <w:name w:val="Default"/>
    <w:rsid w:val="00B320FC"/>
    <w:pPr>
      <w:autoSpaceDE w:val="0"/>
      <w:autoSpaceDN w:val="0"/>
      <w:adjustRightInd w:val="0"/>
    </w:pPr>
    <w:rPr>
      <w:rFonts w:ascii="Arial" w:hAnsi="Arial" w:cs="Arial"/>
    </w:rPr>
  </w:style>
  <w:style w:type="character" w:customStyle="1" w:styleId="DeltaViewDeletion">
    <w:name w:val="DeltaView Deletion"/>
    <w:rsid w:val="00B320FC"/>
    <w:rPr>
      <w:strike/>
      <w:color w:val="FF0000"/>
      <w:spacing w:val="0"/>
    </w:rPr>
  </w:style>
  <w:style w:type="character" w:customStyle="1" w:styleId="DeltaViewInsertion">
    <w:name w:val="DeltaView Insertion"/>
    <w:rsid w:val="00B320FC"/>
    <w:rPr>
      <w:color w:val="0000FF"/>
      <w:spacing w:val="0"/>
      <w:u w:val="double"/>
    </w:rPr>
  </w:style>
  <w:style w:type="character" w:customStyle="1" w:styleId="DeltaViewMoveDestination">
    <w:name w:val="DeltaView Move Destination"/>
    <w:rsid w:val="00B320FC"/>
    <w:rPr>
      <w:color w:val="00C000"/>
      <w:spacing w:val="0"/>
      <w:u w:val="double"/>
    </w:rPr>
  </w:style>
  <w:style w:type="paragraph" w:customStyle="1" w:styleId="extraclauses">
    <w:name w:val="extra_clauses"/>
    <w:basedOn w:val="Normal"/>
    <w:rsid w:val="00B320FC"/>
    <w:pPr>
      <w:keepLines/>
      <w:tabs>
        <w:tab w:val="left" w:pos="1701"/>
        <w:tab w:val="left" w:pos="2268"/>
      </w:tabs>
      <w:overflowPunct w:val="0"/>
      <w:spacing w:after="120"/>
      <w:ind w:left="992"/>
      <w:jc w:val="both"/>
      <w:textAlignment w:val="baseline"/>
    </w:pPr>
    <w:rPr>
      <w:rFonts w:ascii="Arial" w:hAnsi="Arial"/>
      <w:sz w:val="20"/>
      <w:szCs w:val="20"/>
      <w:lang w:val="en-GB"/>
    </w:rPr>
  </w:style>
  <w:style w:type="paragraph" w:customStyle="1" w:styleId="Figure">
    <w:name w:val="Figure"/>
    <w:next w:val="Normal"/>
    <w:rsid w:val="00B320FC"/>
    <w:pPr>
      <w:widowControl w:val="0"/>
      <w:outlineLvl w:val="2"/>
    </w:pPr>
    <w:rPr>
      <w:rFonts w:ascii="CG Times" w:hAnsi="CG Times"/>
      <w:sz w:val="22"/>
    </w:rPr>
  </w:style>
  <w:style w:type="paragraph" w:customStyle="1" w:styleId="footnote">
    <w:name w:val="footnote"/>
    <w:basedOn w:val="Normal"/>
    <w:rsid w:val="00B320FC"/>
    <w:pPr>
      <w:keepLines/>
      <w:tabs>
        <w:tab w:val="left" w:pos="1701"/>
        <w:tab w:val="left" w:pos="2268"/>
      </w:tabs>
      <w:overflowPunct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B320FC"/>
    <w:pPr>
      <w:keepNext/>
      <w:widowControl w:val="0"/>
      <w:jc w:val="center"/>
    </w:pPr>
    <w:rPr>
      <w:rFonts w:ascii="CG Times" w:hAnsi="CG Times"/>
      <w:caps/>
      <w:sz w:val="22"/>
      <w:szCs w:val="22"/>
      <w:lang w:val="en-GB"/>
    </w:rPr>
  </w:style>
  <w:style w:type="paragraph" w:customStyle="1" w:styleId="Kapakufund">
    <w:name w:val="Kapaku_fund"/>
    <w:next w:val="Normal"/>
    <w:rsid w:val="00B320FC"/>
    <w:pPr>
      <w:pageBreakBefore/>
    </w:pPr>
    <w:rPr>
      <w:rFonts w:ascii="CG Times" w:hAnsi="CG Times"/>
      <w:b/>
      <w:sz w:val="22"/>
      <w:szCs w:val="22"/>
    </w:rPr>
  </w:style>
  <w:style w:type="paragraph" w:customStyle="1" w:styleId="KapitulliNr">
    <w:name w:val="Kapitulli_Nr"/>
    <w:rsid w:val="00B320FC"/>
    <w:pPr>
      <w:keepNext/>
      <w:widowControl w:val="0"/>
      <w:jc w:val="center"/>
    </w:pPr>
    <w:rPr>
      <w:rFonts w:ascii="CG Times" w:hAnsi="CG Times"/>
      <w:caps/>
      <w:sz w:val="22"/>
      <w:szCs w:val="22"/>
      <w:lang w:val="en-GB"/>
    </w:rPr>
  </w:style>
  <w:style w:type="paragraph" w:customStyle="1" w:styleId="KapitulliTitull">
    <w:name w:val="Kapitulli_Titull"/>
    <w:rsid w:val="00B320FC"/>
    <w:pPr>
      <w:keepNext/>
      <w:widowControl w:val="0"/>
      <w:jc w:val="center"/>
    </w:pPr>
    <w:rPr>
      <w:rFonts w:ascii="CG Times" w:hAnsi="CG Times"/>
      <w:caps/>
      <w:sz w:val="22"/>
      <w:szCs w:val="22"/>
      <w:lang w:val="en-GB"/>
    </w:rPr>
  </w:style>
  <w:style w:type="paragraph" w:customStyle="1" w:styleId="KreuNr">
    <w:name w:val="Kreu_Nr"/>
    <w:rsid w:val="00B320FC"/>
    <w:pPr>
      <w:keepNext/>
      <w:widowControl w:val="0"/>
      <w:jc w:val="center"/>
    </w:pPr>
    <w:rPr>
      <w:rFonts w:ascii="CG Times" w:hAnsi="CG Times"/>
      <w:caps/>
      <w:sz w:val="22"/>
      <w:szCs w:val="22"/>
    </w:rPr>
  </w:style>
  <w:style w:type="paragraph" w:customStyle="1" w:styleId="KreuTitull">
    <w:name w:val="Kreu_Titull"/>
    <w:next w:val="KapitulliTitull"/>
    <w:rsid w:val="00B320FC"/>
    <w:pPr>
      <w:keepNext/>
      <w:widowControl w:val="0"/>
      <w:jc w:val="center"/>
    </w:pPr>
    <w:rPr>
      <w:rFonts w:ascii="CG Times" w:hAnsi="CG Times"/>
      <w:caps/>
      <w:sz w:val="22"/>
      <w:szCs w:val="22"/>
    </w:rPr>
  </w:style>
  <w:style w:type="paragraph" w:customStyle="1" w:styleId="Ndryshimet">
    <w:name w:val="Ndryshimet"/>
    <w:next w:val="Normal"/>
    <w:rsid w:val="00B320FC"/>
    <w:pPr>
      <w:keepNext/>
      <w:widowControl w:val="0"/>
      <w:jc w:val="center"/>
    </w:pPr>
    <w:rPr>
      <w:rFonts w:ascii="CG Times" w:hAnsi="CG Times"/>
      <w:i/>
      <w:sz w:val="22"/>
    </w:rPr>
  </w:style>
  <w:style w:type="paragraph" w:customStyle="1" w:styleId="NeniNr">
    <w:name w:val="Neni_Nr"/>
    <w:next w:val="Normal"/>
    <w:rsid w:val="00B320FC"/>
    <w:pPr>
      <w:keepNext/>
      <w:widowControl w:val="0"/>
      <w:jc w:val="center"/>
    </w:pPr>
    <w:rPr>
      <w:rFonts w:ascii="CG Times" w:hAnsi="CG Times"/>
      <w:sz w:val="22"/>
      <w:lang w:val="en-GB"/>
    </w:rPr>
  </w:style>
  <w:style w:type="paragraph" w:customStyle="1" w:styleId="NeniTitull">
    <w:name w:val="Neni_Titull"/>
    <w:next w:val="Normal"/>
    <w:rsid w:val="00B320FC"/>
    <w:pPr>
      <w:keepNext/>
      <w:widowControl w:val="0"/>
      <w:jc w:val="center"/>
      <w:outlineLvl w:val="2"/>
    </w:pPr>
    <w:rPr>
      <w:rFonts w:ascii="CG Times" w:hAnsi="CG Times"/>
      <w:b/>
      <w:sz w:val="22"/>
      <w:lang w:val="en-GB"/>
    </w:rPr>
  </w:style>
  <w:style w:type="paragraph" w:customStyle="1" w:styleId="NenkreuNr">
    <w:name w:val="Nenkreu_Nr"/>
    <w:rsid w:val="00B320FC"/>
    <w:pPr>
      <w:keepNext/>
      <w:widowControl w:val="0"/>
      <w:jc w:val="center"/>
    </w:pPr>
    <w:rPr>
      <w:rFonts w:ascii="CG Times" w:hAnsi="CG Times"/>
      <w:caps/>
      <w:sz w:val="22"/>
      <w:szCs w:val="22"/>
      <w:lang w:val="en-GB"/>
    </w:rPr>
  </w:style>
  <w:style w:type="paragraph" w:customStyle="1" w:styleId="NenkreuTitull">
    <w:name w:val="Nenkreu_Titull"/>
    <w:rsid w:val="00B320FC"/>
    <w:pPr>
      <w:jc w:val="center"/>
    </w:pPr>
    <w:rPr>
      <w:rFonts w:ascii="CG Times" w:hAnsi="CG Times"/>
      <w:caps/>
      <w:sz w:val="22"/>
      <w:szCs w:val="22"/>
      <w:lang w:val="en-GB"/>
    </w:rPr>
  </w:style>
  <w:style w:type="paragraph" w:customStyle="1" w:styleId="Nenpika">
    <w:name w:val="Nenpika"/>
    <w:next w:val="Normal"/>
    <w:autoRedefine/>
    <w:rsid w:val="00B320FC"/>
    <w:pPr>
      <w:ind w:firstLine="720"/>
    </w:pPr>
    <w:rPr>
      <w:rFonts w:ascii="CG Times" w:hAnsi="CG Times"/>
      <w:sz w:val="22"/>
    </w:rPr>
  </w:style>
  <w:style w:type="paragraph" w:customStyle="1" w:styleId="NormaleBookmanOldStyle">
    <w:name w:val="Normale + Bookman Old Style"/>
    <w:aliases w:val="Giustificato,Dopo:  6 pt"/>
    <w:basedOn w:val="Normal"/>
    <w:rsid w:val="00B320FC"/>
    <w:pPr>
      <w:spacing w:after="120"/>
      <w:jc w:val="both"/>
    </w:pPr>
    <w:rPr>
      <w:rFonts w:ascii="Bookman Old Style" w:hAnsi="Bookman Old Style"/>
      <w:szCs w:val="20"/>
      <w:lang w:val="sq-AL"/>
    </w:rPr>
  </w:style>
  <w:style w:type="paragraph" w:customStyle="1" w:styleId="numberedindent">
    <w:name w:val="numberedindent"/>
    <w:rsid w:val="00B320FC"/>
    <w:pPr>
      <w:tabs>
        <w:tab w:val="num" w:pos="1800"/>
      </w:tabs>
      <w:spacing w:after="120"/>
      <w:jc w:val="both"/>
    </w:pPr>
    <w:rPr>
      <w:rFonts w:ascii="Arial" w:hAnsi="Arial"/>
      <w:lang w:val="en-GB"/>
    </w:rPr>
  </w:style>
  <w:style w:type="paragraph" w:customStyle="1" w:styleId="NumriData">
    <w:name w:val="Numri_Data"/>
    <w:next w:val="Normal"/>
    <w:rsid w:val="00B320FC"/>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B320FC"/>
    <w:pPr>
      <w:spacing w:before="100" w:beforeAutospacing="1" w:after="100" w:afterAutospacing="1"/>
    </w:pPr>
    <w:rPr>
      <w:lang w:val="sq-AL"/>
    </w:rPr>
  </w:style>
  <w:style w:type="paragraph" w:customStyle="1" w:styleId="Paragrafi0">
    <w:name w:val="Paragrafi"/>
    <w:rsid w:val="00B320FC"/>
    <w:pPr>
      <w:widowControl w:val="0"/>
      <w:ind w:firstLine="720"/>
      <w:jc w:val="both"/>
    </w:pPr>
    <w:rPr>
      <w:rFonts w:ascii="CG Times" w:eastAsia="MS Mincho" w:hAnsi="CG Times"/>
      <w:sz w:val="22"/>
    </w:rPr>
  </w:style>
  <w:style w:type="paragraph" w:customStyle="1" w:styleId="Pika">
    <w:name w:val="Pika"/>
    <w:next w:val="Normal"/>
    <w:autoRedefine/>
    <w:rsid w:val="00B320FC"/>
    <w:pPr>
      <w:ind w:firstLine="720"/>
    </w:pPr>
    <w:rPr>
      <w:rFonts w:ascii="CG Times" w:hAnsi="CG Times"/>
      <w:sz w:val="22"/>
    </w:rPr>
  </w:style>
  <w:style w:type="paragraph" w:customStyle="1" w:styleId="PikeKreu">
    <w:name w:val="Pike_Kreu"/>
    <w:basedOn w:val="Heading1"/>
    <w:rsid w:val="00B320FC"/>
    <w:pPr>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B320FC"/>
    <w:pPr>
      <w:keepNext/>
      <w:widowControl w:val="0"/>
      <w:jc w:val="center"/>
    </w:pPr>
    <w:rPr>
      <w:rFonts w:ascii="CG Times" w:hAnsi="CG Times"/>
      <w:caps/>
      <w:sz w:val="22"/>
      <w:szCs w:val="22"/>
      <w:lang w:val="en-GB"/>
    </w:rPr>
  </w:style>
  <w:style w:type="paragraph" w:customStyle="1" w:styleId="PjesaTitull">
    <w:name w:val="Pjesa_Titull"/>
    <w:rsid w:val="00B320FC"/>
    <w:pPr>
      <w:keepNext/>
      <w:widowControl w:val="0"/>
      <w:jc w:val="center"/>
    </w:pPr>
    <w:rPr>
      <w:rFonts w:ascii="CG Times" w:hAnsi="CG Times"/>
      <w:caps/>
      <w:sz w:val="22"/>
      <w:szCs w:val="22"/>
      <w:lang w:val="en-GB"/>
    </w:rPr>
  </w:style>
  <w:style w:type="paragraph" w:customStyle="1" w:styleId="Shpallja">
    <w:name w:val="Shpallja"/>
    <w:rsid w:val="00B320FC"/>
    <w:pPr>
      <w:widowControl w:val="0"/>
      <w:jc w:val="both"/>
    </w:pPr>
    <w:rPr>
      <w:rFonts w:ascii="CG Times" w:hAnsi="CG Times"/>
      <w:b/>
      <w:color w:val="000000"/>
      <w:sz w:val="22"/>
      <w:szCs w:val="22"/>
      <w:lang w:val="sq-AL"/>
    </w:rPr>
  </w:style>
  <w:style w:type="paragraph" w:customStyle="1" w:styleId="Tabele">
    <w:name w:val="Tabele"/>
    <w:rsid w:val="00B320FC"/>
    <w:rPr>
      <w:rFonts w:ascii="CG Times" w:eastAsia="MS Mincho" w:hAnsi="CG Times"/>
      <w:sz w:val="22"/>
      <w:lang w:val="en-GB"/>
    </w:rPr>
  </w:style>
  <w:style w:type="paragraph" w:customStyle="1" w:styleId="text">
    <w:name w:val="text"/>
    <w:basedOn w:val="Normal"/>
    <w:rsid w:val="00B320FC"/>
    <w:pPr>
      <w:ind w:left="709"/>
      <w:jc w:val="both"/>
    </w:pPr>
    <w:rPr>
      <w:rFonts w:ascii="Arial" w:hAnsi="Arial"/>
      <w:sz w:val="20"/>
      <w:szCs w:val="20"/>
      <w:lang w:val="fr-FR"/>
    </w:rPr>
  </w:style>
  <w:style w:type="paragraph" w:customStyle="1" w:styleId="titulli">
    <w:name w:val="titulli"/>
    <w:basedOn w:val="Normal"/>
    <w:rsid w:val="00B320FC"/>
    <w:pPr>
      <w:spacing w:before="100" w:beforeAutospacing="1" w:after="100" w:afterAutospacing="1"/>
    </w:pPr>
    <w:rPr>
      <w:lang w:val="sq-AL"/>
    </w:rPr>
  </w:style>
  <w:style w:type="paragraph" w:customStyle="1" w:styleId="Titulli0">
    <w:name w:val="Titulli"/>
    <w:next w:val="Normal"/>
    <w:rsid w:val="00B320FC"/>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B320FC"/>
    <w:rPr>
      <w:rFonts w:ascii="CG Times" w:eastAsia="MS Mincho" w:hAnsi="CG Times"/>
      <w:b/>
      <w:caps/>
      <w:sz w:val="22"/>
      <w:szCs w:val="22"/>
      <w:lang w:val="en-GB" w:eastAsia="en-US" w:bidi="ar-SA"/>
    </w:rPr>
  </w:style>
  <w:style w:type="paragraph" w:customStyle="1" w:styleId="TitulliNr">
    <w:name w:val="Titulli_Nr"/>
    <w:rsid w:val="00B320FC"/>
    <w:pPr>
      <w:keepNext/>
      <w:widowControl w:val="0"/>
      <w:jc w:val="center"/>
    </w:pPr>
    <w:rPr>
      <w:rFonts w:ascii="CG Times" w:hAnsi="CG Times"/>
      <w:caps/>
      <w:sz w:val="22"/>
      <w:szCs w:val="22"/>
      <w:lang w:val="en-GB"/>
    </w:rPr>
  </w:style>
  <w:style w:type="paragraph" w:customStyle="1" w:styleId="TitulliTitull">
    <w:name w:val="Titulli_Titull"/>
    <w:rsid w:val="00B320FC"/>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B320FC"/>
    <w:pPr>
      <w:spacing w:before="100" w:beforeAutospacing="1" w:after="100" w:afterAutospacing="1"/>
    </w:pPr>
    <w:rPr>
      <w:lang w:val="sq-AL"/>
    </w:rPr>
  </w:style>
  <w:style w:type="paragraph" w:customStyle="1" w:styleId="VENDOSI0">
    <w:name w:val="VENDOSI"/>
    <w:next w:val="Normal"/>
    <w:rsid w:val="00B320FC"/>
    <w:pPr>
      <w:keepNext/>
      <w:widowControl w:val="0"/>
      <w:jc w:val="center"/>
    </w:pPr>
    <w:rPr>
      <w:rFonts w:ascii="CG Times" w:eastAsia="MS Mincho" w:hAnsi="CG Times"/>
      <w:caps/>
      <w:sz w:val="22"/>
      <w:szCs w:val="22"/>
      <w:lang w:val="en-GB"/>
    </w:rPr>
  </w:style>
  <w:style w:type="paragraph" w:styleId="FootnoteText">
    <w:name w:val="footnote text"/>
    <w:basedOn w:val="Normal"/>
    <w:semiHidden/>
    <w:rsid w:val="002975B4"/>
    <w:rPr>
      <w:sz w:val="20"/>
      <w:szCs w:val="20"/>
    </w:rPr>
  </w:style>
  <w:style w:type="character" w:styleId="FootnoteReference">
    <w:name w:val="footnote reference"/>
    <w:basedOn w:val="DefaultParagraphFont"/>
    <w:semiHidden/>
    <w:rsid w:val="002975B4"/>
    <w:rPr>
      <w:vertAlign w:val="superscript"/>
    </w:rPr>
  </w:style>
  <w:style w:type="table" w:styleId="TableGrid">
    <w:name w:val="Table Grid"/>
    <w:basedOn w:val="TableNormal"/>
    <w:rsid w:val="002975B4"/>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image" Target="media/image8.emf"/><Relationship Id="rId18" Type="http://schemas.openxmlformats.org/officeDocument/2006/relationships/image" Target="media/image13.jpeg"/><Relationship Id="rId3" Type="http://schemas.openxmlformats.org/officeDocument/2006/relationships/webSettings" Target="webSettings.xml"/><Relationship Id="rId21" Type="http://schemas.openxmlformats.org/officeDocument/2006/relationships/image" Target="media/image16.jpeg"/><Relationship Id="rId7" Type="http://schemas.openxmlformats.org/officeDocument/2006/relationships/image" Target="media/image2.emf"/><Relationship Id="rId12" Type="http://schemas.openxmlformats.org/officeDocument/2006/relationships/image" Target="media/image7.emf"/><Relationship Id="rId17" Type="http://schemas.openxmlformats.org/officeDocument/2006/relationships/image" Target="media/image12.emf"/><Relationship Id="rId2" Type="http://schemas.openxmlformats.org/officeDocument/2006/relationships/settings" Target="settings.xml"/><Relationship Id="rId16" Type="http://schemas.openxmlformats.org/officeDocument/2006/relationships/image" Target="media/image11.emf"/><Relationship Id="rId20" Type="http://schemas.openxmlformats.org/officeDocument/2006/relationships/image" Target="media/image15.jpe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emf"/><Relationship Id="rId2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image" Target="media/image10.emf"/><Relationship Id="rId23" Type="http://schemas.openxmlformats.org/officeDocument/2006/relationships/fontTable" Target="fontTable.xml"/><Relationship Id="rId10" Type="http://schemas.openxmlformats.org/officeDocument/2006/relationships/image" Target="media/image5.emf"/><Relationship Id="rId19" Type="http://schemas.openxmlformats.org/officeDocument/2006/relationships/image" Target="media/image14.jpeg"/><Relationship Id="rId4" Type="http://schemas.openxmlformats.org/officeDocument/2006/relationships/footnotes" Target="footnotes.xml"/><Relationship Id="rId9" Type="http://schemas.openxmlformats.org/officeDocument/2006/relationships/image" Target="media/image4.emf"/><Relationship Id="rId14" Type="http://schemas.openxmlformats.org/officeDocument/2006/relationships/image" Target="media/image9.emf"/><Relationship Id="rId22" Type="http://schemas.openxmlformats.org/officeDocument/2006/relationships/image" Target="media/image1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1947</Words>
  <Characters>11104</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13025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2019-03-18T12:59:00Z</dcterms:created>
  <dcterms:modified xsi:type="dcterms:W3CDTF">2019-03-18T12:59:00Z</dcterms:modified>
</cp:coreProperties>
</file>