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2EA" w:rsidRPr="00D46F1B" w:rsidRDefault="000E52EA" w:rsidP="000E52EA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46F1B">
        <w:rPr>
          <w:sz w:val="21"/>
          <w:szCs w:val="21"/>
        </w:rPr>
        <w:t>Vendim</w:t>
      </w:r>
    </w:p>
    <w:p w:rsidR="000E52EA" w:rsidRPr="00D46F1B" w:rsidRDefault="000E52EA" w:rsidP="000E52EA">
      <w:pPr>
        <w:pStyle w:val="NumriData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Nr.31, datë 6.5.2009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</w:p>
    <w:p w:rsidR="000E52EA" w:rsidRPr="00D46F1B" w:rsidRDefault="000E52EA" w:rsidP="000E52EA">
      <w:pPr>
        <w:pStyle w:val="Titulli0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 xml:space="preserve">Për planin </w:t>
      </w:r>
      <w:smartTag w:uri="urn:schemas-microsoft-com:office:smarttags" w:element="place">
        <w:r w:rsidRPr="00D46F1B">
          <w:rPr>
            <w:sz w:val="21"/>
            <w:szCs w:val="21"/>
          </w:rPr>
          <w:t>e dhënies</w:t>
        </w:r>
      </w:smartTag>
      <w:r w:rsidRPr="00D46F1B">
        <w:rPr>
          <w:sz w:val="21"/>
          <w:szCs w:val="21"/>
        </w:rPr>
        <w:t xml:space="preserve"> së ndihmës shtetërore “Për shpalljen e zonës ekonomike me </w:t>
      </w:r>
      <w:r>
        <w:rPr>
          <w:sz w:val="21"/>
          <w:szCs w:val="21"/>
        </w:rPr>
        <w:t>statusin e zonës së lirë, Vlorë”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Komisioni i Ndihmës  Shtetërore</w:t>
      </w:r>
      <w:r>
        <w:rPr>
          <w:sz w:val="21"/>
          <w:szCs w:val="21"/>
        </w:rPr>
        <w:t>,</w:t>
      </w:r>
      <w:r w:rsidRPr="00D46F1B">
        <w:rPr>
          <w:sz w:val="21"/>
          <w:szCs w:val="21"/>
        </w:rPr>
        <w:t xml:space="preserve"> me pjesëmarrjen e: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-  z</w:t>
      </w:r>
      <w:r w:rsidRPr="00D46F1B">
        <w:rPr>
          <w:sz w:val="21"/>
          <w:szCs w:val="21"/>
        </w:rPr>
        <w:t>.</w:t>
      </w:r>
      <w:r>
        <w:rPr>
          <w:sz w:val="21"/>
          <w:szCs w:val="21"/>
        </w:rPr>
        <w:t xml:space="preserve"> </w:t>
      </w:r>
      <w:r w:rsidRPr="00D46F1B">
        <w:rPr>
          <w:sz w:val="21"/>
          <w:szCs w:val="21"/>
        </w:rPr>
        <w:t>Gend Ruli</w:t>
      </w:r>
      <w:r w:rsidRPr="00D46F1B">
        <w:rPr>
          <w:sz w:val="21"/>
          <w:szCs w:val="21"/>
        </w:rPr>
        <w:tab/>
      </w:r>
      <w:r w:rsidRPr="00D46F1B">
        <w:rPr>
          <w:sz w:val="21"/>
          <w:szCs w:val="21"/>
        </w:rPr>
        <w:tab/>
      </w:r>
      <w:r w:rsidRPr="00D46F1B">
        <w:rPr>
          <w:sz w:val="21"/>
          <w:szCs w:val="21"/>
        </w:rPr>
        <w:tab/>
        <w:t>Kryetar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- z</w:t>
      </w:r>
      <w:r w:rsidRPr="00D46F1B">
        <w:rPr>
          <w:sz w:val="21"/>
          <w:szCs w:val="21"/>
        </w:rPr>
        <w:t>nj.Mimoza Dhëmbi</w:t>
      </w:r>
      <w:r w:rsidRPr="00D46F1B">
        <w:rPr>
          <w:sz w:val="21"/>
          <w:szCs w:val="21"/>
        </w:rPr>
        <w:tab/>
      </w:r>
      <w:r w:rsidRPr="00D46F1B">
        <w:rPr>
          <w:sz w:val="21"/>
          <w:szCs w:val="21"/>
        </w:rPr>
        <w:tab/>
        <w:t>Anëtare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- z</w:t>
      </w:r>
      <w:r w:rsidRPr="00D46F1B">
        <w:rPr>
          <w:sz w:val="21"/>
          <w:szCs w:val="21"/>
        </w:rPr>
        <w:t>nj. Mimoza Vokshi</w:t>
      </w:r>
      <w:r w:rsidRPr="00D46F1B">
        <w:rPr>
          <w:sz w:val="21"/>
          <w:szCs w:val="21"/>
        </w:rPr>
        <w:tab/>
      </w:r>
      <w:r w:rsidRPr="00D46F1B">
        <w:rPr>
          <w:sz w:val="21"/>
          <w:szCs w:val="21"/>
        </w:rPr>
        <w:tab/>
        <w:t>Anëtare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>
        <w:rPr>
          <w:sz w:val="21"/>
          <w:szCs w:val="21"/>
        </w:rPr>
        <w:t>-  z</w:t>
      </w:r>
      <w:r w:rsidRPr="00D46F1B">
        <w:rPr>
          <w:sz w:val="21"/>
          <w:szCs w:val="21"/>
        </w:rPr>
        <w:t>.</w:t>
      </w:r>
      <w:r>
        <w:rPr>
          <w:sz w:val="21"/>
          <w:szCs w:val="21"/>
        </w:rPr>
        <w:t xml:space="preserve">  Viktor Gumi</w:t>
      </w:r>
      <w:r>
        <w:rPr>
          <w:sz w:val="21"/>
          <w:szCs w:val="21"/>
        </w:rPr>
        <w:tab/>
      </w:r>
      <w:r>
        <w:rPr>
          <w:sz w:val="21"/>
          <w:szCs w:val="21"/>
        </w:rPr>
        <w:tab/>
      </w:r>
      <w:r w:rsidRPr="00D46F1B">
        <w:rPr>
          <w:sz w:val="21"/>
          <w:szCs w:val="21"/>
        </w:rPr>
        <w:t>Anëtar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Në mbledhjen e tij të datës 6.5.200</w:t>
      </w:r>
      <w:r>
        <w:rPr>
          <w:sz w:val="21"/>
          <w:szCs w:val="21"/>
        </w:rPr>
        <w:t>9, shqyrtoi raportin “Për plani</w:t>
      </w:r>
      <w:r w:rsidRPr="00D46F1B">
        <w:rPr>
          <w:sz w:val="21"/>
          <w:szCs w:val="21"/>
        </w:rPr>
        <w:t xml:space="preserve">n e dhënies së ndihmës shtetërore “Për shpalljen e zonës ekonomike me </w:t>
      </w:r>
      <w:r>
        <w:rPr>
          <w:sz w:val="21"/>
          <w:szCs w:val="21"/>
        </w:rPr>
        <w:t>statusin e zonës së lirë, Vlorë”</w:t>
      </w:r>
      <w:r w:rsidRPr="00D46F1B">
        <w:rPr>
          <w:sz w:val="21"/>
          <w:szCs w:val="21"/>
        </w:rPr>
        <w:t>”. Njoftimi është bërë pranë Drejtorisë së Ndihmës Shtetërore nga Drejtoria e Zhvillimit të Parqeve Industriale dhe Zonave të Lira në Ministrinë e Ekonomisë, Tregtisë dhe Energjetikës me shkresën nr.3747/2, datë 4.5.2009 dhe është regjistruar në regjistrin e DNSH-së me nr.A1/N/008/2009.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Baza ligjore: Si bazë për dhënien e ndihmës është ligji nr.9789, datë 19.7.2007 “Për krijimin dhe funksionimin e zonave ekonomike”, vendimin e Këshillit të Ministrave nr.860, datë 10.10.2007 “Për miratimin e rregullores së krijimit dhe të funksionimit të zonave ekonomike”, si dhe vendimi i Komisionit të Ndihmës Shtetërore nr.20, datë 1.11.2007 “Për skemën ekzistuese, ligjin nr.8636, datë 6.7.2000 “Për zonat e lira””, amenduar me ligjin nr.9789, datë 19.7.2007 “Për krijimin dhe funksionimin e zonave ekonomike”.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Objektivi/vat: Plani për dhënien e ndihmës ka si objektiv kryesor zhvillimin rajonal, i cili synohet të arrihet përmes kryerjes së investimeve dhe krijimit të vendeve të reja të punës, të lidhura me këto investime.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Komisioni i Ndihmës Shtetërore, pasi shqyrtoi raportin e përgatitur nga Drejtoria e Ndihmës Shtetërore dhe të gjithë dokumentacionin mbështetës,</w:t>
      </w:r>
    </w:p>
    <w:p w:rsidR="000E52EA" w:rsidRDefault="000E52EA" w:rsidP="000E52EA">
      <w:pPr>
        <w:pStyle w:val="Paragrafi0"/>
        <w:ind w:firstLine="0"/>
        <w:rPr>
          <w:sz w:val="21"/>
          <w:szCs w:val="21"/>
        </w:rPr>
      </w:pPr>
    </w:p>
    <w:p w:rsidR="000E52EA" w:rsidRPr="00D46F1B" w:rsidRDefault="000E52EA" w:rsidP="000E52EA">
      <w:pPr>
        <w:pStyle w:val="VENDOSI0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Vëren se:</w:t>
      </w:r>
    </w:p>
    <w:p w:rsidR="000E52EA" w:rsidRPr="00765F2B" w:rsidRDefault="000E52EA" w:rsidP="000E52EA">
      <w:pPr>
        <w:pStyle w:val="Paragrafi0"/>
        <w:rPr>
          <w:sz w:val="6"/>
          <w:szCs w:val="21"/>
        </w:rPr>
      </w:pP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1. Projekti për zhvillimin e zonës konsiderohet si një projekt me interes të rëndësishëm për vendin. Ai parashikohet të sjellë zhvillim të rajonit, nëpërmjet investimeve dhe krijimit të vendeve të reja të punës.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2. Zona parashikohet të jepet me koncesion, në formën BOT (ndërtim, operim dhe transferim) dhe procedura e përzgjedhjes së zhvilluesit të zonës do të kryhet në bazë të ligjit nr.9663, datë 18.12.2006 “Për koncesionet”, të ndryshuar.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3. Periudha e funksionimit të zonës propozohet të jetë deri në 35 vjet.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4. Dhënia e terminalit të kontejnerëve me koncesion, i cili do të operojë </w:t>
      </w:r>
      <w:r>
        <w:rPr>
          <w:sz w:val="21"/>
          <w:szCs w:val="21"/>
        </w:rPr>
        <w:t>paralelisht</w:t>
      </w:r>
      <w:r w:rsidRPr="00D46F1B">
        <w:rPr>
          <w:sz w:val="21"/>
          <w:szCs w:val="21"/>
        </w:rPr>
        <w:t xml:space="preserve"> me zonën e lirë, parashikohet që të zhvillohet në bazë të një plani afatgjatë investimi, detajimi i të cilit pritet të shqyrtohet në një periudhë të mëvonshme.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5. Në zonën e lirë përcaktohet të zhvillohen veprimtari portuale, industriale dhe përpunimi; veprimtari tregtare dhe të shërbimeve, magazinim i mallrave. Përjashtohet zhvillimi në zonë i veprimtarive që lidhen me prodhimin e çelikut.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6. Përfituesit e ndihmës kanë një përparësi ekonomike në formën e përjashtimit nga TVSH-ja dhe detyrimet doganore, e cila është ndihmë operacionale. Përfituesit e ndihmës janë zhvilluesi i zonës, përdoruesit dhe operatorët që do të ushtrojnë veprimtarinë në këtë zonë. Në rastin e zhvilluesit të zonës, parashikohet edhe një element tjetër ndihme në formën e përdorimit të pronës shtetërore në një çmim poshtë atij të tregut, sipas kushteve që pritet të parashikohen në kontratën e formës BOT.</w:t>
      </w:r>
    </w:p>
    <w:p w:rsidR="000E52EA" w:rsidRPr="002739DD" w:rsidRDefault="000E52EA" w:rsidP="000E52EA">
      <w:pPr>
        <w:pStyle w:val="Paragrafi0"/>
        <w:rPr>
          <w:sz w:val="12"/>
          <w:szCs w:val="21"/>
        </w:rPr>
      </w:pPr>
    </w:p>
    <w:p w:rsidR="000E52EA" w:rsidRPr="00D46F1B" w:rsidRDefault="000E52EA" w:rsidP="000E52EA">
      <w:pPr>
        <w:pStyle w:val="VENDOSI0"/>
        <w:keepNext w:val="0"/>
        <w:rPr>
          <w:sz w:val="21"/>
          <w:szCs w:val="21"/>
        </w:rPr>
      </w:pPr>
      <w:r>
        <w:rPr>
          <w:sz w:val="21"/>
          <w:szCs w:val="21"/>
        </w:rPr>
        <w:t>Për këtë arsye,</w:t>
      </w:r>
    </w:p>
    <w:p w:rsidR="000E52EA" w:rsidRPr="002739DD" w:rsidRDefault="000E52EA" w:rsidP="000E52EA">
      <w:pPr>
        <w:pStyle w:val="Paragrafi0"/>
        <w:rPr>
          <w:sz w:val="12"/>
          <w:szCs w:val="21"/>
        </w:rPr>
      </w:pP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Komisioni i Ndihmës Shtetërore, në bazë të nenit 13 pika 2, nenit 14 pika 1, nenit 17, shkronja “ç”, të ligjit nr.9374, datë 21.4.2005 “Për ndihmën shtetërore”, si dhe të nenit 7 të rregullores “Për kushtet dhe procedurat e dhënies së ndihmës rajonale”, miratuar me vendimin e Këshillit të Ministrave nr.815, datë 28.12.2005</w:t>
      </w:r>
      <w:r>
        <w:rPr>
          <w:sz w:val="21"/>
          <w:szCs w:val="21"/>
        </w:rPr>
        <w:t>,</w:t>
      </w:r>
    </w:p>
    <w:p w:rsidR="000E52EA" w:rsidRPr="00F34B56" w:rsidRDefault="000E52EA" w:rsidP="000E52EA">
      <w:pPr>
        <w:pStyle w:val="Paragrafi0"/>
        <w:rPr>
          <w:sz w:val="12"/>
          <w:szCs w:val="21"/>
        </w:rPr>
      </w:pPr>
    </w:p>
    <w:p w:rsidR="000E52EA" w:rsidRPr="00D46F1B" w:rsidRDefault="000E52EA" w:rsidP="000E52EA">
      <w:pPr>
        <w:pStyle w:val="VENDOSI0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Vendosi:</w:t>
      </w:r>
    </w:p>
    <w:p w:rsidR="000E52EA" w:rsidRPr="00F34B56" w:rsidRDefault="000E52EA" w:rsidP="000E52EA">
      <w:pPr>
        <w:pStyle w:val="Paragrafi0"/>
        <w:rPr>
          <w:sz w:val="14"/>
          <w:szCs w:val="21"/>
        </w:rPr>
      </w:pP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1.</w:t>
      </w:r>
      <w:r>
        <w:rPr>
          <w:sz w:val="21"/>
          <w:szCs w:val="21"/>
        </w:rPr>
        <w:t xml:space="preserve"> </w:t>
      </w:r>
      <w:r w:rsidRPr="00D46F1B">
        <w:rPr>
          <w:sz w:val="21"/>
          <w:szCs w:val="21"/>
        </w:rPr>
        <w:t>Të miratojë planin për shpalljen e zonës ekonomike, me statusin e zonës së lirë, në Vlorë,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2.</w:t>
      </w:r>
      <w:r>
        <w:rPr>
          <w:sz w:val="21"/>
          <w:szCs w:val="21"/>
        </w:rPr>
        <w:t xml:space="preserve"> </w:t>
      </w:r>
      <w:r w:rsidRPr="00D46F1B">
        <w:rPr>
          <w:sz w:val="21"/>
          <w:szCs w:val="21"/>
        </w:rPr>
        <w:t>Nga ky plan ndihme do të përfitojnë të gjitha ndërmarrjet që do të ushtrojnë veprimtaritë sipas pikës 3 të projektvendimit të Këshillit të Ministrave.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3. Nga plani, në asnjë rast, nuk mund të përfitojnë ndërmarrjet në vështirësi dhe, si të tilla, ato nuk mund të ushtrojnë veprimtarinë e tyre në zonë.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4.Kontributi i përfituesit/përfituesve për financimin e investimit fillestar duhet të jetë të paktën 25%.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5.</w:t>
      </w:r>
      <w:r>
        <w:rPr>
          <w:sz w:val="21"/>
          <w:szCs w:val="21"/>
        </w:rPr>
        <w:t xml:space="preserve"> Në çdo rast ndihma përfituese</w:t>
      </w:r>
      <w:r w:rsidRPr="00D46F1B">
        <w:rPr>
          <w:sz w:val="21"/>
          <w:szCs w:val="21"/>
        </w:rPr>
        <w:t xml:space="preserve"> do të jetë e lejue</w:t>
      </w:r>
      <w:r>
        <w:rPr>
          <w:sz w:val="21"/>
          <w:szCs w:val="21"/>
        </w:rPr>
        <w:t>shme nëse lidhet me një projekt</w:t>
      </w:r>
      <w:r w:rsidRPr="00D46F1B">
        <w:rPr>
          <w:sz w:val="21"/>
          <w:szCs w:val="21"/>
        </w:rPr>
        <w:t>investimi fillestar dhe krijimin e vendeve të reja të punës, në bazë të rregullores “Për kushtet d</w:t>
      </w:r>
      <w:r>
        <w:rPr>
          <w:sz w:val="21"/>
          <w:szCs w:val="21"/>
        </w:rPr>
        <w:t>he proce</w:t>
      </w:r>
      <w:r w:rsidRPr="00D46F1B">
        <w:rPr>
          <w:sz w:val="21"/>
          <w:szCs w:val="21"/>
        </w:rPr>
        <w:t>durat e dhënies së ndihmës rajonale”.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6.</w:t>
      </w:r>
      <w:r>
        <w:rPr>
          <w:sz w:val="21"/>
          <w:szCs w:val="21"/>
        </w:rPr>
        <w:t xml:space="preserve"> </w:t>
      </w:r>
      <w:r w:rsidRPr="00D46F1B">
        <w:rPr>
          <w:sz w:val="21"/>
          <w:szCs w:val="21"/>
        </w:rPr>
        <w:t>Intensiteti i ndihmës për ndërmarrjet e mëdha nuk duhet të kalojë 50%. Ky kufi mund të rritet për ndërmarrjet e vogla dhe të mesme, të vendosura në zonë, me 15% të vlerës bruto. Përveç kostove të pranueshme, të lidhura me investimin dhe të përcaktuara në rregulloren “Për kushtet dhe procedurat e dhënies së ndihmës rajonale”, në llogaritjen e intensitetit do të merren parasysh të gjitha përjashtimet apo lehtësimet nga taksat, si dhe të gjitha format e tjera të ndihmës. Nuk lejohet përshtimi i ndihmës  që tejkalon maksimumin e lejuar të intensitetit, për të njëjtat kosto të pranueshme.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7.</w:t>
      </w:r>
      <w:r>
        <w:rPr>
          <w:sz w:val="21"/>
          <w:szCs w:val="21"/>
        </w:rPr>
        <w:t xml:space="preserve"> </w:t>
      </w:r>
      <w:r w:rsidRPr="00D46F1B">
        <w:rPr>
          <w:sz w:val="21"/>
          <w:szCs w:val="21"/>
        </w:rPr>
        <w:t>Çdo ndryshim i mundshëm i planit të ndihmës, të njoftohet pranë Drejtorisë së Ndihmës Shtetërore, sipas procedurave të përcaktuara në legjislacionin e ndihmës shtetërore në fuqi.</w:t>
      </w:r>
    </w:p>
    <w:p w:rsidR="000E52EA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8.</w:t>
      </w:r>
      <w:r>
        <w:rPr>
          <w:sz w:val="21"/>
          <w:szCs w:val="21"/>
        </w:rPr>
        <w:t xml:space="preserve"> </w:t>
      </w:r>
      <w:r w:rsidRPr="00D46F1B">
        <w:rPr>
          <w:sz w:val="21"/>
          <w:szCs w:val="21"/>
        </w:rPr>
        <w:t>Drejtoria e Zonave të Lira dhe Parqeve Industriale, brenda datës 31 mars të çdo viti</w:t>
      </w:r>
      <w:r>
        <w:rPr>
          <w:sz w:val="21"/>
          <w:szCs w:val="21"/>
        </w:rPr>
        <w:t>,</w:t>
      </w:r>
      <w:r w:rsidRPr="00D46F1B">
        <w:rPr>
          <w:sz w:val="21"/>
          <w:szCs w:val="21"/>
        </w:rPr>
        <w:t xml:space="preserve"> të raportojë pranë DNSH për impaktin e investimeve dhe realizimin e të gjithë treguesve të tjerë gjatë vitit paraardhës financiar, të parashikuara në licencat përkatëse për ndërmarrjet që përfitojnë në kuadër të ndihmës individuale nga dispozitat e ligjit nr.9789, datë 19.7.2007 “Për krijimin dhe funksionimin e zonave ekonomike”, si dhe të japë çdo informacion që do të kërkohet nga DNSH-ja, për monitorimin dhe kontrollin e ndihmës së dhënë.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>9.</w:t>
      </w:r>
      <w:r>
        <w:rPr>
          <w:sz w:val="21"/>
          <w:szCs w:val="21"/>
        </w:rPr>
        <w:t xml:space="preserve"> </w:t>
      </w:r>
      <w:r w:rsidRPr="00D46F1B">
        <w:rPr>
          <w:sz w:val="21"/>
          <w:szCs w:val="21"/>
        </w:rPr>
        <w:t>Ky plan ndihme do të zbatohet në përputhje me detyrimet që do të vijnë si pasojë e procesit të integrimit të Shqipërisë në BE.</w:t>
      </w:r>
    </w:p>
    <w:p w:rsidR="000E52EA" w:rsidRDefault="000E52EA" w:rsidP="000E52EA">
      <w:pPr>
        <w:pStyle w:val="Paragrafi0"/>
        <w:rPr>
          <w:sz w:val="21"/>
          <w:szCs w:val="21"/>
        </w:rPr>
      </w:pPr>
      <w:r w:rsidRPr="00D46F1B">
        <w:rPr>
          <w:sz w:val="21"/>
          <w:szCs w:val="21"/>
        </w:rPr>
        <w:t xml:space="preserve">10. </w:t>
      </w:r>
      <w:r>
        <w:rPr>
          <w:sz w:val="21"/>
          <w:szCs w:val="21"/>
        </w:rPr>
        <w:t xml:space="preserve"> </w:t>
      </w:r>
      <w:r w:rsidRPr="00D46F1B">
        <w:rPr>
          <w:sz w:val="21"/>
          <w:szCs w:val="21"/>
        </w:rPr>
        <w:t>Ky vendim hyn në fuqi menjëherë.</w:t>
      </w:r>
    </w:p>
    <w:p w:rsidR="000E52EA" w:rsidRPr="00D46F1B" w:rsidRDefault="000E52EA" w:rsidP="000E52EA">
      <w:pPr>
        <w:pStyle w:val="Paragrafi0"/>
        <w:rPr>
          <w:sz w:val="21"/>
          <w:szCs w:val="21"/>
        </w:rPr>
      </w:pPr>
    </w:p>
    <w:p w:rsidR="000E52EA" w:rsidRPr="00D46F1B" w:rsidRDefault="000E52EA" w:rsidP="000E52EA">
      <w:pPr>
        <w:pStyle w:val="Autoriteti"/>
        <w:keepNext w:val="0"/>
        <w:rPr>
          <w:sz w:val="21"/>
          <w:szCs w:val="21"/>
        </w:rPr>
      </w:pPr>
      <w:r w:rsidRPr="00D46F1B">
        <w:rPr>
          <w:sz w:val="21"/>
          <w:szCs w:val="21"/>
        </w:rPr>
        <w:t>Kryetar</w:t>
      </w:r>
    </w:p>
    <w:p w:rsidR="000E52EA" w:rsidRPr="00D46F1B" w:rsidRDefault="000E52EA" w:rsidP="000E52EA">
      <w:pPr>
        <w:pStyle w:val="AutoritetiEmer"/>
        <w:rPr>
          <w:sz w:val="21"/>
          <w:szCs w:val="21"/>
        </w:rPr>
      </w:pPr>
      <w:r w:rsidRPr="00D46F1B">
        <w:rPr>
          <w:sz w:val="21"/>
          <w:szCs w:val="21"/>
        </w:rPr>
        <w:t>Genc Ruli</w:t>
      </w:r>
    </w:p>
    <w:sectPr w:rsidR="000E52EA" w:rsidRPr="00D46F1B" w:rsidSect="000E52EA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360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B29BF">
      <w:r>
        <w:separator/>
      </w:r>
    </w:p>
  </w:endnote>
  <w:endnote w:type="continuationSeparator" w:id="0">
    <w:p w:rsidR="00000000" w:rsidRDefault="007B2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2EA" w:rsidRDefault="000E52EA" w:rsidP="000E52E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E52EA" w:rsidRDefault="000E52EA" w:rsidP="000E52E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52EA" w:rsidRDefault="000E52EA" w:rsidP="000E52E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3607</w:t>
    </w:r>
    <w:r>
      <w:rPr>
        <w:rStyle w:val="PageNumber"/>
      </w:rPr>
      <w:fldChar w:fldCharType="end"/>
    </w:r>
  </w:p>
  <w:p w:rsidR="000E52EA" w:rsidRDefault="000E52EA" w:rsidP="000E52E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B29BF">
      <w:r>
        <w:separator/>
      </w:r>
    </w:p>
  </w:footnote>
  <w:footnote w:type="continuationSeparator" w:id="0">
    <w:p w:rsidR="00000000" w:rsidRDefault="007B29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E52EA"/>
    <w:rsid w:val="00001ED4"/>
    <w:rsid w:val="0000253A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438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6264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517F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E52EA"/>
    <w:rsid w:val="000E7D2B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015A"/>
    <w:rsid w:val="0012215A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4A4D"/>
    <w:rsid w:val="001952F8"/>
    <w:rsid w:val="00197CB4"/>
    <w:rsid w:val="001A02D5"/>
    <w:rsid w:val="001A2871"/>
    <w:rsid w:val="001A2C51"/>
    <w:rsid w:val="001A3A7E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54B6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A27"/>
    <w:rsid w:val="002F0A38"/>
    <w:rsid w:val="002F164E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3AE3"/>
    <w:rsid w:val="003863E0"/>
    <w:rsid w:val="0038645D"/>
    <w:rsid w:val="003877F9"/>
    <w:rsid w:val="00387B5A"/>
    <w:rsid w:val="003931B3"/>
    <w:rsid w:val="00397546"/>
    <w:rsid w:val="003A0F41"/>
    <w:rsid w:val="003A2ADD"/>
    <w:rsid w:val="003A34DD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4833"/>
    <w:rsid w:val="003C5597"/>
    <w:rsid w:val="003C7854"/>
    <w:rsid w:val="003C7E57"/>
    <w:rsid w:val="003D046C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586C"/>
    <w:rsid w:val="003E5A3C"/>
    <w:rsid w:val="003E5CE5"/>
    <w:rsid w:val="003F01F0"/>
    <w:rsid w:val="003F0C74"/>
    <w:rsid w:val="003F2566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C1AB1"/>
    <w:rsid w:val="004C3481"/>
    <w:rsid w:val="004C4427"/>
    <w:rsid w:val="004C505A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26E2A"/>
    <w:rsid w:val="00530279"/>
    <w:rsid w:val="00530570"/>
    <w:rsid w:val="0053111F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2711"/>
    <w:rsid w:val="005B2E51"/>
    <w:rsid w:val="005B3F61"/>
    <w:rsid w:val="005B3FEB"/>
    <w:rsid w:val="005B56D6"/>
    <w:rsid w:val="005B643E"/>
    <w:rsid w:val="005C1ED6"/>
    <w:rsid w:val="005C2A9E"/>
    <w:rsid w:val="005C4156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30305"/>
    <w:rsid w:val="00632252"/>
    <w:rsid w:val="00634970"/>
    <w:rsid w:val="00637880"/>
    <w:rsid w:val="00641F4D"/>
    <w:rsid w:val="0064249D"/>
    <w:rsid w:val="006425FC"/>
    <w:rsid w:val="00643B28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4B9"/>
    <w:rsid w:val="00692B75"/>
    <w:rsid w:val="006933FE"/>
    <w:rsid w:val="00694E32"/>
    <w:rsid w:val="00696466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4A7D"/>
    <w:rsid w:val="006E6B7D"/>
    <w:rsid w:val="006E7F6B"/>
    <w:rsid w:val="006F069F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1312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29BF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DDF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5046D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260C"/>
    <w:rsid w:val="00876E17"/>
    <w:rsid w:val="0088053B"/>
    <w:rsid w:val="008812CF"/>
    <w:rsid w:val="00881FB0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7093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77E"/>
    <w:rsid w:val="009E12A3"/>
    <w:rsid w:val="009E17A4"/>
    <w:rsid w:val="009E17EE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80C9A"/>
    <w:rsid w:val="00A81297"/>
    <w:rsid w:val="00A86120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6FC9"/>
    <w:rsid w:val="00B01885"/>
    <w:rsid w:val="00B0397B"/>
    <w:rsid w:val="00B046E0"/>
    <w:rsid w:val="00B0655D"/>
    <w:rsid w:val="00B10E27"/>
    <w:rsid w:val="00B10E45"/>
    <w:rsid w:val="00B12790"/>
    <w:rsid w:val="00B152CC"/>
    <w:rsid w:val="00B15CCB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5B4F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3522"/>
    <w:rsid w:val="00CA4FE2"/>
    <w:rsid w:val="00CA51CA"/>
    <w:rsid w:val="00CA6FC1"/>
    <w:rsid w:val="00CB1A2D"/>
    <w:rsid w:val="00CB3498"/>
    <w:rsid w:val="00CB44E7"/>
    <w:rsid w:val="00CB4694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58C"/>
    <w:rsid w:val="00CE086B"/>
    <w:rsid w:val="00CE179E"/>
    <w:rsid w:val="00CE3B1B"/>
    <w:rsid w:val="00CE4D53"/>
    <w:rsid w:val="00CE6530"/>
    <w:rsid w:val="00CE6CC0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58F6"/>
    <w:rsid w:val="00D4083D"/>
    <w:rsid w:val="00D410AC"/>
    <w:rsid w:val="00D41B26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2143"/>
    <w:rsid w:val="00DB5141"/>
    <w:rsid w:val="00DB5FEF"/>
    <w:rsid w:val="00DC22F7"/>
    <w:rsid w:val="00DC29A9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04ECB"/>
    <w:rsid w:val="00E10CA3"/>
    <w:rsid w:val="00E12A78"/>
    <w:rsid w:val="00E146F6"/>
    <w:rsid w:val="00E16045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73BF"/>
    <w:rsid w:val="00FA796B"/>
    <w:rsid w:val="00FB0D1F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5636C00-C822-4BF9-981B-929321DA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52EA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EF0EE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F0EE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F0EE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F0EE5"/>
  </w:style>
  <w:style w:type="paragraph" w:customStyle="1" w:styleId="Autoriteti">
    <w:name w:val="Autoriteti"/>
    <w:next w:val="Normal"/>
    <w:rsid w:val="00EF0EE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F0EE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EF0EE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F0EE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F0EE5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EF0EE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F0EE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F0EE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F0EE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EF0EE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EF0EE5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EF0EE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F0EE5"/>
    <w:rPr>
      <w:strike/>
      <w:color w:val="FF0000"/>
      <w:spacing w:val="0"/>
    </w:rPr>
  </w:style>
  <w:style w:type="character" w:customStyle="1" w:styleId="DeltaViewInsertion">
    <w:name w:val="DeltaView Insertion"/>
    <w:rsid w:val="00EF0EE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F0EE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F0EE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F0EE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F0EE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F0EE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F0EE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F0EE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F0EE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F0EE5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EF0EE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F0EE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EF0EE5"/>
    <w:pPr>
      <w:spacing w:before="100" w:beforeAutospacing="1" w:after="100" w:afterAutospacing="1"/>
    </w:pPr>
  </w:style>
  <w:style w:type="paragraph" w:customStyle="1" w:styleId="Paragrafi0">
    <w:name w:val="Paragrafi"/>
    <w:rsid w:val="00EF0EE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EF0EE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F0EE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F0EE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F0EE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EF0EE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F0EE5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EF0EE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EF0EE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F0EE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F0EE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F0EE5"/>
    <w:pPr>
      <w:spacing w:before="100" w:beforeAutospacing="1" w:after="100" w:afterAutospacing="1"/>
    </w:pPr>
  </w:style>
  <w:style w:type="paragraph" w:customStyle="1" w:styleId="VENDOSI0">
    <w:name w:val="VENDOSI"/>
    <w:next w:val="Normal"/>
    <w:link w:val="VENDOSIChar"/>
    <w:rsid w:val="00EF0EE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0"/>
    <w:rsid w:val="000E52EA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0E52E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0E52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