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367" w:rsidRPr="00250AE3" w:rsidRDefault="00163367" w:rsidP="00163367">
      <w:pPr>
        <w:pStyle w:val="Akti"/>
        <w:rPr>
          <w:spacing w:val="-4"/>
          <w:lang w:val="sq-AL"/>
        </w:rPr>
      </w:pPr>
      <w:r w:rsidRPr="00250AE3">
        <w:rPr>
          <w:spacing w:val="-4"/>
          <w:lang w:val="sq-AL"/>
        </w:rPr>
        <w:t>VENDIM</w:t>
      </w:r>
    </w:p>
    <w:p w:rsidR="00163367" w:rsidRPr="00250AE3" w:rsidRDefault="00163367" w:rsidP="00163367">
      <w:pPr>
        <w:pStyle w:val="NumriData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Nr. 53, datë 26.1.2015 </w:t>
      </w:r>
    </w:p>
    <w:p w:rsidR="00163367" w:rsidRPr="000300C4" w:rsidRDefault="00163367" w:rsidP="00163367">
      <w:pPr>
        <w:pStyle w:val="Hapesira7"/>
        <w:rPr>
          <w:spacing w:val="-4"/>
          <w:sz w:val="12"/>
          <w:lang w:val="sq-AL"/>
        </w:rPr>
      </w:pPr>
    </w:p>
    <w:p w:rsidR="00163367" w:rsidRPr="00250AE3" w:rsidRDefault="00163367" w:rsidP="00163367">
      <w:pPr>
        <w:pStyle w:val="Titulli"/>
        <w:rPr>
          <w:spacing w:val="-4"/>
          <w:lang w:val="sq-AL"/>
        </w:rPr>
      </w:pPr>
      <w:r w:rsidRPr="00250AE3">
        <w:rPr>
          <w:spacing w:val="-4"/>
          <w:lang w:val="sq-AL"/>
        </w:rPr>
        <w:t>PËR SKEMËN E NDIHMËS SHTETËRORE NË VENDIMIN E KËSHILLIT TË MINISTRAVE NR. 411, DATË 20.6.2014  “PËR BASHKËFINANCIMIN E PROJEKTIT TË STADIUMIT “RUZHDI BIZHUTA” ELBASAN, DHE FINANCIMIN E PARKUT OLIMPIK TË TIRANËS””</w:t>
      </w:r>
    </w:p>
    <w:p w:rsidR="00163367" w:rsidRPr="000300C4" w:rsidRDefault="00163367" w:rsidP="00163367">
      <w:pPr>
        <w:pStyle w:val="Hapesira7"/>
        <w:rPr>
          <w:spacing w:val="-4"/>
          <w:sz w:val="12"/>
          <w:lang w:val="sq-AL"/>
        </w:rPr>
      </w:pP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Komisioni i Ndihmës Shtetërore me pjesëmarrjen e :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Arben Ahmetaj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kryetar</w:t>
      </w:r>
      <w:r w:rsidRPr="00250AE3">
        <w:rPr>
          <w:spacing w:val="-4"/>
          <w:lang w:val="sq-AL"/>
        </w:rPr>
        <w:t xml:space="preserve"> 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Mimoza Dhëmbi </w:t>
      </w:r>
      <w:r w:rsidRPr="00250AE3">
        <w:rPr>
          <w:spacing w:val="-4"/>
          <w:lang w:val="sq-AL"/>
        </w:rPr>
        <w:tab/>
      </w:r>
      <w:r w:rsidRPr="00250AE3"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</w:t>
      </w:r>
      <w:r w:rsidRPr="00250AE3">
        <w:rPr>
          <w:spacing w:val="-4"/>
          <w:lang w:val="sq-AL"/>
        </w:rPr>
        <w:t xml:space="preserve"> 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Dareka Dariu</w:t>
      </w:r>
      <w:r w:rsidRPr="00250AE3">
        <w:rPr>
          <w:spacing w:val="-4"/>
          <w:lang w:val="sq-AL"/>
        </w:rPr>
        <w:tab/>
      </w:r>
      <w:r w:rsidRPr="00250AE3">
        <w:rPr>
          <w:spacing w:val="-4"/>
          <w:lang w:val="sq-AL"/>
        </w:rPr>
        <w:tab/>
      </w:r>
      <w:r w:rsidRPr="00250AE3">
        <w:rPr>
          <w:spacing w:val="-4"/>
          <w:lang w:val="sq-AL"/>
        </w:rPr>
        <w:tab/>
      </w:r>
      <w:r>
        <w:rPr>
          <w:spacing w:val="-4"/>
          <w:lang w:val="sq-AL"/>
        </w:rPr>
        <w:t>anëtar</w:t>
      </w:r>
      <w:r w:rsidRPr="00250AE3">
        <w:rPr>
          <w:spacing w:val="-4"/>
          <w:lang w:val="sq-AL"/>
        </w:rPr>
        <w:t xml:space="preserve"> 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Ahmet Mançellari</w:t>
      </w:r>
      <w:r w:rsidRPr="00250AE3">
        <w:rPr>
          <w:spacing w:val="-4"/>
          <w:lang w:val="sq-AL"/>
        </w:rPr>
        <w:tab/>
      </w:r>
      <w:r w:rsidRPr="00250AE3"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Anduena Dedja</w:t>
      </w:r>
      <w:r w:rsidRPr="00250AE3">
        <w:rPr>
          <w:spacing w:val="-4"/>
          <w:lang w:val="sq-AL"/>
        </w:rPr>
        <w:tab/>
      </w:r>
      <w:r w:rsidRPr="00250AE3">
        <w:rPr>
          <w:spacing w:val="-4"/>
          <w:lang w:val="sq-AL"/>
        </w:rPr>
        <w:tab/>
      </w:r>
      <w:r w:rsidRPr="00250AE3">
        <w:rPr>
          <w:spacing w:val="-4"/>
          <w:lang w:val="sq-AL"/>
        </w:rPr>
        <w:tab/>
        <w:t>anëtar.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Në mbledhjen e tij të radhës të datës 26.1.2015, nëpërmjet Drejtorisë së Tregut të Brendshëm në Ministrinë e Zhvillimit Ekonomik, Tregtisë dhe Sipërmarrjes (MZHETS),  në bazë të ligjit nr. 9374, datë 21.4.2005 “Për ndihmën shtetërore” </w:t>
      </w:r>
      <w:r>
        <w:rPr>
          <w:spacing w:val="-4"/>
          <w:lang w:val="sq-AL"/>
        </w:rPr>
        <w:t xml:space="preserve">të </w:t>
      </w:r>
      <w:r w:rsidRPr="00250AE3">
        <w:rPr>
          <w:spacing w:val="-4"/>
          <w:lang w:val="sq-AL"/>
        </w:rPr>
        <w:t>ndryshuar, ka marrë në shqyrtim ex-post vendimin e Këshillit të Ministrave nr. 411, datë 20.6.2014  “Për bashkëfinancimin e projektit të stadiumit “Ruzhdi Bizhuta” Elbasan, dhe financimin e parkut olimpik të Tiranës””, të zbatuar nga Ministria e Arsimit dhe Sportit.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I. Procedura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1. Në zbatim të ligjit nr. 9374, datë 21.4.2005 “Për ndihmën shtetërore” </w:t>
      </w:r>
      <w:r>
        <w:rPr>
          <w:spacing w:val="-4"/>
          <w:lang w:val="sq-AL"/>
        </w:rPr>
        <w:t>të</w:t>
      </w:r>
      <w:r w:rsidRPr="00250AE3">
        <w:rPr>
          <w:spacing w:val="-4"/>
          <w:lang w:val="sq-AL"/>
        </w:rPr>
        <w:t xml:space="preserve"> ndryshuar, me shkresën nr. 6163, datë 21.8.2014, MZHETS i ka kërkuar Ministrisë së Arsimit dhe Sportit (MAS), në cilësinë e dhënësit të ndihmës, të  njoftojë skemën e ndihmës shtetërore të publikuar  në Fletoren Zyrtare nr. 102  ““VKM nr. 411, datë 20.6.2014 “Për  bashkëfinancimin e projektit të stadiumit “Ruzhdi Bizhuta”, Elbasan, dhe financimin e “Parkut Olimpik të Tiranës””, si edhe të paraqesë çdo informacion shtesë për vlerësimin e kësaj skeme.  Financimi publik i infrastrukturës së sportit, është pjesë e rregullave të kontrollit të ndihmës shtetërore</w:t>
      </w:r>
      <w:r w:rsidRPr="00250AE3">
        <w:rPr>
          <w:spacing w:val="-4"/>
          <w:vertAlign w:val="superscript"/>
          <w:lang w:val="sq-AL"/>
        </w:rPr>
        <w:footnoteReference w:id="2"/>
      </w:r>
      <w:r w:rsidRPr="00250AE3">
        <w:rPr>
          <w:spacing w:val="-4"/>
          <w:lang w:val="sq-AL"/>
        </w:rPr>
        <w:t xml:space="preserve"> dhe për të realizuar përputhshmërinë me ligjin e ndihmës shtetërore, të dyja masat duhet të njoftoheshin pranë Komisionit të Ndihmës Shtetërore (KNSH). 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2. Ministria e Arsimit dhe Sportit me shkresën nr. 6157/1, datë 15.10.2014, paraqiti informacionin e nevojshëm për vlerësimin e të dyja skemave të ndihmës shtetërore pranë Drejtorisë së Tregut Brendshëm. 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II. Përshkrimi i skemës së ndihmës shtetërore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A. Stadiumi “Elbasan Arena”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3. Prefektura e Elbasanit me rreth 321 100 banorë gjithsej</w:t>
      </w:r>
      <w:r w:rsidRPr="00250AE3">
        <w:rPr>
          <w:spacing w:val="-4"/>
          <w:vertAlign w:val="superscript"/>
          <w:lang w:val="sq-AL"/>
        </w:rPr>
        <w:footnoteReference w:id="3"/>
      </w:r>
      <w:r w:rsidRPr="00250AE3">
        <w:rPr>
          <w:spacing w:val="-4"/>
          <w:lang w:val="sq-AL"/>
        </w:rPr>
        <w:t>, ka siguruar financimin për rinovimin dhe përmirësimin me fonde publike të stadiumit ekzistues të saj “Ruzhdi Bizhuta”, aktualisht “Elbasan Arena”</w:t>
      </w:r>
      <w:r w:rsidRPr="00250AE3">
        <w:rPr>
          <w:spacing w:val="-4"/>
          <w:vertAlign w:val="superscript"/>
          <w:lang w:val="sq-AL"/>
        </w:rPr>
        <w:footnoteReference w:id="4"/>
      </w:r>
      <w:r w:rsidRPr="00250AE3">
        <w:rPr>
          <w:spacing w:val="-4"/>
          <w:lang w:val="sq-AL"/>
        </w:rPr>
        <w:t xml:space="preserve">. Qëllimi i mbështetjes ishte  transformimi i stadiumit shtetëror të ndërtuar në vitin 1967, nga një  stadium i thjeshtë futbolli në një arenë multifunksionale sipas standardeve të UEFA-s. 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4. </w:t>
      </w:r>
      <w:r>
        <w:rPr>
          <w:spacing w:val="-4"/>
          <w:lang w:val="sq-AL"/>
        </w:rPr>
        <w:t>Dhënësi i ndihmës (MAS)</w:t>
      </w:r>
      <w:r w:rsidRPr="00250AE3">
        <w:rPr>
          <w:spacing w:val="-4"/>
          <w:lang w:val="sq-AL"/>
        </w:rPr>
        <w:t xml:space="preserve"> njofton se stadiumi i rikonstruktuar do të përdoret kryesisht për ndeshje futbolli, gara atletike etj.  duke krijuar  një imazh modern për qytetin e Elbasanit, nëpërmjet rikonstruksionit të fasadës dhe sheshit përpara stadiumit, e cila do të luajë dhe rolin e një hapësire të re publike për qytetin që mund të përdoret gjatë kohës kur nuk ka ndeshje. Kapaciteti i stadiumit në të cilin është parashikuar kryerja e aktiviteteve sportive dhe kulturore kombëtare dhe ndërkombëtare, është 12 520 spektatorë. 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5. Vlera totale e investimit në këtë projekt, referuar projekt-preventivit të hartuar nga studio </w:t>
      </w:r>
      <w:r w:rsidRPr="00250AE3">
        <w:rPr>
          <w:spacing w:val="-4"/>
          <w:lang w:val="sq-AL"/>
        </w:rPr>
        <w:lastRenderedPageBreak/>
        <w:t>arkitekturore është në vlerën 560 milionë lekë, nga të cilat 444 milionë lekë janë financuar me fonde nga buxheti i shtetit, dhe diferenca nga Federata Shqiptare e Futbollit.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B. Parku Olimpik i Tiranës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6. Dhënësi i ndihmës njofton se financimi i projektit të Parkut Olimpik të Tiranës është parashikuar të bëhet në dy vite buxhetore, respektivisht 200 milionë lekë në vitin 2014  dhe  diferenca e kontratës do të financohet në vitin 2015.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7. Agjencia Shtetërore e Sportit në varësi të Ministrisë së Arsimit dhe Sportit ka kërkuar krijimin e një parku olimpik të rrethuar nga një pistë për atletikë në ambientet e Klubit Sportiv Dinamo. Godina e Administratës së Sportit Shqiptar do të jetë pjesë e parkut olimpik së bashku me Komitetin Olimpik Shqiptar dhe federatat e sportit. Parku olimpik të përfshijë gjithashtu godinën “Minipallati i Sportit”,  me një  auditor 185 vende, 1 sallë trajnimesh, 1 sallë mbledhjesh për rreth 20 persona. Në brendësi të godinës do të realizohet një palestër moderne stërvitore me një sipërfaqe 420 m</w:t>
      </w:r>
      <w:r w:rsidRPr="00250AE3">
        <w:rPr>
          <w:spacing w:val="-4"/>
          <w:vertAlign w:val="superscript"/>
          <w:lang w:val="sq-AL"/>
        </w:rPr>
        <w:t>2</w:t>
      </w:r>
      <w:r w:rsidRPr="00250AE3">
        <w:rPr>
          <w:spacing w:val="-4"/>
          <w:lang w:val="sq-AL"/>
        </w:rPr>
        <w:t xml:space="preserve"> për peshëngritje, si dhe një palestër për sporte luftarake (mundje, karate, judo etj.).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III. Vlerësimi i ekzistencës së ndihmës shtetërore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8. Në kuptim të nenit 4, të ligjit nr. 9374, datë 21.4.2005 “Për ndihmën shtetërore”</w:t>
      </w:r>
      <w:r>
        <w:rPr>
          <w:spacing w:val="-4"/>
          <w:lang w:val="sq-AL"/>
        </w:rPr>
        <w:t>,</w:t>
      </w:r>
      <w:r w:rsidRPr="00250AE3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të</w:t>
      </w:r>
      <w:r w:rsidRPr="00250AE3">
        <w:rPr>
          <w:spacing w:val="-4"/>
          <w:lang w:val="sq-AL"/>
        </w:rPr>
        <w:t xml:space="preserve"> ndryshuar, mbështetja me grante nga buxheti i shtetit përbën ndihmë shtetërore, nëse përmbushen në mënyrë kumulative kushtet: a) aktivizohen burime shtetërore; b) jepet një avantazh ekonomik; dhe c) ndikim në konkurrencë.  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9. Rinovimi i Stadiumit “Elbasan Arena” dhe i Parkut Olimpik të Tiranës është financuar me fonde nga buxheti i shtetit. Financimi i këtyre dy projekteve mund të përbëjë ndihmë shtetërore, nëse është selektive dhe jepet për kryerjen e një aktiviteti të caktuar ekonomik</w:t>
      </w:r>
      <w:r w:rsidRPr="00250AE3">
        <w:rPr>
          <w:spacing w:val="-4"/>
          <w:vertAlign w:val="superscript"/>
          <w:lang w:val="sq-AL"/>
        </w:rPr>
        <w:footnoteReference w:id="5"/>
      </w:r>
      <w:r w:rsidRPr="00250AE3">
        <w:rPr>
          <w:spacing w:val="-4"/>
          <w:lang w:val="sq-AL"/>
        </w:rPr>
        <w:t>. Veprimtaria ekonomike e vënies në përdorim të infrastrukturës së Stadiumit në Elbasan dhe palestrave moderne stërvitore të Parkut Olimpik të Tiranës do të përfitojnë  burime shtetërore</w:t>
      </w:r>
      <w:r w:rsidRPr="00250AE3">
        <w:rPr>
          <w:spacing w:val="-4"/>
          <w:vertAlign w:val="superscript"/>
          <w:lang w:val="sq-AL"/>
        </w:rPr>
        <w:footnoteReference w:id="6"/>
      </w:r>
      <w:r w:rsidRPr="00250AE3">
        <w:rPr>
          <w:spacing w:val="-4"/>
          <w:lang w:val="sq-AL"/>
        </w:rPr>
        <w:t xml:space="preserve">. 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10. Bashkia e Elbasanit</w:t>
      </w:r>
      <w:r>
        <w:rPr>
          <w:spacing w:val="-4"/>
          <w:lang w:val="sq-AL"/>
        </w:rPr>
        <w:t>,</w:t>
      </w:r>
      <w:r w:rsidRPr="00250AE3">
        <w:rPr>
          <w:spacing w:val="-4"/>
          <w:lang w:val="sq-AL"/>
        </w:rPr>
        <w:t xml:space="preserve"> në cilësinë e pronarit të stadiumit “Elbasan Arena” dhe përgjegjësit për mirëmbajtjen e saj, si edhe Agjencia e Zhvillimit të Sportit në cilësinë e administratorit të palestrave stërvitore, në bazë të ligjit të sportit</w:t>
      </w:r>
      <w:r w:rsidRPr="00250AE3">
        <w:rPr>
          <w:spacing w:val="-4"/>
          <w:vertAlign w:val="superscript"/>
          <w:lang w:val="sq-AL"/>
        </w:rPr>
        <w:footnoteReference w:id="7"/>
      </w:r>
      <w:r w:rsidRPr="00250AE3">
        <w:rPr>
          <w:spacing w:val="-4"/>
          <w:lang w:val="sq-AL"/>
        </w:rPr>
        <w:t xml:space="preserve">, do të nënshkruajnë një kontratë  përdorimi me: në rastin e bashkisë - me Federatën Shqiptare të Futbollit, dhe në rastin e parkut olimpik - me federata të ndryshme sportive.  </w:t>
      </w:r>
    </w:p>
    <w:p w:rsidR="00163367" w:rsidRPr="00AE04F1" w:rsidRDefault="00163367" w:rsidP="00163367">
      <w:pPr>
        <w:pStyle w:val="Paragrafi"/>
        <w:rPr>
          <w:i/>
          <w:spacing w:val="-4"/>
          <w:lang w:val="sq-AL"/>
        </w:rPr>
      </w:pPr>
      <w:r w:rsidRPr="00250AE3">
        <w:rPr>
          <w:i/>
          <w:spacing w:val="-4"/>
          <w:lang w:val="sq-AL"/>
        </w:rPr>
        <w:t xml:space="preserve">Ofrimi i një objekti sportiv publik, kundrejt pagesës, përbën një aktivitet ekonomik. Kostot e investimit të nevojshëm për kryerjen e këtij aktiviteti ekonomik nuk janë të mbuluara me të ardhurat e veprimtarisë në fjalë, por me burime shtetërore. Prandaj, këto dy aktivitete ekonomike përfitojnë një avantazh, i cili nuk do të ishte ofruar në një situatë normale të tregut. </w:t>
      </w:r>
    </w:p>
    <w:p w:rsidR="00163367" w:rsidRDefault="00163367" w:rsidP="00163367">
      <w:pPr>
        <w:pStyle w:val="Paragrafi"/>
        <w:rPr>
          <w:spacing w:val="-4"/>
          <w:lang w:val="sq-AL"/>
        </w:rPr>
      </w:pP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11. Në lidhje me një efekt të mundshëm në tregti dhe konkurrencë në tregun e brendshëm, shfrytëzimi i objekteve sportive do të kryhet nga organizatorë të veprimtarive sportive dhe ndërmarrjeve vendëse me objekte të ndryshme të veprimtarisë së tyre ekonomike, me një ndikim të vogël në konkurrencë</w:t>
      </w:r>
      <w:r w:rsidRPr="00250AE3">
        <w:rPr>
          <w:spacing w:val="-4"/>
          <w:vertAlign w:val="superscript"/>
          <w:lang w:val="sq-AL"/>
        </w:rPr>
        <w:footnoteReference w:id="8"/>
      </w:r>
      <w:r w:rsidRPr="00250AE3">
        <w:rPr>
          <w:spacing w:val="-4"/>
          <w:lang w:val="sq-AL"/>
        </w:rPr>
        <w:t xml:space="preserve">. </w:t>
      </w:r>
    </w:p>
    <w:p w:rsidR="00163367" w:rsidRPr="00250AE3" w:rsidRDefault="00163367" w:rsidP="00163367">
      <w:pPr>
        <w:pStyle w:val="Paragrafi"/>
        <w:rPr>
          <w:i/>
          <w:spacing w:val="-4"/>
          <w:lang w:val="sq-AL"/>
        </w:rPr>
      </w:pPr>
      <w:r w:rsidRPr="00250AE3">
        <w:rPr>
          <w:i/>
          <w:spacing w:val="-4"/>
          <w:lang w:val="sq-AL"/>
        </w:rPr>
        <w:t>Konkluzion mbi ekzistencën e ndihmës shtetërore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12. Mbështetur në vlerësimet e mësipërme, në kuptim të nenit 4 të ligjit për ndihmën shtetërore, Komisioni i Ndihmës Shtetërore arrin në përfundimin se masa, në interpretimin që i bëhet akteve dhe fakteve të sipërpërmendura,  përbën ndihmë  shtetërore. 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IV. Ligjshmëria e ndihmës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13. Dhënia e ndihmës është objekt i miratimit të Komisionit të Ndihmës Shtetërore. Për këtë arsye, Ministria e Arsimit dhe Sportit ka përmbushur detyrimin në përputhje me ligjin nr. 9374 datë 21.4.2005 “Për ndihmën shtetërore”, </w:t>
      </w:r>
      <w:r>
        <w:rPr>
          <w:spacing w:val="-4"/>
          <w:lang w:val="sq-AL"/>
        </w:rPr>
        <w:t>të</w:t>
      </w:r>
      <w:r w:rsidRPr="00250AE3">
        <w:rPr>
          <w:spacing w:val="-4"/>
          <w:lang w:val="sq-AL"/>
        </w:rPr>
        <w:t xml:space="preserve"> ndryshuar,  neni 20, pika 3, dhe nenin 13 “ndihma shtetërore që mund të </w:t>
      </w:r>
      <w:r w:rsidRPr="00250AE3">
        <w:rPr>
          <w:spacing w:val="-4"/>
          <w:lang w:val="sq-AL"/>
        </w:rPr>
        <w:lastRenderedPageBreak/>
        <w:t xml:space="preserve">lejohet”, duke siguruar të gjithë informacionin e nevojshëm për marrjen e një vendimi nga ana e Komisionit të Ndihmës Shtetërore. 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V. Përputhshmëria me nenin 13 (3) të ligjit nr. 9374</w:t>
      </w:r>
      <w:r>
        <w:rPr>
          <w:spacing w:val="-4"/>
          <w:lang w:val="sq-AL"/>
        </w:rPr>
        <w:t>,</w:t>
      </w:r>
      <w:r w:rsidRPr="00250AE3">
        <w:rPr>
          <w:spacing w:val="-4"/>
          <w:lang w:val="sq-AL"/>
        </w:rPr>
        <w:t xml:space="preserve"> datë 21.4.2005 “Për ndihmën shtetërore”, </w:t>
      </w:r>
      <w:r>
        <w:rPr>
          <w:spacing w:val="-4"/>
          <w:lang w:val="sq-AL"/>
        </w:rPr>
        <w:t xml:space="preserve">të </w:t>
      </w:r>
      <w:r w:rsidRPr="00250AE3">
        <w:rPr>
          <w:spacing w:val="-4"/>
          <w:lang w:val="sq-AL"/>
        </w:rPr>
        <w:t>ndryshuar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14. Objektivi kryesor i ndihmës është:</w:t>
      </w:r>
    </w:p>
    <w:p w:rsidR="00163367" w:rsidRPr="00250AE3" w:rsidRDefault="00163367" w:rsidP="00163367">
      <w:pPr>
        <w:pStyle w:val="Paragrafi"/>
        <w:rPr>
          <w:i/>
          <w:spacing w:val="-4"/>
          <w:lang w:val="sq-AL"/>
        </w:rPr>
      </w:pPr>
      <w:r w:rsidRPr="00250AE3">
        <w:rPr>
          <w:i/>
          <w:spacing w:val="-4"/>
          <w:lang w:val="sq-AL"/>
        </w:rPr>
        <w:t xml:space="preserve">- rikonstruksioni i stadiumit “Elbasan Arena” për organizimin e ri të ambienteve të brendshme të godinës ekzistuese dhe zgjerimin e saj me pjesë të re, duke ofruar shërbimet e nevojshme për median në harmoni me kërkesat  e parashtruara nga UEFA;   si dhe 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i/>
          <w:spacing w:val="-4"/>
          <w:lang w:val="sq-AL"/>
        </w:rPr>
        <w:t>- ndërtimi i Parkut Olimpik të Tiranës, duke përfshirë një pistë për atletikë në ambientet e Klubit Sportiv Dinamo me tribunë për spektatorë, ndërtimin e godinës “Minipallati i Sportit”, si edhe palestrave moderne stërvitore</w:t>
      </w:r>
      <w:r w:rsidRPr="00250AE3">
        <w:rPr>
          <w:spacing w:val="-4"/>
          <w:lang w:val="sq-AL"/>
        </w:rPr>
        <w:t>.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Komisioni konsideron se vlerësimi i përputhshmërisë së masës duhet të bazohet në mënyrë të drejtpërdrejtë në nenin 13, pika 3 të ligjit nr. 9374, datë 21.4.2014 “Për ndihmën shtetërore”, i cili parashikon se ndihma mund të lejohet nëse “lehtëson zhvillimin e veprimtarive të caktuara ekonomike ose zhvillimin e zonave të caktuara ekonomike, deri në atë masë sa kjo ndihmë nuk është në kundërshtim me detyrimet e marrëveshjeve ndërkombëtare të ratifikuara nga Republika e Shqipërisë”. 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15. Dhënësi i ndihmës raporton se masa ka për qëllim realizimin e dy investimeve madhore, me ndikim të konsiderueshëm  jo vetëm në cilësinë e sportit shqiptar por edhe të komunitetit, veçanërisht në qytetet Elbasan dhe Tiranë. Institucionet ndërkombëtare të FIFA-s dhe UEFA-s, kanë përcaktuar si kusht domosdoshmërinë e ndërtimit të një stadiumi modern, që plotëson kushtet edhe standardet e kërkuara prej tyre. Rikonstruksioni konsiston në organizimin e ri të ambienteve të brendshme të godinës ekzistuese dhe zgjerimin e saj me pjesë të re, duke ofruar shërbimet e </w:t>
      </w:r>
      <w:r>
        <w:rPr>
          <w:spacing w:val="-4"/>
          <w:lang w:val="sq-AL"/>
        </w:rPr>
        <w:t xml:space="preserve">nevojshme për median. 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16. Stadiumi “Elbasan Arena”</w:t>
      </w:r>
      <w:r>
        <w:rPr>
          <w:spacing w:val="-4"/>
          <w:lang w:val="sq-AL"/>
        </w:rPr>
        <w:t>,</w:t>
      </w:r>
      <w:r w:rsidRPr="00250AE3">
        <w:rPr>
          <w:spacing w:val="-4"/>
          <w:lang w:val="sq-AL"/>
        </w:rPr>
        <w:t xml:space="preserve"> i pozicionuar në periferi të qytetit</w:t>
      </w:r>
      <w:r>
        <w:rPr>
          <w:spacing w:val="-4"/>
          <w:lang w:val="sq-AL"/>
        </w:rPr>
        <w:t>,</w:t>
      </w:r>
      <w:r w:rsidRPr="00250AE3">
        <w:rPr>
          <w:spacing w:val="-4"/>
          <w:lang w:val="sq-AL"/>
        </w:rPr>
        <w:t xml:space="preserve"> krijon një imazh modern për qytetin e Elbasanit, nëpërmjet fasadës dhe sheshit përpara stadiumit, dhe luan rolin e një hapësire të re publike për qytetin. Ideja e projektit për sheshin është frymëzuar nga motivet tradicionale të qilimave shqiptarë të  ndërthurura me forma elipsoidale në shesh dhe në fasada. 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17. Për rrjedhim, masa e ndihmës shtetërore mbështet realizimin e  dy projekteve madhore dhe me impakt të konsiderueshëm, jo vetëm në cilësinë e sportit shqiptar, por edhe në zhvillimin e veprimtarive të caktuara ekonomike në qytetet Elbasan dhe Tiranë.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 VI. Konkluzione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18. Sa më sipër, Komisioni arrin në përfundimin se masa e ndihmës për rikonstruksionit të stadiumit “Elbasan Arena” dhe ndërtimin e Parkut Olimpik të Tiranës, lehtëson zhvillimin e veprimtarive të caktuara ekonomike</w:t>
      </w:r>
      <w:r>
        <w:rPr>
          <w:spacing w:val="-4"/>
          <w:lang w:val="sq-AL"/>
        </w:rPr>
        <w:t>,</w:t>
      </w:r>
      <w:r w:rsidRPr="00250AE3">
        <w:rPr>
          <w:spacing w:val="-4"/>
          <w:lang w:val="sq-AL"/>
        </w:rPr>
        <w:t xml:space="preserve"> si edhe zhvillimin e zonave të caktuara ekonomike dhe për këtë arsye është në përputhje me nenin 13, pika 3 e ligjit nr. 9374, datë 21.4.2005 “Për ndihmën shtetërore”, </w:t>
      </w:r>
      <w:r>
        <w:rPr>
          <w:spacing w:val="-4"/>
          <w:lang w:val="sq-AL"/>
        </w:rPr>
        <w:t>të</w:t>
      </w:r>
      <w:r w:rsidRPr="00250AE3">
        <w:rPr>
          <w:spacing w:val="-4"/>
          <w:lang w:val="sq-AL"/>
        </w:rPr>
        <w:t xml:space="preserve"> ndryshuar.</w:t>
      </w:r>
    </w:p>
    <w:p w:rsidR="00163367" w:rsidRPr="003C0480" w:rsidRDefault="00163367" w:rsidP="00163367">
      <w:pPr>
        <w:pStyle w:val="Hapesira7"/>
        <w:rPr>
          <w:spacing w:val="-4"/>
          <w:sz w:val="10"/>
          <w:lang w:val="sq-AL"/>
        </w:rPr>
      </w:pPr>
    </w:p>
    <w:p w:rsidR="00163367" w:rsidRPr="00250AE3" w:rsidRDefault="00163367" w:rsidP="00163367">
      <w:pPr>
        <w:pStyle w:val="Vendosi"/>
        <w:rPr>
          <w:spacing w:val="-4"/>
          <w:lang w:val="sq-AL"/>
        </w:rPr>
      </w:pPr>
      <w:r>
        <w:rPr>
          <w:spacing w:val="-4"/>
          <w:lang w:val="sq-AL"/>
        </w:rPr>
        <w:t>PËR KËTO ARSYE,</w:t>
      </w:r>
    </w:p>
    <w:p w:rsidR="00163367" w:rsidRPr="003C0480" w:rsidRDefault="00163367" w:rsidP="00163367">
      <w:pPr>
        <w:pStyle w:val="Hapesira7"/>
        <w:rPr>
          <w:spacing w:val="-4"/>
          <w:sz w:val="10"/>
          <w:lang w:val="sq-AL"/>
        </w:rPr>
      </w:pP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Komisioni i Ndihmës Shtetërore, në bazë të nenit 4, 17, 20 (pika 3), 24, 25, 29, dhe 31  të ligjit nr. 9374, datë 21.4.2005 “Për ndihmën shtetërore”, </w:t>
      </w:r>
      <w:r>
        <w:rPr>
          <w:spacing w:val="-4"/>
          <w:lang w:val="sq-AL"/>
        </w:rPr>
        <w:t>të</w:t>
      </w:r>
      <w:r w:rsidRPr="00250AE3">
        <w:rPr>
          <w:spacing w:val="-4"/>
          <w:lang w:val="sq-AL"/>
        </w:rPr>
        <w:t xml:space="preserve"> ndryshuar: </w:t>
      </w:r>
    </w:p>
    <w:p w:rsidR="00163367" w:rsidRPr="00250AE3" w:rsidRDefault="00163367" w:rsidP="00163367">
      <w:pPr>
        <w:pStyle w:val="Vendosi"/>
        <w:rPr>
          <w:spacing w:val="-4"/>
          <w:lang w:val="sq-AL"/>
        </w:rPr>
      </w:pPr>
      <w:r w:rsidRPr="00250AE3">
        <w:rPr>
          <w:spacing w:val="-4"/>
          <w:lang w:val="sq-AL"/>
        </w:rPr>
        <w:t>VENDOSI:</w:t>
      </w:r>
    </w:p>
    <w:p w:rsidR="00163367" w:rsidRPr="000300C4" w:rsidRDefault="00163367" w:rsidP="00163367">
      <w:pPr>
        <w:pStyle w:val="Paragrafi"/>
        <w:rPr>
          <w:spacing w:val="-4"/>
          <w:sz w:val="12"/>
          <w:lang w:val="sq-AL"/>
        </w:rPr>
      </w:pP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1. Të autorizojë  ndihmën shtetërore për ndërtimin e stadiumit “Elbasan Arena” dhe Parkut Olimpik të Tiranës, të parashikuar në VKM nr. 411, datë 20.6.2014  “Për bashkëfinancimin e projektit të stadiumit “Ruzhdi Bizhuta” Elbasan, dhe financimin e Parkut Olimpik të Tiranës””,  mbështetur në nenin 13, pika 3 e ligjit nr. 9374, datë 21.4.2005 “Për ndihmën shtetërore”, të ndryshuar, sepse skema mbështet realizimin e dy projekteve të rëndësishme dhe me ndikim të konsiderueshëm në cilësinë e sportit shqiptar, si edhe lehtëson zhvillimin e veprimtarive të caktuara ekonomike .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2. Aksesi në infrastrukturën e stadiumit “Elbasan Arena” dhe Parkun Olimpik të Tiranës duhet të jetë i hapur për disa përdorues, duke respektuar parimin e transparencës dhe mosdiskriminimit. Nëse objektet sportive do të përdoren nga disa organizatorë të veprimtarisë apo shfrytëzues të objektit sportiv, </w:t>
      </w:r>
      <w:r w:rsidRPr="00250AE3">
        <w:rPr>
          <w:spacing w:val="-4"/>
          <w:lang w:val="sq-AL"/>
        </w:rPr>
        <w:lastRenderedPageBreak/>
        <w:t xml:space="preserve">atëherë mënyra e pagesës për përdorimin e tyre duhet të bëhen publike. 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3. Ministria e Arsimit dhe Sportit</w:t>
      </w:r>
      <w:r>
        <w:rPr>
          <w:spacing w:val="-4"/>
          <w:lang w:val="sq-AL"/>
        </w:rPr>
        <w:t>,</w:t>
      </w:r>
      <w:r w:rsidRPr="00250AE3">
        <w:rPr>
          <w:spacing w:val="-4"/>
          <w:lang w:val="sq-AL"/>
        </w:rPr>
        <w:t xml:space="preserve"> brenda datës 31 mars të çdo viti</w:t>
      </w:r>
      <w:r>
        <w:rPr>
          <w:spacing w:val="-4"/>
          <w:lang w:val="sq-AL"/>
        </w:rPr>
        <w:t>,</w:t>
      </w:r>
      <w:r w:rsidRPr="00250AE3">
        <w:rPr>
          <w:spacing w:val="-4"/>
          <w:lang w:val="sq-AL"/>
        </w:rPr>
        <w:t xml:space="preserve"> të paraqesë raport për impaktin e ndihmës shtetërore gjatë vitit paraardhës financiar, si edhe të japë çdo informacion që do të kërkohet  për monitorimin dhe kontrollin e ndihmës së dhënë. </w:t>
      </w:r>
    </w:p>
    <w:p w:rsidR="00163367" w:rsidRPr="00250AE3" w:rsidRDefault="00163367" w:rsidP="00163367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4. Ky vendim të botohet në Fletoren Zyrtare.</w:t>
      </w:r>
    </w:p>
    <w:p w:rsidR="00163367" w:rsidRPr="005D6781" w:rsidRDefault="00163367" w:rsidP="00163367">
      <w:pPr>
        <w:pStyle w:val="Autoriteti"/>
        <w:rPr>
          <w:spacing w:val="-4"/>
          <w:sz w:val="6"/>
          <w:lang w:val="sq-AL"/>
        </w:rPr>
      </w:pPr>
    </w:p>
    <w:p w:rsidR="00163367" w:rsidRPr="00250AE3" w:rsidRDefault="00163367" w:rsidP="00163367">
      <w:pPr>
        <w:pStyle w:val="Autoriteti"/>
        <w:rPr>
          <w:spacing w:val="-4"/>
          <w:lang w:val="sq-AL"/>
        </w:rPr>
      </w:pPr>
      <w:r w:rsidRPr="00250AE3">
        <w:rPr>
          <w:spacing w:val="-4"/>
          <w:lang w:val="sq-AL"/>
        </w:rPr>
        <w:t>KRYETAR</w:t>
      </w:r>
      <w:r>
        <w:rPr>
          <w:spacing w:val="-4"/>
          <w:lang w:val="sq-AL"/>
        </w:rPr>
        <w:t>I</w:t>
      </w:r>
    </w:p>
    <w:p w:rsidR="00163367" w:rsidRPr="00250AE3" w:rsidRDefault="00163367" w:rsidP="00163367">
      <w:pPr>
        <w:pStyle w:val="AutoritetiEmer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Arben Ahmetaj </w:t>
      </w:r>
    </w:p>
    <w:p w:rsidR="00FD57DC" w:rsidRDefault="0016336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3367" w:rsidRDefault="00163367" w:rsidP="00163367">
      <w:pPr>
        <w:spacing w:after="0" w:line="240" w:lineRule="auto"/>
      </w:pPr>
      <w:r>
        <w:separator/>
      </w:r>
    </w:p>
  </w:endnote>
  <w:endnote w:type="continuationSeparator" w:id="1">
    <w:p w:rsidR="00163367" w:rsidRDefault="00163367" w:rsidP="00163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3367" w:rsidRDefault="00163367" w:rsidP="00163367">
      <w:pPr>
        <w:spacing w:after="0" w:line="240" w:lineRule="auto"/>
      </w:pPr>
      <w:r>
        <w:separator/>
      </w:r>
    </w:p>
  </w:footnote>
  <w:footnote w:type="continuationSeparator" w:id="1">
    <w:p w:rsidR="00163367" w:rsidRDefault="00163367" w:rsidP="00163367">
      <w:pPr>
        <w:spacing w:after="0" w:line="240" w:lineRule="auto"/>
      </w:pPr>
      <w:r>
        <w:continuationSeparator/>
      </w:r>
    </w:p>
  </w:footnote>
  <w:footnote w:id="2">
    <w:p w:rsidR="00163367" w:rsidRPr="00B037C6" w:rsidRDefault="00163367" w:rsidP="00163367">
      <w:pPr>
        <w:autoSpaceDE w:val="0"/>
        <w:autoSpaceDN w:val="0"/>
        <w:adjustRightInd w:val="0"/>
        <w:rPr>
          <w:rFonts w:ascii="Garamond" w:hAnsi="Garamond"/>
          <w:sz w:val="18"/>
          <w:szCs w:val="18"/>
        </w:rPr>
      </w:pPr>
      <w:r w:rsidRPr="00B037C6">
        <w:rPr>
          <w:rStyle w:val="FootnoteReference"/>
          <w:rFonts w:ascii="Garamond" w:hAnsi="Garamond"/>
          <w:sz w:val="18"/>
          <w:szCs w:val="18"/>
        </w:rPr>
        <w:footnoteRef/>
      </w:r>
      <w:r w:rsidRPr="00B037C6">
        <w:rPr>
          <w:rFonts w:ascii="Garamond" w:hAnsi="Garamond"/>
          <w:sz w:val="18"/>
          <w:szCs w:val="18"/>
        </w:rPr>
        <w:t xml:space="preserve"> </w:t>
      </w:r>
      <w:r w:rsidRPr="00B037C6">
        <w:rPr>
          <w:rFonts w:ascii="Garamond" w:eastAsia="Times New Roman" w:hAnsi="Garamond"/>
          <w:sz w:val="18"/>
          <w:szCs w:val="18"/>
        </w:rPr>
        <w:t>Sport and State Aid—Reining in the Populist Gesture</w:t>
      </w:r>
    </w:p>
  </w:footnote>
  <w:footnote w:id="3">
    <w:p w:rsidR="00163367" w:rsidRPr="00B037C6" w:rsidRDefault="00163367" w:rsidP="00163367">
      <w:pPr>
        <w:pStyle w:val="FootnoteText"/>
        <w:rPr>
          <w:rFonts w:ascii="Garamond" w:hAnsi="Garamond"/>
          <w:sz w:val="18"/>
          <w:szCs w:val="18"/>
        </w:rPr>
      </w:pPr>
      <w:r w:rsidRPr="00B037C6">
        <w:rPr>
          <w:rStyle w:val="FootnoteReference"/>
          <w:rFonts w:ascii="Garamond" w:hAnsi="Garamond"/>
          <w:sz w:val="18"/>
          <w:szCs w:val="18"/>
        </w:rPr>
        <w:footnoteRef/>
      </w:r>
      <w:r w:rsidRPr="00B037C6">
        <w:rPr>
          <w:rFonts w:ascii="Garamond" w:hAnsi="Garamond"/>
          <w:sz w:val="18"/>
          <w:szCs w:val="18"/>
        </w:rPr>
        <w:t xml:space="preserve"> </w:t>
      </w:r>
      <w:r w:rsidRPr="00B037C6">
        <w:rPr>
          <w:rFonts w:ascii="Garamond" w:hAnsi="Garamond"/>
          <w:sz w:val="18"/>
          <w:szCs w:val="18"/>
        </w:rPr>
        <w:t>Burimi i INSTAT</w:t>
      </w:r>
    </w:p>
  </w:footnote>
  <w:footnote w:id="4">
    <w:p w:rsidR="00163367" w:rsidRPr="00B037C6" w:rsidRDefault="00163367" w:rsidP="00163367">
      <w:pPr>
        <w:pStyle w:val="FootnoteText"/>
        <w:rPr>
          <w:rFonts w:ascii="Garamond" w:hAnsi="Garamond"/>
          <w:sz w:val="18"/>
          <w:szCs w:val="18"/>
        </w:rPr>
      </w:pPr>
      <w:r w:rsidRPr="00B037C6">
        <w:rPr>
          <w:rStyle w:val="FootnoteReference"/>
          <w:rFonts w:ascii="Garamond" w:hAnsi="Garamond"/>
          <w:sz w:val="18"/>
          <w:szCs w:val="18"/>
        </w:rPr>
        <w:footnoteRef/>
      </w:r>
      <w:r w:rsidRPr="00B037C6">
        <w:rPr>
          <w:rFonts w:ascii="Garamond" w:hAnsi="Garamond"/>
          <w:sz w:val="18"/>
          <w:szCs w:val="18"/>
        </w:rPr>
        <w:t xml:space="preserve"> </w:t>
      </w:r>
      <w:r w:rsidRPr="00B037C6">
        <w:rPr>
          <w:rFonts w:ascii="Garamond" w:hAnsi="Garamond"/>
          <w:sz w:val="18"/>
          <w:szCs w:val="18"/>
        </w:rPr>
        <w:t>Me Vendim të Këshillit Bashkiak  Elbasan datë 24.6.2014</w:t>
      </w:r>
    </w:p>
  </w:footnote>
  <w:footnote w:id="5">
    <w:p w:rsidR="00163367" w:rsidRPr="0071314A" w:rsidRDefault="00163367" w:rsidP="00163367">
      <w:pPr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/>
          <w:sz w:val="18"/>
          <w:szCs w:val="18"/>
        </w:rPr>
      </w:pPr>
      <w:r>
        <w:rPr>
          <w:rFonts w:ascii="Garamond" w:hAnsi="Garamond"/>
          <w:sz w:val="18"/>
          <w:szCs w:val="18"/>
        </w:rPr>
        <w:t xml:space="preserve"> </w:t>
      </w:r>
      <w:r w:rsidRPr="0071314A">
        <w:rPr>
          <w:rStyle w:val="FootnoteReference"/>
          <w:rFonts w:ascii="Garamond" w:hAnsi="Garamond"/>
          <w:sz w:val="18"/>
          <w:szCs w:val="18"/>
        </w:rPr>
        <w:footnoteRef/>
      </w:r>
      <w:r w:rsidRPr="0071314A">
        <w:rPr>
          <w:rFonts w:ascii="Garamond" w:hAnsi="Garamond"/>
          <w:sz w:val="18"/>
          <w:szCs w:val="18"/>
        </w:rPr>
        <w:t xml:space="preserve"> </w:t>
      </w:r>
      <w:r w:rsidRPr="0071314A">
        <w:rPr>
          <w:rFonts w:ascii="Garamond" w:eastAsia="Times New Roman" w:hAnsi="Garamond"/>
          <w:sz w:val="18"/>
          <w:szCs w:val="18"/>
        </w:rPr>
        <w:t>State aid SA.37109 (2013/N) – Belgium Football stadiums in Flanders</w:t>
      </w:r>
    </w:p>
  </w:footnote>
  <w:footnote w:id="6">
    <w:p w:rsidR="00163367" w:rsidRPr="0071314A" w:rsidRDefault="00163367" w:rsidP="00163367">
      <w:pPr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/>
          <w:sz w:val="18"/>
          <w:szCs w:val="18"/>
        </w:rPr>
      </w:pPr>
      <w:r w:rsidRPr="0071314A">
        <w:rPr>
          <w:rStyle w:val="FootnoteReference"/>
          <w:rFonts w:ascii="Garamond" w:hAnsi="Garamond"/>
          <w:sz w:val="18"/>
          <w:szCs w:val="18"/>
        </w:rPr>
        <w:footnoteRef/>
      </w:r>
      <w:r w:rsidRPr="0071314A">
        <w:rPr>
          <w:rFonts w:ascii="Garamond" w:hAnsi="Garamond"/>
          <w:sz w:val="18"/>
          <w:szCs w:val="18"/>
        </w:rPr>
        <w:t xml:space="preserve"> </w:t>
      </w:r>
      <w:proofErr w:type="gramStart"/>
      <w:r w:rsidRPr="0071314A">
        <w:rPr>
          <w:rFonts w:ascii="Garamond" w:eastAsia="Times New Roman" w:hAnsi="Garamond"/>
          <w:sz w:val="18"/>
          <w:szCs w:val="18"/>
        </w:rPr>
        <w:t>State aid SA.</w:t>
      </w:r>
      <w:proofErr w:type="gramEnd"/>
      <w:r>
        <w:rPr>
          <w:rFonts w:ascii="Garamond" w:eastAsia="Times New Roman" w:hAnsi="Garamond"/>
          <w:sz w:val="18"/>
          <w:szCs w:val="18"/>
        </w:rPr>
        <w:t xml:space="preserve"> </w:t>
      </w:r>
      <w:r w:rsidRPr="0071314A">
        <w:rPr>
          <w:rFonts w:ascii="Garamond" w:eastAsia="Times New Roman" w:hAnsi="Garamond"/>
          <w:sz w:val="18"/>
          <w:szCs w:val="18"/>
        </w:rPr>
        <w:t>35440 (2012/N) – Germany Multifunktionsarena der Stadt Jena</w:t>
      </w:r>
    </w:p>
  </w:footnote>
  <w:footnote w:id="7">
    <w:p w:rsidR="00163367" w:rsidRPr="0071314A" w:rsidRDefault="00163367" w:rsidP="00163367">
      <w:pPr>
        <w:pStyle w:val="Default"/>
        <w:rPr>
          <w:rFonts w:ascii="Garamond" w:eastAsia="MS Mincho" w:hAnsi="Garamond"/>
          <w:sz w:val="18"/>
          <w:szCs w:val="18"/>
          <w:lang w:val="sq-AL" w:eastAsia="sq-AL"/>
        </w:rPr>
      </w:pPr>
      <w:r w:rsidRPr="0071314A">
        <w:rPr>
          <w:rStyle w:val="FootnoteReference"/>
          <w:rFonts w:ascii="Garamond" w:hAnsi="Garamond"/>
          <w:sz w:val="18"/>
          <w:szCs w:val="18"/>
        </w:rPr>
        <w:footnoteRef/>
      </w:r>
      <w:r w:rsidRPr="0071314A">
        <w:rPr>
          <w:rFonts w:ascii="Garamond" w:hAnsi="Garamond"/>
          <w:sz w:val="18"/>
          <w:szCs w:val="18"/>
        </w:rPr>
        <w:t xml:space="preserve"> </w:t>
      </w:r>
      <w:proofErr w:type="gramStart"/>
      <w:r w:rsidRPr="0071314A">
        <w:rPr>
          <w:rFonts w:ascii="Garamond" w:hAnsi="Garamond"/>
          <w:color w:val="auto"/>
          <w:sz w:val="18"/>
          <w:szCs w:val="18"/>
        </w:rPr>
        <w:t xml:space="preserve">Ligji </w:t>
      </w:r>
      <w:r>
        <w:rPr>
          <w:rFonts w:ascii="Garamond" w:hAnsi="Garamond"/>
          <w:color w:val="auto"/>
          <w:sz w:val="18"/>
          <w:szCs w:val="18"/>
        </w:rPr>
        <w:t>n</w:t>
      </w:r>
      <w:r w:rsidRPr="0071314A">
        <w:rPr>
          <w:rFonts w:ascii="Garamond" w:hAnsi="Garamond"/>
          <w:color w:val="auto"/>
          <w:sz w:val="18"/>
          <w:szCs w:val="18"/>
        </w:rPr>
        <w:t>r.</w:t>
      </w:r>
      <w:proofErr w:type="gramEnd"/>
      <w:r w:rsidRPr="0071314A">
        <w:rPr>
          <w:rFonts w:ascii="Garamond" w:hAnsi="Garamond"/>
          <w:color w:val="auto"/>
          <w:sz w:val="18"/>
          <w:szCs w:val="18"/>
        </w:rPr>
        <w:t xml:space="preserve"> 9376, datë </w:t>
      </w:r>
      <w:r>
        <w:rPr>
          <w:rFonts w:ascii="Garamond" w:hAnsi="Garamond"/>
          <w:color w:val="auto"/>
          <w:sz w:val="18"/>
          <w:szCs w:val="18"/>
        </w:rPr>
        <w:t xml:space="preserve"> </w:t>
      </w:r>
      <w:r w:rsidRPr="0071314A">
        <w:rPr>
          <w:rFonts w:ascii="Garamond" w:hAnsi="Garamond"/>
          <w:color w:val="auto"/>
          <w:sz w:val="18"/>
          <w:szCs w:val="18"/>
        </w:rPr>
        <w:t>21.4.2005 “Për sportin</w:t>
      </w:r>
      <w:r>
        <w:rPr>
          <w:rFonts w:ascii="Garamond" w:hAnsi="Garamond"/>
          <w:color w:val="auto"/>
          <w:sz w:val="18"/>
          <w:szCs w:val="18"/>
        </w:rPr>
        <w:t>”, i ndryshuar, neni 30, pika 3</w:t>
      </w:r>
      <w:r w:rsidRPr="0071314A">
        <w:rPr>
          <w:rFonts w:ascii="Garamond" w:eastAsia="MS Mincho" w:hAnsi="Garamond"/>
          <w:b/>
          <w:bCs/>
          <w:sz w:val="18"/>
          <w:szCs w:val="18"/>
          <w:lang w:val="sq-AL" w:eastAsia="sq-AL"/>
        </w:rPr>
        <w:t xml:space="preserve"> </w:t>
      </w:r>
    </w:p>
  </w:footnote>
  <w:footnote w:id="8">
    <w:p w:rsidR="00163367" w:rsidRPr="0071314A" w:rsidRDefault="00163367" w:rsidP="00163367">
      <w:pPr>
        <w:autoSpaceDE w:val="0"/>
        <w:autoSpaceDN w:val="0"/>
        <w:adjustRightInd w:val="0"/>
        <w:spacing w:after="0" w:line="240" w:lineRule="auto"/>
        <w:ind w:firstLine="0"/>
        <w:rPr>
          <w:rFonts w:ascii="Garamond" w:eastAsia="Times New Roman" w:hAnsi="Garamond"/>
          <w:sz w:val="18"/>
          <w:szCs w:val="18"/>
        </w:rPr>
      </w:pPr>
      <w:r w:rsidRPr="0071314A">
        <w:rPr>
          <w:rStyle w:val="FootnoteReference"/>
          <w:rFonts w:ascii="Garamond" w:hAnsi="Garamond"/>
          <w:sz w:val="18"/>
          <w:szCs w:val="18"/>
        </w:rPr>
        <w:footnoteRef/>
      </w:r>
      <w:r w:rsidRPr="0071314A">
        <w:rPr>
          <w:rFonts w:ascii="Garamond" w:hAnsi="Garamond"/>
          <w:sz w:val="18"/>
          <w:szCs w:val="18"/>
        </w:rPr>
        <w:t xml:space="preserve"> </w:t>
      </w:r>
      <w:proofErr w:type="gramStart"/>
      <w:r w:rsidRPr="0071314A">
        <w:rPr>
          <w:rFonts w:ascii="Garamond" w:eastAsia="Times New Roman" w:hAnsi="Garamond"/>
          <w:sz w:val="18"/>
          <w:szCs w:val="18"/>
        </w:rPr>
        <w:t>SA.</w:t>
      </w:r>
      <w:proofErr w:type="gramEnd"/>
      <w:r>
        <w:rPr>
          <w:rFonts w:ascii="Garamond" w:eastAsia="Times New Roman" w:hAnsi="Garamond"/>
          <w:sz w:val="18"/>
          <w:szCs w:val="18"/>
        </w:rPr>
        <w:t xml:space="preserve"> </w:t>
      </w:r>
      <w:r w:rsidRPr="0071314A">
        <w:rPr>
          <w:rFonts w:ascii="Garamond" w:eastAsia="Times New Roman" w:hAnsi="Garamond"/>
          <w:sz w:val="18"/>
          <w:szCs w:val="18"/>
        </w:rPr>
        <w:t>31722 – Hungary Supporting the Hungarian sport sector via tax benefit scheme</w:t>
      </w:r>
    </w:p>
    <w:p w:rsidR="00163367" w:rsidRDefault="00163367" w:rsidP="00163367">
      <w:pPr>
        <w:pStyle w:val="FootnoteText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3367"/>
    <w:rsid w:val="00013606"/>
    <w:rsid w:val="00163367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CA44E2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36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6336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6336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6336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uiPriority w:val="99"/>
    <w:rsid w:val="001633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6336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16336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16336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6336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6336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6336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6336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6336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63367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163367"/>
    <w:rPr>
      <w:sz w:val="14"/>
      <w:szCs w:val="24"/>
    </w:rPr>
  </w:style>
  <w:style w:type="paragraph" w:customStyle="1" w:styleId="Default">
    <w:name w:val="Default"/>
    <w:uiPriority w:val="99"/>
    <w:rsid w:val="0016336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163367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163367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16336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1652</Words>
  <Characters>9417</Characters>
  <Application>Microsoft Office Word</Application>
  <DocSecurity>0</DocSecurity>
  <Lines>78</Lines>
  <Paragraphs>22</Paragraphs>
  <ScaleCrop>false</ScaleCrop>
  <Company>Grizli777</Company>
  <LinksUpToDate>false</LinksUpToDate>
  <CharactersWithSpaces>11047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2015-03-23T13:31:00Z</dcterms:created>
  <dcterms:modified xsi:type="dcterms:W3CDTF">2015-03-23T13:32:00Z</dcterms:modified>
</cp:coreProperties>
</file>