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E38" w:rsidRDefault="00420E38" w:rsidP="00420E38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420E38" w:rsidRDefault="00420E38" w:rsidP="00420E38">
      <w:pPr>
        <w:pStyle w:val="NeniTitull"/>
        <w:rPr>
          <w:lang w:val="sq-AL"/>
        </w:rPr>
      </w:pPr>
      <w:r>
        <w:rPr>
          <w:lang w:val="sq-AL"/>
        </w:rPr>
        <w:t>Nr. 79, datë 3.4.2018</w:t>
      </w:r>
    </w:p>
    <w:p w:rsidR="00420E38" w:rsidRDefault="00420E38" w:rsidP="00420E38">
      <w:pPr>
        <w:pStyle w:val="Hapesira7"/>
        <w:rPr>
          <w:lang w:val="sq-AL"/>
        </w:rPr>
      </w:pPr>
    </w:p>
    <w:p w:rsidR="00420E38" w:rsidRDefault="00420E38" w:rsidP="00420E38">
      <w:pPr>
        <w:pStyle w:val="NeniTitull"/>
        <w:rPr>
          <w:lang w:val="sq-AL"/>
        </w:rPr>
      </w:pPr>
      <w:r>
        <w:rPr>
          <w:lang w:val="sq-AL"/>
        </w:rPr>
        <w:t xml:space="preserve">AUTORIZIM I NDIHMËS SHTETËRORE PËR PROJEKTIN “LINJA E TRANSMETIMIT 400 KV SHQIPËRI–MAQEDONI (FIER–ELBASAN–QAFËTHANË)”, I MIRATUAR ME LIGJIN NR. 101, DATË 9.11.2017 </w:t>
      </w:r>
    </w:p>
    <w:p w:rsidR="00420E38" w:rsidRDefault="00420E38" w:rsidP="00420E38">
      <w:pPr>
        <w:pStyle w:val="Hapesira7"/>
        <w:rPr>
          <w:lang w:val="sq-AL"/>
        </w:r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Komisioni i Ndihmës Shtetërore me pjesëmarrjen e: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Z. Arben Ahmetaj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  <w:t xml:space="preserve"> kryetar; 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Znj. Mimoza Dhëmbi </w:t>
      </w:r>
      <w:r>
        <w:rPr>
          <w:lang w:val="sq-AL"/>
        </w:rPr>
        <w:tab/>
      </w:r>
      <w:r>
        <w:rPr>
          <w:lang w:val="sq-AL"/>
        </w:rPr>
        <w:tab/>
        <w:t xml:space="preserve"> anëtar;  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Z. Ahmet Mançellari</w:t>
      </w:r>
      <w:r>
        <w:rPr>
          <w:lang w:val="sq-AL"/>
        </w:rPr>
        <w:tab/>
      </w:r>
      <w:r>
        <w:rPr>
          <w:lang w:val="sq-AL"/>
        </w:rPr>
        <w:tab/>
        <w:t xml:space="preserve"> anëtar;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Në mbledhjen e tij të radhës, të datës 3.4.2018, në Ministrinë e Financave dhe Ekonomisë, në bazë të ligjit nr. 9374, datë 21.4.2005, “Për ndihmën shtetërore”, të ndryshuar, nenit 28/1, “Autorizimi ex-post i ndihmës” dhe vendimit të Këshillit të Ministrave nr. 817, datë 28.12.2005, “Për miratimin e rregullores “Për procedurat dhe formën e njoftimit””, vlerësoi përputhjen me rregullat e ndihmës shtetërore të masës referuar ligjit nr. 101, datë 9.11.2017, “Për ratifikimin e Marrëveshjes së garancisë ndërmjet Republikës së Shqipërisë, të përfaqësuar nga Ministria e Financave dhe Ekonomisë, dhe KfW Frankfurt AM Main, në lidhje me Marrëveshjen e Huas ndërmjet Operatorit të Sistemit të Transmetimit, sh.a. (OST) dhe KfW Frankfurt AM Main, për projektin “Linja e transmetimit 400 kV Shqipëri-Maqedoni (Fier–Elbasan–Qafëthanë)”.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1. Procedura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Me shkresën datë 7.2.2018, Sekretariati i Komunitetit të Energjisë (“Sekretariati”) me seli në Vjenë, Austri, i kërkoi Komisionit të Ndihmës Shtetërore vlerësimin sipas rregullave të ndihmës shtetërore të masës referuar ligjit nr. 101, datë 9.11.2017, “Për ratifikimin e Marrëveshjes së garancisë ndërmjet Republikës së Shqipërisë, të përfaqësuar nga Ministria e Financave dhe Ekonomisë dhe KfW Frankfurt AM Main, në lidhje me Marrëveshjen e Huas ndërmjet Operatorit të Sistemit të Transmetimit, sh.a. (OST) dhe KfW Frankfurt AM Main, për projektin “Linja e transmetimit 400 kV Shqipëri-Maqedoni (Fier–Elbasan–Qafëthanë)”.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2. Përfituesi dhe përshkrimi i masës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Përfituesi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Përfitues i masës është Operatori i Sistemit të Transmetimit (OST sh.a.). Sistemi i transmetimit të energjisë elektrike në Shqipëri drejtohet nga OST sh.a., një shoqëri publike me 100% të aksioneve shteterore. OST sh.a. është krijuar në datën 14.7.2004, si rezultat i reformimit dhe ndarjes së Korporatës Elektroenergjetike Shqiptare, nga një shoqëri e organizuar vertikalisht me funksione të gjenerimit, transmetimit dhe shpërndarjes së energjisë elektrike, në tri shoqëri të veçanta.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Objekti i aktivitetit të OST sh.a është</w:t>
      </w:r>
      <w:r>
        <w:rPr>
          <w:vertAlign w:val="superscript"/>
          <w:lang w:val="sq-AL"/>
        </w:rPr>
        <w:footnoteReference w:id="1"/>
      </w:r>
      <w:r>
        <w:rPr>
          <w:lang w:val="sq-AL"/>
        </w:rPr>
        <w:t>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Sistemi i transmetimit të energjisë.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Operimi i rrjetit të transmetimit të energjisë elektrike nga pikëpamja fizike.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Operimi i sistemit të transmetimit nga pikëpamja e dispencerimit.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Operimi i tregut të energjisë elektrike.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OST sh.a. kryen funksionet e Operatorit të Rrjetit të Transmetimit, Operatorit të Sistemit të Dispeçerimit dhe Operatorit të Tregut.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OST garanton kapacitetet e nevojshme transmetuese për: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furnizimin e pandërprerë me energji elektrike të nënstacioneve të sistemit të shpërndarjes (CEZ shpërndarje) dhe konsumatorëve të energjisë elektrike të lidhur direkt në rrjetin e transmetimit;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transmetimin e energjisë elektrike të prodhuar nga burimet e vendit;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si dhe për transitet dhe shkëmbimet e nevojshme me vendet e rajonit.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OST sh.a ka detyrimin të: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zhvillojë sistemin e transmetimit në përputhje me kërkesat afatgjata të furnizimit të vendit me energji elektrike, me planet e zhvillimit të burimeve të reja të energjisë elektrike dhe koordinon zhvillimin e rrjetit të interkoneksionit me vendet fqinje, dhe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lang w:val="sq-AL"/>
        </w:rPr>
        <w:t xml:space="preserve">- të dispeçerojë sistemin elektroenergjetik nëpërmjet menaxhimit të flukseve të energjisë në </w:t>
      </w:r>
      <w:r>
        <w:rPr>
          <w:spacing w:val="-4"/>
          <w:lang w:val="sq-AL"/>
        </w:rPr>
        <w:t>sistem, duke marrë parasysh realizimin e të gjitha shërbimeve ndihmëse që lidhen me qëndrueshmërinë e sistemit, si dhe shkëmbimet me sistemet e tjera.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Përshkrimi i masës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Ligji nr. 101, datë 9.11.2017, “Për ratifikimin e Marrëveshjes së garancisë ndërmjet Republikës së Shqipërisë, të përfaqësuar nga Ministria e Financave dhe Ekonomisë, dhe KfW Frankfurt AM Main, në lidhje me Marrëveshjen e Huas ndërmjet OST sh.a. dhe KfW Frankfurt AM Main, për projektin “Linja e transmetimit 400 kV Shqipëri-Maqedoni (Fier–Elbasan–Qafëthanë)”, përfshin: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Ndërtimin e linjës së re ajrore 400 kV, Elbasan 2 – Manastir afërsisht 151 km, 56 km në territorin shqiptar;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Zgjerimin e nënstacionit 40 kV, me zbarrë dyfishe 40 kV, dalje të re linje 400 kV dhe një shunt-reaktor 120 MVAr;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Ndërtimin e linjës së re ajrore 400 kV, Elbasan 2 – Fier, rreth 70 km, si dhe dy dalje linje 400 kV në nënstacionin Elbasan 2 dhe nënstacionin Fier;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Zgjerimin e nënstacionit 220 kV Fier, 1x400 MVA dhe lidhjen me rrjetin e transmetimit.</w:t>
      </w:r>
    </w:p>
    <w:p w:rsidR="00420E38" w:rsidRDefault="00420E38" w:rsidP="00420E38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Projekti përforcon lidhjet interkonjektive me rajonin, duke krijuar kushte për shkëmbime tregtare dhe tranzitime pa kufizim të energjisë elektrike në rajon; zhvillon rrjetin 400 kV në zonën jugore të Shqipërisë, ku parashikohen të zhvillohen burimet e ardhshme të prodhimit të energjisë elektrike dhe, si pjesë e infrastrukturës së Korridorit të Tetë Evropian, krijon mundësi të mira për lidhje nëpërmjet kabllos nënujore me Italinë.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Projekti do të ketë impakt të rëndësishëm në: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Krijimin e mundësive tregtare për shkëmbime ekonomike të energjisë elektrike ndërmjet vendeve të rajonit.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Ndarjen e rezervës së kapaciteteve që do të kontribuojë në një siguri më të madhe të funksionimit të Sistemeve Elektroenergjetike të Shqipërisë dhe Maqedonisë.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Mbështetjen reciproke në raste urgjente.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Shfrytëzimin optimal të burimeve të rajonit që rezultojnë me kosto më të ulët të energjisë elektrike.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Përmirësimin e standardeve të përgjithshme, besueshmërisë, cilësisë dhe efikasitetit të sistemit të transmetimit në zonën jugore të Shqipërisë.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Krijimin e kushteve për lidhje në rrjetin e transmetimit të burimeve të reja (TEC me gaz në zonën Fier-Vlorë me përfundimin e projektit TAP dhe burimeve të rinovueshme diellore dhe me erë).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Inkurajimin e zhvillimit ekonomik të rajonit jugor të Shqipërisë për shkak të furnizimit më të mirë me energji elektrike.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Reduktimin e humbjeve të energjisë elektrike në rrjetin e transmetimit.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Krijimin e mundësive teknike për lidhjen me Italinë nëpërmjet kabllos nënujore, çka do të rrisë shkëmbimet tregtare të energjisë elektrike ndërmjet Ballkanit dhe Italisë.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3. Objektivi dhe baza ligjore e njoftimit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Objektivi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Ligji nr. 101, datë 9.11.2017, ka si qëllim krijimin e mundësisë për OST sh.a. që të marrë hua me kushte të favorshme nga KfW me vlerë 50.000.000 euro. Huamarrësi do ta përdorë huan ekskluzivisht për investime në infrastrukturën e transmetimit të energjisë elektrike, veçanërisht në projektin “Linja e Transmetimit 400 kV Shqipëri-Maqedoni (Fier–Elbasan–Qafëthanë)”, nënstacionet përkatëse, si dhe për shërbimet e konsulencës për këtë projekt. Projekti, si pjesë e korridorit Lindje-Perëndim, do të mundësojë lidhjen e sistemit shqiptar të energjisë me rajonin.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Baza ligjore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Masa e ndihmës shtetërore jepet në bazë të ligjit nr. 101/2017, “Për ratifikimin e Marrëveshjes së garancisë ndërmjet Republikës së Shqipërisë, të përfaqësuar nga Ministria e Financave dhe Ekonomisë, dhe KfW Frankfurt AM Main, në lidhje me Marrëveshjen e Huas ndërmjet Operatorit të Sistemit të Transmetimit, sh.a. (OST) dhe KfW Frankfurt AM Main, për projektin “Linja e transmetimit 400 kV Shqipëri-Maqedoni (Fier–Elbasan–Qafëthanë)”, i miratuar, mbështetur në: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Nenin 81, pika 1 dhe 100 e Kushtetutës;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Nenin 26 dhe 27 të ligjit nr. 9665, datë 18.12.2006, “Për huamarrjen shtetërore, borxhin shtetëror dhe garancitë shtetërore të huas në Republikën e Shqipërisë”, të ndryshuar, dhe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Nenin 17 i ligjit nr. 43/2016, “Për marrëveshjet ndërkombëtare në Republikën e Shqipërisë”.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4. Masa e njoftuar e financimit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Garancia shtetërore garanton 100% huan me termat si më poshtë: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Shuma e huas: 50.000.000 euro e ndarë në dy këste (30.000.000 euro dhe 20.000.000 euro);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Jetëgjatësia e kredisë: 12 vite, nga të cilat 3 vitet e para pa pagesë principali;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Norma e interesit: 1,25%, fikse gjatë gjithë jetëgjatësisë së huas;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Komisioni i angazhimit: 0,25% në vit mbi vlerën e padisbursuar të huas dhe do të jetë efektiv në datën e disbursimit të fundit të huas;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Tarifë menaxhimi: 1% e shumës së huas (e pagueshme vetëm një herë, referuar nenit 3.2 të Marrëveshjes së Huas).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5. Vlerësimi i ekzistencës së ndihmës shtetërore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5.1 Kualifikimi i masës si ndihmë shtetërore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Në bazë të nenit 4, pika 1, të ligjit nr. 9374, datë 21.4.2005, “Për ndihmën shtetërore”, të ndryshuar, përcaktohet se: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420E38" w:rsidTr="00420E3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E38" w:rsidRDefault="00420E38">
            <w:pPr>
              <w:pStyle w:val="Paragrafi"/>
              <w:spacing w:line="276" w:lineRule="auto"/>
              <w:ind w:firstLine="0"/>
              <w:rPr>
                <w:lang w:val="sq-AL"/>
              </w:rPr>
            </w:pPr>
            <w:r>
              <w:rPr>
                <w:lang w:val="sq-AL"/>
              </w:rPr>
              <w:t>“Përveç rasteve të parashikuara ndryshe në këtë ligj, ndalohet çdo ndihmë e dhënë nga burimet shtetërore, në çfarëdolloj forme e cila, në mënyrë të drejtpërdrejtë ose të tërthortë, shtrembëron ose kërcënon të shtrembërojë konkurrencën duke dhënë përparësi për një ose disa ndërmarrje të caktuara ose për prodhimin e produkteve të caktuara, për aq sa mund të ketë ndikim në plotësimin e detyrimeve të ndërmarra nga Republika e Shqipërisë në marrëveshjet ndërkombëtare që përmbajnë dispozita të ndihmës shtetërore”.</w:t>
            </w:r>
          </w:p>
        </w:tc>
      </w:tr>
    </w:tbl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Neni 18 i Traktatit themelues të Komunitetit të Energjisë në mënyrë të ngjashme parashikon që: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1. “Do të jenë të papajtueshme me funksionimin e duhur të Traktatit, për aq sa mund të ndikojë në tregtinë e energjisë mes palëve kontraktuese: [...]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c) çdo ndihmë shtetërore që shtrembëron ose kërcënon të shtrembërojë konkurrencën duke favorizuar ndërmarrjet ose burimet e energjisë.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2. Çdo praktikë që bie në kundërshtim me këtë nen do të vlerësohet në bazë të kritereve që rrjedhin nga zbatimi i neneve 81, 82 dhe 87 të Traktatit themelues të Komunitetit Europian (bashkëlidhur shtojcës III) [aktualisht neni 101, 102 dhe 107 të Traktatit për Funksionimin e Bashkimit Europian]”.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Gjithashtu, neni 71 “Konkurrenca dhe dispozita të tjera ekonomike”, i Marrëveshjes së Stabilizim-Asociimit ndërmjet Komuniteteve Evropiane e shteteve të tyre anëtare dhe Republikës së Shqipërisë</w:t>
      </w:r>
      <w:r>
        <w:rPr>
          <w:vertAlign w:val="superscript"/>
          <w:lang w:val="sq-AL"/>
        </w:rPr>
        <w:footnoteReference w:id="2"/>
      </w:r>
      <w:r>
        <w:rPr>
          <w:lang w:val="sq-AL"/>
        </w:rPr>
        <w:t>, përcakton se: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420E38" w:rsidTr="00420E3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“Praktikat në kundërshtim me këtë nen vlerësohen në bazë të kritereve që lindin nga zbatimi i rregullave të konkurrencës të aplikueshme në Komunitet, sidomos në nenet 81, 82, 86 dhe 87 të Traktatit themelues të Komunitetit Europian dhe instrumenteve interpretuese që përdoren nga institucionet e Komunitetit”.</w:t>
            </w:r>
          </w:p>
        </w:tc>
      </w:tr>
    </w:tbl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përcaktimin nëse një masë përbën ndihmë shtetërore në kuptim të nenit 4 të ligjit të ndihmës shtetërore dhe të nenit 107 (1) të TFEU-së, Komisioni vlerëson plotësimin e kritereve të mëposhtme: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masa duhet të jepet nga shteti dhe të përfshijë burimet shtetërore,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masa duhet të japë një avantazh ndaj ndërmarrjeve të caktuara ose sektorëve të caktuar, si edhe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masa ndikon në konkurrencë dhe mund të ndikojnë në tregtinë midis shteteve anëtare.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rastin konkret, ndihma shtetërore e dhënë për OST sh.a. nuk lidhet drejtpërdrejt me shpërblimin për ofrimin e shërbimit publik, por me dhënien e një garancie shtetërore, e cila i mundëson OST sh.a. kryerjen e investimeve të domosdoshme për përmbushjen e detyrimit të OST sh.a.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spacing w:val="-4"/>
          <w:lang w:val="sq-AL"/>
        </w:rPr>
        <w:t>Komisioni Evropian ka miratuar udhëzimin për zbatimin e rregullave të ndihmës shtetërore të Traktatit për garancitë shtetërore</w:t>
      </w:r>
      <w:r>
        <w:rPr>
          <w:spacing w:val="-4"/>
          <w:vertAlign w:val="superscript"/>
          <w:lang w:val="sq-AL"/>
        </w:rPr>
        <w:footnoteReference w:id="3"/>
      </w:r>
      <w:r>
        <w:rPr>
          <w:spacing w:val="-4"/>
          <w:lang w:val="sq-AL"/>
        </w:rPr>
        <w:t xml:space="preserve"> (në vazhdim: “Njoftimi për garancinë shtetërore”), duke përcaktuar se kriteret e përgjithshme të nenit 107 (1) të TFEU-së zbatohen në mënyrë të barabartë edhe për garancitë shtetërore. Neni 107 (1) i TFEU-së është i transpozuar në nenin 4, pika e ligjit nr. 9374, datë 21.4.2005, “Për ndihmën shtetërore”, të ndryshuar. Në “Njoftimin e garancisë shtetërore” parashikohet se përfitimi për ndërmarrjen nga një garanci shtetërore përbëhet nga fakti se rreziku për ekzekutimin e garancisë shtetërore merret nga </w:t>
      </w:r>
      <w:r>
        <w:rPr>
          <w:lang w:val="sq-AL"/>
        </w:rPr>
        <w:t>shteti.</w:t>
      </w:r>
    </w:p>
    <w:p w:rsidR="00420E38" w:rsidRDefault="00420E38" w:rsidP="00420E38">
      <w:pPr>
        <w:pStyle w:val="Paragrafi"/>
        <w:rPr>
          <w:lang w:val="sq-AL"/>
        </w:r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 të përcaktuar nëse garancia përbën ndihmë shtetërore në kuptim të nenit 4 (1), pika 1 e ligjit nr. 9374, datë 21.4.2005, “Për ndihmën shtetërore”, të ndryshuar, Komisioni vlerëson nëse garancia shtetërore i ofron një avantazh OST sh.a. Siç përcaktohet në “Njoftimin e garancisë shtetërore”, një masë e garancisë shtetërore është ndihmë shtetërore nëse plotësohen të gjitha kushtet për ekzistencën e ndihmës shtetërore dhe nëse do t’i siguronte përfituesit një avantazh që nuk do të ishte marrë në kushtet e tregut.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 të përcaktuar nëse garancia shtetërore jep një avantazh, Komisioni krahason sjelljen e shtetit me atë të një operatori ekonomik në kushtet e tregut”</w:t>
      </w:r>
      <w:r>
        <w:rPr>
          <w:vertAlign w:val="superscript"/>
          <w:lang w:val="sq-AL"/>
        </w:rPr>
        <w:footnoteReference w:id="4"/>
      </w:r>
      <w:r>
        <w:rPr>
          <w:lang w:val="sq-AL"/>
        </w:rPr>
        <w:t xml:space="preserve"> , pra vlerëson “Parimin e Investitorit në ekonominë e tregut”, i cili lidhet me mundësinë e sigurimit të burimeve financiare ekuivalente nga ndërmarrja në </w:t>
      </w:r>
      <w:r>
        <w:rPr>
          <w:lang w:val="sq-AL"/>
        </w:rPr>
        <w:lastRenderedPageBreak/>
        <w:t xml:space="preserve">tregun financiar.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5.2 Vlerësimi i Garancisë shtetërore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5.2.1 Burimet Shtetërore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Masa aktivizon burime shtetërore, sepse Marrëveshja e Garancisë e lidhur mes Qeverisë Shqiptare (përfaqësuar nga Ministria e Financave dhe Ekonomisë) dhe KfW-së, për të mundësuar financimin e projektit “Linja e transmetimit 400 kV Shqipëri-Maqedoni” i mundëson ndërmarrjes OST sh.a. lidhjen e marrëveshjes së huas me KfW-në për huan në vlerën 50 milionë euro me kushte të favorshme.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Në rast aktivizimi të mundshëm të Garancisë shtetërore, Huamarrësi/OST sh.a., në zbatim të Marrëveshjes së Mirëkuptimit është i detyruar që t’i kthejë Garantuesit (Ministrisë së Financave dhe Ekonomisë) të gjitha shumat dhe kostot shtesë që kjo e fundit do t’i ketë paguar Huadhënësit (KfW) në zbatim të Marrëveshjes së Garancisë.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5.2.2 Avantazhi ekonomik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Një avantazh është çdo përfitim ekonomik që një ndërmarrje nuk do të mund ta fitonte në kushte normale të tregut, pra në mungesë të ndërhyrjes së shtetit</w:t>
      </w:r>
      <w:r>
        <w:rPr>
          <w:vertAlign w:val="superscript"/>
          <w:lang w:val="sq-AL"/>
        </w:rPr>
        <w:footnoteReference w:id="5"/>
      </w:r>
      <w:r>
        <w:rPr>
          <w:vertAlign w:val="superscript"/>
          <w:lang w:val="sq-AL"/>
        </w:rPr>
        <w:t>.</w:t>
      </w:r>
      <w:r>
        <w:rPr>
          <w:lang w:val="sq-AL"/>
        </w:rPr>
        <w:t xml:space="preserve"> Si çdo transaksion tjetër, garancia shtetërore e dhënë nga organet shtetërore për një ndërmarrje të caktuar mund të përbëjë ndihmë shtetërore, në qoftë se ajo nuk është dhënë me termat e tregut. Nëse Garancia shtetërore është dhënë me terma më të favorshëm se tregu, si dhe duke marrë parasysh edhe gjendjen ekonomike të huamarrësit, atëherë mbështetja shtetërore i jep një përparësi ndërmarrjes. Pra i jepet mundësi huamarrësit të përfitojë hua me një normë interesi të favorshme, e cila nuk do të mund të sigurohej në treg pa një Garanci shtetërore.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Në bazë të “Njoftimit të Garancisë shtetërore”, përfitimi nga një garanci shtetërore është mbulimi nga shteti i riskut të ekzekutimit të garancisë. Risku duhet mbuluar me një prim të arsyeshëm. Kur shteti heq dorë nga e gjitha ose një pjesë e këtij primi, jepet një përfitim për ndërmarrjen, e shoqëruar me një shpenzim/pakësim të burimeve shtetërore</w:t>
      </w:r>
      <w:r>
        <w:rPr>
          <w:vertAlign w:val="superscript"/>
          <w:lang w:val="sq-AL"/>
        </w:rPr>
        <w:footnoteReference w:id="6"/>
      </w:r>
      <w:r>
        <w:rPr>
          <w:lang w:val="sq-AL"/>
        </w:rPr>
        <w:t>. Ndihma jepet në momentin kur nënshkruhet garancia shtetërore dhe jo kur kryhen pagesat sipas kushteve të garancisë shtetërore.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Sa më lart, për të përcaktuar nëse një garanci shtetërore ofron një avantazh, Gjykata Evropiane e Drejtësisë ka konfirmuar se Komisioni Evropian duhet të vlerësojë garancinë shtetërore sipas “Parimit të Investitorit në ekonominë e tregut”</w:t>
      </w:r>
      <w:r>
        <w:rPr>
          <w:vertAlign w:val="superscript"/>
          <w:lang w:val="sq-AL"/>
        </w:rPr>
        <w:footnoteReference w:id="7"/>
      </w:r>
      <w:r>
        <w:rPr>
          <w:lang w:val="sq-AL"/>
        </w:rPr>
        <w:t xml:space="preserve">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Për vlerësimin e “Parimit të Investitorit në ekonominë e tregut”, pra që garancia shtetërore të mos përbëjë një ndihmë shtetërore, duhet të përmbushen në mënyrë kumulative kushtet e mëposhtme: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a) Një ndërmarrje nuk është në vështirësi;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b) Garancia lidhet me një transaksion të veçantë financiar, për një sasi fikse dhe një periudhë kohore fikse;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c) Garancia nuk mbulon më shumë se 80% të huas së papërcaktuar ose detyrimit financiar të përfituesit;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d) Për garancinë paguhet një çmim i orientuar nga tregu, d.m.th. çmimi i paguar për garancinë është të paktën aq sa niveli përkatës i premiumit të garancisë, që mund të gjendet në tregjet financiare.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Nëse garancia shtetërore nuk i plotëson të gjitha kushtet e mësipërme, atëherë masa jep një avantazh siç përcaktohet ligjin nr. 9374, datë 21.4.2005, “Për ndihmën shtetërore”, të ndryshuar.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Ndërmarrja OST sh.a. nuk paguan asnjë prim për garancinë shtetërore (nuk paguan një çmim të orientuar drejt tregut), pra në këtë rast nuk zbatohet “Parimi i Investitorit në ekonominë e tregut”.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Përcaktimi i përparësisë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a) Çmimi i tregut për garancinë shtetërore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Elementi i ndihmës shtetërore do të konsiderohet të jetë diferenca e çmimit të tregut të huas me çmimin aktual të huas së garantuar me Garanci shtetërore</w:t>
      </w:r>
      <w:r>
        <w:rPr>
          <w:vertAlign w:val="superscript"/>
          <w:lang w:val="sq-AL"/>
        </w:rPr>
        <w:footnoteReference w:id="8"/>
      </w:r>
      <w:r>
        <w:rPr>
          <w:lang w:val="sq-AL"/>
        </w:rPr>
        <w:t>. Ekuivalenti gjithsej i grantit/ndihmës shtetërore do të skontohet në vlerën aktuale “ekuivalenti cash i grantit për çdo vit” me normën e skontimit referencë 5%</w:t>
      </w:r>
      <w:r>
        <w:rPr>
          <w:vertAlign w:val="superscript"/>
          <w:lang w:val="sq-AL"/>
        </w:rPr>
        <w:footnoteReference w:id="9"/>
      </w:r>
      <w:r>
        <w:rPr>
          <w:lang w:val="sq-AL"/>
        </w:rPr>
        <w:t xml:space="preserve">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Komisioni i Ndihmës Shtetërore identifikon: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Çmimin/primin aktual të paguar për Garancinë shtetërore të Huas, çmimin indikativ të tregut për huan, dhe Përfitimin nga Garancia shtetërore e Huas.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lastRenderedPageBreak/>
        <w:t>i) Lidhur me çmimin/primin aktual të paguar për garancinë shtetërore të huas: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Në bazë të Marrëveshjes së Huas, çmimi aktual i paguar për huan e garantuar me Garanci shtetërore nga OST sh.a. është norma fikse e interesit 1.25%.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ii) Lidhur me çmimin indikativ të tregut për huan e garantuar me Garanci shtetërore: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Çmimi i tregut  për huan e garantuar me Garanci shtetërore është llogaritur duke marrë si referencë çmimin indikativ që ofron tregu financiar i Shqipërisë për një hua me terma të ngjashëm. Për të pasur një bazë krahasimi, Komisioni i Ndihmës Shtetërore ka pasur parasysh disa faktorë, si p.sh.: lloji i ndërmarrjes që aplikon për hua në tregun financiar (fushën e veprimtarisë, madhësinë dhe kohëzgjatjen e investimit), transaksionin që kryhet, kushtet e tregut financiar, si dhe kohën kur është kryer transaksioni.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Çmimi indikativ i tregut për huan e garantuar me Garanci shtetërore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Referencat për çmimin indikativ të tregut janë marrë nga Banka e Shqipërisë</w:t>
      </w:r>
      <w:r>
        <w:rPr>
          <w:vertAlign w:val="superscript"/>
          <w:lang w:val="sq-AL"/>
        </w:rPr>
        <w:footnoteReference w:id="10"/>
      </w:r>
      <w:r>
        <w:rPr>
          <w:lang w:val="sq-AL"/>
        </w:rPr>
        <w:t>, duke iu referuar transaksioneve të krahasueshme të tregut për hua me terma të ngjashëm, për investime afatgjata dhe të destinuara për biznesin e madh.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Duke qenë se huaja e garantuar është akorduar me normë interesi fikse për të gjithë jetëgjatësinë e huas, ndërkohë që tregu financiar shqiptar nuk e ofron një mundësi të tillë, çmimi indikativ i tregut është përllogaritur si shuma e normës mesatare të Euriborit 6-mujor me marzhin mesatar të aplikuar nga sektori bankar.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Tabela nr. 1 paraqet normat historike të Euriborit 6 mujor, nga të cilat është përllogaritur norma mesatare prej 2.1%. </w:t>
      </w:r>
    </w:p>
    <w:p w:rsidR="00420E38" w:rsidRDefault="00420E38" w:rsidP="00420E38">
      <w:pPr>
        <w:pStyle w:val="Paragrafi"/>
        <w:rPr>
          <w:lang w:val="sq-AL"/>
        </w:rPr>
      </w:pPr>
    </w:p>
    <w:p w:rsidR="00420E38" w:rsidRDefault="00420E38" w:rsidP="00420E38">
      <w:pPr>
        <w:pStyle w:val="Paragrafi"/>
        <w:jc w:val="center"/>
        <w:rPr>
          <w:lang w:val="sq-AL"/>
        </w:rPr>
      </w:pPr>
      <w:r>
        <w:rPr>
          <w:lang w:val="sq-AL"/>
        </w:rPr>
        <w:t xml:space="preserve">Tabela nr. 1: Norma mesatare e Euriborit </w:t>
      </w:r>
    </w:p>
    <w:p w:rsidR="00420E38" w:rsidRDefault="00420E38" w:rsidP="00420E38">
      <w:pPr>
        <w:pStyle w:val="Paragrafi"/>
        <w:jc w:val="center"/>
        <w:rPr>
          <w:lang w:val="sq-AL"/>
        </w:rPr>
      </w:pPr>
      <w:r>
        <w:rPr>
          <w:lang w:val="sq-AL"/>
        </w:rPr>
        <w:t>6-mujor</w:t>
      </w:r>
    </w:p>
    <w:p w:rsidR="00420E38" w:rsidRDefault="00420E38" w:rsidP="00420E38">
      <w:pPr>
        <w:pStyle w:val="Paragrafi"/>
        <w:jc w:val="left"/>
        <w:rPr>
          <w:lang w:val="sq-AL"/>
        </w:rPr>
      </w:pPr>
      <w:r>
        <w:rPr>
          <w:noProof/>
        </w:rPr>
        <w:drawing>
          <wp:inline distT="0" distB="0" distL="0" distR="0">
            <wp:extent cx="2895600" cy="25431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pgSz w:w="11907" w:h="16840"/>
          <w:pgMar w:top="720" w:right="1134" w:bottom="720" w:left="1134" w:header="851" w:footer="851" w:gutter="0"/>
          <w:pgNumType w:start="3249"/>
          <w:cols w:space="454"/>
        </w:sect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Tabela nr. 2 paraqet marzhet e aplikuar nga sistemi bankar për hua të akorduara ndaj biznesit të madh (marzhet e aplikuara për huat me jetëgjatësi të krahasueshme me huan e garantuar me garanci shtetërore)</w:t>
      </w: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3273"/>
          <w:cols w:space="720"/>
        </w:sect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     Tabela nr. 2: Normat nominale dhe NEI për bizneset</w:t>
      </w: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31"/>
          <w:cols w:space="720"/>
        </w:sectPr>
      </w:pPr>
    </w:p>
    <w:p w:rsidR="00420E38" w:rsidRDefault="00420E38" w:rsidP="00420E38">
      <w:pPr>
        <w:pStyle w:val="Paragrafi"/>
        <w:jc w:val="left"/>
        <w:rPr>
          <w:lang w:val="sq-AL"/>
        </w:rPr>
      </w:pPr>
      <w:r>
        <w:rPr>
          <w:noProof/>
        </w:rPr>
        <w:drawing>
          <wp:inline distT="0" distB="0" distL="0" distR="0">
            <wp:extent cx="5848350" cy="17430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E38" w:rsidRDefault="00420E38" w:rsidP="00420E38">
      <w:pPr>
        <w:pStyle w:val="Paragrafi"/>
        <w:rPr>
          <w:lang w:val="sq-AL"/>
        </w:r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Marzhi i aplikuar nga 3 banka të nivelit të dytë për hua me qëllime investimi dhe me kohëzgjatje të ngjashme me atë të huas së garantuar me Garanci shtetërore është respektivisht: 5.38% (BC), 4.5% (BPC) dhe 3.2% (BR) ose mesatarisht 4.36%.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lastRenderedPageBreak/>
        <w:t>Tabela nr. 3 paraqet llogaritjen e marzhit mesatar të aplikuar nga bankat e lartpërmendura, si edhe çmimin indikativ të tregut të përllogaritur si shuma e marzhit mesatar të aplikuar me normën mesatare të Euriborit 6-mujor.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 sa më sipër, çmimi indikativ i tregut për hua të ngjashme me huan e garantuar me garanci shtetërore rezulton në vlerën 6,43% (4.36% (marzhi mesatar i aplikuar) + 2,07% (Euribor 6-mujor mesatar).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 Tabela nr. 3 Çmimi indikativ i tregut</w:t>
      </w:r>
    </w:p>
    <w:p w:rsidR="00420E38" w:rsidRDefault="00420E38" w:rsidP="00420E38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343525" cy="1028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E38" w:rsidRDefault="00420E38" w:rsidP="00420E38">
      <w:pPr>
        <w:pStyle w:val="Paragrafi"/>
        <w:rPr>
          <w:lang w:val="sq-AL"/>
        </w:rPr>
      </w:pPr>
    </w:p>
    <w:p w:rsidR="00420E38" w:rsidRDefault="00420E38" w:rsidP="00420E38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I. Përfitimi nga Garancia shtetërore bazuar në tregun financiar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Komisioni i Ndihmës Shtetërore llogarit përfitimin nga garancia shtetërore e huas për projektin “Linja e Transmetimit 400 kV Shqipëri-Maqedoni” në monedhën euro.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Përfitimi nga Garancia shtetërore e huas përllogaritet si diferencë e vlerës së skontuar të interesave (vlera aktuale/present value) të gjeneruar me normën e tregut (6.43%) me atë të interesave të gjeneruar me normën aktuale të huas së garantuar (1.25%).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Nga përllogaritjet rezulton se përfitimi nga garancia shtetërore e huas në terma aktualë është rreth 15,74 milionë euro (referencë tabela nr. 4).</w:t>
      </w:r>
    </w:p>
    <w:p w:rsidR="00420E38" w:rsidRDefault="00420E38" w:rsidP="00420E38">
      <w:pPr>
        <w:pStyle w:val="Paragrafi"/>
        <w:ind w:firstLine="0"/>
        <w:rPr>
          <w:lang w:val="sq-AL"/>
        </w:r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Tabela nr. 4: Përfitimi nga Garancia shtetërore e huas</w:t>
      </w:r>
    </w:p>
    <w:p w:rsidR="00420E38" w:rsidRDefault="00420E38" w:rsidP="00420E38">
      <w:pPr>
        <w:pStyle w:val="Paragrafi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5943600" cy="3209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E38" w:rsidRDefault="00420E38" w:rsidP="00420E38">
      <w:pPr>
        <w:pStyle w:val="Paragrafi"/>
        <w:rPr>
          <w:lang w:val="sq-AL"/>
        </w:rPr>
      </w:pP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3273"/>
          <w:cols w:space="720"/>
        </w:sect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Shënim: Norma e aplikuar për skontimin e interesave është marrë 5%</w:t>
      </w:r>
      <w:r>
        <w:rPr>
          <w:vertAlign w:val="superscript"/>
          <w:lang w:val="sq-AL"/>
        </w:rPr>
        <w:footnoteReference w:id="11"/>
      </w:r>
      <w:r>
        <w:rPr>
          <w:lang w:val="sq-AL"/>
        </w:rPr>
        <w:t>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Mbështetur në tabelën nr. 4, Komisioni i Ndihmës Shtetërore shprehet se çmimi inidikativ i ofruar nga bankat e nivelit të dytë në Shqipëri përbën një bazë të arsyeshme për vlerësimin e huas pa garanci shtetërore në kushtet e tregut.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Siç vërehet nga tabela nr. 4, bankat e nivelit të dytë për hua me kohëzgjatje deri në 12 vite ofrojnë një normë mesatare vjetore 6.43%, pra një normë aktuale tregu më të lartë se  norma fikse e interesit të huas së garantuar me garanci shtetërore prej 1.25%.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 sa më lart, çmimi i tregut 6.43% i kredisë i jep përfituesit një avantazh ekonomik në vlerën 15,74 milion euro.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Lidhur me kolateralin e huas, Ministria e Financave dhe Ekonomisë ka bërë një angazhim për të siguruar kolateral të plotë për çdo këst të lëvrimit të huas (garanci sovrane).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Për sa më lart, Komisioni shprehet se çmimi për huan e garantuar me garanci shtetërore është më i </w:t>
      </w:r>
      <w:r>
        <w:rPr>
          <w:lang w:val="sq-AL"/>
        </w:rPr>
        <w:lastRenderedPageBreak/>
        <w:t xml:space="preserve">ulët se çmimi indikativ i tregut (Euribor 6-mujor + marzh) për një hua me karakteristika të ngjashme jo të garantuar, duke konkluduar që garancia shtetërore përbën ndihmë shtetërore.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II. Përfitimi nga garancia shtetërore bazuar në standardin e Fondit Monetar Ndërkombëtar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Metodologjia e Fondit Monetar Ndërkombëtar përcakton një normë të vetme dhe të unifikuar të skontimit (5%) për të llogaritur elementin e grantit të kredive individuale. Sipas saj, elementi i grantit (në përqindje) - mat nivelin e koncesionit, të “butësisë” të një kredie, që pasqyron dobinë për huamarrësin krahasuar me një hua me normë tregu.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420E38" w:rsidTr="00420E3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E38" w:rsidRDefault="00420E38">
            <w:pPr>
              <w:pStyle w:val="Paragrafi"/>
              <w:spacing w:line="276" w:lineRule="auto"/>
              <w:ind w:firstLine="0"/>
              <w:rPr>
                <w:lang w:val="sq-AL"/>
              </w:rPr>
            </w:pPr>
            <w:r>
              <w:rPr>
                <w:lang w:val="sq-AL"/>
              </w:rPr>
              <w:t>Elementi i grantit është diferenca midis vlerës nominale dhe shumës së pagesave të skontuara të shërbimit të borxhit (vlera aktuale neto) që do të bëhen nga huamarrësi, të shprehura si përqindje e vlerës nominale të huas. Kur norma e interesit për një hua është më e ulët se norma e skontimit, vlera aktuale e huas rezulton më e vogël se vlera e tij nominale, me diferencën që pasqyron elementin e grantit të huas.</w:t>
            </w:r>
          </w:p>
        </w:tc>
      </w:tr>
    </w:tbl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Mbështetur në marrëveshjen e huas me garanci shtetërore, të dhënat për elementin e grantit janë si më poshtë: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Norma e skontimit = 5%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Profili i ripagesave = këste të barabarta vjetore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Vlera e huas = 50 000 000 euro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Tarifë menaxhimi = 1.0%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Norma e interesit= 1.25%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Jetëgjatësia = 12 vite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Numri i pagesave vjetore = 2 pagesa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Periudha pa pagesë principali = 3 vite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Në aneks të këtij vendimi, tabela nr. 1 llogarit elementin e grantit (në përqindje). Mbështetur në të dhënat e huas, elementi i grantit rezulton të jetë 17.25%. Kjo do të thotë se OST sh.a. në vlerë aktuale do t’i paguaj kreditorit (KfW) 17.25% më pak se vlera e huas së marrë.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përfundim, Komisioni i Ndihmës Shtetërore shprehet se garancia shtetërore përbën ndihmë shtetërore, sepse pika d) e “Parimit të Investitorit në ekonominë e tregut”</w:t>
      </w:r>
      <w:r>
        <w:rPr>
          <w:spacing w:val="-4"/>
          <w:vertAlign w:val="superscript"/>
          <w:lang w:val="sq-AL"/>
        </w:rPr>
        <w:footnoteReference w:id="12"/>
      </w:r>
      <w:r>
        <w:rPr>
          <w:spacing w:val="-4"/>
          <w:lang w:val="sq-AL"/>
        </w:rPr>
        <w:t xml:space="preserve"> nuk plotësohet.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Selektiviteti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Masa është selektive, duke qenë se  përparësia i jepet vetëm një ndërmarrjeje të veçantë, OST sh.a.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Efekti në konkurrencë dhe ndikimi në tregti: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Komisioni vlerëson se projekti mundëson krijimin e infrastrukturës së nevojshme, e cila do të kontribuojë në ndërlidhjen midis vendeve të rajonit, gjithashtu i ofron akses palëve të treta sipas rregullave të aksesit në rrjet të miratuara nga ERE, dhe në këtë mënyrë rrit indirekt konkurrencën në tregun e furnizimit me energji elektrike. Si një projekt infrastrukturor në rajonin perëndimor të Ballkanit, linja do të lehtësojë ndërlidhjen me sistemet e energjisë elektrike të vendeve fqinje dhe përfundimisht do të kontribuojë në rritjen e tregtisë së energjisë elektrike në rajon. Komisioni i Ndihmës Shtetërore shprehet se efektet e mundshme të konkurrencës dhe efektet në tregti që rezultojnë nga masa e ndihmës janë të kufizuara dhe tejkalohen nga dobia/përmirësimet në rrjetin e transmetimit të energjisë elektrike dhe rritjen e konkurrencës ndërmjet furnizuesve të energjisë elektrike në nivel ndërkombëtar.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Vlerësimi i përputhshmërisë së ndihmës shtetërore në bazë të nenit 13, pika 3 e ligjit nr. 9374, datë 21.4.2005 “Për ndihmën shtetërore”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spacing w:val="-4"/>
          <w:lang w:val="sq-AL"/>
        </w:rPr>
        <w:t>Objektivi kryesor i ndihmës shtetërore është zhvillimi i rrjetit të transmetimit të energjisë elektrike/sistemit të transmisionit dhe përmirësimit të ndërlidhjes së saj me Maqedoninë, duke kontribuar në përmirësimin e infrastrukturës ekzistuese për funksionimin e tregut të brendshëm të energjisë elektrike në</w:t>
      </w:r>
      <w:r>
        <w:rPr>
          <w:lang w:val="sq-AL"/>
        </w:rPr>
        <w:t xml:space="preserve"> rajon.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Komisioni i Ndihmës Shtetërore vlerëson përputhshmërinë e masës me tregun e brendshëm, duke u mbështetur në kontributin që jep në zhvillimin e tregut të energjisë elektrike në vend dhe rajon, mbështetur në nenin 13, pika 3 të ligjit nr. 9374, datë 21.5.2005, “Për ndihmën shtetërore”, të ndryshuar, i cili parashikon se ndihma shtetërore lejohet nëse: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420E38" w:rsidTr="00420E38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E38" w:rsidRDefault="00420E38">
            <w:pPr>
              <w:pStyle w:val="Paragrafi"/>
              <w:spacing w:line="276" w:lineRule="auto"/>
              <w:ind w:firstLine="0"/>
              <w:rPr>
                <w:lang w:val="sq-AL"/>
              </w:rPr>
            </w:pPr>
            <w:r>
              <w:rPr>
                <w:lang w:val="sq-AL"/>
              </w:rPr>
              <w:t>“lehtëson zhvillimin e veprimtarive të caktuara ekonomike ose zhvillimin e zonave të caktuara ekonomike, deri në atë masë sa kjo ndihmë nuk është në kundërshtim me detyrimet e marrëveshjeve ndërkombëtare të ratifikuara nga Republika e Shqipërisë”.</w:t>
            </w:r>
          </w:p>
        </w:tc>
      </w:tr>
    </w:tbl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Masa e ndihmës shtetërore vlerësohet se është në përputhje me nenin 13, pika 3 të ligjit nr. 9374, datë 21.5.2005, “Për ndihmën shtetërore”, të ndryshuar, nëse është e nevojshme, proporcionale dhe nëse </w:t>
      </w:r>
      <w:r>
        <w:rPr>
          <w:lang w:val="sq-AL"/>
        </w:rPr>
        <w:lastRenderedPageBreak/>
        <w:t>efektet pozitive për objektivin e saj  janë më të mëdha se efektet negative që lidhen me pasojat në konkurrencë dhe tregti. Komisioni i Ndihmës Shtetërore në përputhje udhëzimin “Për ndihmën shtetërore për mbrojtjen e mjedisit dhe të energjisë 2014-2020 të Komisionit Evropian”</w:t>
      </w:r>
      <w:r>
        <w:rPr>
          <w:vertAlign w:val="superscript"/>
          <w:lang w:val="sq-AL"/>
        </w:rPr>
        <w:footnoteReference w:id="13"/>
      </w:r>
      <w:r>
        <w:rPr>
          <w:lang w:val="sq-AL"/>
        </w:rPr>
        <w:t>, vlerëson nëse: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Masa e ndihmës synon në arritjen e një qëllimi të përcaktuar mirë dhe me interes të përbashkët: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masa e ndihmës ka qëllim me interes të përbashkët;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ka nevojë për ndërhyrje shtetërore.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Ndihma jepet për të arritur një objektiv me interes të përbashkët, pra ndihma është një instrument i përshtatshëm dhe i domosdoshëm: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ka efekt nxitës;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masa është proporcionale;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- Efektet në konkurrencë dhe tregti janë të kufizuara;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Ndihma është transparente.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Objektiv me interes të përbashkët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përputhje me nenin 71 të MSA-së, “Praktikat në kundërshtim me këtë nen vlerësohen në bazë të kritereve që lindin nga zbatimi i rregullave të konkurrencës të aplikueshme në Komunitet, sidomos në nenet 81, 82, 86 dhe 87 të Traktatit themelues të Komunitetit Europian dhe instrumenteve interpretuese që përdoren nga institucionet e Komunitetit. Më konkretisht, neni 194 i TFEU-së </w:t>
      </w:r>
      <w:r>
        <w:rPr>
          <w:spacing w:val="-4"/>
          <w:vertAlign w:val="superscript"/>
          <w:lang w:val="sq-AL"/>
        </w:rPr>
        <w:footnoteReference w:id="14"/>
      </w:r>
      <w:r>
        <w:rPr>
          <w:spacing w:val="-4"/>
          <w:lang w:val="sq-AL"/>
        </w:rPr>
        <w:t>, kapitulli 21, parashikon se në kuadrin e krijimit dhe funksionimit të tregut të brendshëm dhe nisur nga nevoja për ruajtjen dhe përmirësimin e mjedisit, politika e BE-së për energjinë synon në frymën e solidaritetit midis shteteve anëtare: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të sigurojë funksionimin e tregut të energjisë;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të sigurojë sigurinë e furnizimit me energji në Bashkimin Evropian;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nxisin efikasitetin e energjisë, kursimin e energjisë dhe zhvillimin e formave të reja dhe të rinovueshme të energjisë; dhe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d) të nxisin ndërlidhjen e rrjeteve energjetike.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Neni 2 i Traktatit për themelimin e Komunitetit të Energjisë parashikon se ka për qëllim të: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a) të krijojë një kornizë të qëndrueshme rregullatore për tregun me qëllim tërheqjen e investimeve në rrjetet e gazit, prodhimin e energjisë dhe rrjetet e transmetimit dhe të shpërndarjes, në mënyrë që të gjitha palët të kenë akses në furnizimin e qëndrueshëm dhe të vazhdueshëm të energjisë, që është kushti kryesor për zhvillimin ekonomik dhe stabilitetin e shoqërisë;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b) të krijojë një hapësirë </w:t>
      </w:r>
      <w:r>
        <w:rPr>
          <w:rFonts w:ascii="Times New Roman" w:hAnsi="Times New Roman" w:cs="Times New Roman"/>
          <w:lang w:val="sq-AL"/>
        </w:rPr>
        <w:t>​​</w:t>
      </w:r>
      <w:r>
        <w:rPr>
          <w:lang w:val="sq-AL"/>
        </w:rPr>
        <w:t>t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vetme rregullative p</w:t>
      </w:r>
      <w:r>
        <w:rPr>
          <w:rFonts w:cs="Garamond"/>
          <w:lang w:val="sq-AL"/>
        </w:rPr>
        <w:t>ë</w:t>
      </w:r>
      <w:r>
        <w:rPr>
          <w:lang w:val="sq-AL"/>
        </w:rPr>
        <w:t>r tregtin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n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Rrjetin e Energjis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q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</w:t>
      </w:r>
      <w:r>
        <w:rPr>
          <w:rFonts w:cs="Garamond"/>
          <w:lang w:val="sq-AL"/>
        </w:rPr>
        <w:t>ë</w:t>
      </w:r>
      <w:r>
        <w:rPr>
          <w:lang w:val="sq-AL"/>
        </w:rPr>
        <w:t>sht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e nevojshme p</w:t>
      </w:r>
      <w:r>
        <w:rPr>
          <w:rFonts w:cs="Garamond"/>
          <w:lang w:val="sq-AL"/>
        </w:rPr>
        <w:t>ë</w:t>
      </w:r>
      <w:r>
        <w:rPr>
          <w:lang w:val="sq-AL"/>
        </w:rPr>
        <w:t>r t</w:t>
      </w:r>
      <w:r>
        <w:rPr>
          <w:rFonts w:cs="Garamond"/>
          <w:lang w:val="sq-AL"/>
        </w:rPr>
        <w:t>ë</w:t>
      </w:r>
      <w:r>
        <w:rPr>
          <w:lang w:val="sq-AL"/>
        </w:rPr>
        <w:t xml:space="preserve"> lidhur tregjet e produkteve;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c) të rrisë sigurinë e furnizimit të hapësirës së vetme rregullatore, duke siguruar një klimë të qëndrueshme investimi në të cilën mund të zhvillohen lidhjet me rezervat e gazit në Kaspik, Afrikën e Veriut dhe Lindjen e Mesme, në mënyrë që të shfrytëzohen burimet indigjene të energjisë si gazi natyror, qymyri dhe hidrocentrali; 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d) të përmirësojë situatën mjedisore në rrjetin energjik dhe eficiencën e energjisë, të nxisë përdorimin e energjisë së rinovueshme dhe të përcaktojë kushtet për tregtinë e energjisë në hapësirën e vetme rregullatore;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e) të zhvillojë konkurrencën e tregut në rrjetin energjik në një shkallë sa më të gjerë gjeografike dhe të shfrytëzojë ekonomitë e shkallës.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Duke qenë se objektivi kryesor i ndihmës shtetërore të dhënë për OST sh.a. është zhvillimi i rrjetit të transmetimit të energjisë elektrike (sistemit të transmisionit) dhe përmirësimi i ndërlidhjes së saj, pra përmirësimin e infrastrukturës ekzistuese për funksionimin e tregut të brendshëm të energjisë elektrike në rajon, Komisioni vlerëson se masa e ndihmës shtetërore ka qëllim të përcaktuar mirë, që respekton rregullat e krijuara dhe të pranuara nga BE-ja.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Sipas udhëzimit për Ndihmën Shtetërore për Mbrojtjen e Mjedisit dhe Energjisë 2014-2020, të cilat janë gjithashtu të zbatueshme për këtë rast, në bazë të miratimit të saj nga Komuniteti i Energjisë</w:t>
      </w:r>
      <w:r>
        <w:rPr>
          <w:vertAlign w:val="superscript"/>
          <w:lang w:val="sq-AL"/>
        </w:rPr>
        <w:footnoteReference w:id="15"/>
      </w:r>
      <w:r>
        <w:rPr>
          <w:lang w:val="sq-AL"/>
        </w:rPr>
        <w:t>, paragrafi 202 thekson qartë se “Ndihma për infrastrukturën e energjisë forcon tregun e brendshëm të energjisë. Ai rrit qëndrueshmërinë e sistemit, mjaftueshmërinë e gjenerimit, integrimin e burimeve të ndryshme të energjisë dhe furnizimin me energji në rrjetet e pazhvilluara [...] është e dobishme për tregun e brendshëm dhe kështu kontribuon në një objektiv me interes të përbashkët”.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lastRenderedPageBreak/>
        <w:t>- Nevoja për ndërhyrjen e shtetit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Investimet në infrastrukturën e energjisë si ky projekt karakterizohen nga dështimet e tregut, të cilat lidhen me problemet e koordinimit. Kjo do të thotë që nga njëra anë interesat e ndryshëm mes investitorëve, pasiguria në lidhje me rezultatin final dhe efektet në rrjetin e energjisë mund të pengojnë zhvillimin e një projekti; dhe nga ana tjetër, ky projekt mund të gjenerojë eksternalitete pozitive, nga ku kostot dhe përfitimet e infrastrukturës mund të gjenerohen në mënyrë asimetrike midis aktorëve të ndryshëm të tregut dhe vendeve të përfshira</w:t>
      </w:r>
      <w:r>
        <w:rPr>
          <w:vertAlign w:val="superscript"/>
          <w:lang w:val="sq-AL"/>
        </w:rPr>
        <w:footnoteReference w:id="16"/>
      </w:r>
      <w:r>
        <w:rPr>
          <w:lang w:val="sq-AL"/>
        </w:rPr>
        <w:t>. Probleme të tilla nuk mund të korrigjohen nëpërmjet financimit të projektit vetëm me anë të vendosjes së tarifave. Prandaj, ndihma shtetërore është e nevojshme për të përballuar këto dështime në treg.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Instrumenti i duhur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Në këtë rast, tregu financiar nuk ofron të njëjtën mbështetje nëse ndërmarrja do kishte aplikuar direkt në treg për të gjetur burime financiare për projektin (duke pasur parasysh qëllimin e saj në sigurimin e një mbështetje të fortë financiare për kryerjen e investimeve të mëdha dhe sigurimin e furnizimit me energji elektrike në rajon). Përfituesi është i vetmi operator i sistemit të transmetimit të energjisë elektrike në Shqipëri, që do të thotë se asnjë operator tjetër nuk mund të sigurojë ofrimin e shërbimit të transmetimit të energjisë me cilësi dhe në kohë në të gjithë Republikën e Shqipërisë. Për më tepër, masa ka të bëjë me ndërtimin e kapacitetit rezervë për një rrjet ri, i cili do të jetë i integruar me atë të vendeve të tjera të rajonit. Ndihma shtetërore me garanci shtetërore është një instrument i përshtatshëm për të mundësuar ndërtimin e një rrjeti të ri të transmetimit të energjisë elektrike, pra për të arritur efektet e dëshiruara në kushtet e rezervës së energjisë elektrike dhe sigurisë së furnizimit me energji elektrike në vend.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Efekti nxitës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Përfituesi është i detyruar në bazë ligjit të energjisë elektrike dhe të modelit të tregut</w:t>
      </w:r>
      <w:r>
        <w:rPr>
          <w:vertAlign w:val="superscript"/>
          <w:lang w:val="sq-AL"/>
        </w:rPr>
        <w:footnoteReference w:id="17"/>
      </w:r>
      <w:r>
        <w:rPr>
          <w:lang w:val="sq-AL"/>
        </w:rPr>
        <w:t xml:space="preserve"> të sigurojë transmetimin e energjisë elektrike me çmim të rregulluar nga Enti Rregullator i Energjisë (ERE), për të siguruar furnizimin në rrjet me energji elektrike. Masa e ndihmës siguron efektin e nevojshëm nxitës, sepse projekti nuk do të realizohej pa garanci shtetërore të huas. Garancia ishte një parakusht për dhënien e huas, prandaj projekti nuk do të realizohej pa të.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Proporcionaliteti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Një masë e ndihmës shtetërore është proporcionale nëse masa kërkon ndihmë shtetërore në vlerë të limituar. Komisioni konsideron se e gjithë kostoja e investimit konsiderohet e pranueshme dhe se asnjë investim tjetër i ngjashëm/i këtij lloji nuk do të realizohej pa ndihmë shtetërore për një ndërmarrje të vetme, pra ndihma shtetërore është e kufizuar në minimum.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- Efekti në konkurrencë</w:t>
      </w: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 xml:space="preserve">Një masë e ndihmës shtetërore është e pajtueshme me tregun e brendshëm nëse rezulton se efektet janë të limituara në funksion të arritjes së interesit të përbashkët. OST sh.a., në bazë të modelit të tregut, është operatori i vetëm i rrjetit të transmetimit të energjisë elektrike dhe se nuk konkurron me ndërmarrje të tjera në këtë treg. Infrastruktura e re që do të ndërtohet do të funksionojë duke i ofruar akses palëve të treta sipas rregullave të aksesit në rrjet të miratuara nga ERE, pra duke siguruar përfitime në të ardhmen nga shfrytëzimi i saj edhe nga klientët e ardhshëm. Efekti në konkurrencë është i kufizuar duke pasur parasysh edhe se projekti synon krijimin e mundësive tregtare për shkëmbime të energjisë elektrike nëpërmjet vendeve të rajonit, me qëllim sigurimin e furnizimit me  energji elektrike.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Sa më lart, Komisioni i Ndihmës Shtetërore shprehet se ndihma shtetërore për realizimin e projektit “Linja e transmetimit 400 kV Shqipëri-Maqedoni (Fier–Elbasan–Qafëthanë)”, është e nevojshme, proporcionale dhe se efektet pozitive të realizimit të saj janë më të mëdha se efektet negative.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Transparenca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Publiku dhe operatorët ekonomikë duhet të kenë akses në informacion për ndihmën shtetërore. Meqenëse garancia shtetërore është miratuar nga parlamenti dhe është e botuar në Fletoren Zyrtare, kjo kërkesë është respektuar.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Konkluzion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Sa më lart, Komisioni arrin në përfundimin se masa e njoftuar është ndihmë shtetërore, por është në përputhje me ligjin nr. 9374, datë 21.4.2005, “Për ndihmën shtetërore”, të ndryshuar, neni 13, pika 3 “Ndihma shtetërore që mund të lejohet”, sepse lehtëson zhvillimin e veprimtarive të caktuara ekonomike ose zhvillimin e zonave të caktuara ekonomike, deri në atë masë sa kjo ndihmë nuk është në kundërshtim me detyrimet e marrëveshjeve ndërkombëtare të ratifikuara nga Republika e Shqipërisë. </w:t>
      </w:r>
    </w:p>
    <w:p w:rsidR="00420E38" w:rsidRDefault="00420E38" w:rsidP="00420E38">
      <w:pPr>
        <w:pStyle w:val="NeniNr"/>
        <w:rPr>
          <w:spacing w:val="-4"/>
          <w:sz w:val="14"/>
          <w:lang w:val="sq-AL"/>
        </w:rPr>
      </w:pPr>
    </w:p>
    <w:p w:rsidR="00420E38" w:rsidRDefault="00420E38" w:rsidP="00420E3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PËR KËTO ARSYE:</w:t>
      </w:r>
    </w:p>
    <w:p w:rsidR="00420E38" w:rsidRDefault="00420E38" w:rsidP="00420E38">
      <w:pPr>
        <w:pStyle w:val="Hapesira7"/>
        <w:rPr>
          <w:spacing w:val="-4"/>
          <w:lang w:val="sq-AL"/>
        </w:rPr>
      </w:pP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Komisioni i Ndihmës Shtetërore, në bazë të nenit 4, 17, 20, 22, dhe 31 të ligjit nr. 9374, datë 21.4.2005, “Për ndihmën shtetërore”, të ndryshuar, </w:t>
      </w:r>
    </w:p>
    <w:p w:rsidR="00420E38" w:rsidRDefault="00420E38" w:rsidP="00420E38">
      <w:pPr>
        <w:pStyle w:val="NeniNr"/>
        <w:rPr>
          <w:spacing w:val="-4"/>
          <w:sz w:val="14"/>
          <w:lang w:val="sq-AL"/>
        </w:rPr>
      </w:pPr>
    </w:p>
    <w:p w:rsidR="00420E38" w:rsidRDefault="00420E38" w:rsidP="00420E3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20E38" w:rsidRDefault="00420E38" w:rsidP="00420E38">
      <w:pPr>
        <w:pStyle w:val="Hapesira7"/>
        <w:rPr>
          <w:spacing w:val="-4"/>
          <w:lang w:val="sq-AL"/>
        </w:rPr>
      </w:pP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autorizojë ndihmën shtetërore për zbatimin e projektit “Linja e Transmetimit 400 kV Shqipëri-Maqedoni”, të parashikuar në ligjin nr. 101/2017, “Për ratifikimin e Marrëveshjes së Garancisë ndërmjet Republikës së Shqipërisë, të përfaqësuar nga Ministria e Financave dhe Ekonomisë, dhe KfW Frankfurt AM Main, në lidhje me Marrëveshjen e Huas ndërmjet Operatorit të Sistemit të Transmetimit, sh.a. (OST) dhe KfW Frankfurt AM Main, për projektin “Linja e transmetimit 400 kV Shqipëri-Maqedoni (Fier</w:t>
      </w:r>
      <w:r>
        <w:rPr>
          <w:lang w:val="sq-AL"/>
        </w:rPr>
        <w:t>–</w:t>
      </w:r>
      <w:r>
        <w:rPr>
          <w:spacing w:val="-4"/>
          <w:lang w:val="sq-AL"/>
        </w:rPr>
        <w:t>Elbasan</w:t>
      </w:r>
      <w:r>
        <w:rPr>
          <w:lang w:val="sq-AL"/>
        </w:rPr>
        <w:t>–</w:t>
      </w:r>
      <w:r>
        <w:rPr>
          <w:spacing w:val="-4"/>
          <w:lang w:val="sq-AL"/>
        </w:rPr>
        <w:t>Qafëthanë)”, mbështetur në nenin 13, pika 3 e ligjit nr. 9374, datë 21.4.2005, “Për ndihmën shtetërore”, të ndryshuar, sepse lehtëson zhvillimin e veprimtarive të caktuara ekonomike ose zhvillimin e zonave të caktuara ekonomike, deri në atë masë sa kjo ndihmë nuk është në kundërshtim me detyrimet e marrëveshjeve ndërkombëtare të ratifikuara nga Republika e Shqipërisë.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Ministria e Financave dhe Ekonomisë brenda datës 31 mars të çdo viti të paraqesë raport për impaktin e ndihmës shtetërore gjatë vitit paraardhës financiar, si edhe të japë çdo informacion që do të kërkohet për monitorimin dhe kontrollin e ndihmës së dhënë. Të gjitha të dhënat për zbatimin e skemës të ruhen deri në dhjetë vjet, pasi ndihma e fundit individuale të jetë dhënë në kuadër të kësaj skeme.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Ministria e Financave dhe Ekonomisë bazuar në nenin 20, pika 1 të ligjit nr. 9374, datë 21.4.2005, “Për ndihmën shtetërore”, duhet të marrë miratimin paraprak të KNSH-së në rastin eventual të çdo ndryshimi të skemës së njoftuar. </w:t>
      </w:r>
    </w:p>
    <w:p w:rsidR="00420E38" w:rsidRDefault="00420E38" w:rsidP="00420E3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Ky vendim botohet në Fletoren Zyrtare. </w:t>
      </w:r>
    </w:p>
    <w:p w:rsidR="00420E38" w:rsidRDefault="00420E38" w:rsidP="00420E38">
      <w:pPr>
        <w:pStyle w:val="Hapesira7"/>
        <w:rPr>
          <w:spacing w:val="-4"/>
          <w:lang w:val="sq-AL"/>
        </w:rPr>
      </w:pPr>
    </w:p>
    <w:p w:rsidR="00420E38" w:rsidRDefault="00420E38" w:rsidP="00420E3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</w:t>
      </w:r>
    </w:p>
    <w:p w:rsidR="00420E38" w:rsidRDefault="00420E38" w:rsidP="00420E3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Arben Ahmetaj</w:t>
      </w: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3274"/>
          <w:cols w:space="454"/>
        </w:sectPr>
      </w:pPr>
    </w:p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1"/>
          <w:cols w:space="720"/>
        </w:sectPr>
      </w:pPr>
    </w:p>
    <w:p w:rsidR="00420E38" w:rsidRDefault="00420E38" w:rsidP="00420E38">
      <w:pPr>
        <w:pStyle w:val="NeniTitull"/>
        <w:rPr>
          <w:b w:val="0"/>
          <w:lang w:val="sq-AL"/>
        </w:rPr>
      </w:pPr>
      <w:r>
        <w:rPr>
          <w:b w:val="0"/>
          <w:lang w:val="sq-AL"/>
        </w:rPr>
        <w:t>ANKESË</w:t>
      </w:r>
    </w:p>
    <w:p w:rsidR="00420E38" w:rsidRDefault="00420E38" w:rsidP="00420E38">
      <w:pPr>
        <w:pStyle w:val="Hapesira7"/>
        <w:rPr>
          <w:sz w:val="10"/>
          <w:lang w:val="sq-AL"/>
        </w:rPr>
      </w:pPr>
    </w:p>
    <w:p w:rsidR="00420E38" w:rsidRDefault="00420E38" w:rsidP="00420E38">
      <w:pPr>
        <w:pStyle w:val="Paragrafi"/>
        <w:rPr>
          <w:lang w:val="sq-AL"/>
        </w:rPr>
      </w:pPr>
      <w:r>
        <w:rPr>
          <w:lang w:val="sq-AL"/>
        </w:rPr>
        <w:t>Tabela nr. 1: Elementi i grantit (në përqindje)</w:t>
      </w:r>
    </w:p>
    <w:tbl>
      <w:tblPr>
        <w:tblW w:w="9605" w:type="dxa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91"/>
        <w:gridCol w:w="4814"/>
      </w:tblGrid>
      <w:tr w:rsidR="00420E38" w:rsidTr="00420E38">
        <w:trPr>
          <w:trHeight w:val="93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Discount Rate (in percent) 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Unified discount rate (5%) </w:t>
            </w:r>
          </w:p>
        </w:tc>
      </w:tr>
      <w:tr w:rsidR="00420E38" w:rsidTr="00420E38">
        <w:trPr>
          <w:trHeight w:val="50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Discount Rate (in percent) 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  <w:tr w:rsidR="00420E38" w:rsidTr="00420E38">
        <w:trPr>
          <w:trHeight w:val="127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Repayment profile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  <w:tr w:rsidR="00420E38" w:rsidTr="00420E38">
        <w:trPr>
          <w:trHeight w:val="146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Face value of loan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</w:p>
        </w:tc>
      </w:tr>
      <w:tr w:rsidR="00420E38" w:rsidTr="00420E38">
        <w:trPr>
          <w:trHeight w:val="139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Grant (as part of financing package)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</w:p>
        </w:tc>
      </w:tr>
      <w:tr w:rsidR="00420E38" w:rsidTr="00420E38">
        <w:trPr>
          <w:trHeight w:val="146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Upfront commission (in percent)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 %</w:t>
            </w:r>
          </w:p>
        </w:tc>
      </w:tr>
      <w:tr w:rsidR="00420E38" w:rsidTr="00420E38">
        <w:trPr>
          <w:trHeight w:val="221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Management fees  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% </w:t>
            </w:r>
          </w:p>
        </w:tc>
      </w:tr>
      <w:tr w:rsidR="00420E38" w:rsidTr="00420E38">
        <w:trPr>
          <w:trHeight w:val="146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Interest rate ( in percent)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 %</w:t>
            </w:r>
          </w:p>
        </w:tc>
      </w:tr>
      <w:tr w:rsidR="00420E38" w:rsidTr="00420E38">
        <w:trPr>
          <w:trHeight w:val="127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Maturity (in years)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  <w:tr w:rsidR="00420E38" w:rsidTr="00420E38">
        <w:trPr>
          <w:trHeight w:val="122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Payments per annum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  <w:tr w:rsidR="00420E38" w:rsidTr="00420E38">
        <w:trPr>
          <w:trHeight w:val="31"/>
          <w:tblCellSpacing w:w="0" w:type="dxa"/>
          <w:jc w:val="center"/>
        </w:trPr>
        <w:tc>
          <w:tcPr>
            <w:tcW w:w="24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Grace period (in years)</w:t>
            </w:r>
          </w:p>
        </w:tc>
        <w:tc>
          <w:tcPr>
            <w:tcW w:w="25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</w:p>
        </w:tc>
      </w:tr>
    </w:tbl>
    <w:p w:rsidR="00420E38" w:rsidRDefault="00420E38" w:rsidP="00420E38">
      <w:pPr>
        <w:pStyle w:val="Paragrafi"/>
        <w:ind w:firstLine="0"/>
        <w:rPr>
          <w:lang w:val="sq-AL"/>
        </w:rPr>
      </w:pPr>
    </w:p>
    <w:tbl>
      <w:tblPr>
        <w:tblW w:w="9545" w:type="dxa"/>
        <w:jc w:val="center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31"/>
        <w:gridCol w:w="4514"/>
      </w:tblGrid>
      <w:tr w:rsidR="00420E38" w:rsidTr="00420E38">
        <w:trPr>
          <w:trHeight w:val="378"/>
          <w:tblCellSpacing w:w="0" w:type="dxa"/>
          <w:jc w:val="center"/>
        </w:trPr>
        <w:tc>
          <w:tcPr>
            <w:tcW w:w="503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DE7D6"/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>Elementi i grantit (në përqindje)</w:t>
            </w:r>
          </w:p>
        </w:tc>
        <w:tc>
          <w:tcPr>
            <w:tcW w:w="451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DDE7D6"/>
            <w:tcMar>
              <w:top w:w="30" w:type="dxa"/>
              <w:left w:w="75" w:type="dxa"/>
              <w:bottom w:w="30" w:type="dxa"/>
              <w:right w:w="180" w:type="dxa"/>
            </w:tcMar>
            <w:vAlign w:val="center"/>
            <w:hideMark/>
          </w:tcPr>
          <w:p w:rsidR="00420E38" w:rsidRDefault="00420E38">
            <w:pPr>
              <w:pStyle w:val="Paragrafi"/>
              <w:spacing w:line="276" w:lineRule="auto"/>
              <w:rPr>
                <w:lang w:val="sq-AL"/>
              </w:rPr>
            </w:pPr>
            <w:r>
              <w:rPr>
                <w:lang w:val="sq-AL"/>
              </w:rPr>
              <w:t xml:space="preserve"> % </w:t>
            </w:r>
          </w:p>
        </w:tc>
      </w:tr>
    </w:tbl>
    <w:p w:rsidR="00420E38" w:rsidRDefault="00420E38" w:rsidP="00420E38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420E38" w:rsidSect="00420E38">
          <w:type w:val="continuous"/>
          <w:pgSz w:w="11907" w:h="16840"/>
          <w:pgMar w:top="720" w:right="1134" w:bottom="720" w:left="1134" w:header="851" w:footer="851" w:gutter="0"/>
          <w:pgNumType w:start="3278"/>
          <w:cols w:space="720"/>
        </w:sectPr>
      </w:pPr>
    </w:p>
    <w:p w:rsidR="00534816" w:rsidRDefault="00534816" w:rsidP="00420E38">
      <w:pPr>
        <w:pStyle w:val="NeniTitull"/>
      </w:pPr>
      <w:bookmarkStart w:id="0" w:name="_GoBack"/>
      <w:bookmarkEnd w:id="0"/>
    </w:p>
    <w:sectPr w:rsidR="00534816" w:rsidSect="0042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E38" w:rsidRDefault="00420E38" w:rsidP="00420E38">
      <w:pPr>
        <w:spacing w:after="0" w:line="240" w:lineRule="auto"/>
      </w:pPr>
      <w:r>
        <w:separator/>
      </w:r>
    </w:p>
  </w:endnote>
  <w:endnote w:type="continuationSeparator" w:id="0">
    <w:p w:rsidR="00420E38" w:rsidRDefault="00420E38" w:rsidP="00420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E38" w:rsidRDefault="00420E38" w:rsidP="00420E38">
      <w:pPr>
        <w:spacing w:after="0" w:line="240" w:lineRule="auto"/>
      </w:pPr>
      <w:r>
        <w:separator/>
      </w:r>
    </w:p>
  </w:footnote>
  <w:footnote w:type="continuationSeparator" w:id="0">
    <w:p w:rsidR="00420E38" w:rsidRDefault="00420E38" w:rsidP="00420E38">
      <w:pPr>
        <w:spacing w:after="0" w:line="240" w:lineRule="auto"/>
      </w:pPr>
      <w:r>
        <w:continuationSeparator/>
      </w:r>
    </w:p>
  </w:footnote>
  <w:footnote w:id="1">
    <w:p w:rsidR="00420E38" w:rsidRDefault="00420E38" w:rsidP="00420E38">
      <w:pPr>
        <w:autoSpaceDE w:val="0"/>
        <w:autoSpaceDN w:val="0"/>
        <w:adjustRightInd w:val="0"/>
        <w:spacing w:after="0" w:line="240" w:lineRule="auto"/>
        <w:ind w:firstLine="0"/>
        <w:rPr>
          <w:rFonts w:ascii="Garamond" w:hAnsi="Garamond"/>
          <w:sz w:val="20"/>
          <w:szCs w:val="20"/>
        </w:rPr>
      </w:pPr>
      <w:r>
        <w:rPr>
          <w:rStyle w:val="FootnoteReference"/>
          <w:rFonts w:ascii="Garamond" w:hAnsi="Garamond"/>
          <w:sz w:val="20"/>
          <w:szCs w:val="20"/>
        </w:rPr>
        <w:footnoteRef/>
      </w:r>
      <w:r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/>
          <w:sz w:val="20"/>
          <w:szCs w:val="20"/>
          <w:lang w:val="sq-AL" w:eastAsia="it-IT"/>
        </w:rPr>
        <w:t>Ekstrakt historik i regjistrit tregtar për të dhënat e subjektit “Shoqëri aksionare” gjendja e regjistrimit, Qendra Kombëtare e Biznesit.</w:t>
      </w:r>
    </w:p>
  </w:footnote>
  <w:footnote w:id="2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color w:val="000000"/>
        </w:rPr>
        <w:t xml:space="preserve">Ligji </w:t>
      </w:r>
      <w:r>
        <w:rPr>
          <w:rFonts w:ascii="Garamond" w:hAnsi="Garamond"/>
          <w:color w:val="000000"/>
        </w:rPr>
        <w:t xml:space="preserve">nr. 9590, datë 27.7.2006, </w:t>
      </w:r>
      <w:r>
        <w:rPr>
          <w:rFonts w:ascii="Garamond" w:hAnsi="Garamond"/>
        </w:rPr>
        <w:t>“</w:t>
      </w:r>
      <w:r>
        <w:rPr>
          <w:rFonts w:ascii="Garamond" w:hAnsi="Garamond"/>
          <w:color w:val="000000"/>
        </w:rPr>
        <w:t xml:space="preserve">Për ratifikimin e </w:t>
      </w:r>
      <w:r>
        <w:rPr>
          <w:rFonts w:ascii="Garamond" w:hAnsi="Garamond"/>
        </w:rPr>
        <w:t>“M</w:t>
      </w:r>
      <w:r>
        <w:rPr>
          <w:rFonts w:ascii="Garamond" w:hAnsi="Garamond"/>
          <w:color w:val="000000"/>
        </w:rPr>
        <w:t>arrëveshjes së Stabilizim-Asociimit ndërmjet Republikës së Shqipërisë dhe komuniteteve evropiane e shteteve të tyre anëtare</w:t>
      </w:r>
      <w:r>
        <w:rPr>
          <w:rFonts w:ascii="Garamond" w:hAnsi="Garamond"/>
        </w:rPr>
        <w:t>”.</w:t>
      </w:r>
    </w:p>
  </w:footnote>
  <w:footnote w:id="3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Commission Notice on the application of Articles 87 and 88 of the EC Treaty to State aid in the form of guarantees, OJ C 155, 20.6.2008, p. 10.  </w:t>
      </w:r>
    </w:p>
  </w:footnote>
  <w:footnote w:id="4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European </w:t>
      </w:r>
      <w:r>
        <w:rPr>
          <w:rFonts w:ascii="Garamond" w:hAnsi="Garamond"/>
        </w:rPr>
        <w:t>Court of Justice's case law, Court's judgment in joined casesC 278-280/92, Spain v.Commission.</w:t>
      </w:r>
    </w:p>
  </w:footnote>
  <w:footnote w:id="5">
    <w:p w:rsidR="00420E38" w:rsidRDefault="00420E38" w:rsidP="00420E38">
      <w:pPr>
        <w:pStyle w:val="FootnoteText"/>
        <w:rPr>
          <w:rFonts w:ascii="Garamond" w:hAnsi="Garamond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Commission Notice on the notion of State aid (2016/C 262/1).</w:t>
      </w:r>
    </w:p>
  </w:footnote>
  <w:footnote w:id="6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Commission </w:t>
      </w:r>
      <w:r>
        <w:rPr>
          <w:rFonts w:ascii="Garamond" w:hAnsi="Garamond"/>
        </w:rPr>
        <w:t>Notice on the application of Articles 87 and 88 of the EC Treaty to State aid in the form of guarantees, pika 2.1. General remarks.</w:t>
      </w:r>
    </w:p>
  </w:footnote>
  <w:footnote w:id="7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Case </w:t>
      </w:r>
      <w:r>
        <w:rPr>
          <w:rFonts w:ascii="Garamond" w:hAnsi="Garamond"/>
        </w:rPr>
        <w:t>C-482/99, France v Commission (Stardust), ECLI:EU:C:2002:294.</w:t>
      </w:r>
    </w:p>
  </w:footnote>
  <w:footnote w:id="8">
    <w:p w:rsidR="00420E38" w:rsidRDefault="00420E38" w:rsidP="00420E38">
      <w:pPr>
        <w:pStyle w:val="FootnoteText"/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4.2. </w:t>
      </w:r>
      <w:r>
        <w:rPr>
          <w:rFonts w:ascii="Garamond" w:hAnsi="Garamond"/>
        </w:rPr>
        <w:t>Aid element in individual guarantees, Commission Notice on the application of Articles 87 and 88 of the EC Treaty to State aid in the form of guarantees.</w:t>
      </w:r>
    </w:p>
  </w:footnote>
  <w:footnote w:id="9">
    <w:p w:rsidR="00420E38" w:rsidRDefault="00420E38" w:rsidP="00420E38">
      <w:pPr>
        <w:pStyle w:val="HTMLPreformatted"/>
        <w:shd w:val="clear" w:color="auto" w:fill="FFFFFF"/>
        <w:spacing w:line="240" w:lineRule="auto"/>
        <w:ind w:firstLine="284"/>
        <w:jc w:val="both"/>
        <w:rPr>
          <w:rFonts w:ascii="Garamond" w:hAnsi="Garamond"/>
          <w:szCs w:val="20"/>
        </w:rPr>
      </w:pPr>
      <w:r>
        <w:rPr>
          <w:rStyle w:val="FootnoteReference"/>
          <w:rFonts w:ascii="Garamond" w:hAnsi="Garamond"/>
          <w:szCs w:val="20"/>
        </w:rPr>
        <w:footnoteRef/>
      </w:r>
      <w:r>
        <w:rPr>
          <w:rFonts w:ascii="Garamond" w:eastAsia="MS Mincho" w:hAnsi="Garamond"/>
          <w:szCs w:val="20"/>
          <w:lang w:val="fr-FR" w:eastAsia="el-GR"/>
        </w:rPr>
        <w:t xml:space="preserve"> I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referohet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normës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së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unifikuar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e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skontimit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të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përdorur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nga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Fondi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Monetar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Ndërkombëtar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për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llogaritjen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e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elementit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të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 xml:space="preserve"> </w:t>
      </w:r>
      <w:proofErr w:type="spellStart"/>
      <w:r>
        <w:rPr>
          <w:rFonts w:ascii="Garamond" w:eastAsia="MS Mincho" w:hAnsi="Garamond"/>
          <w:szCs w:val="20"/>
          <w:lang w:val="fr-FR" w:eastAsia="el-GR"/>
        </w:rPr>
        <w:t>grantit</w:t>
      </w:r>
      <w:proofErr w:type="spellEnd"/>
      <w:r>
        <w:rPr>
          <w:rFonts w:ascii="Garamond" w:eastAsia="MS Mincho" w:hAnsi="Garamond"/>
          <w:szCs w:val="20"/>
          <w:lang w:val="fr-FR" w:eastAsia="el-GR"/>
        </w:rPr>
        <w:t>.</w:t>
      </w:r>
    </w:p>
  </w:footnote>
  <w:footnote w:id="10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>bankofalbania.org/web/Normat_nominale_dhe_NEI_per_bizneset_ne_6333_1.php?evn=mon_sel&amp;evb=normat_nominale_biznes&amp;ipb_mon=2&amp;ipb_norma=2</w:t>
      </w:r>
    </w:p>
  </w:footnote>
  <w:footnote w:id="11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  <w:lang w:val="en-US"/>
        </w:rPr>
        <w:t>Referuar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normës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së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unifikuar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të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skontimit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të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përdorur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nga</w:t>
      </w:r>
      <w:proofErr w:type="spellEnd"/>
      <w:r>
        <w:rPr>
          <w:rFonts w:ascii="Garamond" w:hAnsi="Garamond"/>
          <w:lang w:val="en-US"/>
        </w:rPr>
        <w:t xml:space="preserve"> FMN-</w:t>
      </w:r>
      <w:proofErr w:type="spellStart"/>
      <w:r>
        <w:rPr>
          <w:rFonts w:ascii="Garamond" w:hAnsi="Garamond"/>
          <w:lang w:val="en-US"/>
        </w:rPr>
        <w:t>ja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për</w:t>
      </w:r>
      <w:proofErr w:type="spellEnd"/>
      <w:r>
        <w:rPr>
          <w:rFonts w:ascii="Garamond" w:hAnsi="Garamond"/>
          <w:lang w:val="en-US"/>
        </w:rPr>
        <w:t xml:space="preserve"> </w:t>
      </w:r>
      <w:proofErr w:type="spellStart"/>
      <w:r>
        <w:rPr>
          <w:rFonts w:ascii="Garamond" w:hAnsi="Garamond"/>
          <w:lang w:val="en-US"/>
        </w:rPr>
        <w:t>përllogaritjen</w:t>
      </w:r>
      <w:proofErr w:type="spellEnd"/>
      <w:r>
        <w:rPr>
          <w:rFonts w:ascii="Garamond" w:hAnsi="Garamond"/>
          <w:lang w:val="en-US"/>
        </w:rPr>
        <w:t xml:space="preserve"> e </w:t>
      </w:r>
      <w:proofErr w:type="spellStart"/>
      <w:r>
        <w:rPr>
          <w:rFonts w:ascii="Garamond" w:hAnsi="Garamond"/>
          <w:lang w:val="en-US"/>
        </w:rPr>
        <w:t>elementit</w:t>
      </w:r>
      <w:proofErr w:type="spellEnd"/>
      <w:r>
        <w:rPr>
          <w:rFonts w:ascii="Garamond" w:hAnsi="Garamond"/>
          <w:lang w:val="en-US"/>
        </w:rPr>
        <w:t xml:space="preserve"> grant.</w:t>
      </w:r>
    </w:p>
  </w:footnote>
  <w:footnote w:id="12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eastAsia="Times New Roman" w:hAnsi="Garamond"/>
          <w:color w:val="000000"/>
          <w:lang w:eastAsia="it-IT"/>
        </w:rPr>
        <w:t xml:space="preserve"> </w:t>
      </w:r>
      <w:r>
        <w:rPr>
          <w:rFonts w:ascii="Garamond" w:eastAsia="Times New Roman" w:hAnsi="Garamond"/>
          <w:color w:val="000000"/>
          <w:lang w:eastAsia="it-IT"/>
        </w:rPr>
        <w:t>d) “Një çmim i orientuar nga tregu paguhet për garancinë, d.</w:t>
      </w:r>
      <w:r>
        <w:rPr>
          <w:rFonts w:ascii="Garamond" w:eastAsia="Times New Roman" w:hAnsi="Garamond"/>
          <w:lang w:eastAsia="it-IT"/>
        </w:rPr>
        <w:t>m.th. çmi</w:t>
      </w:r>
      <w:r>
        <w:rPr>
          <w:rFonts w:ascii="Garamond" w:eastAsia="Times New Roman" w:hAnsi="Garamond"/>
          <w:color w:val="000000"/>
          <w:lang w:eastAsia="it-IT"/>
        </w:rPr>
        <w:t>mi i paguar për garancinë është të paktën aq sa niveli përkatës i premiumit të garancisë që mund të gjendet në tregjet financiare”.</w:t>
      </w:r>
    </w:p>
  </w:footnote>
  <w:footnote w:id="13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Community </w:t>
      </w:r>
      <w:r>
        <w:rPr>
          <w:rFonts w:ascii="Garamond" w:hAnsi="Garamond"/>
        </w:rPr>
        <w:t>framework for state aid for research and development and innovation (</w:t>
      </w:r>
      <w:hyperlink r:id="rId1" w:history="1">
        <w:r>
          <w:rPr>
            <w:rStyle w:val="Hyperlink"/>
            <w:rFonts w:ascii="Garamond" w:hAnsi="Garamond"/>
            <w:color w:val="auto"/>
            <w:u w:val="none"/>
          </w:rPr>
          <w:t>OJ C 323, 30.12.2006, p. 1</w:t>
        </w:r>
      </w:hyperlink>
      <w:r>
        <w:rPr>
          <w:rFonts w:ascii="Garamond" w:hAnsi="Garamond"/>
        </w:rPr>
        <w:t>), point 1.3; Community guidelines on State aid for environmental protection (</w:t>
      </w:r>
      <w:hyperlink r:id="rId2" w:history="1">
        <w:r>
          <w:rPr>
            <w:rStyle w:val="Hyperlink"/>
            <w:rFonts w:ascii="Garamond" w:hAnsi="Garamond"/>
            <w:color w:val="auto"/>
            <w:u w:val="none"/>
          </w:rPr>
          <w:t>OJ C 82, 1.4.2008, p. 1</w:t>
        </w:r>
      </w:hyperlink>
      <w:r>
        <w:rPr>
          <w:rFonts w:ascii="Garamond" w:hAnsi="Garamond"/>
        </w:rPr>
        <w:t>), point 1.3.</w:t>
      </w:r>
    </w:p>
  </w:footnote>
  <w:footnote w:id="14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eur-lex.europa.eu/legal-content/EN/TXT/ </w:t>
      </w:r>
      <w:r>
        <w:rPr>
          <w:rFonts w:ascii="Garamond" w:hAnsi="Garamond"/>
        </w:rPr>
        <w:t>?uri=celex%3A12012E%2FTXT</w:t>
      </w:r>
    </w:p>
  </w:footnote>
  <w:footnote w:id="15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lang w:val="en-US"/>
        </w:rPr>
        <w:t xml:space="preserve">Policy Guidelines </w:t>
      </w:r>
      <w:r>
        <w:rPr>
          <w:rFonts w:ascii="Garamond" w:hAnsi="Garamond"/>
        </w:rPr>
        <w:t>on the Applicability of the Guidelines on State Aid for Environmental Protection and Energy 2014-2020 PG 04/2015 / 24 November 2015.</w:t>
      </w:r>
    </w:p>
  </w:footnote>
  <w:footnote w:id="16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  <w:lang w:val="en-US"/>
        </w:rPr>
        <w:t>Guidelines on State aid for environmental protection and energy 2014-2020, para. 203.</w:t>
      </w:r>
    </w:p>
  </w:footnote>
  <w:footnote w:id="17">
    <w:p w:rsidR="00420E38" w:rsidRDefault="00420E38" w:rsidP="00420E38">
      <w:pPr>
        <w:pStyle w:val="FootnoteText"/>
        <w:tabs>
          <w:tab w:val="left" w:pos="360"/>
          <w:tab w:val="left" w:pos="450"/>
        </w:tabs>
        <w:rPr>
          <w:rFonts w:ascii="Garamond" w:hAnsi="Garamond"/>
          <w:lang w:val="en-US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</w:t>
      </w:r>
      <w:r>
        <w:rPr>
          <w:rFonts w:ascii="Garamond" w:hAnsi="Garamond"/>
        </w:rPr>
        <w:t>V</w:t>
      </w:r>
      <w:r>
        <w:rPr>
          <w:rFonts w:ascii="Garamond" w:hAnsi="Garamond"/>
          <w:color w:val="000000"/>
          <w:lang w:eastAsia="it-IT"/>
        </w:rPr>
        <w:t>KM nr. 519, datë 13.7.2016, “Për miratimin e modelit të tregut të energjisë elektrike”, pika 3. “Rolet e modelit të tregut”, nënpika 3.1, “Operatori i Sistemit të Transmetimit (OST)”.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38"/>
    <w:rsid w:val="00420E38"/>
    <w:rsid w:val="0053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E3F5-78E7-4735-8D4B-57132E93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E3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0E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0E38"/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semiHidden/>
    <w:locked/>
    <w:rsid w:val="00420E38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semiHidden/>
    <w:unhideWhenUsed/>
    <w:qFormat/>
    <w:rsid w:val="00420E3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420E38"/>
    <w:rPr>
      <w:rFonts w:ascii="Calibri" w:eastAsia="Calibri" w:hAnsi="Calibri" w:cs="Times New Roman"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420E3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20E3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20E3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20E3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20E3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20E38"/>
    <w:rPr>
      <w:sz w:val="14"/>
      <w:szCs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Footnote Reference Arial,nota pié di pagina,Footnote reference number"/>
    <w:link w:val="BVIfnrCarCarCarCarChar"/>
    <w:uiPriority w:val="99"/>
    <w:unhideWhenUsed/>
    <w:qFormat/>
    <w:rsid w:val="00420E38"/>
    <w:rPr>
      <w:vertAlign w:val="superscript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420E38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420E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2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eur-lex.europa.eu/legal-content/EN/AUTO/?uri=OJ:C:2008:082:TOC" TargetMode="External"/><Relationship Id="rId1" Type="http://schemas.openxmlformats.org/officeDocument/2006/relationships/hyperlink" Target="http://eur-lex.europa.eu/legal-content/EN/AUTO/?uri=OJ:C:2006:323:T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5293</Words>
  <Characters>30172</Characters>
  <Application>Microsoft Office Word</Application>
  <DocSecurity>0</DocSecurity>
  <Lines>251</Lines>
  <Paragraphs>70</Paragraphs>
  <ScaleCrop>false</ScaleCrop>
  <Company/>
  <LinksUpToDate>false</LinksUpToDate>
  <CharactersWithSpaces>35395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2018-04-19T14:46:00Z</dcterms:created>
  <dcterms:modified xsi:type="dcterms:W3CDTF">2018-04-19T14:47:00Z</dcterms:modified>
</cp:coreProperties>
</file>