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54FA" w:rsidRPr="00231186" w:rsidRDefault="007854FA" w:rsidP="007854FA">
      <w:pPr>
        <w:pStyle w:val="NeniTitull"/>
        <w:rPr>
          <w:lang w:val="sq-AL"/>
        </w:rPr>
      </w:pPr>
      <w:r w:rsidRPr="00231186">
        <w:rPr>
          <w:lang w:val="sq-AL"/>
        </w:rPr>
        <w:t>VENDIM</w:t>
      </w:r>
    </w:p>
    <w:p w:rsidR="007854FA" w:rsidRPr="00231186" w:rsidRDefault="007854FA" w:rsidP="007854FA">
      <w:pPr>
        <w:pStyle w:val="NeniTitull"/>
        <w:rPr>
          <w:lang w:val="sq-AL"/>
        </w:rPr>
      </w:pPr>
      <w:r w:rsidRPr="00231186">
        <w:rPr>
          <w:lang w:val="sq-AL"/>
        </w:rPr>
        <w:t>Nr. 86, datë 16.7.2018</w:t>
      </w:r>
    </w:p>
    <w:p w:rsidR="007854FA" w:rsidRPr="00231186" w:rsidRDefault="007854FA" w:rsidP="007854FA">
      <w:pPr>
        <w:pStyle w:val="NeniTitull"/>
        <w:rPr>
          <w:sz w:val="14"/>
          <w:u w:val="single"/>
          <w:lang w:val="sq-AL"/>
        </w:rPr>
      </w:pPr>
    </w:p>
    <w:p w:rsidR="007854FA" w:rsidRPr="00231186" w:rsidRDefault="007854FA" w:rsidP="007854FA">
      <w:pPr>
        <w:pStyle w:val="NeniTitull"/>
        <w:rPr>
          <w:lang w:val="sq-AL"/>
        </w:rPr>
      </w:pPr>
      <w:r w:rsidRPr="00231186">
        <w:rPr>
          <w:lang w:val="sq-AL"/>
        </w:rPr>
        <w:t>PËR NJË NDRYSHIM NË VENDIMIN N</w:t>
      </w:r>
      <w:r>
        <w:rPr>
          <w:lang w:val="sq-AL"/>
        </w:rPr>
        <w:t>R</w:t>
      </w:r>
      <w:r w:rsidRPr="00231186">
        <w:rPr>
          <w:lang w:val="sq-AL"/>
        </w:rPr>
        <w:t>. 49, DATË 29.9.2014 “AUTORIZIM I NDIHMËS SHTETËRORE PËR ZBATIMIN E PROJEKTIT TË GAZSJELLËSIT TRANS ADRIATIK, BAZUAR NË LIGJIN NR. 116, DATË 15.4.2013</w:t>
      </w:r>
      <w:r>
        <w:rPr>
          <w:lang w:val="sq-AL"/>
        </w:rPr>
        <w:t>,</w:t>
      </w:r>
      <w:r w:rsidRPr="00231186">
        <w:rPr>
          <w:lang w:val="sq-AL"/>
        </w:rPr>
        <w:t xml:space="preserve"> “PËR RATIFIKIMIN E MARRËVESHJES ME QEVERINË E VENDIT PRITËS NDËRMJET REPUBLIKËS SË SHQIPËRISË, DUKE VEPRUAR NËPËRMJET KËSHILLIT TË MINISTRAVE, DHE TRANS ADRIATIK PIPELINE AG, LIDHUR ME PROJEKTIN E GAZSJELLËSIT TRANS ADRIATIK (PROJEKTI TAP), SI DHE TË MARRËVESHJES NDËRMJET REPUBLIKËS SË SHQIPËRISË, PËRFAQËSUAR NGA KËSHILLI I MINISTRAVE, DHE TRANS ADRIATIK PIPELINE AG, NË LIDHJE ME PROJEKTIN E GAZSJELLËSIT TRANS ADRIATIK (PROJEKTI TAP)””</w:t>
      </w:r>
    </w:p>
    <w:p w:rsidR="007854FA" w:rsidRPr="00231186" w:rsidRDefault="007854FA" w:rsidP="007854FA">
      <w:pPr>
        <w:spacing w:after="0" w:line="240" w:lineRule="auto"/>
        <w:ind w:firstLine="0"/>
        <w:jc w:val="center"/>
        <w:rPr>
          <w:rFonts w:ascii="Garamond" w:hAnsi="Garamond"/>
          <w:b/>
          <w:bCs/>
          <w:spacing w:val="-4"/>
          <w:sz w:val="14"/>
          <w:szCs w:val="24"/>
          <w:u w:val="single"/>
          <w:lang w:val="sq-AL"/>
        </w:rPr>
      </w:pPr>
    </w:p>
    <w:p w:rsidR="007854FA" w:rsidRPr="00231186" w:rsidRDefault="007854FA" w:rsidP="007854FA">
      <w:pPr>
        <w:spacing w:after="0" w:line="240" w:lineRule="auto"/>
        <w:ind w:firstLine="288"/>
        <w:rPr>
          <w:rFonts w:ascii="Garamond" w:hAnsi="Garamond"/>
          <w:spacing w:val="-4"/>
          <w:sz w:val="24"/>
          <w:szCs w:val="24"/>
          <w:lang w:val="sq-AL"/>
        </w:rPr>
      </w:pPr>
      <w:r w:rsidRPr="00231186">
        <w:rPr>
          <w:rFonts w:ascii="Garamond" w:hAnsi="Garamond"/>
          <w:spacing w:val="-4"/>
          <w:sz w:val="24"/>
          <w:szCs w:val="24"/>
          <w:lang w:val="sq-AL"/>
        </w:rPr>
        <w:t>Komisioni i Ndihmës Shtetërore</w:t>
      </w:r>
      <w:r>
        <w:rPr>
          <w:rFonts w:ascii="Garamond" w:hAnsi="Garamond"/>
          <w:spacing w:val="-4"/>
          <w:sz w:val="24"/>
          <w:szCs w:val="24"/>
          <w:lang w:val="sq-AL"/>
        </w:rPr>
        <w:t>,</w:t>
      </w:r>
      <w:r w:rsidRPr="00231186">
        <w:rPr>
          <w:rFonts w:ascii="Garamond" w:hAnsi="Garamond"/>
          <w:spacing w:val="-4"/>
          <w:sz w:val="24"/>
          <w:szCs w:val="24"/>
          <w:lang w:val="sq-AL"/>
        </w:rPr>
        <w:t xml:space="preserve"> me pjesëmarrjen e:</w:t>
      </w:r>
    </w:p>
    <w:tbl>
      <w:tblPr>
        <w:tblW w:w="5000" w:type="pct"/>
        <w:tblLook w:val="04A0" w:firstRow="1" w:lastRow="0" w:firstColumn="1" w:lastColumn="0" w:noHBand="0" w:noVBand="1"/>
      </w:tblPr>
      <w:tblGrid>
        <w:gridCol w:w="6159"/>
        <w:gridCol w:w="3201"/>
      </w:tblGrid>
      <w:tr w:rsidR="007854FA" w:rsidRPr="00231186" w:rsidTr="000B66AB">
        <w:tc>
          <w:tcPr>
            <w:tcW w:w="3290" w:type="pct"/>
            <w:shd w:val="clear" w:color="auto" w:fill="auto"/>
          </w:tcPr>
          <w:p w:rsidR="007854FA" w:rsidRPr="00231186" w:rsidRDefault="007854FA" w:rsidP="000B66AB">
            <w:pPr>
              <w:spacing w:after="0" w:line="240" w:lineRule="auto"/>
              <w:ind w:firstLine="288"/>
              <w:rPr>
                <w:rFonts w:ascii="Garamond" w:eastAsia="MS Mincho" w:hAnsi="Garamond"/>
                <w:spacing w:val="-4"/>
                <w:sz w:val="14"/>
                <w:szCs w:val="24"/>
                <w:lang w:val="sq-AL"/>
              </w:rPr>
            </w:pPr>
            <w:r w:rsidRPr="00231186">
              <w:rPr>
                <w:rFonts w:ascii="Garamond" w:eastAsia="MS Mincho" w:hAnsi="Garamond"/>
                <w:spacing w:val="-4"/>
                <w:sz w:val="24"/>
                <w:szCs w:val="24"/>
                <w:lang w:val="sq-AL"/>
              </w:rPr>
              <w:t>Z. Arben Ahmetaj</w:t>
            </w:r>
          </w:p>
        </w:tc>
        <w:tc>
          <w:tcPr>
            <w:tcW w:w="1710" w:type="pct"/>
            <w:shd w:val="clear" w:color="auto" w:fill="auto"/>
          </w:tcPr>
          <w:p w:rsidR="007854FA" w:rsidRPr="00231186" w:rsidRDefault="007854FA" w:rsidP="000B66AB">
            <w:pPr>
              <w:spacing w:after="0" w:line="240" w:lineRule="auto"/>
              <w:ind w:firstLine="288"/>
              <w:rPr>
                <w:rFonts w:ascii="Garamond" w:eastAsia="MS Mincho" w:hAnsi="Garamond"/>
                <w:spacing w:val="-4"/>
                <w:sz w:val="14"/>
                <w:szCs w:val="24"/>
                <w:lang w:val="sq-AL"/>
              </w:rPr>
            </w:pPr>
            <w:r w:rsidRPr="00231186">
              <w:rPr>
                <w:rFonts w:ascii="Garamond" w:eastAsia="MS Mincho" w:hAnsi="Garamond"/>
                <w:spacing w:val="-4"/>
                <w:sz w:val="24"/>
                <w:szCs w:val="24"/>
                <w:lang w:val="sq-AL"/>
              </w:rPr>
              <w:t xml:space="preserve">kryetar;  </w:t>
            </w:r>
          </w:p>
        </w:tc>
      </w:tr>
      <w:tr w:rsidR="007854FA" w:rsidRPr="00231186" w:rsidTr="000B66AB">
        <w:tc>
          <w:tcPr>
            <w:tcW w:w="3290" w:type="pct"/>
            <w:shd w:val="clear" w:color="auto" w:fill="auto"/>
          </w:tcPr>
          <w:p w:rsidR="007854FA" w:rsidRPr="00231186" w:rsidRDefault="007854FA" w:rsidP="000B66AB">
            <w:pPr>
              <w:spacing w:after="0" w:line="240" w:lineRule="auto"/>
              <w:ind w:firstLine="288"/>
              <w:rPr>
                <w:rFonts w:ascii="Garamond" w:eastAsia="MS Mincho" w:hAnsi="Garamond"/>
                <w:spacing w:val="-4"/>
                <w:sz w:val="14"/>
                <w:szCs w:val="24"/>
                <w:lang w:val="sq-AL"/>
              </w:rPr>
            </w:pPr>
            <w:r w:rsidRPr="00231186">
              <w:rPr>
                <w:rFonts w:ascii="Garamond" w:eastAsia="MS Mincho" w:hAnsi="Garamond"/>
                <w:spacing w:val="-4"/>
                <w:sz w:val="24"/>
                <w:szCs w:val="24"/>
                <w:lang w:val="sq-AL"/>
              </w:rPr>
              <w:t>Znj. Mimoza Dhëmbi</w:t>
            </w:r>
          </w:p>
        </w:tc>
        <w:tc>
          <w:tcPr>
            <w:tcW w:w="1710" w:type="pct"/>
            <w:shd w:val="clear" w:color="auto" w:fill="auto"/>
          </w:tcPr>
          <w:p w:rsidR="007854FA" w:rsidRPr="00231186" w:rsidRDefault="007854FA" w:rsidP="000B66AB">
            <w:pPr>
              <w:spacing w:after="0" w:line="240" w:lineRule="auto"/>
              <w:ind w:firstLine="288"/>
              <w:rPr>
                <w:rFonts w:ascii="Garamond" w:eastAsia="MS Mincho" w:hAnsi="Garamond"/>
                <w:spacing w:val="-4"/>
                <w:sz w:val="14"/>
                <w:szCs w:val="24"/>
                <w:lang w:val="sq-AL"/>
              </w:rPr>
            </w:pPr>
            <w:r w:rsidRPr="00231186">
              <w:rPr>
                <w:rFonts w:ascii="Garamond" w:eastAsia="MS Mincho" w:hAnsi="Garamond"/>
                <w:spacing w:val="-4"/>
                <w:sz w:val="24"/>
                <w:szCs w:val="24"/>
                <w:lang w:val="sq-AL"/>
              </w:rPr>
              <w:t>anëtare;</w:t>
            </w:r>
          </w:p>
        </w:tc>
      </w:tr>
      <w:tr w:rsidR="007854FA" w:rsidRPr="00231186" w:rsidTr="000B66AB">
        <w:tc>
          <w:tcPr>
            <w:tcW w:w="3290" w:type="pct"/>
            <w:shd w:val="clear" w:color="auto" w:fill="auto"/>
          </w:tcPr>
          <w:p w:rsidR="007854FA" w:rsidRPr="00231186" w:rsidRDefault="007854FA" w:rsidP="000B66AB">
            <w:pPr>
              <w:spacing w:after="0" w:line="240" w:lineRule="auto"/>
              <w:ind w:firstLine="288"/>
              <w:rPr>
                <w:rFonts w:ascii="Garamond" w:eastAsia="MS Mincho" w:hAnsi="Garamond"/>
                <w:spacing w:val="-4"/>
                <w:sz w:val="14"/>
                <w:szCs w:val="24"/>
                <w:lang w:val="sq-AL"/>
              </w:rPr>
            </w:pPr>
            <w:r w:rsidRPr="00231186">
              <w:rPr>
                <w:rFonts w:ascii="Garamond" w:eastAsia="MS Mincho" w:hAnsi="Garamond"/>
                <w:spacing w:val="-4"/>
                <w:sz w:val="24"/>
                <w:szCs w:val="24"/>
                <w:lang w:val="sq-AL"/>
              </w:rPr>
              <w:t>Znj. Etleva Haka</w:t>
            </w:r>
          </w:p>
        </w:tc>
        <w:tc>
          <w:tcPr>
            <w:tcW w:w="1710" w:type="pct"/>
            <w:shd w:val="clear" w:color="auto" w:fill="auto"/>
          </w:tcPr>
          <w:p w:rsidR="007854FA" w:rsidRPr="00231186" w:rsidRDefault="007854FA" w:rsidP="000B66AB">
            <w:pPr>
              <w:spacing w:after="0" w:line="240" w:lineRule="auto"/>
              <w:ind w:firstLine="288"/>
              <w:rPr>
                <w:rFonts w:ascii="Garamond" w:eastAsia="MS Mincho" w:hAnsi="Garamond"/>
                <w:spacing w:val="-4"/>
                <w:sz w:val="14"/>
                <w:szCs w:val="24"/>
                <w:lang w:val="sq-AL"/>
              </w:rPr>
            </w:pPr>
            <w:r w:rsidRPr="00231186">
              <w:rPr>
                <w:rFonts w:ascii="Garamond" w:eastAsia="MS Mincho" w:hAnsi="Garamond"/>
                <w:spacing w:val="-4"/>
                <w:sz w:val="24"/>
                <w:szCs w:val="24"/>
                <w:lang w:val="sq-AL"/>
              </w:rPr>
              <w:t>anëtare;</w:t>
            </w:r>
          </w:p>
        </w:tc>
      </w:tr>
      <w:tr w:rsidR="007854FA" w:rsidRPr="00231186" w:rsidTr="000B66AB">
        <w:tc>
          <w:tcPr>
            <w:tcW w:w="3290" w:type="pct"/>
            <w:shd w:val="clear" w:color="auto" w:fill="auto"/>
          </w:tcPr>
          <w:p w:rsidR="007854FA" w:rsidRPr="00231186" w:rsidRDefault="007854FA" w:rsidP="000B66AB">
            <w:pPr>
              <w:spacing w:after="0" w:line="240" w:lineRule="auto"/>
              <w:ind w:firstLine="288"/>
              <w:rPr>
                <w:rFonts w:ascii="Garamond" w:eastAsia="MS Mincho" w:hAnsi="Garamond"/>
                <w:spacing w:val="-4"/>
                <w:sz w:val="14"/>
                <w:szCs w:val="24"/>
                <w:lang w:val="sq-AL"/>
              </w:rPr>
            </w:pPr>
            <w:r>
              <w:rPr>
                <w:rFonts w:ascii="Garamond" w:eastAsia="MS Mincho" w:hAnsi="Garamond"/>
                <w:spacing w:val="-4"/>
                <w:sz w:val="24"/>
                <w:szCs w:val="24"/>
                <w:lang w:val="sq-AL"/>
              </w:rPr>
              <w:t>Znj. Mirjana Zisi</w:t>
            </w:r>
            <w:r w:rsidRPr="00231186">
              <w:rPr>
                <w:rFonts w:ascii="Garamond" w:eastAsia="MS Mincho" w:hAnsi="Garamond"/>
                <w:spacing w:val="-4"/>
                <w:sz w:val="24"/>
                <w:szCs w:val="24"/>
                <w:lang w:val="sq-AL"/>
              </w:rPr>
              <w:t>a</w:t>
            </w:r>
          </w:p>
        </w:tc>
        <w:tc>
          <w:tcPr>
            <w:tcW w:w="1710" w:type="pct"/>
            <w:shd w:val="clear" w:color="auto" w:fill="auto"/>
          </w:tcPr>
          <w:p w:rsidR="007854FA" w:rsidRPr="00231186" w:rsidRDefault="007854FA" w:rsidP="000B66AB">
            <w:pPr>
              <w:spacing w:after="0" w:line="240" w:lineRule="auto"/>
              <w:ind w:firstLine="288"/>
              <w:rPr>
                <w:rFonts w:ascii="Garamond" w:eastAsia="MS Mincho" w:hAnsi="Garamond"/>
                <w:spacing w:val="-4"/>
                <w:sz w:val="14"/>
                <w:szCs w:val="24"/>
                <w:lang w:val="sq-AL"/>
              </w:rPr>
            </w:pPr>
            <w:r w:rsidRPr="00231186">
              <w:rPr>
                <w:rFonts w:ascii="Garamond" w:eastAsia="MS Mincho" w:hAnsi="Garamond"/>
                <w:spacing w:val="-4"/>
                <w:sz w:val="24"/>
                <w:szCs w:val="24"/>
                <w:lang w:val="sq-AL"/>
              </w:rPr>
              <w:t>anëtare;</w:t>
            </w:r>
          </w:p>
        </w:tc>
      </w:tr>
      <w:tr w:rsidR="007854FA" w:rsidRPr="00231186" w:rsidTr="000B66AB">
        <w:tc>
          <w:tcPr>
            <w:tcW w:w="3290" w:type="pct"/>
            <w:shd w:val="clear" w:color="auto" w:fill="auto"/>
          </w:tcPr>
          <w:p w:rsidR="007854FA" w:rsidRPr="00231186" w:rsidRDefault="007854FA" w:rsidP="000B66AB">
            <w:pPr>
              <w:spacing w:after="0" w:line="240" w:lineRule="auto"/>
              <w:ind w:firstLine="288"/>
              <w:rPr>
                <w:rFonts w:ascii="Garamond" w:eastAsia="MS Mincho" w:hAnsi="Garamond"/>
                <w:spacing w:val="-4"/>
                <w:sz w:val="14"/>
                <w:szCs w:val="24"/>
                <w:lang w:val="sq-AL"/>
              </w:rPr>
            </w:pPr>
            <w:r w:rsidRPr="00231186">
              <w:rPr>
                <w:rFonts w:ascii="Garamond" w:eastAsia="MS Mincho" w:hAnsi="Garamond"/>
                <w:spacing w:val="-4"/>
                <w:sz w:val="24"/>
                <w:szCs w:val="24"/>
                <w:lang w:val="sq-AL"/>
              </w:rPr>
              <w:t>Z.</w:t>
            </w:r>
            <w:r>
              <w:rPr>
                <w:rFonts w:ascii="Garamond" w:eastAsia="MS Mincho" w:hAnsi="Garamond"/>
                <w:spacing w:val="-4"/>
                <w:sz w:val="24"/>
                <w:szCs w:val="24"/>
                <w:lang w:val="sq-AL"/>
              </w:rPr>
              <w:t xml:space="preserve"> </w:t>
            </w:r>
            <w:r w:rsidRPr="00231186">
              <w:rPr>
                <w:rFonts w:ascii="Garamond" w:eastAsia="MS Mincho" w:hAnsi="Garamond"/>
                <w:spacing w:val="-4"/>
                <w:sz w:val="24"/>
                <w:szCs w:val="24"/>
                <w:lang w:val="sq-AL"/>
              </w:rPr>
              <w:t>Ahmet Mançellari</w:t>
            </w:r>
          </w:p>
        </w:tc>
        <w:tc>
          <w:tcPr>
            <w:tcW w:w="1710" w:type="pct"/>
            <w:shd w:val="clear" w:color="auto" w:fill="auto"/>
          </w:tcPr>
          <w:p w:rsidR="007854FA" w:rsidRPr="00231186" w:rsidRDefault="007854FA" w:rsidP="000B66AB">
            <w:pPr>
              <w:spacing w:after="0" w:line="240" w:lineRule="auto"/>
              <w:ind w:firstLine="288"/>
              <w:rPr>
                <w:rFonts w:ascii="Garamond" w:eastAsia="MS Mincho" w:hAnsi="Garamond"/>
                <w:spacing w:val="-4"/>
                <w:sz w:val="14"/>
                <w:szCs w:val="24"/>
                <w:lang w:val="sq-AL"/>
              </w:rPr>
            </w:pPr>
            <w:r w:rsidRPr="00231186">
              <w:rPr>
                <w:rFonts w:ascii="Garamond" w:eastAsia="MS Mincho" w:hAnsi="Garamond"/>
                <w:spacing w:val="-4"/>
                <w:sz w:val="24"/>
                <w:szCs w:val="24"/>
                <w:lang w:val="sq-AL"/>
              </w:rPr>
              <w:t>anëtar</w:t>
            </w:r>
            <w:r>
              <w:rPr>
                <w:rFonts w:ascii="Garamond" w:eastAsia="MS Mincho" w:hAnsi="Garamond"/>
                <w:spacing w:val="-4"/>
                <w:sz w:val="24"/>
                <w:szCs w:val="24"/>
                <w:lang w:val="sq-AL"/>
              </w:rPr>
              <w:t>.</w:t>
            </w:r>
          </w:p>
        </w:tc>
      </w:tr>
    </w:tbl>
    <w:p w:rsidR="007854FA" w:rsidRPr="00231186" w:rsidRDefault="007854FA" w:rsidP="00EB66DB">
      <w:pPr>
        <w:pStyle w:val="Paragrafi"/>
        <w:ind w:firstLine="0"/>
        <w:rPr>
          <w:lang w:val="sq-AL"/>
        </w:rPr>
      </w:pPr>
    </w:p>
    <w:p w:rsidR="007854FA" w:rsidRPr="00B50410" w:rsidRDefault="007854FA" w:rsidP="007854FA">
      <w:pPr>
        <w:pStyle w:val="Paragrafi"/>
        <w:rPr>
          <w:spacing w:val="-4"/>
          <w:lang w:val="sq-AL"/>
        </w:rPr>
      </w:pPr>
      <w:r w:rsidRPr="00B50410">
        <w:rPr>
          <w:spacing w:val="-4"/>
          <w:lang w:val="sq-AL"/>
        </w:rPr>
        <w:t xml:space="preserve">Në mbledhjen e tij të radhës të datës  16.7.2018, në Ministrinë e Financave dhe Ekonomisë, në bazë të ligjit nr. 9374, datë 21.4.2005, “Për ndihmën shtetërore”, i ndryshuar, neni 28/1 “Autorizimi ex-post i ndihmës” dhe vendimit të Këshillit të Ministrave nr. 817, datë 28.12.2005, “Për miratimin e rregullores “Për procedurat dhe formën e njoftimit””, vlerësoi përputhjen me legjislacionin e ndihmës shtetërore të projektligjit “Për ratifikimin e marrëveshjes së ndryshimit, ndërmjet Republikës së Shqipërisë, duke vepruar nëpërmjet Këshillit të Ministrave, dhe Trans Adriatic Pipeline AG, lidhur me marrëveshjen me qeverinë e vendit pritës”. </w:t>
      </w:r>
    </w:p>
    <w:p w:rsidR="007854FA" w:rsidRPr="00231186" w:rsidRDefault="007854FA" w:rsidP="007854FA">
      <w:pPr>
        <w:pStyle w:val="Paragrafi"/>
        <w:rPr>
          <w:lang w:val="sq-AL"/>
        </w:rPr>
      </w:pPr>
      <w:r w:rsidRPr="00231186">
        <w:rPr>
          <w:lang w:val="sq-AL"/>
        </w:rPr>
        <w:t xml:space="preserve">1. Vlerësimi i ekzistencës së ndihmës shtetërore </w:t>
      </w:r>
    </w:p>
    <w:p w:rsidR="007854FA" w:rsidRPr="00231186" w:rsidRDefault="007854FA" w:rsidP="007854FA">
      <w:pPr>
        <w:pStyle w:val="Paragrafi"/>
        <w:rPr>
          <w:rStyle w:val="Strong"/>
          <w:bCs w:val="0"/>
          <w:spacing w:val="-4"/>
          <w:szCs w:val="24"/>
          <w:lang w:val="sq-AL"/>
        </w:rPr>
      </w:pPr>
      <w:r w:rsidRPr="00231186">
        <w:rPr>
          <w:rStyle w:val="Strong"/>
          <w:spacing w:val="-4"/>
          <w:szCs w:val="24"/>
          <w:lang w:val="sq-AL"/>
        </w:rPr>
        <w:t>1.1 Kualifikimi i masës si ndihmë shtetërore</w:t>
      </w:r>
    </w:p>
    <w:p w:rsidR="007854FA" w:rsidRPr="00231186" w:rsidRDefault="007854FA" w:rsidP="007854FA">
      <w:pPr>
        <w:pStyle w:val="Paragrafi"/>
        <w:rPr>
          <w:lang w:val="sq-AL"/>
        </w:rPr>
      </w:pPr>
      <w:r w:rsidRPr="00231186">
        <w:rPr>
          <w:lang w:val="sq-AL"/>
        </w:rPr>
        <w:t>Në bazë të nenit 4, p</w:t>
      </w:r>
      <w:r>
        <w:rPr>
          <w:lang w:val="sq-AL"/>
        </w:rPr>
        <w:t>ika 1, të ligjit nr. 9374, datë 21.</w:t>
      </w:r>
      <w:r w:rsidRPr="00231186">
        <w:rPr>
          <w:lang w:val="sq-AL"/>
        </w:rPr>
        <w:t>4.2005</w:t>
      </w:r>
      <w:r>
        <w:rPr>
          <w:lang w:val="sq-AL"/>
        </w:rPr>
        <w:t>,</w:t>
      </w:r>
      <w:r w:rsidRPr="00231186">
        <w:rPr>
          <w:lang w:val="sq-AL"/>
        </w:rPr>
        <w:t xml:space="preserve"> “Për ndihmën shtetërore”, i ndryshuar, përcaktohet se:</w:t>
      </w:r>
    </w:p>
    <w:p w:rsidR="007854FA" w:rsidRPr="00231186" w:rsidRDefault="007854FA" w:rsidP="007854FA">
      <w:pPr>
        <w:pStyle w:val="Paragrafi"/>
        <w:rPr>
          <w:lang w:val="sq-AL"/>
        </w:rPr>
      </w:pPr>
      <w:r w:rsidRPr="00231186">
        <w:rPr>
          <w:i/>
          <w:color w:val="000000"/>
          <w:lang w:val="sq-AL" w:eastAsia="it-IT"/>
        </w:rPr>
        <w:t>“Përveç rasteve të parashikuara ndryshe në këtë ligj, ndalohet çdo ndihmë e dhënë nga burimet sht</w:t>
      </w:r>
      <w:r w:rsidRPr="00231186">
        <w:rPr>
          <w:i/>
          <w:lang w:val="sq-AL" w:eastAsia="it-IT"/>
        </w:rPr>
        <w:t xml:space="preserve">etërore, në çfarëdolloj forme, e cila  në mënyrë të drejtpërdrejtë ose të tërthortë, shtrembëron ose kërcënon të shtrembërojë konkurrencën duke dhënë përparësi për një ose </w:t>
      </w:r>
      <w:r w:rsidRPr="00231186">
        <w:rPr>
          <w:i/>
          <w:color w:val="000000"/>
          <w:lang w:val="sq-AL" w:eastAsia="it-IT"/>
        </w:rPr>
        <w:t>disa ndërmarrje të caktuara ose për prodhimin e produkteve të caktuara, për aq sa mund të ketë ndikim në plotësimin e detyrimeve të ndërmarra nga Republika e Shqipërisë në marrëveshjet ndërkombëtare që përmbajnë dispozita të ndihmës shtetërore”.</w:t>
      </w:r>
      <w:r>
        <w:rPr>
          <w:i/>
          <w:color w:val="000000"/>
          <w:lang w:val="sq-AL" w:eastAsia="it-IT"/>
        </w:rPr>
        <w:t xml:space="preserve"> </w:t>
      </w:r>
    </w:p>
    <w:p w:rsidR="007854FA" w:rsidRPr="00231186" w:rsidRDefault="007854FA" w:rsidP="007854FA">
      <w:pPr>
        <w:pStyle w:val="Paragrafi"/>
        <w:rPr>
          <w:lang w:val="sq-AL"/>
        </w:rPr>
      </w:pPr>
      <w:r w:rsidRPr="00231186">
        <w:rPr>
          <w:lang w:val="sq-AL"/>
        </w:rPr>
        <w:t>Gjithashtu</w:t>
      </w:r>
      <w:r>
        <w:rPr>
          <w:lang w:val="sq-AL"/>
        </w:rPr>
        <w:t>,</w:t>
      </w:r>
      <w:r w:rsidRPr="00231186">
        <w:rPr>
          <w:lang w:val="sq-AL"/>
        </w:rPr>
        <w:t xml:space="preserve"> neni 71 “</w:t>
      </w:r>
      <w:r w:rsidRPr="00231186">
        <w:rPr>
          <w:i/>
          <w:lang w:val="sq-AL"/>
        </w:rPr>
        <w:t>Konkurrenca dhe dispozita të tjera ekonomike</w:t>
      </w:r>
      <w:r w:rsidRPr="00231186">
        <w:rPr>
          <w:lang w:val="sq-AL"/>
        </w:rPr>
        <w:t>”, i Marrëveshjes së Stabilizim-Asociimit ndërmjet Komuniteteve Evropiane e Shteteve të tyre Anëtare dhe Republikës së Shqipërisë</w:t>
      </w:r>
      <w:r w:rsidRPr="00231186">
        <w:rPr>
          <w:rStyle w:val="FootnoteReference"/>
          <w:spacing w:val="-4"/>
          <w:szCs w:val="24"/>
          <w:lang w:val="sq-AL"/>
        </w:rPr>
        <w:footnoteReference w:id="1"/>
      </w:r>
      <w:r w:rsidRPr="00231186">
        <w:rPr>
          <w:lang w:val="sq-AL"/>
        </w:rPr>
        <w:t>, përcakton se:</w:t>
      </w:r>
    </w:p>
    <w:p w:rsidR="007854FA" w:rsidRPr="00231186" w:rsidRDefault="007854FA" w:rsidP="007854FA">
      <w:pPr>
        <w:pStyle w:val="Paragrafi"/>
        <w:rPr>
          <w:lang w:val="sq-AL"/>
        </w:rPr>
      </w:pPr>
      <w:r w:rsidRPr="00231186">
        <w:rPr>
          <w:color w:val="000000"/>
          <w:lang w:val="sq-AL" w:eastAsia="sq-AL"/>
        </w:rPr>
        <w:t>“</w:t>
      </w:r>
      <w:r w:rsidRPr="00231186">
        <w:rPr>
          <w:i/>
          <w:lang w:val="sq-AL"/>
        </w:rPr>
        <w:t>Praktikat në kundërshtim me këtë nen vlerësohen në bazë të kritereve që lindin nga zbatimi i rregullave të konkurrencës të aplikueshme në Komunitet, sidomos në nenet 81, 82, 86 dhe 87 të Traktatit themelues të Komunitetit Evropian dhe instrumenteve interpretuese që përdoren nga institucionet e Komunitetit.”</w:t>
      </w:r>
    </w:p>
    <w:p w:rsidR="007854FA" w:rsidRDefault="007854FA" w:rsidP="007854FA">
      <w:pPr>
        <w:pStyle w:val="Paragrafi"/>
        <w:rPr>
          <w:lang w:val="sq-AL" w:eastAsia="it-IT"/>
        </w:rPr>
      </w:pPr>
      <w:r w:rsidRPr="00231186">
        <w:rPr>
          <w:lang w:val="sq-AL" w:eastAsia="it-IT"/>
        </w:rPr>
        <w:t>Në përcaktimin nëse një masë përbën ndihmë shtetërore në kuptim të nenit 4</w:t>
      </w:r>
      <w:r>
        <w:rPr>
          <w:lang w:val="sq-AL" w:eastAsia="it-IT"/>
        </w:rPr>
        <w:t>,</w:t>
      </w:r>
      <w:r w:rsidRPr="00231186">
        <w:rPr>
          <w:lang w:val="sq-AL" w:eastAsia="it-IT"/>
        </w:rPr>
        <w:t xml:space="preserve"> të ligjit të ndihmës shtetërore dhe të nenit 107 (1) të TFEU-së, Komisioni vlerëson plotësimin në mënyrë kumulative të kritereve të mëposhtme:</w:t>
      </w:r>
    </w:p>
    <w:p w:rsidR="007854FA" w:rsidRPr="00231186" w:rsidRDefault="007854FA" w:rsidP="007854FA">
      <w:pPr>
        <w:pStyle w:val="Paragrafi"/>
        <w:rPr>
          <w:color w:val="000000"/>
          <w:lang w:val="sq-AL" w:eastAsia="it-IT"/>
        </w:rPr>
      </w:pPr>
      <w:r w:rsidRPr="00231186">
        <w:rPr>
          <w:color w:val="000000"/>
          <w:lang w:val="sq-AL" w:eastAsia="it-IT"/>
        </w:rPr>
        <w:lastRenderedPageBreak/>
        <w:t xml:space="preserve">- </w:t>
      </w:r>
      <w:r>
        <w:rPr>
          <w:color w:val="000000"/>
          <w:lang w:val="sq-AL" w:eastAsia="it-IT"/>
        </w:rPr>
        <w:t>M</w:t>
      </w:r>
      <w:r w:rsidRPr="00231186">
        <w:rPr>
          <w:color w:val="000000"/>
          <w:lang w:val="sq-AL" w:eastAsia="it-IT"/>
        </w:rPr>
        <w:t>asa duhet të jepet nga shteti dhe të përfshijë burimet shtetërore</w:t>
      </w:r>
      <w:r>
        <w:rPr>
          <w:color w:val="000000"/>
          <w:lang w:val="sq-AL" w:eastAsia="it-IT"/>
        </w:rPr>
        <w:t>;</w:t>
      </w:r>
    </w:p>
    <w:p w:rsidR="007854FA" w:rsidRPr="00231186" w:rsidRDefault="007854FA" w:rsidP="007854FA">
      <w:pPr>
        <w:pStyle w:val="Paragrafi"/>
        <w:rPr>
          <w:lang w:val="sq-AL" w:eastAsia="it-IT"/>
        </w:rPr>
      </w:pPr>
      <w:r w:rsidRPr="00231186">
        <w:rPr>
          <w:color w:val="000000"/>
          <w:lang w:val="sq-AL" w:eastAsia="it-IT"/>
        </w:rPr>
        <w:t xml:space="preserve">- </w:t>
      </w:r>
      <w:r>
        <w:rPr>
          <w:color w:val="000000"/>
          <w:lang w:val="sq-AL" w:eastAsia="it-IT"/>
        </w:rPr>
        <w:t>M</w:t>
      </w:r>
      <w:r w:rsidRPr="00231186">
        <w:rPr>
          <w:color w:val="000000"/>
          <w:lang w:val="sq-AL" w:eastAsia="it-IT"/>
        </w:rPr>
        <w:t>asa duhet të japë një avantazh nd</w:t>
      </w:r>
      <w:r w:rsidRPr="00231186">
        <w:rPr>
          <w:lang w:val="sq-AL" w:eastAsia="it-IT"/>
        </w:rPr>
        <w:t>aj ndërmarrjeve të caktuara ose sektorëve të caktuar</w:t>
      </w:r>
      <w:r>
        <w:rPr>
          <w:lang w:val="sq-AL" w:eastAsia="it-IT"/>
        </w:rPr>
        <w:t>;</w:t>
      </w:r>
      <w:r w:rsidRPr="00231186">
        <w:rPr>
          <w:lang w:val="sq-AL" w:eastAsia="it-IT"/>
        </w:rPr>
        <w:t xml:space="preserve"> </w:t>
      </w:r>
    </w:p>
    <w:p w:rsidR="007854FA" w:rsidRPr="00231186" w:rsidRDefault="007854FA" w:rsidP="007854FA">
      <w:pPr>
        <w:pStyle w:val="Paragrafi"/>
        <w:rPr>
          <w:lang w:val="sq-AL" w:eastAsia="it-IT"/>
        </w:rPr>
      </w:pPr>
      <w:r w:rsidRPr="00231186">
        <w:rPr>
          <w:i/>
          <w:lang w:val="sq-AL" w:eastAsia="it-IT"/>
        </w:rPr>
        <w:t xml:space="preserve">dhe </w:t>
      </w:r>
    </w:p>
    <w:p w:rsidR="007854FA" w:rsidRPr="00231186" w:rsidRDefault="007854FA" w:rsidP="007854FA">
      <w:pPr>
        <w:pStyle w:val="Paragrafi"/>
        <w:rPr>
          <w:color w:val="000000"/>
          <w:lang w:val="sq-AL" w:eastAsia="it-IT"/>
        </w:rPr>
      </w:pPr>
      <w:r w:rsidRPr="00231186">
        <w:rPr>
          <w:color w:val="000000"/>
          <w:lang w:val="sq-AL" w:eastAsia="it-IT"/>
        </w:rPr>
        <w:t xml:space="preserve">- </w:t>
      </w:r>
      <w:r>
        <w:rPr>
          <w:color w:val="000000"/>
          <w:lang w:val="sq-AL" w:eastAsia="it-IT"/>
        </w:rPr>
        <w:t>M</w:t>
      </w:r>
      <w:r w:rsidRPr="00231186">
        <w:rPr>
          <w:color w:val="000000"/>
          <w:lang w:val="sq-AL" w:eastAsia="it-IT"/>
        </w:rPr>
        <w:t>asa ndikon në konkurrencë dhe tregtinë midis shteteve anëtare.</w:t>
      </w:r>
    </w:p>
    <w:p w:rsidR="007854FA" w:rsidRPr="00231186" w:rsidRDefault="007854FA" w:rsidP="007854FA">
      <w:pPr>
        <w:pStyle w:val="Paragrafi"/>
        <w:rPr>
          <w:color w:val="000000"/>
          <w:lang w:val="sq-AL"/>
        </w:rPr>
      </w:pPr>
      <w:r w:rsidRPr="00231186">
        <w:rPr>
          <w:color w:val="000000"/>
          <w:lang w:val="sq-AL"/>
        </w:rPr>
        <w:t>Komisioni referuar projektaktit të sipërcituar si edhe legjislacionit në fuqi konstaton se:</w:t>
      </w:r>
    </w:p>
    <w:p w:rsidR="007854FA" w:rsidRPr="00231186" w:rsidRDefault="001078F8" w:rsidP="007854FA">
      <w:pPr>
        <w:pStyle w:val="Paragrafi"/>
        <w:rPr>
          <w:color w:val="000000"/>
          <w:lang w:val="sq-AL" w:eastAsia="it-IT"/>
        </w:rPr>
      </w:pPr>
      <w:r>
        <w:rPr>
          <w:color w:val="000000"/>
          <w:lang w:val="sq-AL" w:eastAsia="it-IT"/>
        </w:rPr>
        <w:t xml:space="preserve">a) </w:t>
      </w:r>
      <w:bookmarkStart w:id="0" w:name="_GoBack"/>
      <w:bookmarkEnd w:id="0"/>
      <w:r w:rsidR="007854FA" w:rsidRPr="00231186">
        <w:rPr>
          <w:color w:val="000000"/>
          <w:lang w:val="sq-AL" w:eastAsia="it-IT"/>
        </w:rPr>
        <w:t xml:space="preserve">Referuar </w:t>
      </w:r>
      <w:r w:rsidR="007854FA">
        <w:rPr>
          <w:color w:val="000000"/>
          <w:lang w:val="sq-AL" w:eastAsia="it-IT"/>
        </w:rPr>
        <w:t>s</w:t>
      </w:r>
      <w:r w:rsidR="007854FA" w:rsidRPr="00231186">
        <w:rPr>
          <w:color w:val="000000"/>
          <w:lang w:val="sq-AL" w:eastAsia="it-IT"/>
        </w:rPr>
        <w:t xml:space="preserve">htojcës 1 “Ndryshime në marrëveshjen me qeverinë pritëse”, </w:t>
      </w:r>
      <w:r w:rsidR="007854FA">
        <w:rPr>
          <w:color w:val="000000"/>
          <w:lang w:val="sq-AL" w:eastAsia="it-IT"/>
        </w:rPr>
        <w:t>p</w:t>
      </w:r>
      <w:r w:rsidR="007854FA" w:rsidRPr="00231186">
        <w:rPr>
          <w:color w:val="000000"/>
          <w:lang w:val="sq-AL" w:eastAsia="it-IT"/>
        </w:rPr>
        <w:t>ikës 5, konkretisht:</w:t>
      </w:r>
    </w:p>
    <w:p w:rsidR="007854FA" w:rsidRPr="00231186" w:rsidRDefault="007854FA" w:rsidP="007854FA">
      <w:pPr>
        <w:pStyle w:val="Paragrafi"/>
        <w:rPr>
          <w:color w:val="000000"/>
          <w:lang w:val="sq-AL" w:eastAsia="it-IT"/>
        </w:rPr>
      </w:pPr>
      <w:r w:rsidRPr="00231186">
        <w:rPr>
          <w:color w:val="000000"/>
          <w:lang w:val="sq-AL" w:eastAsia="it-IT"/>
        </w:rPr>
        <w:t>1. G</w:t>
      </w:r>
      <w:r>
        <w:rPr>
          <w:color w:val="000000"/>
          <w:lang w:val="sq-AL" w:eastAsia="it-IT"/>
        </w:rPr>
        <w:t>e</w:t>
      </w:r>
      <w:r w:rsidRPr="00231186">
        <w:rPr>
          <w:color w:val="000000"/>
          <w:lang w:val="sq-AL" w:eastAsia="it-IT"/>
        </w:rPr>
        <w:t xml:space="preserve">rmës </w:t>
      </w:r>
      <w:r>
        <w:rPr>
          <w:color w:val="000000"/>
          <w:lang w:val="sq-AL" w:eastAsia="it-IT"/>
        </w:rPr>
        <w:t>“</w:t>
      </w:r>
      <w:r w:rsidRPr="00231186">
        <w:rPr>
          <w:color w:val="000000"/>
          <w:lang w:val="sq-AL" w:eastAsia="it-IT"/>
        </w:rPr>
        <w:t>a</w:t>
      </w:r>
      <w:r>
        <w:rPr>
          <w:color w:val="000000"/>
          <w:lang w:val="sq-AL" w:eastAsia="it-IT"/>
        </w:rPr>
        <w:t>”</w:t>
      </w:r>
      <w:r w:rsidRPr="00231186">
        <w:rPr>
          <w:color w:val="000000"/>
          <w:lang w:val="sq-AL" w:eastAsia="it-IT"/>
        </w:rPr>
        <w:t xml:space="preserve"> që parashikon se “</w:t>
      </w:r>
      <w:r w:rsidRPr="00231186">
        <w:rPr>
          <w:i/>
          <w:color w:val="000000"/>
          <w:lang w:val="sq-AL" w:eastAsia="it-IT"/>
        </w:rPr>
        <w:t>.</w:t>
      </w:r>
      <w:r>
        <w:rPr>
          <w:i/>
          <w:color w:val="000000"/>
          <w:lang w:val="sq-AL" w:eastAsia="it-IT"/>
        </w:rPr>
        <w:t>.</w:t>
      </w:r>
      <w:r w:rsidRPr="00231186">
        <w:rPr>
          <w:i/>
          <w:color w:val="000000"/>
          <w:lang w:val="sq-AL" w:eastAsia="it-IT"/>
        </w:rPr>
        <w:t xml:space="preserve">. Importimi i mallrave nga Investitori i Projektit ose Kontraktuesi i Nivelit të Parë, importuesi nuk do të ketë detyrimin për pagesën e tatimit mbi vlerën e </w:t>
      </w:r>
      <w:r>
        <w:rPr>
          <w:i/>
          <w:color w:val="000000"/>
          <w:lang w:val="sq-AL" w:eastAsia="it-IT"/>
        </w:rPr>
        <w:t>s</w:t>
      </w:r>
      <w:r w:rsidRPr="00231186">
        <w:rPr>
          <w:i/>
          <w:color w:val="000000"/>
          <w:lang w:val="sq-AL" w:eastAsia="it-IT"/>
        </w:rPr>
        <w:t>htuar pranë autoriteteve doganore që duhej kryer në lidhje me këto importe. Ky import mallrash do të trajtohet si një furnizim mallrash i kryer nga importuesi për veten e tij si pjesë e veprimtarisë së tij ekonomike, me efekt lindjen e detyrimit të importuesit për të paguar këtë tatim mbi vlerën e shtuar ndaj administratës tatimore dhe të drejtën e tij për të zbritur këtë tatim mbi vlerën e shtuar.</w:t>
      </w:r>
      <w:r w:rsidRPr="00231186">
        <w:rPr>
          <w:color w:val="000000"/>
          <w:lang w:val="sq-AL" w:eastAsia="it-IT"/>
        </w:rPr>
        <w:t>..”;</w:t>
      </w:r>
    </w:p>
    <w:p w:rsidR="007854FA" w:rsidRPr="00231186" w:rsidRDefault="007854FA" w:rsidP="007854FA">
      <w:pPr>
        <w:pStyle w:val="Paragrafi"/>
        <w:rPr>
          <w:color w:val="000000"/>
          <w:lang w:val="sq-AL" w:eastAsia="it-IT"/>
        </w:rPr>
      </w:pPr>
      <w:r w:rsidRPr="00231186">
        <w:rPr>
          <w:color w:val="000000"/>
          <w:lang w:val="sq-AL" w:eastAsia="it-IT"/>
        </w:rPr>
        <w:t>2. G</w:t>
      </w:r>
      <w:r>
        <w:rPr>
          <w:color w:val="000000"/>
          <w:lang w:val="sq-AL" w:eastAsia="it-IT"/>
        </w:rPr>
        <w:t>e</w:t>
      </w:r>
      <w:r w:rsidRPr="00231186">
        <w:rPr>
          <w:color w:val="000000"/>
          <w:lang w:val="sq-AL" w:eastAsia="it-IT"/>
        </w:rPr>
        <w:t xml:space="preserve">rmës </w:t>
      </w:r>
      <w:r>
        <w:rPr>
          <w:color w:val="000000"/>
          <w:lang w:val="sq-AL" w:eastAsia="it-IT"/>
        </w:rPr>
        <w:t>“</w:t>
      </w:r>
      <w:r w:rsidRPr="00231186">
        <w:rPr>
          <w:color w:val="000000"/>
          <w:lang w:val="sq-AL" w:eastAsia="it-IT"/>
        </w:rPr>
        <w:t>b</w:t>
      </w:r>
      <w:r>
        <w:rPr>
          <w:color w:val="000000"/>
          <w:lang w:val="sq-AL" w:eastAsia="it-IT"/>
        </w:rPr>
        <w:t>”</w:t>
      </w:r>
      <w:r w:rsidRPr="00231186">
        <w:rPr>
          <w:color w:val="000000"/>
          <w:lang w:val="sq-AL" w:eastAsia="it-IT"/>
        </w:rPr>
        <w:t xml:space="preserve"> që parashikon se “</w:t>
      </w:r>
      <w:r w:rsidRPr="00231186">
        <w:rPr>
          <w:i/>
          <w:color w:val="000000"/>
          <w:lang w:val="sq-AL" w:eastAsia="it-IT"/>
        </w:rPr>
        <w:t xml:space="preserve">Në lidhje me furnizimin e mallrave dhe shërbimeve brenda vendit nga një kontraktues i Nivelit të Parë ose një Kontraktues i Nivelit të </w:t>
      </w:r>
      <w:r>
        <w:rPr>
          <w:i/>
          <w:color w:val="000000"/>
          <w:lang w:val="sq-AL" w:eastAsia="it-IT"/>
        </w:rPr>
        <w:t>D</w:t>
      </w:r>
      <w:r w:rsidRPr="00231186">
        <w:rPr>
          <w:i/>
          <w:color w:val="000000"/>
          <w:lang w:val="sq-AL" w:eastAsia="it-IT"/>
        </w:rPr>
        <w:t xml:space="preserve">ytë, vetëm marrësi i mallrave dhe/ose shërbimeve do të jetë i detyruar të paguajë </w:t>
      </w:r>
      <w:r>
        <w:rPr>
          <w:i/>
          <w:color w:val="000000"/>
          <w:lang w:val="sq-AL" w:eastAsia="it-IT"/>
        </w:rPr>
        <w:t>t</w:t>
      </w:r>
      <w:r w:rsidRPr="00231186">
        <w:rPr>
          <w:i/>
          <w:color w:val="000000"/>
          <w:lang w:val="sq-AL" w:eastAsia="it-IT"/>
        </w:rPr>
        <w:t>atimin mbi vlerën e shtuar ndaj administratës tatimore dhe ka të drejtën për të zbritur këtë tatim mbi vlerën e shtuar .</w:t>
      </w:r>
      <w:r w:rsidRPr="00231186">
        <w:rPr>
          <w:color w:val="000000"/>
          <w:lang w:val="sq-AL" w:eastAsia="it-IT"/>
        </w:rPr>
        <w:t>..”;</w:t>
      </w:r>
    </w:p>
    <w:p w:rsidR="007854FA" w:rsidRPr="00231186" w:rsidRDefault="007854FA" w:rsidP="007854FA">
      <w:pPr>
        <w:pStyle w:val="Paragrafi"/>
        <w:rPr>
          <w:color w:val="000000"/>
          <w:lang w:val="sq-AL" w:eastAsia="it-IT"/>
        </w:rPr>
      </w:pPr>
      <w:r w:rsidRPr="00231186">
        <w:rPr>
          <w:color w:val="000000"/>
          <w:lang w:val="sq-AL" w:eastAsia="it-IT"/>
        </w:rPr>
        <w:t>3. G</w:t>
      </w:r>
      <w:r>
        <w:rPr>
          <w:color w:val="000000"/>
          <w:lang w:val="sq-AL" w:eastAsia="it-IT"/>
        </w:rPr>
        <w:t>e</w:t>
      </w:r>
      <w:r w:rsidRPr="00231186">
        <w:rPr>
          <w:color w:val="000000"/>
          <w:lang w:val="sq-AL" w:eastAsia="it-IT"/>
        </w:rPr>
        <w:t xml:space="preserve">rmës </w:t>
      </w:r>
      <w:r>
        <w:rPr>
          <w:color w:val="000000"/>
          <w:lang w:val="sq-AL" w:eastAsia="it-IT"/>
        </w:rPr>
        <w:t>“</w:t>
      </w:r>
      <w:r w:rsidRPr="00231186">
        <w:rPr>
          <w:color w:val="000000"/>
          <w:lang w:val="sq-AL" w:eastAsia="it-IT"/>
        </w:rPr>
        <w:t>e</w:t>
      </w:r>
      <w:r>
        <w:rPr>
          <w:color w:val="000000"/>
          <w:lang w:val="sq-AL" w:eastAsia="it-IT"/>
        </w:rPr>
        <w:t>”</w:t>
      </w:r>
      <w:r w:rsidRPr="00231186">
        <w:rPr>
          <w:color w:val="000000"/>
          <w:lang w:val="sq-AL" w:eastAsia="it-IT"/>
        </w:rPr>
        <w:t>, që parashikon se “</w:t>
      </w:r>
      <w:r w:rsidRPr="00231186">
        <w:rPr>
          <w:i/>
          <w:color w:val="000000"/>
          <w:lang w:val="sq-AL" w:eastAsia="it-IT"/>
        </w:rPr>
        <w:t xml:space="preserve">Importuesi sipas shkronjës </w:t>
      </w:r>
      <w:r>
        <w:rPr>
          <w:i/>
          <w:color w:val="000000"/>
          <w:lang w:val="sq-AL" w:eastAsia="it-IT"/>
        </w:rPr>
        <w:t>“</w:t>
      </w:r>
      <w:r w:rsidRPr="00231186">
        <w:rPr>
          <w:i/>
          <w:color w:val="000000"/>
          <w:lang w:val="sq-AL" w:eastAsia="it-IT"/>
        </w:rPr>
        <w:t>a</w:t>
      </w:r>
      <w:r>
        <w:rPr>
          <w:i/>
          <w:color w:val="000000"/>
          <w:lang w:val="sq-AL" w:eastAsia="it-IT"/>
        </w:rPr>
        <w:t>”</w:t>
      </w:r>
      <w:r w:rsidRPr="00231186">
        <w:rPr>
          <w:i/>
          <w:color w:val="000000"/>
          <w:lang w:val="sq-AL" w:eastAsia="it-IT"/>
        </w:rPr>
        <w:t xml:space="preserve"> dhe marrësi i furnizimeve të mallrave /shërbimeve sipas shkronjës </w:t>
      </w:r>
      <w:r>
        <w:rPr>
          <w:i/>
          <w:color w:val="000000"/>
          <w:lang w:val="sq-AL" w:eastAsia="it-IT"/>
        </w:rPr>
        <w:t>“</w:t>
      </w:r>
      <w:r w:rsidRPr="00231186">
        <w:rPr>
          <w:i/>
          <w:color w:val="000000"/>
          <w:lang w:val="sq-AL" w:eastAsia="it-IT"/>
        </w:rPr>
        <w:t>b</w:t>
      </w:r>
      <w:r>
        <w:rPr>
          <w:i/>
          <w:color w:val="000000"/>
          <w:lang w:val="sq-AL" w:eastAsia="it-IT"/>
        </w:rPr>
        <w:t>”</w:t>
      </w:r>
      <w:r w:rsidRPr="00231186">
        <w:rPr>
          <w:i/>
          <w:color w:val="000000"/>
          <w:lang w:val="sq-AL" w:eastAsia="it-IT"/>
        </w:rPr>
        <w:t xml:space="preserve"> do të lëshojë një faturë tatimore shitje për veten, ku do të rezultojë si furnizues dhe blerës i mallrave dhe i shërbimeve në të njëjtën kohë (autofaturimi) dhe ka të drejtë që në mënyrë të menjëhershme të zbresë nga TVSH</w:t>
      </w:r>
      <w:r>
        <w:rPr>
          <w:i/>
          <w:color w:val="000000"/>
          <w:lang w:val="sq-AL" w:eastAsia="it-IT"/>
        </w:rPr>
        <w:t>-ja</w:t>
      </w:r>
      <w:r w:rsidRPr="00231186">
        <w:rPr>
          <w:i/>
          <w:color w:val="000000"/>
          <w:lang w:val="sq-AL" w:eastAsia="it-IT"/>
        </w:rPr>
        <w:t xml:space="preserve"> e llogaritur mbi shitjet që i korrespondojnë këtyre importeve ose furnizimeve të mallrave ose shërbimeve, TVSH</w:t>
      </w:r>
      <w:r>
        <w:rPr>
          <w:i/>
          <w:color w:val="000000"/>
          <w:lang w:val="sq-AL" w:eastAsia="it-IT"/>
        </w:rPr>
        <w:t>-ja</w:t>
      </w:r>
      <w:r w:rsidRPr="00231186">
        <w:rPr>
          <w:i/>
          <w:color w:val="000000"/>
          <w:lang w:val="sq-AL" w:eastAsia="it-IT"/>
        </w:rPr>
        <w:t xml:space="preserve"> e zbatuar në këto blerje në të njëjtën shumë; pra nuk do të bëhet pagesë me para në dorë pranë administratës tatimore, me kusht të ketë të drejtë të zbresë këtë TVSH në blerje sipas dispozitave të </w:t>
      </w:r>
      <w:r>
        <w:rPr>
          <w:i/>
          <w:color w:val="000000"/>
          <w:lang w:val="sq-AL" w:eastAsia="it-IT"/>
        </w:rPr>
        <w:t>p</w:t>
      </w:r>
      <w:r w:rsidRPr="00231186">
        <w:rPr>
          <w:i/>
          <w:color w:val="000000"/>
          <w:lang w:val="sq-AL" w:eastAsia="it-IT"/>
        </w:rPr>
        <w:t xml:space="preserve">ërgjithshme të </w:t>
      </w:r>
      <w:r>
        <w:rPr>
          <w:i/>
          <w:color w:val="000000"/>
          <w:lang w:val="sq-AL" w:eastAsia="it-IT"/>
        </w:rPr>
        <w:t>l</w:t>
      </w:r>
      <w:r w:rsidRPr="00231186">
        <w:rPr>
          <w:i/>
          <w:color w:val="000000"/>
          <w:lang w:val="sq-AL" w:eastAsia="it-IT"/>
        </w:rPr>
        <w:t>igjit të zbatueshëm</w:t>
      </w:r>
      <w:r w:rsidRPr="00231186">
        <w:rPr>
          <w:color w:val="000000"/>
          <w:lang w:val="sq-AL" w:eastAsia="it-IT"/>
        </w:rPr>
        <w:t>”.</w:t>
      </w:r>
    </w:p>
    <w:p w:rsidR="007854FA" w:rsidRPr="00231186" w:rsidRDefault="007854FA" w:rsidP="007854FA">
      <w:pPr>
        <w:pStyle w:val="Paragrafi"/>
        <w:rPr>
          <w:lang w:val="sq-AL"/>
        </w:rPr>
      </w:pPr>
      <w:r w:rsidRPr="00231186">
        <w:rPr>
          <w:lang w:val="sq-AL"/>
        </w:rPr>
        <w:t xml:space="preserve">b) Referuar nenit 15 “Vetëfurnizimi i mallrave dhe shërbimeve”, të ligjit </w:t>
      </w:r>
      <w:r>
        <w:rPr>
          <w:lang w:val="sq-AL"/>
        </w:rPr>
        <w:t>n</w:t>
      </w:r>
      <w:r w:rsidRPr="00231186">
        <w:rPr>
          <w:lang w:val="sq-AL"/>
        </w:rPr>
        <w:t>r. 92/2014</w:t>
      </w:r>
      <w:r>
        <w:rPr>
          <w:lang w:val="sq-AL"/>
        </w:rPr>
        <w:t>,</w:t>
      </w:r>
      <w:r w:rsidRPr="00231186">
        <w:rPr>
          <w:lang w:val="sq-AL"/>
        </w:rPr>
        <w:t xml:space="preserve"> “Për tatimin mbi vlerën e shtuar në Republikën e Shqipërisë”, i cili përcakton se:</w:t>
      </w:r>
    </w:p>
    <w:p w:rsidR="007854FA" w:rsidRPr="00231186" w:rsidRDefault="007854FA" w:rsidP="007854FA">
      <w:pPr>
        <w:pStyle w:val="Paragrafi"/>
        <w:rPr>
          <w:color w:val="000000"/>
          <w:lang w:val="sq-AL"/>
        </w:rPr>
      </w:pPr>
      <w:r w:rsidRPr="00231186">
        <w:rPr>
          <w:color w:val="000000"/>
          <w:lang w:val="sq-AL" w:eastAsia="it-IT"/>
        </w:rPr>
        <w:t>“</w:t>
      </w:r>
      <w:r w:rsidRPr="00231186">
        <w:rPr>
          <w:i/>
          <w:color w:val="000000"/>
          <w:lang w:val="sq-AL" w:eastAsia="it-IT"/>
        </w:rPr>
        <w:t xml:space="preserve">Për qëllime të këtij ligji, konsiderohet si furnizim kundrejt pagesës nga personi i tatueshëm </w:t>
      </w:r>
      <w:r w:rsidRPr="00231186">
        <w:rPr>
          <w:i/>
          <w:color w:val="000000"/>
          <w:lang w:val="sq-AL"/>
        </w:rPr>
        <w:t>furnizimi i mallrave të prodhuara, të ndërtuara, të nxjerra, të përpunuara, të blera ose furnizimi i shërbimeve në kuadër të veprimtarisë së tij ekonomike për t’u përdorur për nevoja të kësaj veprimtarie</w:t>
      </w:r>
      <w:r w:rsidRPr="00231186">
        <w:rPr>
          <w:color w:val="000000"/>
          <w:lang w:val="sq-AL"/>
        </w:rPr>
        <w:t>”;</w:t>
      </w:r>
    </w:p>
    <w:p w:rsidR="007854FA" w:rsidRPr="00231186" w:rsidRDefault="007854FA" w:rsidP="007854FA">
      <w:pPr>
        <w:pStyle w:val="Paragrafi"/>
        <w:rPr>
          <w:lang w:val="sq-AL"/>
        </w:rPr>
      </w:pPr>
      <w:r w:rsidRPr="00231186">
        <w:rPr>
          <w:color w:val="000000"/>
          <w:lang w:val="sq-AL" w:eastAsia="it-IT"/>
        </w:rPr>
        <w:t>c) Referuar njoftimit të Komisionit Evropian për zbatimin e rregullave të ndihmës shtetërore për masat që lidhen me taksimin e biznesit</w:t>
      </w:r>
      <w:r w:rsidRPr="00231186">
        <w:rPr>
          <w:rStyle w:val="FootnoteReference"/>
          <w:rFonts w:cs="Courier New"/>
          <w:spacing w:val="-4"/>
          <w:szCs w:val="24"/>
          <w:lang w:val="sq-AL"/>
        </w:rPr>
        <w:footnoteReference w:id="2"/>
      </w:r>
      <w:r w:rsidRPr="00231186">
        <w:rPr>
          <w:color w:val="000000"/>
          <w:lang w:val="sq-AL" w:eastAsia="it-IT"/>
        </w:rPr>
        <w:t>, m</w:t>
      </w:r>
      <w:r w:rsidRPr="00231186">
        <w:rPr>
          <w:lang w:val="sq-AL"/>
        </w:rPr>
        <w:t xml:space="preserve">asat fiskale të një natyre të përgjithshme, të cilat zbatohen për të gjitha ndërmarrjet pa dallim, </w:t>
      </w:r>
      <w:r w:rsidRPr="00231186">
        <w:rPr>
          <w:i/>
          <w:lang w:val="sq-AL"/>
        </w:rPr>
        <w:t>nuk përbëjnë ndihmë shtetërore</w:t>
      </w:r>
      <w:r w:rsidRPr="00231186">
        <w:rPr>
          <w:lang w:val="sq-AL"/>
        </w:rPr>
        <w:t xml:space="preserve">. Sipas njoftimit, kur zbatohen masa taksash të një game më të gjerë për ndërmarrjet </w:t>
      </w:r>
      <w:r w:rsidRPr="00231186">
        <w:rPr>
          <w:i/>
          <w:lang w:val="sq-AL"/>
        </w:rPr>
        <w:t>që përmbushin kritere të caktuara</w:t>
      </w:r>
      <w:r w:rsidRPr="00231186">
        <w:rPr>
          <w:lang w:val="sq-AL"/>
        </w:rPr>
        <w:t xml:space="preserve">, të cilat lehtësojnë barrën e taksave që këto ndërmarrje do të duhej të përballonin në kushte normale, </w:t>
      </w:r>
      <w:r w:rsidRPr="00231186">
        <w:rPr>
          <w:i/>
          <w:lang w:val="sq-AL"/>
        </w:rPr>
        <w:t>selektiviteti</w:t>
      </w:r>
      <w:r w:rsidRPr="00231186">
        <w:rPr>
          <w:lang w:val="sq-AL"/>
        </w:rPr>
        <w:t xml:space="preserve"> i masave zakonisht vlerësohet sipas analizës në tr</w:t>
      </w:r>
      <w:r>
        <w:rPr>
          <w:lang w:val="sq-AL"/>
        </w:rPr>
        <w:t>i</w:t>
      </w:r>
      <w:r w:rsidRPr="00231186">
        <w:rPr>
          <w:lang w:val="sq-AL"/>
        </w:rPr>
        <w:t xml:space="preserve"> faza, konkretisht: </w:t>
      </w:r>
    </w:p>
    <w:p w:rsidR="007854FA" w:rsidRPr="00231186" w:rsidRDefault="007854FA" w:rsidP="007854FA">
      <w:pPr>
        <w:pStyle w:val="Paragrafi"/>
        <w:rPr>
          <w:lang w:val="sq-AL"/>
        </w:rPr>
      </w:pPr>
      <w:r w:rsidRPr="00231186">
        <w:rPr>
          <w:lang w:val="sq-AL"/>
        </w:rPr>
        <w:t xml:space="preserve">1. Identifikimi i sistemit të referencës; </w:t>
      </w:r>
    </w:p>
    <w:p w:rsidR="007854FA" w:rsidRPr="00231186" w:rsidRDefault="007854FA" w:rsidP="007854FA">
      <w:pPr>
        <w:pStyle w:val="Paragrafi"/>
        <w:rPr>
          <w:lang w:val="sq-AL"/>
        </w:rPr>
      </w:pPr>
      <w:r w:rsidRPr="00231186">
        <w:rPr>
          <w:lang w:val="sq-AL"/>
        </w:rPr>
        <w:t>2. Përcaktimi nëse një masë e caktuar përbën një përjashtim nga sistemi, pra nëse aplikohen diferencime ndërmjet operatorëve ekonomikë; si dhe</w:t>
      </w:r>
    </w:p>
    <w:p w:rsidR="007854FA" w:rsidRPr="00231186" w:rsidRDefault="007854FA" w:rsidP="007854FA">
      <w:pPr>
        <w:pStyle w:val="Paragrafi"/>
        <w:rPr>
          <w:lang w:val="sq-AL"/>
        </w:rPr>
      </w:pPr>
      <w:r w:rsidRPr="00231186">
        <w:rPr>
          <w:lang w:val="sq-AL"/>
        </w:rPr>
        <w:t xml:space="preserve">3. Nëse masa në fjalë përbën një përjashtim nga sistemi i referencës, duhet të përcaktohet, nëse masa e përjashtimit është e justifikueshme nga natyra ose skema e përgjithshme e sistemit (referencës). </w:t>
      </w:r>
    </w:p>
    <w:p w:rsidR="007854FA" w:rsidRPr="00231186" w:rsidRDefault="007854FA" w:rsidP="007854FA">
      <w:pPr>
        <w:pStyle w:val="Paragrafi"/>
        <w:rPr>
          <w:color w:val="000000"/>
          <w:lang w:val="sq-AL" w:eastAsia="it-IT"/>
        </w:rPr>
      </w:pPr>
      <w:r w:rsidRPr="00231186">
        <w:rPr>
          <w:color w:val="000000"/>
          <w:lang w:val="sq-AL" w:eastAsia="it-IT"/>
        </w:rPr>
        <w:t>Sa më lart, Komisioni i Ndihmës Shtetërore vlerëson se projektligji i sipërcituar nuk aktivizon burime shtetërore, duke qenë se nëpërmjet kësaj skeme të gjitha furnizimet e nevojshme ndërkombëtare/të huaja dhe vendase të lidhura me projektin TAP, në nivelin e parë dhe të dytë të furnizimeve për projektin TAP, do t’i nënshtrohen TVSH-së nëpërmjet sistemit të autofaturimit të parashikuar në nenin 15</w:t>
      </w:r>
      <w:r>
        <w:rPr>
          <w:color w:val="000000"/>
          <w:lang w:val="sq-AL" w:eastAsia="it-IT"/>
        </w:rPr>
        <w:t>,</w:t>
      </w:r>
      <w:r w:rsidRPr="00231186">
        <w:rPr>
          <w:color w:val="000000"/>
          <w:lang w:val="sq-AL" w:eastAsia="it-IT"/>
        </w:rPr>
        <w:t xml:space="preserve"> të ligjit nr. 92/2014</w:t>
      </w:r>
      <w:r>
        <w:rPr>
          <w:color w:val="000000"/>
          <w:lang w:val="sq-AL" w:eastAsia="it-IT"/>
        </w:rPr>
        <w:t>,</w:t>
      </w:r>
      <w:r w:rsidRPr="00231186">
        <w:rPr>
          <w:color w:val="000000"/>
          <w:lang w:val="sq-AL" w:eastAsia="it-IT"/>
        </w:rPr>
        <w:t xml:space="preserve"> “Për tatimin mbi vlerën e shtuar në Republikën e Shqipërisë”. Projektakti i sipërcituar përcakton mënyrën se si duhet të llogaritet TVSH për mallrat dhe shërbimet që blihen nga ana e ndërmarrjes, duke rregulluar pro</w:t>
      </w:r>
      <w:r>
        <w:rPr>
          <w:color w:val="000000"/>
          <w:lang w:val="sq-AL" w:eastAsia="it-IT"/>
        </w:rPr>
        <w:t>c</w:t>
      </w:r>
      <w:r w:rsidRPr="00231186">
        <w:rPr>
          <w:color w:val="000000"/>
          <w:lang w:val="sq-AL" w:eastAsia="it-IT"/>
        </w:rPr>
        <w:t xml:space="preserve">edurat administrative gjatë zbatimit të projektit. </w:t>
      </w:r>
    </w:p>
    <w:p w:rsidR="007854FA" w:rsidRPr="00231186" w:rsidRDefault="007854FA" w:rsidP="007854FA">
      <w:pPr>
        <w:pStyle w:val="Paragrafi"/>
        <w:rPr>
          <w:color w:val="000000"/>
          <w:lang w:val="sq-AL" w:eastAsia="it-IT"/>
        </w:rPr>
      </w:pPr>
      <w:r w:rsidRPr="00231186">
        <w:rPr>
          <w:color w:val="000000"/>
          <w:lang w:val="sq-AL" w:eastAsia="it-IT"/>
        </w:rPr>
        <w:lastRenderedPageBreak/>
        <w:t>Sa më lart, Komisioni i Ndihmës Shtetërore mbështetur në vlerësimet e mësipërme, në kuptim të nenit 4 të ligjit për ndihmën shtetërore, vlerëson se skema e sipërcituar nuk përbën ndihmë shtetërore, në kushtet kur mosplotësimi i të paktën një prej kritereve të sipërpërmendura (burime shtetërore) nuk provohet, duke qenë se këto kritere janë kumulative.</w:t>
      </w:r>
    </w:p>
    <w:p w:rsidR="007854FA" w:rsidRPr="00231186" w:rsidRDefault="007854FA" w:rsidP="007854FA">
      <w:pPr>
        <w:pStyle w:val="Paragrafi"/>
        <w:rPr>
          <w:sz w:val="14"/>
          <w:lang w:val="sq-AL"/>
        </w:rPr>
      </w:pPr>
    </w:p>
    <w:p w:rsidR="007854FA" w:rsidRPr="00231186" w:rsidRDefault="007854FA" w:rsidP="007854FA">
      <w:pPr>
        <w:pStyle w:val="NeniNr"/>
        <w:rPr>
          <w:lang w:val="sq-AL"/>
        </w:rPr>
      </w:pPr>
      <w:r w:rsidRPr="00231186">
        <w:rPr>
          <w:lang w:val="sq-AL"/>
        </w:rPr>
        <w:t>PËR KËTO ARSYE</w:t>
      </w:r>
      <w:r>
        <w:rPr>
          <w:lang w:val="sq-AL"/>
        </w:rPr>
        <w:t>,</w:t>
      </w:r>
    </w:p>
    <w:p w:rsidR="007854FA" w:rsidRPr="00231186" w:rsidRDefault="007854FA" w:rsidP="007854FA">
      <w:pPr>
        <w:pStyle w:val="Paragrafi"/>
        <w:rPr>
          <w:sz w:val="14"/>
          <w:lang w:val="sq-AL"/>
        </w:rPr>
      </w:pPr>
    </w:p>
    <w:p w:rsidR="007854FA" w:rsidRPr="00231186" w:rsidRDefault="007854FA" w:rsidP="007854FA">
      <w:pPr>
        <w:pStyle w:val="Paragrafi"/>
        <w:rPr>
          <w:lang w:val="sq-AL"/>
        </w:rPr>
      </w:pPr>
      <w:r w:rsidRPr="00231186">
        <w:rPr>
          <w:lang w:val="sq-AL"/>
        </w:rPr>
        <w:t>Komisioni i Ndihmës Shtetërore, në bazë të nen</w:t>
      </w:r>
      <w:r>
        <w:rPr>
          <w:lang w:val="sq-AL"/>
        </w:rPr>
        <w:t>eve</w:t>
      </w:r>
      <w:r w:rsidRPr="00231186">
        <w:rPr>
          <w:lang w:val="sq-AL"/>
        </w:rPr>
        <w:t xml:space="preserve"> 4, 17, 22 dhe 31, të </w:t>
      </w:r>
      <w:r>
        <w:rPr>
          <w:lang w:val="sq-AL"/>
        </w:rPr>
        <w:t>l</w:t>
      </w:r>
      <w:r w:rsidRPr="00231186">
        <w:rPr>
          <w:lang w:val="sq-AL"/>
        </w:rPr>
        <w:t xml:space="preserve">igjit </w:t>
      </w:r>
      <w:r>
        <w:rPr>
          <w:lang w:val="sq-AL"/>
        </w:rPr>
        <w:t>n</w:t>
      </w:r>
      <w:r w:rsidRPr="00231186">
        <w:rPr>
          <w:lang w:val="sq-AL"/>
        </w:rPr>
        <w:t>r. 9374, datë 21.4.2005</w:t>
      </w:r>
      <w:r>
        <w:rPr>
          <w:lang w:val="sq-AL"/>
        </w:rPr>
        <w:t>,</w:t>
      </w:r>
      <w:r w:rsidRPr="00231186">
        <w:rPr>
          <w:lang w:val="sq-AL"/>
        </w:rPr>
        <w:t xml:space="preserve"> “Për ndihmën shtetërore”, të ndryshuar: </w:t>
      </w:r>
    </w:p>
    <w:p w:rsidR="007854FA" w:rsidRPr="00231186" w:rsidRDefault="007854FA" w:rsidP="007854FA">
      <w:pPr>
        <w:pStyle w:val="Paragrafi"/>
        <w:rPr>
          <w:sz w:val="14"/>
          <w:lang w:val="sq-AL"/>
        </w:rPr>
      </w:pPr>
    </w:p>
    <w:p w:rsidR="007854FA" w:rsidRPr="00231186" w:rsidRDefault="007854FA" w:rsidP="007854FA">
      <w:pPr>
        <w:pStyle w:val="NeniNr"/>
        <w:rPr>
          <w:lang w:val="sq-AL"/>
        </w:rPr>
      </w:pPr>
      <w:r w:rsidRPr="00231186">
        <w:rPr>
          <w:lang w:val="sq-AL"/>
        </w:rPr>
        <w:t>VENDOSI :</w:t>
      </w:r>
    </w:p>
    <w:p w:rsidR="007854FA" w:rsidRPr="00231186" w:rsidRDefault="007854FA" w:rsidP="007854FA">
      <w:pPr>
        <w:pStyle w:val="Paragrafi"/>
        <w:rPr>
          <w:sz w:val="14"/>
          <w:lang w:val="sq-AL"/>
        </w:rPr>
      </w:pPr>
    </w:p>
    <w:p w:rsidR="007854FA" w:rsidRPr="00231186" w:rsidRDefault="007854FA" w:rsidP="007854FA">
      <w:pPr>
        <w:pStyle w:val="Paragrafi"/>
        <w:rPr>
          <w:lang w:val="sq-AL"/>
        </w:rPr>
      </w:pPr>
      <w:r w:rsidRPr="00231186">
        <w:rPr>
          <w:bCs/>
          <w:lang w:val="sq-AL"/>
        </w:rPr>
        <w:t>1. Skema e parashikuar në projektligjin “</w:t>
      </w:r>
      <w:r w:rsidRPr="00231186">
        <w:rPr>
          <w:lang w:val="sq-AL"/>
        </w:rPr>
        <w:t>Për ratifikimin e marrëveshjes së ndryshimit, ndërmjet Republikës së Shqipërisë, duke vepruar nëpërmjet Këshillit të Ministrave, dhe Trans Adriatic Pipeline AG, lidhur me marrëveshjen me qeverinë e vendit pritës”, nuk përbën ndihmë shtetërore, pasi një nga kriteret kumulative, burime shtetërore nuk provohet.</w:t>
      </w:r>
    </w:p>
    <w:p w:rsidR="007854FA" w:rsidRPr="00231186" w:rsidRDefault="007854FA" w:rsidP="007854FA">
      <w:pPr>
        <w:pStyle w:val="Paragrafi"/>
        <w:rPr>
          <w:lang w:val="sq-AL"/>
        </w:rPr>
      </w:pPr>
      <w:r w:rsidRPr="00231186">
        <w:rPr>
          <w:bCs/>
          <w:lang w:val="sq-AL"/>
        </w:rPr>
        <w:t>2. Ministria e Infrastrukturës dhe Energjisë bazuar në n</w:t>
      </w:r>
      <w:r>
        <w:rPr>
          <w:bCs/>
          <w:lang w:val="sq-AL"/>
        </w:rPr>
        <w:t>e</w:t>
      </w:r>
      <w:r w:rsidRPr="00231186">
        <w:rPr>
          <w:bCs/>
          <w:lang w:val="sq-AL"/>
        </w:rPr>
        <w:t>nin 20, pika 1, të ligjit nr. 9374, datë 21.4.2005</w:t>
      </w:r>
      <w:r>
        <w:rPr>
          <w:bCs/>
          <w:lang w:val="sq-AL"/>
        </w:rPr>
        <w:t>,</w:t>
      </w:r>
      <w:r w:rsidRPr="00231186">
        <w:rPr>
          <w:bCs/>
          <w:lang w:val="sq-AL"/>
        </w:rPr>
        <w:t xml:space="preserve"> “Për ndihmën shtetërore”, të njoftojë pranë Komisionit të Ndihmës Shtetërore në rastin eventual të çdo ndryshimi të marrëveshjes ndërmjet Republikës së Shqipërisë, duke vepruar nëpërmjet Këshillit të Ministrave dhe Trans Adriatic Pipeline AG.</w:t>
      </w:r>
    </w:p>
    <w:p w:rsidR="007854FA" w:rsidRPr="00231186" w:rsidRDefault="007854FA" w:rsidP="007854FA">
      <w:pPr>
        <w:pStyle w:val="Paragrafi"/>
        <w:rPr>
          <w:lang w:val="sq-AL"/>
        </w:rPr>
      </w:pPr>
      <w:r w:rsidRPr="00231186">
        <w:rPr>
          <w:lang w:val="sq-AL"/>
        </w:rPr>
        <w:t xml:space="preserve">3. Ky vendim të botohet në Fletoren Zyrtare. </w:t>
      </w:r>
    </w:p>
    <w:p w:rsidR="007854FA" w:rsidRPr="00231186" w:rsidRDefault="007854FA" w:rsidP="007854FA">
      <w:pPr>
        <w:pStyle w:val="Paragrafi"/>
        <w:rPr>
          <w:sz w:val="14"/>
          <w:lang w:val="sq-AL"/>
        </w:rPr>
      </w:pPr>
    </w:p>
    <w:p w:rsidR="007854FA" w:rsidRPr="00231186" w:rsidRDefault="007854FA" w:rsidP="007854FA">
      <w:pPr>
        <w:pStyle w:val="Paragrafi"/>
        <w:jc w:val="right"/>
        <w:rPr>
          <w:lang w:val="sq-AL"/>
        </w:rPr>
      </w:pPr>
      <w:r w:rsidRPr="00231186">
        <w:rPr>
          <w:lang w:val="sq-AL"/>
        </w:rPr>
        <w:t>KRYETARI</w:t>
      </w:r>
    </w:p>
    <w:p w:rsidR="007854FA" w:rsidRPr="00231186" w:rsidRDefault="007854FA" w:rsidP="007854FA">
      <w:pPr>
        <w:pStyle w:val="Paragrafi"/>
        <w:jc w:val="right"/>
        <w:rPr>
          <w:b/>
          <w:lang w:val="sq-AL"/>
        </w:rPr>
      </w:pPr>
      <w:r w:rsidRPr="00231186">
        <w:rPr>
          <w:b/>
          <w:lang w:val="sq-AL"/>
        </w:rPr>
        <w:t>Arben Ahmetaj</w:t>
      </w:r>
    </w:p>
    <w:p w:rsidR="00F06942" w:rsidRDefault="00F06942"/>
    <w:sectPr w:rsidR="00F0694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54FA" w:rsidRDefault="007854FA" w:rsidP="007854FA">
      <w:pPr>
        <w:spacing w:after="0" w:line="240" w:lineRule="auto"/>
      </w:pPr>
      <w:r>
        <w:separator/>
      </w:r>
    </w:p>
  </w:endnote>
  <w:endnote w:type="continuationSeparator" w:id="0">
    <w:p w:rsidR="007854FA" w:rsidRDefault="007854FA" w:rsidP="007854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charset w:val="00"/>
    <w:family w:val="roman"/>
    <w:pitch w:val="variable"/>
    <w:sig w:usb0="00000007" w:usb1="00000000" w:usb2="00000000" w:usb3="00000000" w:csb0="00000093" w:csb1="00000000"/>
  </w:font>
  <w:font w:name="Courier New">
    <w:panose1 w:val="020703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54FA" w:rsidRDefault="007854FA" w:rsidP="007854FA">
      <w:pPr>
        <w:spacing w:after="0" w:line="240" w:lineRule="auto"/>
      </w:pPr>
      <w:r>
        <w:separator/>
      </w:r>
    </w:p>
  </w:footnote>
  <w:footnote w:type="continuationSeparator" w:id="0">
    <w:p w:rsidR="007854FA" w:rsidRDefault="007854FA" w:rsidP="007854FA">
      <w:pPr>
        <w:spacing w:after="0" w:line="240" w:lineRule="auto"/>
      </w:pPr>
      <w:r>
        <w:continuationSeparator/>
      </w:r>
    </w:p>
  </w:footnote>
  <w:footnote w:id="1">
    <w:p w:rsidR="007854FA" w:rsidRPr="00231186" w:rsidRDefault="007854FA" w:rsidP="007854FA">
      <w:pPr>
        <w:pStyle w:val="FootnoteText"/>
        <w:ind w:firstLine="0"/>
        <w:rPr>
          <w:rFonts w:ascii="Garamond" w:hAnsi="Garamond"/>
          <w:lang w:val="en-US"/>
        </w:rPr>
      </w:pPr>
      <w:r w:rsidRPr="00231186">
        <w:rPr>
          <w:rStyle w:val="FootnoteReference"/>
          <w:rFonts w:ascii="Garamond" w:hAnsi="Garamond"/>
        </w:rPr>
        <w:footnoteRef/>
      </w:r>
      <w:r w:rsidRPr="00231186">
        <w:rPr>
          <w:rFonts w:ascii="Garamond" w:hAnsi="Garamond"/>
        </w:rPr>
        <w:t xml:space="preserve"> </w:t>
      </w:r>
      <w:r w:rsidRPr="00231186">
        <w:rPr>
          <w:rFonts w:ascii="Garamond" w:hAnsi="Garamond"/>
          <w:color w:val="000000"/>
        </w:rPr>
        <w:t>Ligji nr. 9590, datë 27.7.2006</w:t>
      </w:r>
      <w:r>
        <w:rPr>
          <w:rFonts w:ascii="Garamond" w:hAnsi="Garamond"/>
          <w:color w:val="000000"/>
        </w:rPr>
        <w:t>,</w:t>
      </w:r>
      <w:r w:rsidRPr="00231186">
        <w:rPr>
          <w:rFonts w:ascii="Garamond" w:hAnsi="Garamond"/>
          <w:color w:val="000000"/>
        </w:rPr>
        <w:t xml:space="preserve">  </w:t>
      </w:r>
      <w:r w:rsidRPr="00231186">
        <w:rPr>
          <w:rFonts w:ascii="Garamond" w:hAnsi="Garamond"/>
        </w:rPr>
        <w:t>“</w:t>
      </w:r>
      <w:r w:rsidRPr="00231186">
        <w:rPr>
          <w:rFonts w:ascii="Garamond" w:hAnsi="Garamond"/>
          <w:color w:val="000000"/>
        </w:rPr>
        <w:t xml:space="preserve">Për ratifikimin e </w:t>
      </w:r>
      <w:r w:rsidRPr="00231186">
        <w:rPr>
          <w:rFonts w:ascii="Garamond" w:hAnsi="Garamond"/>
        </w:rPr>
        <w:t>“M</w:t>
      </w:r>
      <w:r w:rsidRPr="00231186">
        <w:rPr>
          <w:rFonts w:ascii="Garamond" w:hAnsi="Garamond"/>
          <w:color w:val="000000"/>
        </w:rPr>
        <w:t>arrëveshjes së Stabilizim-Asocimit ndërmjet Republikës së Shqipërisë dhe komuniteteve evropiane e shteteve të tyre anëtare</w:t>
      </w:r>
      <w:r w:rsidRPr="00231186">
        <w:rPr>
          <w:rFonts w:ascii="Garamond" w:hAnsi="Garamond"/>
          <w:i/>
        </w:rPr>
        <w:t>”.</w:t>
      </w:r>
    </w:p>
  </w:footnote>
  <w:footnote w:id="2">
    <w:p w:rsidR="007854FA" w:rsidRPr="00A11D9F" w:rsidRDefault="007854FA" w:rsidP="007854FA">
      <w:pPr>
        <w:pStyle w:val="FootnoteText"/>
        <w:ind w:firstLine="0"/>
        <w:rPr>
          <w:rFonts w:ascii="Garamond" w:hAnsi="Garamond"/>
          <w:spacing w:val="-4"/>
          <w:lang w:val="en-US"/>
        </w:rPr>
      </w:pPr>
      <w:r w:rsidRPr="00A11D9F">
        <w:rPr>
          <w:rStyle w:val="FootnoteReference"/>
          <w:rFonts w:ascii="Garamond" w:hAnsi="Garamond"/>
          <w:spacing w:val="-4"/>
        </w:rPr>
        <w:footnoteRef/>
      </w:r>
      <w:r w:rsidRPr="00A11D9F">
        <w:rPr>
          <w:rFonts w:ascii="Garamond" w:hAnsi="Garamond"/>
          <w:spacing w:val="-4"/>
        </w:rPr>
        <w:t>http://ec.europa.eu/competition/state_aid/legislation/legislation.html</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A6D"/>
    <w:rsid w:val="00057A6D"/>
    <w:rsid w:val="001078F8"/>
    <w:rsid w:val="007854FA"/>
    <w:rsid w:val="00EB66DB"/>
    <w:rsid w:val="00F069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CBEEE8-E3E0-473F-9CAE-7A9B5EC8A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54FA"/>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854F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link w:val="Paragrafi"/>
    <w:locked/>
    <w:rsid w:val="007854FA"/>
    <w:rPr>
      <w:rFonts w:ascii="Garamond" w:eastAsia="MS Mincho" w:hAnsi="Garamond" w:cs="CG Times"/>
      <w:sz w:val="24"/>
    </w:rPr>
  </w:style>
  <w:style w:type="paragraph" w:customStyle="1" w:styleId="NeniNr">
    <w:name w:val="Neni_Nr"/>
    <w:next w:val="Normal"/>
    <w:link w:val="NeniNrChar"/>
    <w:rsid w:val="007854F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854F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link w:val="NeniNr"/>
    <w:rsid w:val="007854FA"/>
    <w:rPr>
      <w:rFonts w:ascii="Garamond" w:eastAsia="MS Mincho" w:hAnsi="Garamond" w:cs="CG Times"/>
      <w:sz w:val="24"/>
      <w:lang w:val="en-GB"/>
    </w:rPr>
  </w:style>
  <w:style w:type="character" w:styleId="Strong">
    <w:name w:val="Strong"/>
    <w:uiPriority w:val="22"/>
    <w:qFormat/>
    <w:rsid w:val="007854FA"/>
    <w:rPr>
      <w:b/>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7854FA"/>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7854F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7854FA"/>
    <w:rPr>
      <w:vertAlign w:val="superscript"/>
    </w:rPr>
  </w:style>
  <w:style w:type="paragraph" w:customStyle="1" w:styleId="Char2">
    <w:name w:val="Char2"/>
    <w:basedOn w:val="Normal"/>
    <w:link w:val="FootnoteReference"/>
    <w:uiPriority w:val="99"/>
    <w:rsid w:val="007854FA"/>
    <w:pPr>
      <w:spacing w:after="160" w:line="240" w:lineRule="exact"/>
      <w:ind w:firstLine="0"/>
      <w:jc w:val="left"/>
    </w:pPr>
    <w:rPr>
      <w:rFonts w:asciiTheme="minorHAnsi" w:eastAsia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1268</Words>
  <Characters>7228</Characters>
  <Application>Microsoft Office Word</Application>
  <DocSecurity>0</DocSecurity>
  <Lines>60</Lines>
  <Paragraphs>16</Paragraphs>
  <ScaleCrop>false</ScaleCrop>
  <Company/>
  <LinksUpToDate>false</LinksUpToDate>
  <CharactersWithSpaces>8480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4</cp:revision>
  <dcterms:created xsi:type="dcterms:W3CDTF">2018-08-06T13:07:00Z</dcterms:created>
  <dcterms:modified xsi:type="dcterms:W3CDTF">2018-08-06T13:20:00Z</dcterms:modified>
</cp:coreProperties>
</file>