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1CC" w:rsidRPr="00265B2D" w:rsidRDefault="00F321CC" w:rsidP="00F321CC">
      <w:pPr>
        <w:pStyle w:val="Akti"/>
        <w:rPr>
          <w:sz w:val="21"/>
          <w:szCs w:val="21"/>
        </w:rPr>
      </w:pPr>
      <w:bookmarkStart w:id="0" w:name="_GoBack"/>
      <w:bookmarkEnd w:id="0"/>
      <w:r w:rsidRPr="00265B2D">
        <w:rPr>
          <w:sz w:val="21"/>
          <w:szCs w:val="21"/>
        </w:rPr>
        <w:t>VENDIM</w:t>
      </w:r>
    </w:p>
    <w:p w:rsidR="00F321CC" w:rsidRPr="00265B2D" w:rsidRDefault="00F321CC" w:rsidP="00F321CC">
      <w:pPr>
        <w:pStyle w:val="NumriData"/>
        <w:rPr>
          <w:sz w:val="21"/>
          <w:szCs w:val="21"/>
        </w:rPr>
      </w:pPr>
      <w:r w:rsidRPr="00265B2D">
        <w:rPr>
          <w:sz w:val="21"/>
          <w:szCs w:val="21"/>
        </w:rPr>
        <w:t>Nr.602, datë 1.8.2009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</w:p>
    <w:p w:rsidR="00F321CC" w:rsidRPr="00265B2D" w:rsidRDefault="00F321CC" w:rsidP="00F321CC">
      <w:pPr>
        <w:pStyle w:val="Titulli0"/>
        <w:rPr>
          <w:sz w:val="21"/>
          <w:szCs w:val="21"/>
        </w:rPr>
      </w:pPr>
      <w:r w:rsidRPr="00265B2D">
        <w:rPr>
          <w:sz w:val="21"/>
          <w:szCs w:val="21"/>
        </w:rPr>
        <w:t>PËR SHPALLJEN E REZULTATIT PËRFUNDIMTAR TË ZGJEDHJEVE PËR KUVENDIN E SHQIPËRISË TË VITIT 2009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Komisioni Qendror i Zgjedhjeve në mbledhjen e datës  1.8.2009, me pjesëmarrjen e: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 xml:space="preserve">Arben </w:t>
      </w:r>
      <w:r w:rsidRPr="00265B2D">
        <w:rPr>
          <w:sz w:val="21"/>
          <w:szCs w:val="21"/>
        </w:rPr>
        <w:t>Ristani</w:t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  <w:t>Kryetar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Dëshira</w:t>
      </w:r>
      <w:r>
        <w:rPr>
          <w:sz w:val="21"/>
          <w:szCs w:val="21"/>
        </w:rPr>
        <w:tab/>
      </w:r>
      <w:r w:rsidRPr="00265B2D">
        <w:rPr>
          <w:sz w:val="21"/>
          <w:szCs w:val="21"/>
        </w:rPr>
        <w:t>Subashi</w:t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  <w:t>Zëvendëskryetare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 xml:space="preserve">Artan </w:t>
      </w:r>
      <w:r w:rsidRPr="00265B2D">
        <w:rPr>
          <w:sz w:val="21"/>
          <w:szCs w:val="21"/>
        </w:rPr>
        <w:t>Lazaj</w:t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  <w:t>Anëtar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Hysen</w:t>
      </w:r>
      <w:r>
        <w:rPr>
          <w:sz w:val="21"/>
          <w:szCs w:val="21"/>
        </w:rPr>
        <w:t xml:space="preserve"> </w:t>
      </w:r>
      <w:r w:rsidRPr="00265B2D">
        <w:rPr>
          <w:sz w:val="21"/>
          <w:szCs w:val="21"/>
        </w:rPr>
        <w:t>Osmanaj</w:t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265B2D">
        <w:rPr>
          <w:sz w:val="21"/>
          <w:szCs w:val="21"/>
        </w:rPr>
        <w:t>Anëtar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Klement</w:t>
      </w:r>
      <w:r>
        <w:rPr>
          <w:sz w:val="21"/>
          <w:szCs w:val="21"/>
        </w:rPr>
        <w:tab/>
        <w:t xml:space="preserve"> </w:t>
      </w:r>
      <w:r w:rsidRPr="00265B2D">
        <w:rPr>
          <w:sz w:val="21"/>
          <w:szCs w:val="21"/>
        </w:rPr>
        <w:t>Zguri</w:t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  <w:t>Anëtar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Pandeli</w:t>
      </w:r>
      <w:r>
        <w:rPr>
          <w:sz w:val="21"/>
          <w:szCs w:val="21"/>
        </w:rPr>
        <w:t xml:space="preserve"> </w:t>
      </w:r>
      <w:r w:rsidRPr="00265B2D">
        <w:rPr>
          <w:sz w:val="21"/>
          <w:szCs w:val="21"/>
        </w:rPr>
        <w:t>Varfi</w:t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  <w:t>Anëtar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Vera</w:t>
      </w:r>
      <w:r>
        <w:rPr>
          <w:sz w:val="21"/>
          <w:szCs w:val="21"/>
        </w:rPr>
        <w:t xml:space="preserve"> </w:t>
      </w:r>
      <w:r w:rsidRPr="00265B2D">
        <w:rPr>
          <w:sz w:val="21"/>
          <w:szCs w:val="21"/>
        </w:rPr>
        <w:t>Shtjefni</w:t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</w:r>
      <w:r w:rsidRPr="00265B2D">
        <w:rPr>
          <w:sz w:val="21"/>
          <w:szCs w:val="21"/>
        </w:rPr>
        <w:tab/>
        <w:t>Anëtare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s</w:t>
      </w:r>
      <w:r w:rsidRPr="00265B2D">
        <w:rPr>
          <w:sz w:val="21"/>
          <w:szCs w:val="21"/>
        </w:rPr>
        <w:t xml:space="preserve">hqyrtoi çështjen me: 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OBJEKT:  Shpalljen e rezultatit përfundimtar të zgjedhjeve për Kuvendin e Shqipërisë të vitit 2009.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BAZË LIGJORE:  Neni 2, pika 18, neni 21, pikat 1 dhe 8, neni 167</w:t>
      </w:r>
      <w:r>
        <w:rPr>
          <w:sz w:val="21"/>
          <w:szCs w:val="21"/>
        </w:rPr>
        <w:t>,</w:t>
      </w:r>
      <w:r w:rsidRPr="00265B2D">
        <w:rPr>
          <w:sz w:val="21"/>
          <w:szCs w:val="21"/>
        </w:rPr>
        <w:t xml:space="preserve"> të ligjit nr.10 019, datë 29.12.2008 “Kodi Zgjedhor i Republikës së Shqipërisë”.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KQZ-ja</w:t>
      </w:r>
      <w:r>
        <w:rPr>
          <w:sz w:val="21"/>
          <w:szCs w:val="21"/>
        </w:rPr>
        <w:t>,</w:t>
      </w:r>
      <w:r w:rsidRPr="00265B2D">
        <w:rPr>
          <w:sz w:val="21"/>
          <w:szCs w:val="21"/>
        </w:rPr>
        <w:t xml:space="preserve"> pasi shqyrtoi dokumentacionin e paraqitur dhe dëgjoi diskutimet e përfaqësuesve të partive politike</w:t>
      </w:r>
    </w:p>
    <w:p w:rsidR="00F321CC" w:rsidRPr="00265B2D" w:rsidRDefault="00F321CC" w:rsidP="00F321CC">
      <w:pPr>
        <w:pStyle w:val="TitulliTitull"/>
        <w:rPr>
          <w:sz w:val="21"/>
          <w:szCs w:val="21"/>
        </w:rPr>
      </w:pPr>
      <w:r w:rsidRPr="00265B2D">
        <w:rPr>
          <w:sz w:val="21"/>
          <w:szCs w:val="21"/>
        </w:rPr>
        <w:t>VËREN: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Në mbështetje të nenit 92 shkronja “gj” të Kushtetutës së Republikës së Shqipërisë, Presidenti i Republikës</w:t>
      </w:r>
      <w:r>
        <w:rPr>
          <w:sz w:val="21"/>
          <w:szCs w:val="21"/>
        </w:rPr>
        <w:t>,</w:t>
      </w:r>
      <w:r w:rsidRPr="00265B2D">
        <w:rPr>
          <w:sz w:val="21"/>
          <w:szCs w:val="21"/>
        </w:rPr>
        <w:t xml:space="preserve"> me dekretin </w:t>
      </w:r>
      <w:r>
        <w:rPr>
          <w:sz w:val="21"/>
          <w:szCs w:val="21"/>
        </w:rPr>
        <w:t>nr.</w:t>
      </w:r>
      <w:r w:rsidRPr="00265B2D">
        <w:rPr>
          <w:sz w:val="21"/>
          <w:szCs w:val="21"/>
        </w:rPr>
        <w:t>6008, datë 1</w:t>
      </w:r>
      <w:r>
        <w:rPr>
          <w:sz w:val="21"/>
          <w:szCs w:val="21"/>
        </w:rPr>
        <w:t>4.1.2009, caktoi datën 28.6.2009</w:t>
      </w:r>
      <w:r w:rsidRPr="00265B2D">
        <w:rPr>
          <w:sz w:val="21"/>
          <w:szCs w:val="21"/>
        </w:rPr>
        <w:t xml:space="preserve"> për zhvillimin e zgjedhjeve për  Kuvendin e Shqipërisë të vitit 2009.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Në datë 28.6.2009, në 12 zonat zgjed</w:t>
      </w:r>
      <w:r>
        <w:rPr>
          <w:sz w:val="21"/>
          <w:szCs w:val="21"/>
        </w:rPr>
        <w:t>hore në Republikën e Shqipërisë</w:t>
      </w:r>
      <w:r w:rsidRPr="00265B2D">
        <w:rPr>
          <w:sz w:val="21"/>
          <w:szCs w:val="21"/>
        </w:rPr>
        <w:t xml:space="preserve"> u zhvilluan zgjedhjet për Kuvendin e Shqipërisë. Pas përfundimit të procesit të votimit, KQZ-ja miratoi rezultatin e votimit për çdo zonë zgjedhore, mbi bazën e tabelave përmbledhëse të rezultateve të zonave të administrimit zgjedhor. Në disa raste, vendimet e KQZ-së për nxjerrjen e rezultatit në zonën zgjedhore u ankimuan në Komisionin Qendror të Zgjedhjeve. Gjithashtu</w:t>
      </w:r>
      <w:r>
        <w:rPr>
          <w:sz w:val="21"/>
          <w:szCs w:val="21"/>
        </w:rPr>
        <w:t>,</w:t>
      </w:r>
      <w:r w:rsidRPr="00265B2D">
        <w:rPr>
          <w:sz w:val="21"/>
          <w:szCs w:val="21"/>
        </w:rPr>
        <w:t xml:space="preserve"> në përfundim të shqyrtimeve administrative në KQZ, disa prej vendimeve të KQZ-së u ank</w:t>
      </w:r>
      <w:r>
        <w:rPr>
          <w:sz w:val="21"/>
          <w:szCs w:val="21"/>
        </w:rPr>
        <w:t>imuan në Kolegjin Zgjedhor</w:t>
      </w:r>
      <w:r w:rsidRPr="00265B2D">
        <w:rPr>
          <w:sz w:val="21"/>
          <w:szCs w:val="21"/>
        </w:rPr>
        <w:t xml:space="preserve"> pranë Gjykatës së Apelit Tiranë. Në përfundim të procedurave ankimore dhe kalimit të afateve ligjore të ankimit në KQZ dhe në Kolegjin Zgjedhor, Komisioni Qendror i Zgjedhjeve, mbi bazën e rezultatit të votimit për çdo zonë zgjedhore, në mbështetje të nenit 162 dhe 163 të Kodit Zgjedhor, përllogariti shpërndarjen e mandateve për çdo zonë zgjedhore, si dhe kandidatët fitues për çdo parti politike. Pas shpalljes së rezultatit për shpërndarjen e mandateve për çdo zonë zgjedhore</w:t>
      </w:r>
      <w:r>
        <w:rPr>
          <w:sz w:val="21"/>
          <w:szCs w:val="21"/>
        </w:rPr>
        <w:t>,</w:t>
      </w:r>
      <w:r w:rsidRPr="00265B2D">
        <w:rPr>
          <w:sz w:val="21"/>
          <w:szCs w:val="21"/>
        </w:rPr>
        <w:t xml:space="preserve"> si dhe në përfundim të procedurave ankimore dhe kalimit të afateve ligjore të ankimit në Kolegjin Zgjedhor, në mbështetje të nenit 21, pika 8, nenit 2, pika 18</w:t>
      </w:r>
      <w:r>
        <w:rPr>
          <w:sz w:val="21"/>
          <w:szCs w:val="21"/>
        </w:rPr>
        <w:t>,</w:t>
      </w:r>
      <w:r w:rsidRPr="00265B2D">
        <w:rPr>
          <w:sz w:val="21"/>
          <w:szCs w:val="21"/>
        </w:rPr>
        <w:t xml:space="preserve"> dhe nenit 167, KQZ</w:t>
      </w:r>
      <w:r>
        <w:rPr>
          <w:sz w:val="21"/>
          <w:szCs w:val="21"/>
        </w:rPr>
        <w:t>-ja</w:t>
      </w:r>
      <w:r w:rsidRPr="00265B2D">
        <w:rPr>
          <w:sz w:val="21"/>
          <w:szCs w:val="21"/>
        </w:rPr>
        <w:t xml:space="preserve"> shpall me vendim rezultatin përfundimtar të zgjedhjeve. Rezultati përfundimtar i zgjedhjeve, i shpallur nga KQZ-ja, duhet të përfshijë numrin e votave, numrin e mandateve dhe listën emërore të deputetëve të zgjedhur për çdo subjekt në çdo zonë zgjedhore, si dhe numrin e votave, numrin e mandateve dhe listën emërore të deputetëve të zgjedhur për çdo subjekt zgjedhor në shkallë vendi. 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</w:p>
    <w:p w:rsidR="00F321CC" w:rsidRPr="00265B2D" w:rsidRDefault="00F321CC" w:rsidP="00F321CC">
      <w:pPr>
        <w:pStyle w:val="VENDOSI0"/>
        <w:rPr>
          <w:sz w:val="21"/>
          <w:szCs w:val="21"/>
        </w:rPr>
      </w:pPr>
      <w:r w:rsidRPr="00265B2D">
        <w:rPr>
          <w:sz w:val="21"/>
          <w:szCs w:val="21"/>
        </w:rPr>
        <w:t>PËR KËTO ARSYE,</w:t>
      </w:r>
    </w:p>
    <w:p w:rsidR="00F321CC" w:rsidRPr="00265B2D" w:rsidRDefault="00F321CC" w:rsidP="00F321CC">
      <w:pPr>
        <w:pStyle w:val="Paragrafi0"/>
      </w:pP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Komisioni Qendror i Zgjedhjeve, bazuar në nenin 2, pika 18, neni 21, pikat 1 dhe 8</w:t>
      </w:r>
      <w:r>
        <w:rPr>
          <w:sz w:val="21"/>
          <w:szCs w:val="21"/>
        </w:rPr>
        <w:t>,</w:t>
      </w:r>
      <w:r w:rsidRPr="00265B2D">
        <w:rPr>
          <w:sz w:val="21"/>
          <w:szCs w:val="21"/>
        </w:rPr>
        <w:t xml:space="preserve">  dhe nenin 167 të ligjit nr.10019, datë 29.12.2009 “Kodi Zgjedhor i Republikës së Shqipërisë”,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</w:p>
    <w:p w:rsidR="00F321CC" w:rsidRPr="00265B2D" w:rsidRDefault="00F321CC" w:rsidP="00F321CC">
      <w:pPr>
        <w:pStyle w:val="VENDOSI0"/>
        <w:rPr>
          <w:sz w:val="21"/>
          <w:szCs w:val="21"/>
        </w:rPr>
      </w:pPr>
      <w:r w:rsidRPr="00265B2D">
        <w:rPr>
          <w:sz w:val="21"/>
          <w:szCs w:val="21"/>
        </w:rPr>
        <w:t>VENDOSI: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1. Të shpallë rezultatin përfundimtar të zgjedhjeve për Kuvendin e Shqipërisë të datës 28.6.2009, si më poshtë: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a) numrin e votave, numrin e mandateve  dhe listën emërore të deputetëve të zgjedhur për çdo subjekt në çdo zonë zgjedhore, sipas lidhjes nr.1 bashkëlidhur këtij vendimi;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b) numrin e votave, numrin e mandateve  dhe listën emërore të deputetëve të zgjedhur, në shkal</w:t>
      </w:r>
      <w:r>
        <w:rPr>
          <w:sz w:val="21"/>
          <w:szCs w:val="21"/>
        </w:rPr>
        <w:t>lë vendi, sipas lidhjes nr.</w:t>
      </w:r>
      <w:r w:rsidRPr="00265B2D">
        <w:rPr>
          <w:sz w:val="21"/>
          <w:szCs w:val="21"/>
        </w:rPr>
        <w:t>2 bashkëlidhur këtij vendimi.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  <w:r w:rsidRPr="00265B2D">
        <w:rPr>
          <w:sz w:val="21"/>
          <w:szCs w:val="21"/>
        </w:rPr>
        <w:t>2. Ky vendim hyn në fuqi menjëherë.</w:t>
      </w:r>
    </w:p>
    <w:p w:rsidR="00F321CC" w:rsidRPr="00265B2D" w:rsidRDefault="00F321CC" w:rsidP="00F321CC">
      <w:pPr>
        <w:pStyle w:val="Paragrafi0"/>
        <w:rPr>
          <w:sz w:val="21"/>
          <w:szCs w:val="21"/>
        </w:rPr>
      </w:pPr>
    </w:p>
    <w:p w:rsidR="00F321CC" w:rsidRPr="00265B2D" w:rsidRDefault="00F321CC" w:rsidP="00F321CC">
      <w:pPr>
        <w:pStyle w:val="Autoriteti"/>
        <w:rPr>
          <w:sz w:val="21"/>
          <w:szCs w:val="21"/>
        </w:rPr>
      </w:pPr>
      <w:r w:rsidRPr="00265B2D">
        <w:rPr>
          <w:sz w:val="21"/>
          <w:szCs w:val="21"/>
        </w:rPr>
        <w:t>Kryetari</w:t>
      </w:r>
    </w:p>
    <w:p w:rsidR="00F321CC" w:rsidRPr="00265B2D" w:rsidRDefault="00F321CC" w:rsidP="00F321CC">
      <w:pPr>
        <w:pStyle w:val="AutoritetiEmer"/>
        <w:rPr>
          <w:sz w:val="21"/>
          <w:szCs w:val="21"/>
        </w:rPr>
      </w:pPr>
      <w:r w:rsidRPr="00265B2D">
        <w:rPr>
          <w:sz w:val="21"/>
          <w:szCs w:val="21"/>
        </w:rPr>
        <w:t>Arben Ristani</w:t>
      </w: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>
        <w:rPr>
          <w:noProof/>
        </w:rPr>
        <w:drawing>
          <wp:inline distT="0" distB="0" distL="0" distR="0">
            <wp:extent cx="5934075" cy="8001000"/>
            <wp:effectExtent l="0" t="0" r="9525" b="0"/>
            <wp:docPr id="1" name="Picture 1" descr="Lidhja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 1_Page_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6" t="4221" r="8882" b="5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F96F32">
        <w:rPr>
          <w:noProof/>
        </w:rPr>
        <w:drawing>
          <wp:inline distT="0" distB="0" distL="0" distR="0">
            <wp:extent cx="5829300" cy="8343900"/>
            <wp:effectExtent l="0" t="0" r="0" b="0"/>
            <wp:docPr id="2" name="Picture 2" descr="Lidhja 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dhja 1_Page_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7" t="4221" r="8875" b="4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6057900" cy="8115300"/>
            <wp:effectExtent l="0" t="0" r="0" b="0"/>
            <wp:docPr id="3" name="Picture 3" descr="Lidhja 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dhja 1_Page_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7" t="3517" r="7056" b="4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934075" cy="8229600"/>
            <wp:effectExtent l="0" t="0" r="9525" b="0"/>
            <wp:docPr id="4" name="Picture 4" descr="Lidhja 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dhja 1_Page_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7" t="4221" r="8882" b="2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6057900" cy="8001000"/>
            <wp:effectExtent l="0" t="0" r="0" b="0"/>
            <wp:docPr id="5" name="Picture 5" descr="Lidhja 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dhja 1_Page_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5" t="2814" r="10703" b="2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6181725" cy="7486650"/>
            <wp:effectExtent l="0" t="0" r="9525" b="0"/>
            <wp:docPr id="6" name="Picture 6" descr="Lidhja 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dhja 1_Page_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6" t="3517" r="8882" b="11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829300" cy="8124825"/>
            <wp:effectExtent l="0" t="0" r="0" b="9525"/>
            <wp:docPr id="7" name="Picture 7" descr="Lidhja 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dhja 1_Page_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5" t="4221" r="8739" b="2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829300" cy="8181975"/>
            <wp:effectExtent l="0" t="0" r="0" b="9525"/>
            <wp:docPr id="8" name="Picture 8" descr="Lidhja 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idhja 1_Page_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5" t="3517" r="8739" b="11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943600" cy="7429500"/>
            <wp:effectExtent l="0" t="0" r="0" b="0"/>
            <wp:docPr id="9" name="Picture 9" descr="Lidhja 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idhja 1_Page_0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5" t="4221" r="8739" b="9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829300" cy="7886700"/>
            <wp:effectExtent l="0" t="0" r="0" b="0"/>
            <wp:docPr id="10" name="Picture 10" descr="Lidhja 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dhja 1_Page_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5" t="4221" r="8739" b="4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838825" cy="6972300"/>
            <wp:effectExtent l="0" t="0" r="9525" b="0"/>
            <wp:docPr id="11" name="Picture 11" descr="Lidhja 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dhja 1_Page_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6" t="4221" r="7062" b="25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486400" cy="6858000"/>
            <wp:effectExtent l="0" t="0" r="0" b="0"/>
            <wp:docPr id="12" name="Picture 12" descr="Lidhja 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idhja 1_Page_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0" t="4221" r="17502" b="29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B35C8C">
        <w:rPr>
          <w:noProof/>
        </w:rPr>
        <w:drawing>
          <wp:inline distT="0" distB="0" distL="0" distR="0">
            <wp:extent cx="5724525" cy="7429500"/>
            <wp:effectExtent l="0" t="0" r="9525" b="0"/>
            <wp:docPr id="13" name="Picture 13" descr="Lidhja 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dhja 1_Page_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7" t="4221" r="7056" b="4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A84A8B">
        <w:rPr>
          <w:noProof/>
        </w:rPr>
        <w:drawing>
          <wp:inline distT="0" distB="0" distL="0" distR="0">
            <wp:extent cx="5819775" cy="7315200"/>
            <wp:effectExtent l="0" t="0" r="9525" b="0"/>
            <wp:docPr id="14" name="Picture 14" descr="Lidhja 2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idhja 2_Page_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6" t="4221" r="3419" b="1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FD749D">
        <w:rPr>
          <w:noProof/>
        </w:rPr>
        <w:drawing>
          <wp:inline distT="0" distB="0" distL="0" distR="0">
            <wp:extent cx="5724525" cy="7429500"/>
            <wp:effectExtent l="0" t="0" r="9525" b="0"/>
            <wp:docPr id="15" name="Picture 15" descr="Lidhja 2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idhja 2_Page_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17" t="3413" r="10561"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FD749D">
        <w:rPr>
          <w:noProof/>
        </w:rPr>
        <w:drawing>
          <wp:inline distT="0" distB="0" distL="0" distR="0">
            <wp:extent cx="5600700" cy="7886700"/>
            <wp:effectExtent l="0" t="0" r="0" b="0"/>
            <wp:docPr id="16" name="Picture 16" descr="Lidhja 2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idhja 2_Page_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8" t="4221" r="10703" b="7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EA627F" w:rsidP="00F321CC">
      <w:pPr>
        <w:pStyle w:val="Figure"/>
      </w:pPr>
      <w:r w:rsidRPr="00FD749D">
        <w:rPr>
          <w:noProof/>
        </w:rPr>
        <w:drawing>
          <wp:inline distT="0" distB="0" distL="0" distR="0">
            <wp:extent cx="5838825" cy="7772400"/>
            <wp:effectExtent l="0" t="0" r="9525" b="0"/>
            <wp:docPr id="17" name="Picture 17" descr="Lidhja 2_P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dhja 2_Page_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7" t="4221" r="8882" b="7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Default="00F321CC" w:rsidP="00F321CC">
      <w:pPr>
        <w:pStyle w:val="Figure"/>
      </w:pPr>
    </w:p>
    <w:p w:rsidR="00F321CC" w:rsidRPr="00B35C8C" w:rsidRDefault="00EA627F" w:rsidP="00F321CC">
      <w:pPr>
        <w:pStyle w:val="Figure"/>
      </w:pPr>
      <w:r w:rsidRPr="00FD749D">
        <w:rPr>
          <w:noProof/>
        </w:rPr>
        <w:drawing>
          <wp:inline distT="0" distB="0" distL="0" distR="0">
            <wp:extent cx="5257800" cy="3429000"/>
            <wp:effectExtent l="0" t="0" r="0" b="0"/>
            <wp:docPr id="18" name="Picture 18" descr="Lidhja 2_Pag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idhja 2_Page_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17" t="4221" r="10561" b="56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1CC" w:rsidRDefault="00F321CC" w:rsidP="00F321CC">
      <w:pPr>
        <w:pStyle w:val="Figure"/>
      </w:pPr>
    </w:p>
    <w:p w:rsidR="00F321CC" w:rsidRPr="00F321CC" w:rsidRDefault="00F321CC" w:rsidP="00F321CC">
      <w:pPr>
        <w:pStyle w:val="Paragrafi0"/>
      </w:pPr>
    </w:p>
    <w:sectPr w:rsidR="00F321CC" w:rsidRPr="00F321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493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5820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627F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1CC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493D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E73C87-42FF-4166-84B2-97C7651D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93D"/>
    <w:rPr>
      <w:rFonts w:eastAsia="MS Mincho"/>
      <w:noProof/>
      <w:sz w:val="24"/>
      <w:szCs w:val="24"/>
      <w:lang w:val="it-IT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