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357FF" w:rsidRDefault="00A357FF" w:rsidP="00A357FF">
      <w:pPr>
        <w:pStyle w:val="NeniTitull"/>
        <w:keepNext w:val="0"/>
        <w:rPr>
          <w:spacing w:val="-4"/>
          <w:lang w:val="sq-AL"/>
        </w:rPr>
      </w:pPr>
      <w:r>
        <w:rPr>
          <w:spacing w:val="-4"/>
          <w:lang w:val="sq-AL"/>
        </w:rPr>
        <w:t xml:space="preserve">VENDIM </w:t>
      </w:r>
    </w:p>
    <w:p w:rsidR="00A357FF" w:rsidRDefault="00A357FF" w:rsidP="00A357FF">
      <w:pPr>
        <w:pStyle w:val="NeniTitull"/>
        <w:keepNext w:val="0"/>
        <w:rPr>
          <w:spacing w:val="-4"/>
          <w:szCs w:val="24"/>
          <w:lang w:val="sq-AL"/>
        </w:rPr>
      </w:pPr>
      <w:r>
        <w:rPr>
          <w:spacing w:val="-4"/>
          <w:szCs w:val="24"/>
          <w:lang w:val="sq-AL"/>
        </w:rPr>
        <w:t>Nr. 5, datë 10.4.2018</w:t>
      </w:r>
    </w:p>
    <w:p w:rsidR="00A357FF" w:rsidRDefault="00A357FF" w:rsidP="00A357FF">
      <w:pPr>
        <w:pStyle w:val="NeniTitull"/>
        <w:keepNext w:val="0"/>
        <w:rPr>
          <w:spacing w:val="-4"/>
          <w:sz w:val="14"/>
          <w:szCs w:val="24"/>
          <w:lang w:val="sq-AL"/>
        </w:rPr>
      </w:pPr>
    </w:p>
    <w:p w:rsidR="00A357FF" w:rsidRDefault="00A357FF" w:rsidP="00A357FF">
      <w:pPr>
        <w:pStyle w:val="NeniTitull"/>
        <w:keepNext w:val="0"/>
        <w:rPr>
          <w:spacing w:val="-4"/>
          <w:lang w:val="sq-AL"/>
        </w:rPr>
      </w:pPr>
      <w:r>
        <w:rPr>
          <w:spacing w:val="-4"/>
          <w:lang w:val="sq-AL"/>
        </w:rPr>
        <w:t xml:space="preserve">PËR DISA NDRYSHIME NË VENDIMIN NR. 16, DATË 12.4.2017, TË KOMITETIT PËR ZHVILLIMIN E RAJONEVE </w:t>
      </w:r>
    </w:p>
    <w:p w:rsidR="00A357FF" w:rsidRDefault="00A357FF" w:rsidP="00A357FF">
      <w:pPr>
        <w:pStyle w:val="NeniTitull"/>
        <w:keepNext w:val="0"/>
        <w:rPr>
          <w:spacing w:val="-4"/>
          <w:lang w:val="sq-AL"/>
        </w:rPr>
      </w:pPr>
      <w:r>
        <w:rPr>
          <w:spacing w:val="-4"/>
          <w:lang w:val="sq-AL"/>
        </w:rPr>
        <w:t xml:space="preserve">QË NDRYSHON VENDIMIN </w:t>
      </w:r>
    </w:p>
    <w:p w:rsidR="00A357FF" w:rsidRDefault="00A357FF" w:rsidP="00A357FF">
      <w:pPr>
        <w:pStyle w:val="NeniTitull"/>
        <w:keepNext w:val="0"/>
        <w:rPr>
          <w:spacing w:val="-4"/>
          <w:lang w:val="sq-AL"/>
        </w:rPr>
      </w:pPr>
      <w:r>
        <w:rPr>
          <w:spacing w:val="-4"/>
          <w:lang w:val="sq-AL"/>
        </w:rPr>
        <w:t xml:space="preserve">NR. 37, DATË 13.7.2016, </w:t>
      </w:r>
    </w:p>
    <w:p w:rsidR="00A357FF" w:rsidRDefault="00A357FF" w:rsidP="00A357FF">
      <w:pPr>
        <w:pStyle w:val="NeniTitull"/>
        <w:keepNext w:val="0"/>
        <w:rPr>
          <w:spacing w:val="-4"/>
          <w:lang w:val="sq-AL"/>
        </w:rPr>
      </w:pPr>
      <w:r>
        <w:rPr>
          <w:spacing w:val="-4"/>
          <w:lang w:val="sq-AL"/>
        </w:rPr>
        <w:t xml:space="preserve">TË KOMITETIT PËR ZHVILLIMIN E RAJONEVE, “PËR SHPËRNDARJEN E FINANCIMIT PËR PROJEKTE TË GRANTIT “ARSIMI”, THIRRJA E DYTË, PROGRAMI I ZHVILLIMIT TË INFRASTRUKTURËS VENDORE DHE RAJONALE, SHTYLLA I, </w:t>
      </w:r>
    </w:p>
    <w:p w:rsidR="00A357FF" w:rsidRDefault="00A357FF" w:rsidP="00A357FF">
      <w:pPr>
        <w:pStyle w:val="NeniTitull"/>
        <w:keepNext w:val="0"/>
        <w:rPr>
          <w:spacing w:val="-4"/>
          <w:lang w:val="sq-AL"/>
        </w:rPr>
      </w:pPr>
      <w:r>
        <w:rPr>
          <w:spacing w:val="-4"/>
          <w:lang w:val="sq-AL"/>
        </w:rPr>
        <w:t>PËR VITIN 2016”</w:t>
      </w:r>
    </w:p>
    <w:p w:rsidR="00A357FF" w:rsidRDefault="00A357FF" w:rsidP="00A357FF">
      <w:pPr>
        <w:pStyle w:val="Paragrafi"/>
        <w:rPr>
          <w:spacing w:val="-4"/>
          <w:sz w:val="14"/>
          <w:szCs w:val="24"/>
          <w:lang w:val="sq-AL"/>
        </w:rPr>
      </w:pPr>
    </w:p>
    <w:p w:rsidR="00A357FF" w:rsidRDefault="00A357FF" w:rsidP="00A357FF">
      <w:pPr>
        <w:pStyle w:val="Paragrafi"/>
        <w:rPr>
          <w:spacing w:val="-4"/>
          <w:szCs w:val="24"/>
          <w:lang w:val="sq-AL"/>
        </w:rPr>
      </w:pPr>
      <w:r>
        <w:rPr>
          <w:spacing w:val="-4"/>
          <w:szCs w:val="24"/>
          <w:lang w:val="sq-AL"/>
        </w:rPr>
        <w:t>Në mbështetje të nenit 100 të Kushtetutës, të nenit 16 dhe të aneksit 3, të ligjit nr. 109, datë 30.11.2017, “Për buxhetin e vitit 2018”, me propozim të ministrit të Arsimit, Sportit dhe Rinisë, Komiteti për Zhvillimin e Rajoneve</w:t>
      </w:r>
    </w:p>
    <w:p w:rsidR="00A357FF" w:rsidRDefault="00A357FF" w:rsidP="00A357FF">
      <w:pPr>
        <w:pStyle w:val="Paragrafi"/>
        <w:rPr>
          <w:caps/>
          <w:spacing w:val="-4"/>
          <w:sz w:val="14"/>
          <w:lang w:val="sq-AL"/>
        </w:rPr>
      </w:pPr>
    </w:p>
    <w:p w:rsidR="00A357FF" w:rsidRDefault="00A357FF" w:rsidP="00A357FF">
      <w:pPr>
        <w:pStyle w:val="NeniNr"/>
        <w:keepNext w:val="0"/>
        <w:rPr>
          <w:spacing w:val="-4"/>
          <w:lang w:val="sq-AL"/>
        </w:rPr>
      </w:pPr>
      <w:r>
        <w:rPr>
          <w:spacing w:val="-4"/>
          <w:lang w:val="sq-AL"/>
        </w:rPr>
        <w:t>VENDOSI:</w:t>
      </w:r>
    </w:p>
    <w:p w:rsidR="00A357FF" w:rsidRDefault="00A357FF" w:rsidP="00A357FF">
      <w:pPr>
        <w:pStyle w:val="Paragrafi"/>
        <w:rPr>
          <w:caps/>
          <w:spacing w:val="-4"/>
          <w:sz w:val="14"/>
          <w:lang w:val="sq-AL"/>
        </w:rPr>
      </w:pPr>
    </w:p>
    <w:p w:rsidR="00A357FF" w:rsidRDefault="00A357FF" w:rsidP="00A357FF">
      <w:pPr>
        <w:pStyle w:val="Paragrafi"/>
        <w:rPr>
          <w:rFonts w:eastAsia="Times New Roman"/>
          <w:szCs w:val="24"/>
          <w:lang w:val="sq-AL"/>
        </w:rPr>
      </w:pPr>
      <w:r>
        <w:rPr>
          <w:rFonts w:eastAsia="Times New Roman"/>
          <w:spacing w:val="-4"/>
          <w:szCs w:val="24"/>
          <w:lang w:val="sq-AL"/>
        </w:rPr>
        <w:t>1. Në tabelën 1, që i bashkëlidhet vendimit nr. 16, datë 12.4.2017, të Komitetit për Zhvillimin e Rajoneve që ndryshon vendimin nr. 37, datë 13.7.2016, të Komitetit për Zhvillimin e Rajoneve, “Për shpërndarjen e financimit për projekte të grantit “Arsimi”, thirrja e dytë, Programi i Zhvillimit të Infrastrukturës Vendore dhe Rajonale, shtylla I, për vitin 2016”, bëhen ndryshimet sipas tabelës 1, bashkëlidhur këtij</w:t>
      </w:r>
      <w:r>
        <w:rPr>
          <w:rFonts w:eastAsia="Times New Roman"/>
          <w:szCs w:val="24"/>
          <w:lang w:val="sq-AL"/>
        </w:rPr>
        <w:t xml:space="preserve"> vendimi.</w:t>
      </w:r>
    </w:p>
    <w:p w:rsidR="00A357FF" w:rsidRDefault="00A357FF" w:rsidP="00A357FF">
      <w:pPr>
        <w:pStyle w:val="Paragrafi"/>
        <w:rPr>
          <w:rFonts w:eastAsia="Times New Roman"/>
          <w:szCs w:val="24"/>
          <w:lang w:val="sq-AL"/>
        </w:rPr>
      </w:pPr>
      <w:r>
        <w:rPr>
          <w:rFonts w:eastAsia="Times New Roman"/>
          <w:szCs w:val="24"/>
          <w:lang w:val="sq-AL"/>
        </w:rPr>
        <w:t>2. Ngarkohen ministri i Financave dhe Ekonomisë dhe ministri i Arsimit,</w:t>
      </w:r>
      <w:r>
        <w:rPr>
          <w:szCs w:val="24"/>
          <w:lang w:val="sq-AL"/>
        </w:rPr>
        <w:t xml:space="preserve"> Sportit</w:t>
      </w:r>
      <w:r>
        <w:rPr>
          <w:rFonts w:eastAsia="Times New Roman"/>
          <w:szCs w:val="24"/>
          <w:lang w:val="sq-AL"/>
        </w:rPr>
        <w:t xml:space="preserve"> dhe Rinisë për zbatimin e këtij vendimi.</w:t>
      </w:r>
    </w:p>
    <w:p w:rsidR="00A357FF" w:rsidRDefault="00A357FF" w:rsidP="00A357FF">
      <w:pPr>
        <w:pStyle w:val="Paragrafi"/>
        <w:rPr>
          <w:rFonts w:eastAsia="Times New Roman"/>
          <w:szCs w:val="24"/>
          <w:lang w:val="sq-AL"/>
        </w:rPr>
      </w:pPr>
      <w:r>
        <w:rPr>
          <w:rFonts w:eastAsia="Times New Roman"/>
          <w:szCs w:val="24"/>
          <w:lang w:val="sq-AL"/>
        </w:rPr>
        <w:t>Ky vendim hyn në fuqi pas botimit në Fletoren Zyrtare.</w:t>
      </w:r>
    </w:p>
    <w:p w:rsidR="00A357FF" w:rsidRDefault="00A357FF" w:rsidP="00A357FF">
      <w:pPr>
        <w:pStyle w:val="Paragrafi"/>
        <w:rPr>
          <w:sz w:val="14"/>
          <w:szCs w:val="24"/>
          <w:lang w:val="sq-AL"/>
        </w:rPr>
      </w:pPr>
    </w:p>
    <w:p w:rsidR="00A357FF" w:rsidRDefault="00A357FF" w:rsidP="00A357FF">
      <w:pPr>
        <w:pStyle w:val="Autoriteti"/>
        <w:keepNext w:val="0"/>
        <w:rPr>
          <w:lang w:val="sq-AL"/>
        </w:rPr>
      </w:pPr>
      <w:r>
        <w:rPr>
          <w:lang w:val="sq-AL"/>
        </w:rPr>
        <w:t>ZËvendësKRYETARI</w:t>
      </w:r>
    </w:p>
    <w:p w:rsidR="00A357FF" w:rsidRDefault="00A357FF" w:rsidP="00A357FF">
      <w:pPr>
        <w:pStyle w:val="AutoritetiEmer"/>
        <w:rPr>
          <w:rFonts w:eastAsia="Times New Roman"/>
          <w:lang w:val="sq-AL"/>
        </w:rPr>
      </w:pPr>
      <w:r>
        <w:rPr>
          <w:lang w:val="sq-AL"/>
        </w:rPr>
        <w:t>Senida Mesi</w:t>
      </w:r>
    </w:p>
    <w:p w:rsidR="00A357FF" w:rsidRDefault="00A357FF" w:rsidP="00A357FF">
      <w:pPr>
        <w:widowControl w:val="0"/>
        <w:tabs>
          <w:tab w:val="num" w:pos="1413"/>
        </w:tabs>
        <w:spacing w:after="0" w:line="240" w:lineRule="auto"/>
        <w:ind w:firstLine="0"/>
        <w:jc w:val="center"/>
        <w:rPr>
          <w:rFonts w:ascii="Garamond" w:hAnsi="Garamond"/>
          <w:sz w:val="24"/>
          <w:szCs w:val="24"/>
          <w:lang w:val="sq-AL"/>
        </w:rPr>
      </w:pPr>
    </w:p>
    <w:tbl>
      <w:tblPr>
        <w:tblStyle w:val="TableGrid"/>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5"/>
        <w:gridCol w:w="1278"/>
      </w:tblGrid>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Zëvendëskryeministri</w:t>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r>
              <w:rPr>
                <w:rFonts w:ascii="Garamond" w:eastAsia="Times New Roman" w:hAnsi="Garamond"/>
                <w:sz w:val="16"/>
                <w:szCs w:val="16"/>
                <w:lang w:val="sq-AL"/>
              </w:rPr>
              <w:tab/>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zëvendëskryetar;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Financave dhe Ekonomisë</w:t>
            </w:r>
          </w:p>
        </w:tc>
        <w:tc>
          <w:tcPr>
            <w:tcW w:w="1278" w:type="dxa"/>
            <w:hideMark/>
          </w:tcPr>
          <w:p w:rsidR="00A357FF" w:rsidRDefault="00A357FF">
            <w:pPr>
              <w:widowControl w:val="0"/>
              <w:tabs>
                <w:tab w:val="num" w:pos="1413"/>
              </w:tabs>
              <w:spacing w:after="0" w:line="240" w:lineRule="auto"/>
              <w:ind w:firstLine="0"/>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Infrastrukturës dhe Energjisë</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Arsimit, Sportit dhe Rinisë</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 xml:space="preserve">Ministri i Bujqësisë dhe Zhvillimit Rural </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Shëndetësisë dhe Mbrojtjes Sociale</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Ministri i Kulturës</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Turizmit dhe Mjedisit</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Brendshëm</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eastAsia="Times New Roman" w:hAnsi="Garamond"/>
                <w:sz w:val="16"/>
                <w:szCs w:val="16"/>
                <w:lang w:val="sq-AL"/>
              </w:rPr>
            </w:pPr>
            <w:r>
              <w:rPr>
                <w:rFonts w:ascii="Garamond" w:eastAsia="Times New Roman" w:hAnsi="Garamond"/>
                <w:sz w:val="16"/>
                <w:szCs w:val="16"/>
                <w:lang w:val="sq-AL"/>
              </w:rPr>
              <w:t>Ministri i Shtetit për Mbrojtjen e Sipërmarrjes</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së Bashkive të Shqipërisë</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për Autonomi Vendore</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Kryetari i Shoqatës së Qarqeve të Shqipërisë</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r w:rsidR="00A357FF" w:rsidTr="00A357FF">
        <w:tc>
          <w:tcPr>
            <w:tcW w:w="3085"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Përfaqësuesi i Fondit Shqiptar të Zhvillimit</w:t>
            </w:r>
          </w:p>
        </w:tc>
        <w:tc>
          <w:tcPr>
            <w:tcW w:w="1278" w:type="dxa"/>
            <w:hideMark/>
          </w:tcPr>
          <w:p w:rsidR="00A357FF" w:rsidRDefault="00A357FF">
            <w:pPr>
              <w:widowControl w:val="0"/>
              <w:tabs>
                <w:tab w:val="num" w:pos="1413"/>
              </w:tabs>
              <w:spacing w:after="0" w:line="240" w:lineRule="auto"/>
              <w:ind w:firstLine="0"/>
              <w:jc w:val="left"/>
              <w:rPr>
                <w:rFonts w:ascii="Garamond" w:hAnsi="Garamond"/>
                <w:sz w:val="16"/>
                <w:szCs w:val="16"/>
                <w:lang w:val="sq-AL"/>
              </w:rPr>
            </w:pPr>
            <w:r>
              <w:rPr>
                <w:rFonts w:ascii="Garamond" w:eastAsia="Times New Roman" w:hAnsi="Garamond"/>
                <w:sz w:val="16"/>
                <w:szCs w:val="16"/>
                <w:lang w:val="sq-AL"/>
              </w:rPr>
              <w:t>anëtar.</w:t>
            </w:r>
          </w:p>
        </w:tc>
      </w:tr>
    </w:tbl>
    <w:p w:rsidR="00A357FF" w:rsidRDefault="00A357FF" w:rsidP="00A357FF">
      <w:pPr>
        <w:widowControl w:val="0"/>
        <w:spacing w:after="0" w:line="240" w:lineRule="auto"/>
        <w:ind w:firstLine="0"/>
        <w:rPr>
          <w:rFonts w:ascii="Garamond" w:hAnsi="Garamond"/>
          <w:sz w:val="24"/>
          <w:szCs w:val="24"/>
          <w:lang w:val="sq-AL"/>
        </w:rPr>
      </w:pPr>
    </w:p>
    <w:p w:rsidR="00A357FF" w:rsidRDefault="00A357FF" w:rsidP="00A357FF">
      <w:pPr>
        <w:pStyle w:val="Paragrafi"/>
        <w:rPr>
          <w:lang w:val="sq-AL"/>
        </w:rPr>
      </w:pPr>
      <w:r>
        <w:rPr>
          <w:lang w:val="sq-AL"/>
        </w:rPr>
        <w:t>Në tabelën 1 që i bashkëlidhet vendimit nr. 16, datë 12.4.2017, të Komitetit për Zhvillimin e Rajoneve, që ndryshon vendimin nr. 37, datë 13.7.2016, “</w:t>
      </w:r>
      <w:r>
        <w:rPr>
          <w:color w:val="000000"/>
          <w:lang w:val="sq-AL"/>
        </w:rPr>
        <w:t>Për shpërndarjen e financimit për projekte të grantit “Arsimi”, thirrja e dytë, Programi i Zhvillimit të Infrastrukturës Vendore dhe Rajonale, shtylla I, për vitin 2016</w:t>
      </w:r>
      <w:r>
        <w:rPr>
          <w:lang w:val="sq-AL"/>
        </w:rPr>
        <w:t>”, bëhen ndryshimet, si më poshtë vijon:</w:t>
      </w:r>
    </w:p>
    <w:p w:rsidR="00A357FF" w:rsidRDefault="00A357FF" w:rsidP="00A357FF">
      <w:pPr>
        <w:pStyle w:val="Paragrafi"/>
        <w:rPr>
          <w:i/>
          <w:lang w:val="sq-AL"/>
        </w:rPr>
      </w:pPr>
      <w:r>
        <w:rPr>
          <w:lang w:val="sq-AL"/>
        </w:rPr>
        <w:t>Tabela 1. Lista e projekteve të reja për financim, thirrja e dytë, përmes grantit “Arsimi”, Programi i Zhvillimit të Infrastrukturës Vendore dhe Rajonale, shtylla I, për vitin 2016</w:t>
      </w:r>
    </w:p>
    <w:p w:rsidR="00A357FF" w:rsidRDefault="00A357FF" w:rsidP="00A357FF">
      <w:pPr>
        <w:spacing w:after="0" w:line="240" w:lineRule="auto"/>
        <w:ind w:firstLine="0"/>
        <w:jc w:val="left"/>
        <w:rPr>
          <w:rFonts w:ascii="Garamond" w:eastAsia="Times New Roman" w:hAnsi="Garamond"/>
          <w:i/>
          <w:sz w:val="24"/>
          <w:szCs w:val="24"/>
          <w:lang w:val="sq-AL"/>
        </w:rPr>
        <w:sectPr w:rsidR="00A357FF" w:rsidSect="00A357FF">
          <w:pgSz w:w="11907" w:h="16840"/>
          <w:pgMar w:top="720" w:right="1134" w:bottom="720" w:left="1134" w:header="851" w:footer="851" w:gutter="0"/>
          <w:pgNumType w:start="3244"/>
          <w:cols w:space="454"/>
        </w:sectPr>
      </w:pPr>
    </w:p>
    <w:p w:rsidR="00A357FF" w:rsidRDefault="00A357FF" w:rsidP="00A357FF">
      <w:pPr>
        <w:widowControl w:val="0"/>
        <w:tabs>
          <w:tab w:val="num" w:pos="1413"/>
        </w:tabs>
        <w:spacing w:after="0" w:line="240" w:lineRule="auto"/>
        <w:ind w:firstLine="0"/>
        <w:rPr>
          <w:rFonts w:ascii="Garamond" w:eastAsia="Times New Roman" w:hAnsi="Garamond"/>
          <w:i/>
          <w:sz w:val="24"/>
          <w:szCs w:val="24"/>
          <w:lang w:val="sq-AL"/>
        </w:rPr>
      </w:pPr>
    </w:p>
    <w:tbl>
      <w:tblPr>
        <w:tblW w:w="9805" w:type="dxa"/>
        <w:jc w:val="center"/>
        <w:tblLook w:val="04A0" w:firstRow="1" w:lastRow="0" w:firstColumn="1" w:lastColumn="0" w:noHBand="0" w:noVBand="1"/>
      </w:tblPr>
      <w:tblGrid>
        <w:gridCol w:w="535"/>
        <w:gridCol w:w="1620"/>
        <w:gridCol w:w="3240"/>
        <w:gridCol w:w="2160"/>
        <w:gridCol w:w="2250"/>
      </w:tblGrid>
      <w:tr w:rsidR="00A357FF" w:rsidTr="00A357FF">
        <w:trPr>
          <w:trHeight w:val="675"/>
          <w:jc w:val="center"/>
        </w:trPr>
        <w:tc>
          <w:tcPr>
            <w:tcW w:w="535" w:type="dxa"/>
            <w:tcBorders>
              <w:top w:val="single" w:sz="4" w:space="0" w:color="auto"/>
              <w:left w:val="single" w:sz="4" w:space="0" w:color="auto"/>
              <w:bottom w:val="single" w:sz="4" w:space="0" w:color="auto"/>
              <w:right w:val="single" w:sz="4" w:space="0" w:color="auto"/>
            </w:tcBorders>
            <w:vAlign w:val="center"/>
            <w:hideMark/>
          </w:tcPr>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Nr.</w:t>
            </w:r>
          </w:p>
        </w:tc>
        <w:tc>
          <w:tcPr>
            <w:tcW w:w="1620" w:type="dxa"/>
            <w:tcBorders>
              <w:top w:val="single" w:sz="4" w:space="0" w:color="auto"/>
              <w:left w:val="nil"/>
              <w:bottom w:val="single" w:sz="4" w:space="0" w:color="auto"/>
              <w:right w:val="single" w:sz="4" w:space="0" w:color="auto"/>
            </w:tcBorders>
            <w:vAlign w:val="center"/>
            <w:hideMark/>
          </w:tcPr>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Autoriteti kontraktues</w:t>
            </w:r>
          </w:p>
        </w:tc>
        <w:tc>
          <w:tcPr>
            <w:tcW w:w="3240" w:type="dxa"/>
            <w:tcBorders>
              <w:top w:val="single" w:sz="4" w:space="0" w:color="auto"/>
              <w:left w:val="nil"/>
              <w:bottom w:val="single" w:sz="4" w:space="0" w:color="auto"/>
              <w:right w:val="single" w:sz="4" w:space="0" w:color="auto"/>
            </w:tcBorders>
            <w:noWrap/>
            <w:vAlign w:val="center"/>
            <w:hideMark/>
          </w:tcPr>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Emërtimi i projektit</w:t>
            </w:r>
          </w:p>
        </w:tc>
        <w:tc>
          <w:tcPr>
            <w:tcW w:w="2160" w:type="dxa"/>
            <w:tcBorders>
              <w:top w:val="single" w:sz="4" w:space="0" w:color="auto"/>
              <w:left w:val="nil"/>
              <w:bottom w:val="single" w:sz="4" w:space="0" w:color="auto"/>
              <w:right w:val="single" w:sz="4" w:space="0" w:color="auto"/>
            </w:tcBorders>
            <w:vAlign w:val="center"/>
            <w:hideMark/>
          </w:tcPr>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plotë e projektit</w:t>
            </w:r>
          </w:p>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(në lekë)</w:t>
            </w:r>
          </w:p>
        </w:tc>
        <w:tc>
          <w:tcPr>
            <w:tcW w:w="2250" w:type="dxa"/>
            <w:tcBorders>
              <w:top w:val="single" w:sz="4" w:space="0" w:color="auto"/>
              <w:left w:val="nil"/>
              <w:bottom w:val="single" w:sz="4" w:space="0" w:color="auto"/>
              <w:right w:val="single" w:sz="4" w:space="0" w:color="auto"/>
            </w:tcBorders>
            <w:hideMark/>
          </w:tcPr>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Vlera e financimit për vitin 2018</w:t>
            </w:r>
          </w:p>
          <w:p w:rsidR="00A357FF" w:rsidRDefault="00A357FF">
            <w:pPr>
              <w:widowControl w:val="0"/>
              <w:spacing w:after="0" w:line="240" w:lineRule="auto"/>
              <w:ind w:firstLine="0"/>
              <w:jc w:val="center"/>
              <w:rPr>
                <w:rFonts w:ascii="Garamond" w:eastAsia="Times New Roman" w:hAnsi="Garamond"/>
                <w:b/>
                <w:bCs/>
                <w:color w:val="000000"/>
                <w:sz w:val="20"/>
                <w:szCs w:val="20"/>
                <w:lang w:val="sq-AL"/>
              </w:rPr>
            </w:pPr>
            <w:r>
              <w:rPr>
                <w:rFonts w:ascii="Garamond" w:eastAsia="Times New Roman" w:hAnsi="Garamond"/>
                <w:b/>
                <w:bCs/>
                <w:color w:val="000000"/>
                <w:sz w:val="20"/>
                <w:szCs w:val="20"/>
                <w:lang w:val="sq-AL"/>
              </w:rPr>
              <w:t>(në lekë)</w:t>
            </w:r>
          </w:p>
        </w:tc>
        <w:bookmarkStart w:id="0" w:name="_GoBack"/>
        <w:bookmarkEnd w:id="0"/>
      </w:tr>
      <w:tr w:rsidR="00A357FF" w:rsidTr="00A357FF">
        <w:trPr>
          <w:trHeight w:val="720"/>
          <w:jc w:val="center"/>
        </w:trPr>
        <w:tc>
          <w:tcPr>
            <w:tcW w:w="535" w:type="dxa"/>
            <w:tcBorders>
              <w:top w:val="nil"/>
              <w:left w:val="single" w:sz="4" w:space="0" w:color="auto"/>
              <w:bottom w:val="single" w:sz="4" w:space="0" w:color="auto"/>
              <w:right w:val="single" w:sz="4" w:space="0" w:color="auto"/>
            </w:tcBorders>
            <w:noWrap/>
            <w:vAlign w:val="center"/>
            <w:hideMark/>
          </w:tcPr>
          <w:p w:rsidR="00A357FF" w:rsidRDefault="00A357FF">
            <w:pPr>
              <w:widowControl w:val="0"/>
              <w:spacing w:after="0" w:line="240" w:lineRule="auto"/>
              <w:ind w:firstLine="0"/>
              <w:jc w:val="center"/>
              <w:rPr>
                <w:rFonts w:ascii="Garamond" w:eastAsia="Times New Roman" w:hAnsi="Garamond"/>
                <w:color w:val="000000"/>
                <w:sz w:val="20"/>
                <w:szCs w:val="20"/>
                <w:lang w:val="sq-AL"/>
              </w:rPr>
            </w:pPr>
            <w:r>
              <w:rPr>
                <w:rFonts w:ascii="Garamond" w:eastAsia="Times New Roman" w:hAnsi="Garamond"/>
                <w:color w:val="000000"/>
                <w:sz w:val="20"/>
                <w:szCs w:val="20"/>
                <w:lang w:val="sq-AL"/>
              </w:rPr>
              <w:t>1</w:t>
            </w:r>
          </w:p>
        </w:tc>
        <w:tc>
          <w:tcPr>
            <w:tcW w:w="1620" w:type="dxa"/>
            <w:tcBorders>
              <w:top w:val="nil"/>
              <w:left w:val="nil"/>
              <w:bottom w:val="single" w:sz="4" w:space="0" w:color="auto"/>
              <w:right w:val="single" w:sz="4" w:space="0" w:color="auto"/>
            </w:tcBorders>
            <w:vAlign w:val="center"/>
            <w:hideMark/>
          </w:tcPr>
          <w:p w:rsidR="00A357FF" w:rsidRDefault="00A357FF">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Bashkia Gramsh</w:t>
            </w:r>
          </w:p>
        </w:tc>
        <w:tc>
          <w:tcPr>
            <w:tcW w:w="3240" w:type="dxa"/>
            <w:tcBorders>
              <w:top w:val="nil"/>
              <w:left w:val="nil"/>
              <w:bottom w:val="single" w:sz="4" w:space="0" w:color="auto"/>
              <w:right w:val="single" w:sz="4" w:space="0" w:color="auto"/>
            </w:tcBorders>
            <w:vAlign w:val="center"/>
            <w:hideMark/>
          </w:tcPr>
          <w:p w:rsidR="00A357FF" w:rsidRDefault="00A357FF">
            <w:pPr>
              <w:widowControl w:val="0"/>
              <w:spacing w:after="0" w:line="240" w:lineRule="auto"/>
              <w:ind w:firstLine="0"/>
              <w:rPr>
                <w:rFonts w:ascii="Garamond" w:eastAsia="Times New Roman" w:hAnsi="Garamond"/>
                <w:color w:val="000000"/>
                <w:sz w:val="20"/>
                <w:szCs w:val="20"/>
                <w:lang w:val="sq-AL"/>
              </w:rPr>
            </w:pPr>
            <w:r>
              <w:rPr>
                <w:rFonts w:ascii="Garamond" w:eastAsia="Times New Roman" w:hAnsi="Garamond"/>
                <w:color w:val="000000"/>
                <w:sz w:val="20"/>
                <w:szCs w:val="20"/>
                <w:lang w:val="sq-AL"/>
              </w:rPr>
              <w:t>Rikonstruksion i shkollës 9-vjeçare “Asllan Shahini”, Bashkia Gramsh</w:t>
            </w:r>
          </w:p>
        </w:tc>
        <w:tc>
          <w:tcPr>
            <w:tcW w:w="2160" w:type="dxa"/>
            <w:tcBorders>
              <w:top w:val="nil"/>
              <w:left w:val="nil"/>
              <w:bottom w:val="single" w:sz="4" w:space="0" w:color="auto"/>
              <w:right w:val="single" w:sz="4" w:space="0" w:color="auto"/>
            </w:tcBorders>
            <w:noWrap/>
            <w:vAlign w:val="center"/>
            <w:hideMark/>
          </w:tcPr>
          <w:p w:rsidR="00A357FF" w:rsidRDefault="00A357FF">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55,024,983</w:t>
            </w:r>
          </w:p>
        </w:tc>
        <w:tc>
          <w:tcPr>
            <w:tcW w:w="2250" w:type="dxa"/>
            <w:tcBorders>
              <w:top w:val="nil"/>
              <w:left w:val="nil"/>
              <w:bottom w:val="single" w:sz="4" w:space="0" w:color="auto"/>
              <w:right w:val="single" w:sz="4" w:space="0" w:color="auto"/>
            </w:tcBorders>
          </w:tcPr>
          <w:p w:rsidR="00A357FF" w:rsidRDefault="00A357FF">
            <w:pPr>
              <w:widowControl w:val="0"/>
              <w:spacing w:after="0" w:line="240" w:lineRule="auto"/>
              <w:ind w:firstLine="0"/>
              <w:jc w:val="right"/>
              <w:rPr>
                <w:rFonts w:ascii="Garamond" w:eastAsia="Times New Roman" w:hAnsi="Garamond"/>
                <w:color w:val="000000"/>
                <w:sz w:val="20"/>
                <w:szCs w:val="20"/>
                <w:lang w:val="sq-AL"/>
              </w:rPr>
            </w:pPr>
          </w:p>
          <w:p w:rsidR="00A357FF" w:rsidRDefault="00A357FF">
            <w:pPr>
              <w:widowControl w:val="0"/>
              <w:spacing w:after="0" w:line="240" w:lineRule="auto"/>
              <w:ind w:firstLine="0"/>
              <w:jc w:val="right"/>
              <w:rPr>
                <w:rFonts w:ascii="Garamond" w:eastAsia="Times New Roman" w:hAnsi="Garamond"/>
                <w:color w:val="000000"/>
                <w:sz w:val="20"/>
                <w:szCs w:val="20"/>
                <w:lang w:val="sq-AL"/>
              </w:rPr>
            </w:pPr>
            <w:r>
              <w:rPr>
                <w:rFonts w:ascii="Garamond" w:eastAsia="Times New Roman" w:hAnsi="Garamond"/>
                <w:color w:val="000000"/>
                <w:sz w:val="20"/>
                <w:szCs w:val="20"/>
                <w:lang w:val="sq-AL"/>
              </w:rPr>
              <w:t>27,000,000</w:t>
            </w:r>
          </w:p>
        </w:tc>
      </w:tr>
    </w:tbl>
    <w:p w:rsidR="00A357FF" w:rsidRDefault="00A357FF" w:rsidP="00A357FF">
      <w:pPr>
        <w:widowControl w:val="0"/>
        <w:spacing w:after="0" w:line="240" w:lineRule="auto"/>
        <w:ind w:firstLine="0"/>
        <w:rPr>
          <w:rFonts w:ascii="Garamond" w:hAnsi="Garamond"/>
          <w:sz w:val="24"/>
          <w:szCs w:val="24"/>
          <w:lang w:val="sq-AL"/>
        </w:rPr>
      </w:pPr>
    </w:p>
    <w:p w:rsidR="00A357FF" w:rsidRDefault="00A357FF" w:rsidP="00A357FF">
      <w:pPr>
        <w:pStyle w:val="Paragrafi"/>
        <w:rPr>
          <w:lang w:val="sq-AL" w:eastAsia="en-GB"/>
        </w:rPr>
      </w:pPr>
      <w:r>
        <w:rPr>
          <w:lang w:val="sq-AL" w:eastAsia="en-GB"/>
        </w:rPr>
        <w:t>Shënim:</w:t>
      </w:r>
    </w:p>
    <w:p w:rsidR="00A357FF" w:rsidRDefault="00A357FF" w:rsidP="00A357FF">
      <w:pPr>
        <w:pStyle w:val="Paragrafi"/>
        <w:rPr>
          <w:lang w:val="sq-AL" w:eastAsia="en-GB"/>
        </w:rPr>
      </w:pPr>
      <w:r>
        <w:rPr>
          <w:lang w:val="sq-AL" w:eastAsia="en-GB"/>
        </w:rPr>
        <w:t>1. “Vlera e projektit” përfaqëson vlerën e financimit të projektit, miratuar me vendim të Komitetit për Zhvillimin e Rajoneve.</w:t>
      </w:r>
    </w:p>
    <w:p w:rsidR="00A357FF" w:rsidRDefault="00A357FF" w:rsidP="00A357FF">
      <w:pPr>
        <w:pStyle w:val="Paragrafi"/>
        <w:rPr>
          <w:lang w:val="sq-AL" w:eastAsia="en-GB"/>
        </w:rPr>
      </w:pPr>
      <w:r>
        <w:rPr>
          <w:lang w:val="sq-AL" w:eastAsia="en-GB"/>
        </w:rPr>
        <w:t xml:space="preserve">2. “Vlera e financimit për vitin 2018” është financimi që jepet për vitin 2018, me burim fondin për projekte në vazhdim, të programit buxhetor “Arsimi bazë” të Ministrisë së Arsimit dhe Sportit, për vitin </w:t>
      </w:r>
      <w:r>
        <w:rPr>
          <w:lang w:val="sq-AL" w:eastAsia="en-GB"/>
        </w:rPr>
        <w:lastRenderedPageBreak/>
        <w:t>2018.</w:t>
      </w:r>
    </w:p>
    <w:p w:rsidR="00A357FF" w:rsidRDefault="00A357FF" w:rsidP="00A357FF">
      <w:pPr>
        <w:pStyle w:val="Paragrafi"/>
        <w:rPr>
          <w:lang w:val="sq-AL" w:eastAsia="en-GB"/>
        </w:rPr>
      </w:pPr>
      <w:r>
        <w:rPr>
          <w:lang w:val="sq-AL" w:eastAsia="en-GB"/>
        </w:rPr>
        <w:t>3. Likuidimi financiar për vlerën e projektit (ose për vlerën e kontratës pas prokurimit publik) në vitet në vazhdim do të kryhet nga Ministria e Arsimit dhe Sportit, duke u bazuar edhe në ecurinë e zbatimit dhe të realizimit të projekteve, programuar në buxhet, me shtrirje në 2 vite.</w:t>
      </w:r>
    </w:p>
    <w:p w:rsidR="00A357FF" w:rsidRDefault="00A357FF" w:rsidP="00A357FF">
      <w:pPr>
        <w:spacing w:after="0" w:line="240" w:lineRule="auto"/>
        <w:ind w:firstLine="0"/>
        <w:jc w:val="left"/>
        <w:rPr>
          <w:rFonts w:ascii="Garamond" w:eastAsia="MS Mincho" w:hAnsi="Garamond" w:cs="CG Times"/>
          <w:b/>
          <w:bCs/>
          <w:sz w:val="24"/>
          <w:lang w:val="sq-AL"/>
        </w:rPr>
        <w:sectPr w:rsidR="00A357FF" w:rsidSect="00A357FF">
          <w:type w:val="continuous"/>
          <w:pgSz w:w="11907" w:h="16840"/>
          <w:pgMar w:top="720" w:right="1134" w:bottom="720" w:left="1134" w:header="851" w:footer="851" w:gutter="0"/>
          <w:pgNumType w:start="1"/>
          <w:cols w:space="720"/>
        </w:sectPr>
      </w:pPr>
    </w:p>
    <w:p w:rsidR="00534816" w:rsidRDefault="00534816"/>
    <w:sectPr w:rsidR="00534816" w:rsidSect="00A357F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57FF"/>
    <w:rsid w:val="00534816"/>
    <w:rsid w:val="00A357F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4ED0488-6529-4249-8130-468B9FE4FF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357FF"/>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A357FF"/>
    <w:rPr>
      <w:rFonts w:ascii="Garamond" w:eastAsia="MS Mincho" w:hAnsi="Garamond" w:cs="CG Times"/>
      <w:sz w:val="24"/>
    </w:rPr>
  </w:style>
  <w:style w:type="paragraph" w:customStyle="1" w:styleId="Paragrafi">
    <w:name w:val="Paragrafi"/>
    <w:link w:val="ParagrafiChar"/>
    <w:rsid w:val="00A357FF"/>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A357FF"/>
    <w:rPr>
      <w:rFonts w:ascii="Garamond" w:eastAsia="MS Mincho" w:hAnsi="Garamond" w:cs="CG Times"/>
      <w:sz w:val="24"/>
      <w:lang w:val="en-GB"/>
    </w:rPr>
  </w:style>
  <w:style w:type="paragraph" w:customStyle="1" w:styleId="NeniNr">
    <w:name w:val="Neni_Nr"/>
    <w:next w:val="Normal"/>
    <w:link w:val="NeniNrChar"/>
    <w:rsid w:val="00A357FF"/>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357FF"/>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Char">
    <w:name w:val="Autoriteti Char"/>
    <w:link w:val="Autoriteti"/>
    <w:locked/>
    <w:rsid w:val="00A357FF"/>
    <w:rPr>
      <w:rFonts w:ascii="Garamond" w:eastAsia="MS Mincho" w:hAnsi="Garamond" w:cs="CG Times"/>
      <w:caps/>
      <w:sz w:val="24"/>
      <w:lang w:val="en-GB"/>
    </w:rPr>
  </w:style>
  <w:style w:type="paragraph" w:customStyle="1" w:styleId="Autoriteti">
    <w:name w:val="Autoriteti"/>
    <w:next w:val="Normal"/>
    <w:link w:val="AutoritetiChar"/>
    <w:rsid w:val="00A357FF"/>
    <w:pPr>
      <w:keepNext/>
      <w:widowControl w:val="0"/>
      <w:spacing w:after="0" w:line="240" w:lineRule="auto"/>
      <w:jc w:val="right"/>
    </w:pPr>
    <w:rPr>
      <w:rFonts w:ascii="Garamond" w:eastAsia="MS Mincho" w:hAnsi="Garamond" w:cs="CG Times"/>
      <w:caps/>
      <w:sz w:val="24"/>
      <w:lang w:val="en-GB"/>
    </w:rPr>
  </w:style>
  <w:style w:type="character" w:customStyle="1" w:styleId="AutoritetiEmerChar">
    <w:name w:val="Autoriteti_Emer Char"/>
    <w:link w:val="AutoritetiEmer"/>
    <w:locked/>
    <w:rsid w:val="00A357FF"/>
    <w:rPr>
      <w:rFonts w:ascii="Garamond" w:eastAsia="MS Mincho" w:hAnsi="Garamond" w:cs="Times New Roman"/>
      <w:b/>
      <w:bCs/>
      <w:sz w:val="24"/>
      <w:lang w:val="en-GB"/>
    </w:rPr>
  </w:style>
  <w:style w:type="paragraph" w:customStyle="1" w:styleId="AutoritetiEmer">
    <w:name w:val="Autoriteti_Emer"/>
    <w:next w:val="Normal"/>
    <w:link w:val="AutoritetiEmerChar"/>
    <w:rsid w:val="00A357FF"/>
    <w:pPr>
      <w:widowControl w:val="0"/>
      <w:spacing w:after="0" w:line="240" w:lineRule="auto"/>
      <w:jc w:val="right"/>
    </w:pPr>
    <w:rPr>
      <w:rFonts w:ascii="Garamond" w:eastAsia="MS Mincho" w:hAnsi="Garamond" w:cs="Times New Roman"/>
      <w:b/>
      <w:bCs/>
      <w:sz w:val="24"/>
      <w:lang w:val="en-GB"/>
    </w:rPr>
  </w:style>
  <w:style w:type="table" w:styleId="TableGrid">
    <w:name w:val="Table Grid"/>
    <w:basedOn w:val="TableNormal"/>
    <w:uiPriority w:val="39"/>
    <w:rsid w:val="00A357FF"/>
    <w:pPr>
      <w:spacing w:after="0" w:line="240" w:lineRule="auto"/>
    </w:pPr>
    <w:rPr>
      <w:rFonts w:ascii="Times New Roman" w:eastAsia="MS Mincho"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3190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498</Words>
  <Characters>2844</Characters>
  <Application>Microsoft Office Word</Application>
  <DocSecurity>0</DocSecurity>
  <Lines>23</Lines>
  <Paragraphs>6</Paragraphs>
  <ScaleCrop>false</ScaleCrop>
  <Company/>
  <LinksUpToDate>false</LinksUpToDate>
  <CharactersWithSpaces>3336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2018-04-19T14:40:00Z</dcterms:created>
  <dcterms:modified xsi:type="dcterms:W3CDTF">2018-04-19T14:41:00Z</dcterms:modified>
</cp:coreProperties>
</file>