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E4B" w:rsidRPr="00D11D0F" w:rsidRDefault="00DB2389" w:rsidP="00E24E4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="00E24E4B" w:rsidRPr="00D11D0F">
        <w:rPr>
          <w:sz w:val="21"/>
          <w:szCs w:val="21"/>
        </w:rPr>
        <w:t>M</w:t>
      </w:r>
    </w:p>
    <w:p w:rsidR="00E24E4B" w:rsidRPr="00D11D0F" w:rsidRDefault="00E24E4B" w:rsidP="00E24E4B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Nr.32, datë 4.5.2006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E24E4B" w:rsidRPr="00D11D0F" w:rsidRDefault="00E24E4B" w:rsidP="00E24E4B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PËR NGRITJEN E KOMISIONIT HETIMOR TË KUVENDIT PËR HETIMIN E SHKARKIMEVE NË ADMINISTRATËN PUBLIKE</w:t>
      </w:r>
    </w:p>
    <w:p w:rsidR="00E24E4B" w:rsidRPr="00D11D0F" w:rsidRDefault="00E24E4B" w:rsidP="00E24E4B">
      <w:pPr>
        <w:pStyle w:val="Paragrafi"/>
        <w:ind w:firstLine="0"/>
        <w:rPr>
          <w:sz w:val="21"/>
          <w:szCs w:val="21"/>
        </w:rPr>
      </w:pPr>
    </w:p>
    <w:p w:rsidR="00E24E4B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Në mbështetje të neneve 77 dhe 78 të Kushtetutës,</w:t>
      </w:r>
      <w:r>
        <w:rPr>
          <w:sz w:val="21"/>
          <w:szCs w:val="21"/>
        </w:rPr>
        <w:t xml:space="preserve"> si dhe të ligjit nr.8891, </w:t>
      </w:r>
      <w:r w:rsidRPr="00D11D0F">
        <w:rPr>
          <w:sz w:val="21"/>
          <w:szCs w:val="21"/>
        </w:rPr>
        <w:t xml:space="preserve">datë 2.5.2002 “Për organizimin dhe funksionimin e komisioneve hetimore të Kuvendit”, me propozimin e një grupi deputetësh, 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E24E4B" w:rsidRPr="00D11D0F" w:rsidRDefault="00E24E4B" w:rsidP="00E24E4B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K U V E N D I </w:t>
      </w:r>
    </w:p>
    <w:p w:rsidR="00E24E4B" w:rsidRPr="00D11D0F" w:rsidRDefault="00E24E4B" w:rsidP="00E24E4B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E24E4B" w:rsidRPr="00D11D0F" w:rsidRDefault="00E24E4B" w:rsidP="00E24E4B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I. Ngrihet Komisioni Hetimor i Kuvendit për hetimin e shkarkimeve në administratën publike për periudhën 3 korrik 2005 deri më 31 mars 2006.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II. Objekt i hetimit të Komisionit Hetimor të Kuvendit është: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1. Zbatimi i dispozitave të ligjit nr.8549, datë 11.11.1999 “Statusi i nëpunësit civil” dhe të Kodit të Punës për rastet e largimit nga puna të nëpunësve të shërbimit civil dhe të punonjësve të tjerë për periudhën nën hetim.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2. Hetimi i shkaqeve të largimit nga puna të nëpunësve të administratës publike, administratës fiskale dhe asaj doganore.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3. Qëndrimi i mbajtur nga ana e Komisionit të Shërbimit Civil dhe sistemi gjyqësor për rastet e ankimimit të vendimeve të largimit nga puna të nëpunësve me statusin  e nëpunësit civil, si dhe rastet e tjera të largimeve kur janë zbatuar dispozitat e Kodit të Punës.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III. Komisioni përbëhet nga 11 anëtarë, 6 nga shumica parlamentare dhe 5 nga opozita. Kryetari i Komisionit i takon grupit nismëtar.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IV. Komisioni Hetimor e ushtron veprimtarinë e tij për një periudhë 3-mujore, duke filluar nga data e miratimit të përbërjes së tij.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V. Ngarkohen Kryetarja e Kuvendit dhe Sekretari i Përgjithshëm të caktojnë mjediset dhe mjetet e punës të Komisionit Hetimor.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VI. Ky vendim hyn në fuqi menjëherë.</w:t>
      </w:r>
    </w:p>
    <w:p w:rsidR="00E24E4B" w:rsidRPr="00D11D0F" w:rsidRDefault="00E24E4B" w:rsidP="00E24E4B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ZËVENDËSKRYETARI</w:t>
      </w:r>
    </w:p>
    <w:p w:rsidR="00E24E4B" w:rsidRPr="00680DB0" w:rsidRDefault="00E24E4B" w:rsidP="00E24E4B">
      <w:pPr>
        <w:pStyle w:val="AutoritetiEmer"/>
        <w:rPr>
          <w:sz w:val="21"/>
          <w:szCs w:val="21"/>
        </w:rPr>
      </w:pPr>
      <w:r w:rsidRPr="00D11D0F">
        <w:t>Fatos Beja</w:t>
      </w: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E24E4B" w:rsidRPr="00D11D0F" w:rsidRDefault="00E24E4B" w:rsidP="00E24E4B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B2389"/>
    <w:rsid w:val="00DC64E5"/>
    <w:rsid w:val="00DE3229"/>
    <w:rsid w:val="00E06AA7"/>
    <w:rsid w:val="00E24E4B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4E5315-0C75-4F6B-B6DA-0B5B5940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24E4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4E4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