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5A6" w:rsidRPr="00B83025" w:rsidRDefault="00F165A6" w:rsidP="00F165A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VENDIM</w:t>
      </w:r>
    </w:p>
    <w:p w:rsidR="00F165A6" w:rsidRPr="00B83025" w:rsidRDefault="00F165A6" w:rsidP="00F165A6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Nr.49, datë 13.7.2006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PËR LIRIMIN DHE EMËRIMIN E NJË ANËTARI TË GRUPIT MBIKËQYRËS TË KONTROLLIT FINANCIAR TË PERSONAVE JURIDIKË JOBANKARË QË KANË MARRË HUA NGA PUBLIKU I GJERË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BazLigjPropozues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Në mbështetje të nenit 78 të Kushtetutës, të nenit 2 të ligjit nr.8215, datë 9.5.1997 “Për kontrollin financiar të personave juridikë jobankarë që kanë marrë hua nga publiku i gjerë”, si dhe të nenit 111 të Rregullores së Kuvendit, me propozimin e një grupi deputetësh,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KUVENDI</w:t>
      </w:r>
    </w:p>
    <w:p w:rsidR="00F165A6" w:rsidRPr="00B83025" w:rsidRDefault="00F165A6" w:rsidP="00F165A6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I REPUBLIKËS SË SHQIPËRISË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I. Zoti Nail Kastrati lirohet nga detyra e anëtarit të grupit mbikëqyrës të kontrollit financiar të personave juridikë jobankarë që kanë marrë hua nga publiku i gjerë.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II. Zoti Pal Metaj caktohet anëtar i grupit mbikëqyrës të kontrollit financiar të personave juridikë jobankarë që kanë marrë hua nga publiku i gjerë në vend të zotit Nail Kastrati.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  <w:smartTag w:uri="urn:schemas-microsoft-com:office:smarttags" w:element="stockticker">
        <w:r w:rsidRPr="00B83025">
          <w:rPr>
            <w:sz w:val="21"/>
            <w:szCs w:val="21"/>
          </w:rPr>
          <w:t>III</w:t>
        </w:r>
      </w:smartTag>
      <w:r w:rsidRPr="00B83025">
        <w:rPr>
          <w:sz w:val="21"/>
          <w:szCs w:val="21"/>
        </w:rPr>
        <w:t>. Ky vendim hyn në fuqi menjëherë.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Autoritet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KRYETARE</w:t>
      </w:r>
    </w:p>
    <w:p w:rsidR="00F165A6" w:rsidRPr="00B83025" w:rsidRDefault="00F165A6" w:rsidP="00F165A6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Jozefina Topalli (Çoba)</w:t>
      </w: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F165A6" w:rsidRPr="00B83025" w:rsidRDefault="00F165A6" w:rsidP="00F165A6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50AEA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165A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14D979-F511-4211-ADCF-EABACEC0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F165A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65A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165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