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DC9" w:rsidRPr="007C6CBB" w:rsidRDefault="00533DC9" w:rsidP="00533DC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C6CBB">
        <w:rPr>
          <w:sz w:val="21"/>
          <w:szCs w:val="21"/>
        </w:rPr>
        <w:t>VENDIM</w:t>
      </w:r>
    </w:p>
    <w:p w:rsidR="00533DC9" w:rsidRPr="007C6CBB" w:rsidRDefault="00533DC9" w:rsidP="00533DC9">
      <w:pPr>
        <w:pStyle w:val="NumriData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Nr.88, datë 24.2.2011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Titull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PËR DISA NDRYSHIME NË VENDIMIN E KUVENDIT NR. 166, DATË 16.12.2004 “PËR MIRATIMIN E RREGULLORES SË KUVENDIT TË REPUBLIKËS SË SHQIPËRISË”, TË NDRYSHUAR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mbështetje të nenit  75 pika 2 të Kushtetutës dhe të nenit 117 të Rregullores së Kuvendit, me propozimin e një grupi deputetësh,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Institucion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 xml:space="preserve">KUVENDI </w:t>
      </w:r>
    </w:p>
    <w:p w:rsidR="00533DC9" w:rsidRPr="007C6CBB" w:rsidRDefault="00533DC9" w:rsidP="00533DC9">
      <w:pPr>
        <w:pStyle w:val="Institucion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I REPUBLIKËS SË SHQIPËRISË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VENDOS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VENDOSI: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vendimin e Kuvendit nr.166, datë 16.12.2004 “Rregullore e Kuvendit të Shqipërisë”, të ndryshuar, bëhen këto ndryshime: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1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nenin 45, fjalët “</w:t>
      </w:r>
      <w:smartTag w:uri="urn:schemas-microsoft-com:office:smarttags" w:element="place">
        <w:r w:rsidRPr="007C6CBB">
          <w:rPr>
            <w:sz w:val="21"/>
            <w:szCs w:val="21"/>
          </w:rPr>
          <w:t>Para</w:t>
        </w:r>
      </w:smartTag>
      <w:r w:rsidRPr="007C6CBB">
        <w:rPr>
          <w:sz w:val="21"/>
          <w:szCs w:val="21"/>
        </w:rPr>
        <w:t xml:space="preserve"> fillimit të rendit të ditës” zëvendësohen me fjalët “Në fund të rendit të ditës”.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po këtë nen, në fjalinë e fundit, fjalët “në fillimin e seancës plenare pasardhëse” zëvendësohen me fjalët “në fund të seancës plenare pasardhëse”.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2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nenin 63 shkronja “ç”, fjalët “15 ditë” bëhen “21 ditë”.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Default="00533DC9" w:rsidP="00533DC9">
      <w:pPr>
        <w:pStyle w:val="Paragrafi"/>
        <w:rPr>
          <w:sz w:val="21"/>
          <w:szCs w:val="21"/>
        </w:rPr>
      </w:pPr>
    </w:p>
    <w:p w:rsidR="00533DC9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3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nenin 64 shtohet pika 5 me këtë përmbajtje: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“5. Kur deputeti pengon zhvillimin e rregullt të seancës, nëpërmjet zaptimit të foltores dhe moslejimit të deputetit të radhës të marrë fjalën, për më shumë se 2 minuta, atëherë Kryetari i Kuvendit i tërheq vërejtjen dhe e paralajmëron për marrjen e masës së përjashtimit në rast vazhdimi.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rast se deputeti vazhdon të mbajë të zaptuar foltoren edhe pas tërheqjes së vërejtjes, për më shumë se një minutë, përjashtohet nga seanca plenare dhe komisionet me maksimumin e parashikuar në nenin 65 të Rregullores.”.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4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nenin 65 pika 2, fjalët “nga 2 deri në 15 ditë” zëvendësohen me fjalët “nga 7 deri në 21 ditë”.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5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nenin 118  bëhen këto ndryshime: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1. </w:t>
      </w:r>
      <w:smartTag w:uri="urn:schemas-microsoft-com:office:smarttags" w:element="place">
        <w:r w:rsidRPr="007C6CBB">
          <w:rPr>
            <w:sz w:val="21"/>
            <w:szCs w:val="21"/>
          </w:rPr>
          <w:t>Para</w:t>
        </w:r>
      </w:smartTag>
      <w:r w:rsidRPr="007C6CBB">
        <w:rPr>
          <w:sz w:val="21"/>
          <w:szCs w:val="21"/>
        </w:rPr>
        <w:t xml:space="preserve"> pikës 1 shtohet pika 1/1 me këtë përmbajtje: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“1/1. Heqja e imunitetit bëhet nëpërmjet kufizimit të tij për vepra penale të korrupsionit aktiv dhe pasiv, sipas Kodit Penal, në përputhje me vendimin përkatës të Kuvendit ose nëpërmjet heqjes së </w:t>
      </w:r>
      <w:r w:rsidRPr="007C6CBB">
        <w:rPr>
          <w:sz w:val="21"/>
          <w:szCs w:val="21"/>
        </w:rPr>
        <w:lastRenderedPageBreak/>
        <w:t>tij (autorizim për fillimin e ndjekjes penale), sipas kushteve dhe procedurave në këtë nen për të gjitha veprat penale. Vendimi i Kuvendit për kufizimin e imunitetit është pjesë përbërëse e Rregullores si aneksi 1 i saj.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2. Në pikën 1, fjalët “vë në dijeni Kuvendin në seancën plenare më të parë” zëvendësohen me fjalët “vë në dijeni deputetin.”.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3. Në pikën 4  hiqet fjala “së dytë”.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6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Ky vendim hyn në fuqi menjëherë.</w:t>
      </w:r>
    </w:p>
    <w:p w:rsidR="00533DC9" w:rsidRPr="007C6CBB" w:rsidRDefault="00533DC9" w:rsidP="00533DC9">
      <w:pPr>
        <w:pStyle w:val="Paragrafi"/>
        <w:rPr>
          <w:sz w:val="21"/>
          <w:szCs w:val="21"/>
        </w:rPr>
      </w:pPr>
    </w:p>
    <w:p w:rsidR="00533DC9" w:rsidRPr="007C6CBB" w:rsidRDefault="00533DC9" w:rsidP="00533DC9">
      <w:pPr>
        <w:pStyle w:val="Autoritet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KRYETARE</w:t>
      </w:r>
    </w:p>
    <w:p w:rsidR="00533DC9" w:rsidRPr="007C6CBB" w:rsidRDefault="00533DC9" w:rsidP="00533DC9">
      <w:pPr>
        <w:pStyle w:val="AutoritetiEmer"/>
        <w:rPr>
          <w:sz w:val="21"/>
          <w:szCs w:val="21"/>
        </w:rPr>
      </w:pPr>
      <w:r w:rsidRPr="007C6CBB">
        <w:rPr>
          <w:sz w:val="21"/>
          <w:szCs w:val="21"/>
        </w:rPr>
        <w:t>Jozefina Topalli (Çoba)</w:t>
      </w:r>
    </w:p>
    <w:sectPr w:rsidR="00533DC9" w:rsidRPr="007C6C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71241E3"/>
    <w:multiLevelType w:val="hybridMultilevel"/>
    <w:tmpl w:val="272286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3DC9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D240A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3DC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6A366-A1DC-4C20-8157-D45488AB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533DC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33DC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