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85B" w:rsidRPr="007C6CBB" w:rsidRDefault="00D5485B" w:rsidP="00D5485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C6CBB">
        <w:rPr>
          <w:sz w:val="21"/>
          <w:szCs w:val="21"/>
        </w:rPr>
        <w:t>Vendim</w:t>
      </w:r>
    </w:p>
    <w:p w:rsidR="00D5485B" w:rsidRPr="007C6CBB" w:rsidRDefault="00D5485B" w:rsidP="00D5485B">
      <w:pPr>
        <w:pStyle w:val="NumriData"/>
        <w:keepNext w:val="0"/>
        <w:rPr>
          <w:sz w:val="21"/>
          <w:szCs w:val="21"/>
        </w:rPr>
      </w:pPr>
      <w:bookmarkStart w:id="1" w:name="OLE_LINK6"/>
      <w:bookmarkStart w:id="2" w:name="OLE_LINK7"/>
      <w:r w:rsidRPr="007C6CBB">
        <w:rPr>
          <w:sz w:val="21"/>
          <w:szCs w:val="21"/>
        </w:rPr>
        <w:t>Nr.90, datë 17.3.2011</w:t>
      </w:r>
    </w:p>
    <w:bookmarkEnd w:id="1"/>
    <w:bookmarkEnd w:id="2"/>
    <w:p w:rsidR="00D5485B" w:rsidRPr="000F3111" w:rsidRDefault="00D5485B" w:rsidP="00D5485B">
      <w:pPr>
        <w:pStyle w:val="Paragrafi"/>
        <w:rPr>
          <w:sz w:val="14"/>
          <w:szCs w:val="21"/>
        </w:rPr>
      </w:pPr>
    </w:p>
    <w:p w:rsidR="00D5485B" w:rsidRPr="007C6CBB" w:rsidRDefault="00D5485B" w:rsidP="00D5485B">
      <w:pPr>
        <w:pStyle w:val="Titull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Për ngritjen e Komisionit hetimor të Kuvendit për hetimin e drejtimit dhe veprimtarisë së organeve drejtuese dhe shërbimeve të Kuvendit për periudhën shtator 2005 - dhjetor 2010</w:t>
      </w:r>
    </w:p>
    <w:p w:rsidR="00D5485B" w:rsidRPr="000F3111" w:rsidRDefault="00D5485B" w:rsidP="00D5485B">
      <w:pPr>
        <w:pStyle w:val="Paragrafi"/>
        <w:rPr>
          <w:sz w:val="14"/>
          <w:szCs w:val="21"/>
        </w:rPr>
      </w:pP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mbështetje të neneve 77 dhe 78 të Kushtetutës, të neneve 8 e 9 të ligjit nr.8891, datë 2.5.2002 “Për organizimin edhe funksionimin e komisioneve hetimore të Kuvendit”, si dhe të nenit 25 të Rregullores së Kuvendit, me propozimin e një grupi deputetësh të Grupit Parlamentar të Partisë Socialiste,</w:t>
      </w:r>
    </w:p>
    <w:p w:rsidR="00D5485B" w:rsidRPr="000F3111" w:rsidRDefault="00D5485B" w:rsidP="00D5485B">
      <w:pPr>
        <w:pStyle w:val="Paragrafi"/>
        <w:rPr>
          <w:sz w:val="12"/>
          <w:szCs w:val="21"/>
        </w:rPr>
      </w:pPr>
    </w:p>
    <w:p w:rsidR="00D5485B" w:rsidRPr="007C6CBB" w:rsidRDefault="00D5485B" w:rsidP="00D5485B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Kuvendi</w:t>
      </w:r>
    </w:p>
    <w:p w:rsidR="00D5485B" w:rsidRPr="007C6CBB" w:rsidRDefault="00D5485B" w:rsidP="00D5485B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I Republikës së Shqipërisë</w:t>
      </w:r>
    </w:p>
    <w:p w:rsidR="00D5485B" w:rsidRPr="000F3111" w:rsidRDefault="00D5485B" w:rsidP="00D5485B">
      <w:pPr>
        <w:pStyle w:val="VENDOSI"/>
        <w:keepNext w:val="0"/>
        <w:rPr>
          <w:sz w:val="12"/>
          <w:szCs w:val="21"/>
        </w:rPr>
      </w:pPr>
    </w:p>
    <w:p w:rsidR="00D5485B" w:rsidRPr="007C6CBB" w:rsidRDefault="00D5485B" w:rsidP="00D5485B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Vendosi:</w:t>
      </w:r>
    </w:p>
    <w:p w:rsidR="00D5485B" w:rsidRPr="000F3111" w:rsidRDefault="00D5485B" w:rsidP="00D5485B">
      <w:pPr>
        <w:pStyle w:val="Paragrafi"/>
        <w:rPr>
          <w:sz w:val="12"/>
          <w:szCs w:val="21"/>
        </w:rPr>
      </w:pP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I. Ngrihet komisioni hetimor i Kuvendit për shqyrtimin e kërkesës së një grupi deputetësh për të hetuar veprimtarinë e administratës dhe organeve drejtuese të  Kuvendit, më konkretisht Byronë e Kuvendit, Sekretariatin për Buxhetin dhe Shërbimet e Kuvendit për zbatimin e legjislacionit që rregullon funksionimin e Kuvendit dhe statusin e deputetit për periudhën shtator 2005 - dhjetor 2010.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II. Objekti i punës së komisionit hetimor është: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a) hetimi i veprimtarisë së organeve drejtuese të sipërcituara, për sa u përket detyrimeve që lindin nga zbatimi i Rregullores së Kuvendit të Shqipërisë;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b) hetimi i veprimtarisë së administratës së shërbimeve të Kuvendit, sipas kompetencave të përcaktuara në Rregulloren e Kuvendit, ligjin për buxhetin, legjislacionin që rregullon statusin e deputetit dhe legjislacionin për ekzekutimin e buxhetit;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c) hetimi i Byrosë dhe administratës së Kuvendit, në lidhje me përcaktimin e strukturës dhe organikës së administratës ndihmëse të Kuvendit dhe zbatimit të legjislacionit për shërbimin civil apo atij të punës në rekrutimin, transferimin apo ndërprerjen e marrëdhënieve të punës së personelit të administratës;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ç) hetimi i procedurave të vlerësimit dhe tjetërsimit të mjeteve të transportit në pronësi të Kuvendit dhe pasojat financiare që ato kanë sjellë në Buxhetin e Shtetit;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d) hetimi i funksionimit të stafit ndihmës të Kuvendit, puna që ata kryejnë dhe shpërndarja e punës mes komisioneve, zbatimi i kërkesave ligjore për respektimin e procedurave në shqyrtimin e projektligjeve, si dhe në emërimet e Kuvendit në institucionet dhe entet në varësi të tij;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dh) hetimi i integritetit dhe efiçensës së sistemit të votimit elektronik në Kuvend;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e) propozimi i ndryshimeve të nevojshme legjislative dhe organizative, me qëllim korrigjimin e mangësive të konstatuara, duke synuar mirëfunksionimin e Kuvendit dhe shërbimeve të tij: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III. Komisioni hetimor parlamentar përbëhet nga 11 deputetë, nga të cilët 5 i përkasin pakicës dhe 6 shumicës parlamentare. Kryetari i komisionit i përket Partisë Socialiste.</w:t>
      </w:r>
    </w:p>
    <w:p w:rsidR="00D5485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Përbërja e komisionit është si më poshtë: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1. Ilir Beqja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2. Damian Gjiknuri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3. Erion Braçe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4. Ermonela Felaj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5. Arben Isaraj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6. Jemin Gjana </w:t>
      </w:r>
      <w:r w:rsidRPr="007C6CBB">
        <w:rPr>
          <w:sz w:val="21"/>
          <w:szCs w:val="21"/>
        </w:rPr>
        <w:tab/>
      </w:r>
      <w:r w:rsidRPr="007C6CBB">
        <w:rPr>
          <w:sz w:val="21"/>
          <w:szCs w:val="21"/>
        </w:rPr>
        <w:tab/>
        <w:t>zëvendëskryetar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7. Edi Paloka </w:t>
      </w:r>
      <w:r w:rsidRPr="007C6CBB">
        <w:rPr>
          <w:sz w:val="21"/>
          <w:szCs w:val="21"/>
        </w:rPr>
        <w:tab/>
      </w:r>
      <w:r w:rsidRPr="007C6CBB">
        <w:rPr>
          <w:sz w:val="21"/>
          <w:szCs w:val="21"/>
        </w:rPr>
        <w:tab/>
        <w:t>anëtar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8. Paulina Hoti </w:t>
      </w:r>
      <w:r w:rsidRPr="007C6CBB">
        <w:rPr>
          <w:sz w:val="21"/>
          <w:szCs w:val="21"/>
        </w:rPr>
        <w:tab/>
      </w:r>
      <w:r w:rsidRPr="007C6CBB">
        <w:rPr>
          <w:sz w:val="21"/>
          <w:szCs w:val="21"/>
        </w:rPr>
        <w:tab/>
      </w:r>
      <w:r>
        <w:rPr>
          <w:sz w:val="21"/>
          <w:szCs w:val="21"/>
        </w:rPr>
        <w:t>“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9. Arenca Trashani </w:t>
      </w:r>
      <w:r w:rsidRPr="007C6CBB">
        <w:rPr>
          <w:sz w:val="21"/>
          <w:szCs w:val="21"/>
        </w:rPr>
        <w:tab/>
      </w:r>
      <w:r>
        <w:rPr>
          <w:sz w:val="21"/>
          <w:szCs w:val="21"/>
        </w:rPr>
        <w:t>“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10. </w:t>
      </w:r>
      <w:smartTag w:uri="urn:schemas-microsoft-com:office:smarttags" w:element="City">
        <w:smartTag w:uri="urn:schemas-microsoft-com:office:smarttags" w:element="place">
          <w:r w:rsidRPr="007C6CBB">
            <w:rPr>
              <w:sz w:val="21"/>
              <w:szCs w:val="21"/>
            </w:rPr>
            <w:t>Edmond</w:t>
          </w:r>
        </w:smartTag>
      </w:smartTag>
      <w:r w:rsidRPr="007C6CBB">
        <w:rPr>
          <w:sz w:val="21"/>
          <w:szCs w:val="21"/>
        </w:rPr>
        <w:t xml:space="preserve"> Spaho </w:t>
      </w:r>
      <w:r w:rsidRPr="007C6CBB">
        <w:rPr>
          <w:sz w:val="21"/>
          <w:szCs w:val="21"/>
        </w:rPr>
        <w:tab/>
      </w:r>
      <w:r>
        <w:rPr>
          <w:sz w:val="21"/>
          <w:szCs w:val="21"/>
        </w:rPr>
        <w:t>“</w:t>
      </w:r>
    </w:p>
    <w:p w:rsidR="00D5485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11. Fatos Beja </w:t>
      </w:r>
      <w:r w:rsidRPr="007C6CBB">
        <w:rPr>
          <w:sz w:val="21"/>
          <w:szCs w:val="21"/>
        </w:rPr>
        <w:tab/>
      </w:r>
      <w:r w:rsidRPr="007C6CBB">
        <w:rPr>
          <w:sz w:val="21"/>
          <w:szCs w:val="21"/>
        </w:rPr>
        <w:tab/>
      </w:r>
      <w:r>
        <w:rPr>
          <w:sz w:val="21"/>
          <w:szCs w:val="21"/>
        </w:rPr>
        <w:t>“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IV. Komisioni e ushtron veprimtarinë e tij për një afat 4-mujor nga miratimi i këtij vendimi.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V. Ngarkohen Kryetarja e Kuvendit dhe Sekretari i Përgjithshëm të krijojnë kushtet e nevojshme logjistike për veprimtarinë normale të këtij komisioni.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VI. Ky vendim hyn në fuqi menjëherë.</w:t>
      </w:r>
    </w:p>
    <w:p w:rsidR="00D5485B" w:rsidRPr="007C6CBB" w:rsidRDefault="00D5485B" w:rsidP="00D5485B">
      <w:pPr>
        <w:pStyle w:val="Paragrafi"/>
        <w:rPr>
          <w:sz w:val="21"/>
          <w:szCs w:val="21"/>
        </w:rPr>
      </w:pPr>
    </w:p>
    <w:p w:rsidR="00D5485B" w:rsidRPr="007C6CBB" w:rsidRDefault="00D5485B" w:rsidP="00D5485B">
      <w:pPr>
        <w:pStyle w:val="Autoritet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Kryetare</w:t>
      </w:r>
    </w:p>
    <w:p w:rsidR="00D5485B" w:rsidRPr="007C6CBB" w:rsidRDefault="00D5485B" w:rsidP="00D5485B">
      <w:pPr>
        <w:pStyle w:val="AutoritetiEmer"/>
        <w:rPr>
          <w:sz w:val="21"/>
          <w:szCs w:val="21"/>
        </w:rPr>
      </w:pPr>
      <w:r w:rsidRPr="007C6CBB">
        <w:rPr>
          <w:sz w:val="21"/>
          <w:szCs w:val="21"/>
        </w:rPr>
        <w:lastRenderedPageBreak/>
        <w:t>Jozefina Topalli (Çoba)</w:t>
      </w:r>
    </w:p>
    <w:sectPr w:rsidR="00D5485B" w:rsidRPr="007C6CBB" w:rsidSect="00D5485B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7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17FD0">
      <w:r>
        <w:separator/>
      </w:r>
    </w:p>
  </w:endnote>
  <w:endnote w:type="continuationSeparator" w:id="0">
    <w:p w:rsidR="00000000" w:rsidRDefault="00C1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AFF" w:rsidRDefault="00394AFF" w:rsidP="00D5485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4AFF" w:rsidRDefault="00394AFF" w:rsidP="00D5485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AFF" w:rsidRPr="008F25D5" w:rsidRDefault="00394AFF" w:rsidP="00D5485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F25D5">
      <w:rPr>
        <w:rStyle w:val="PageNumber"/>
        <w:rFonts w:ascii="CG Times" w:hAnsi="CG Times"/>
        <w:sz w:val="22"/>
        <w:szCs w:val="22"/>
      </w:rPr>
      <w:fldChar w:fldCharType="begin"/>
    </w:r>
    <w:r w:rsidRPr="008F25D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F25D5">
      <w:rPr>
        <w:rStyle w:val="PageNumber"/>
        <w:rFonts w:ascii="CG Times" w:hAnsi="CG Times"/>
        <w:sz w:val="22"/>
        <w:szCs w:val="22"/>
      </w:rPr>
      <w:fldChar w:fldCharType="separate"/>
    </w:r>
    <w:r w:rsidR="00C17FD0">
      <w:rPr>
        <w:rStyle w:val="PageNumber"/>
        <w:rFonts w:ascii="CG Times" w:hAnsi="CG Times"/>
        <w:noProof/>
        <w:sz w:val="22"/>
        <w:szCs w:val="22"/>
      </w:rPr>
      <w:t>776</w:t>
    </w:r>
    <w:r w:rsidRPr="008F25D5">
      <w:rPr>
        <w:rStyle w:val="PageNumber"/>
        <w:rFonts w:ascii="CG Times" w:hAnsi="CG Times"/>
        <w:sz w:val="22"/>
        <w:szCs w:val="22"/>
      </w:rPr>
      <w:fldChar w:fldCharType="end"/>
    </w:r>
  </w:p>
  <w:p w:rsidR="00394AFF" w:rsidRDefault="00394AFF" w:rsidP="00D5485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17FD0">
      <w:r>
        <w:separator/>
      </w:r>
    </w:p>
  </w:footnote>
  <w:footnote w:type="continuationSeparator" w:id="0">
    <w:p w:rsidR="00000000" w:rsidRDefault="00C17F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85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94AFF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17FD0"/>
    <w:rsid w:val="00CD41A2"/>
    <w:rsid w:val="00CD6648"/>
    <w:rsid w:val="00D13872"/>
    <w:rsid w:val="00D35D7B"/>
    <w:rsid w:val="00D5485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7BE017-62D3-40CB-858F-CA7E060B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85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5485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5485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semiHidden/>
    <w:rsid w:val="00D5485B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