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4DD" w:rsidRPr="006A7DC4" w:rsidRDefault="00D424DD" w:rsidP="00D424DD">
      <w:pPr>
        <w:pStyle w:val="Paragrafi"/>
        <w:jc w:val="center"/>
        <w:rPr>
          <w:b/>
          <w:spacing w:val="-4"/>
          <w:lang w:val="sq-AL"/>
        </w:rPr>
      </w:pPr>
      <w:r w:rsidRPr="006A7DC4">
        <w:rPr>
          <w:b/>
          <w:spacing w:val="-4"/>
          <w:lang w:val="sq-AL"/>
        </w:rPr>
        <w:t>VENDIM</w:t>
      </w:r>
    </w:p>
    <w:p w:rsidR="00D424DD" w:rsidRPr="006A7DC4" w:rsidRDefault="00D424DD" w:rsidP="00D424DD">
      <w:pPr>
        <w:pStyle w:val="Paragrafi"/>
        <w:jc w:val="center"/>
        <w:rPr>
          <w:b/>
          <w:spacing w:val="-4"/>
          <w:lang w:val="sq-AL"/>
        </w:rPr>
      </w:pPr>
      <w:r w:rsidRPr="006A7DC4">
        <w:rPr>
          <w:b/>
          <w:spacing w:val="-4"/>
          <w:lang w:val="sq-AL"/>
        </w:rPr>
        <w:t>Nr. 40/2015</w:t>
      </w:r>
    </w:p>
    <w:p w:rsidR="00D424DD" w:rsidRPr="006A7DC4" w:rsidRDefault="00D424DD" w:rsidP="00D424DD">
      <w:pPr>
        <w:pStyle w:val="Hapesira7"/>
        <w:rPr>
          <w:spacing w:val="-4"/>
          <w:lang w:val="sq-AL"/>
        </w:rPr>
      </w:pPr>
    </w:p>
    <w:p w:rsidR="00D424DD" w:rsidRPr="006A7DC4" w:rsidRDefault="00D424DD" w:rsidP="00D424DD">
      <w:pPr>
        <w:pStyle w:val="Paragrafi"/>
        <w:jc w:val="center"/>
        <w:rPr>
          <w:b/>
          <w:spacing w:val="-4"/>
          <w:lang w:val="sq-AL"/>
        </w:rPr>
      </w:pPr>
      <w:r w:rsidRPr="006A7DC4">
        <w:rPr>
          <w:b/>
          <w:spacing w:val="-4"/>
          <w:lang w:val="sq-AL"/>
        </w:rPr>
        <w:t>PËR DHËNIEN E AUTORIZIMIT PËR ARRESTIMIN OSE HEQJEN E LIRISË, SI DHE PËR TË USHTRUAR KONTROLL PERSONAL DHE TË BANESAVE TË DEPUTETIT TË KUVENDIT TË SHQIPËRISË, ZOTIT MARK FRROKU</w:t>
      </w:r>
    </w:p>
    <w:p w:rsidR="00D424DD" w:rsidRPr="006A7DC4" w:rsidRDefault="00D424DD" w:rsidP="00D424DD">
      <w:pPr>
        <w:pStyle w:val="Hapesira7"/>
        <w:rPr>
          <w:spacing w:val="-4"/>
          <w:lang w:val="sq-AL"/>
        </w:rPr>
      </w:pPr>
    </w:p>
    <w:p w:rsidR="00D424DD" w:rsidRPr="005C2D71" w:rsidRDefault="00D424DD" w:rsidP="00D424DD">
      <w:pPr>
        <w:pStyle w:val="Paragrafi"/>
        <w:rPr>
          <w:lang w:val="sq-AL"/>
        </w:rPr>
      </w:pPr>
      <w:r w:rsidRPr="006A7DC4">
        <w:rPr>
          <w:spacing w:val="-4"/>
          <w:lang w:val="sq-AL"/>
        </w:rPr>
        <w:t>Në mbështetje të nenit 73, pikat 2 dhe 4, të Kushtetutës, nenit 288 të Kodit të Procedurës Penale dhe të nenit 118, pikat 4 dhe 5, të Rregullores së Kuvendit, me rekomandimin e Këshillit për Rregulloren, Mandatet dhe</w:t>
      </w:r>
      <w:r w:rsidRPr="005C2D71">
        <w:rPr>
          <w:lang w:val="sq-AL"/>
        </w:rPr>
        <w:t xml:space="preserve"> Imunitetin,</w:t>
      </w:r>
    </w:p>
    <w:p w:rsidR="00D424DD" w:rsidRPr="005C2D71" w:rsidRDefault="00D424DD" w:rsidP="00D424DD">
      <w:pPr>
        <w:pStyle w:val="Paragrafi"/>
        <w:rPr>
          <w:lang w:val="sq-AL"/>
        </w:rPr>
      </w:pPr>
    </w:p>
    <w:p w:rsidR="00D424DD" w:rsidRDefault="00D424DD" w:rsidP="00D424DD">
      <w:pPr>
        <w:pStyle w:val="Paragrafi"/>
        <w:jc w:val="center"/>
        <w:rPr>
          <w:lang w:val="sq-AL"/>
        </w:rPr>
      </w:pPr>
    </w:p>
    <w:p w:rsidR="00D424DD" w:rsidRDefault="00D424DD" w:rsidP="00D424DD">
      <w:pPr>
        <w:pStyle w:val="Paragrafi"/>
        <w:jc w:val="center"/>
        <w:rPr>
          <w:lang w:val="sq-AL"/>
        </w:rPr>
      </w:pPr>
    </w:p>
    <w:p w:rsidR="00D424DD" w:rsidRPr="005C2D71" w:rsidRDefault="00D424DD" w:rsidP="00D424DD">
      <w:pPr>
        <w:pStyle w:val="Paragrafi"/>
        <w:jc w:val="center"/>
        <w:rPr>
          <w:lang w:val="sq-AL"/>
        </w:rPr>
      </w:pPr>
      <w:r w:rsidRPr="005C2D71">
        <w:rPr>
          <w:lang w:val="sq-AL"/>
        </w:rPr>
        <w:t>KUVENDI</w:t>
      </w:r>
    </w:p>
    <w:p w:rsidR="00D424DD" w:rsidRPr="005C2D71" w:rsidRDefault="00D424DD" w:rsidP="00D424DD">
      <w:pPr>
        <w:pStyle w:val="Paragrafi"/>
        <w:jc w:val="center"/>
        <w:rPr>
          <w:lang w:val="sq-AL"/>
        </w:rPr>
      </w:pPr>
      <w:r w:rsidRPr="005C2D71">
        <w:rPr>
          <w:lang w:val="sq-AL"/>
        </w:rPr>
        <w:t>I REPUBLIKËS SË SHQIPËRISË</w:t>
      </w:r>
    </w:p>
    <w:p w:rsidR="00D424DD" w:rsidRPr="005C2D71" w:rsidRDefault="00D424DD" w:rsidP="00D424DD">
      <w:pPr>
        <w:pStyle w:val="Hapesira7"/>
        <w:rPr>
          <w:lang w:val="sq-AL"/>
        </w:rPr>
      </w:pPr>
    </w:p>
    <w:p w:rsidR="00D424DD" w:rsidRPr="005C2D71" w:rsidRDefault="00D424DD" w:rsidP="00D424DD">
      <w:pPr>
        <w:pStyle w:val="Paragrafi"/>
        <w:jc w:val="center"/>
        <w:rPr>
          <w:lang w:val="sq-AL"/>
        </w:rPr>
      </w:pPr>
      <w:r w:rsidRPr="005C2D71">
        <w:rPr>
          <w:lang w:val="sq-AL"/>
        </w:rPr>
        <w:t>VENDOSI:</w:t>
      </w:r>
    </w:p>
    <w:p w:rsidR="00D424DD" w:rsidRPr="006A7DC4" w:rsidRDefault="00D424DD" w:rsidP="00D424DD">
      <w:pPr>
        <w:pStyle w:val="Hapesira7"/>
        <w:rPr>
          <w:sz w:val="8"/>
          <w:lang w:val="sq-AL"/>
        </w:rPr>
      </w:pPr>
    </w:p>
    <w:p w:rsidR="00D424DD" w:rsidRPr="005C2D71" w:rsidRDefault="00D424DD" w:rsidP="00D424DD">
      <w:pPr>
        <w:pStyle w:val="Paragrafi"/>
        <w:rPr>
          <w:lang w:val="sq-AL"/>
        </w:rPr>
      </w:pPr>
      <w:r w:rsidRPr="005C2D71">
        <w:rPr>
          <w:lang w:val="sq-AL"/>
        </w:rPr>
        <w:t xml:space="preserve">I. Dhënien e autorizimit për arrestimin ose heqjen e lirisë, si dhe për të ushtruar kontroll personal dhe të banesave të deputetit të Kuvendit të Shqipërisë, z. Mark Frroku, kërkuar nga Prokurori i Përgjithshëm me kërkesën </w:t>
      </w:r>
      <w:r>
        <w:rPr>
          <w:lang w:val="sq-AL"/>
        </w:rPr>
        <w:t xml:space="preserve">nr. </w:t>
      </w:r>
      <w:r w:rsidRPr="005C2D71">
        <w:rPr>
          <w:lang w:val="sq-AL"/>
        </w:rPr>
        <w:t>1004/3 prot., datë 20.3.2015.</w:t>
      </w:r>
    </w:p>
    <w:p w:rsidR="00D424DD" w:rsidRPr="005C2D71" w:rsidRDefault="00D424DD" w:rsidP="00D424DD">
      <w:pPr>
        <w:pStyle w:val="Paragrafi"/>
        <w:rPr>
          <w:lang w:val="sq-AL"/>
        </w:rPr>
      </w:pPr>
      <w:r w:rsidRPr="005C2D71">
        <w:rPr>
          <w:lang w:val="sq-AL"/>
        </w:rPr>
        <w:t>II. Ky vendim hyn në fuqi menjëherë.</w:t>
      </w:r>
    </w:p>
    <w:p w:rsidR="00D424DD" w:rsidRPr="006A7DC4" w:rsidRDefault="00D424DD" w:rsidP="00D424DD">
      <w:pPr>
        <w:pStyle w:val="Hapesira7"/>
        <w:rPr>
          <w:sz w:val="8"/>
          <w:lang w:val="sq-AL"/>
        </w:rPr>
      </w:pPr>
      <w:r w:rsidRPr="006A7DC4">
        <w:rPr>
          <w:sz w:val="8"/>
          <w:lang w:val="sq-AL"/>
        </w:rPr>
        <w:t xml:space="preserve"> </w:t>
      </w:r>
    </w:p>
    <w:p w:rsidR="00D424DD" w:rsidRPr="005C2D71" w:rsidRDefault="00D424DD" w:rsidP="00D424DD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  </w:t>
      </w:r>
      <w:r w:rsidRPr="005C2D71">
        <w:rPr>
          <w:lang w:val="sq-AL"/>
        </w:rPr>
        <w:t>ZËVENDËSKRYETARI</w:t>
      </w:r>
    </w:p>
    <w:p w:rsidR="00D424DD" w:rsidRPr="00494FA9" w:rsidRDefault="00D424DD" w:rsidP="00D424DD">
      <w:pPr>
        <w:pStyle w:val="Paragrafi"/>
        <w:jc w:val="right"/>
        <w:rPr>
          <w:b/>
          <w:lang w:val="sq-AL"/>
        </w:rPr>
      </w:pPr>
      <w:r>
        <w:rPr>
          <w:lang w:val="sq-AL"/>
        </w:rPr>
        <w:t xml:space="preserve">  </w:t>
      </w:r>
      <w:r w:rsidRPr="00494FA9">
        <w:rPr>
          <w:b/>
          <w:lang w:val="sq-AL"/>
        </w:rPr>
        <w:t>Vangjel Dule</w:t>
      </w:r>
    </w:p>
    <w:p w:rsidR="00D424DD" w:rsidRPr="005C2D71" w:rsidRDefault="00D424DD" w:rsidP="00D424DD">
      <w:pPr>
        <w:pStyle w:val="Hapesira7"/>
        <w:rPr>
          <w:lang w:val="sq-AL"/>
        </w:rPr>
      </w:pPr>
    </w:p>
    <w:p w:rsidR="00D424DD" w:rsidRPr="005C2D71" w:rsidRDefault="00D424DD" w:rsidP="00D424DD">
      <w:pPr>
        <w:pStyle w:val="Paragrafi"/>
        <w:rPr>
          <w:lang w:val="sq-AL"/>
        </w:rPr>
      </w:pPr>
      <w:r w:rsidRPr="005C2D71">
        <w:rPr>
          <w:lang w:val="sq-AL"/>
        </w:rPr>
        <w:t>Miratuar në datën 26.3.2015</w:t>
      </w:r>
    </w:p>
    <w:p w:rsidR="00D424DD" w:rsidRPr="005C2D71" w:rsidRDefault="00D424DD" w:rsidP="00D424DD">
      <w:pPr>
        <w:pStyle w:val="Hapesira7"/>
        <w:rPr>
          <w:lang w:val="sq-AL"/>
        </w:rPr>
      </w:pPr>
    </w:p>
    <w:p w:rsidR="00D424DD" w:rsidRPr="005C2D71" w:rsidRDefault="00D424DD" w:rsidP="00D424DD">
      <w:pPr>
        <w:pStyle w:val="Paragrafi"/>
        <w:jc w:val="center"/>
        <w:rPr>
          <w:lang w:val="sq-AL"/>
        </w:rPr>
      </w:pPr>
      <w:r w:rsidRPr="00494FA9">
        <w:rPr>
          <w:b/>
          <w:lang w:val="sq-AL"/>
        </w:rPr>
        <w:t>REZOLUTË</w:t>
      </w:r>
    </w:p>
    <w:p w:rsidR="00D424DD" w:rsidRPr="005C2D71" w:rsidRDefault="00D424DD" w:rsidP="00D424DD">
      <w:pPr>
        <w:pStyle w:val="Titull-Titull"/>
        <w:rPr>
          <w:lang w:val="sq-AL"/>
        </w:rPr>
      </w:pPr>
      <w:r w:rsidRPr="005C2D71">
        <w:rPr>
          <w:lang w:val="sq-AL"/>
        </w:rPr>
        <w:t>PËR VLERËSIMIN E VEPRIMTARISË SË ENTIT RREGULLATOR TË UJIT (ERRU) PËR VITIN 2014</w:t>
      </w:r>
    </w:p>
    <w:p w:rsidR="00D424DD" w:rsidRPr="005C2D71" w:rsidRDefault="00D424DD" w:rsidP="00D424DD">
      <w:pPr>
        <w:pStyle w:val="Hapesira7"/>
        <w:rPr>
          <w:lang w:val="sq-AL"/>
        </w:rPr>
      </w:pP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Kuvendi i Republikës së Shqipërisë,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 - </w:t>
      </w:r>
      <w:r w:rsidRPr="006A7DC4">
        <w:rPr>
          <w:i/>
          <w:spacing w:val="-4"/>
          <w:lang w:val="sq-AL"/>
        </w:rPr>
        <w:t>duke njohur</w:t>
      </w:r>
      <w:r w:rsidRPr="006A7DC4">
        <w:rPr>
          <w:spacing w:val="-4"/>
          <w:lang w:val="sq-AL"/>
        </w:rPr>
        <w:t xml:space="preserve"> Entin Rregullator të Ujit si një institucion të pavarur publik, përgjegjës për rregullimin dhe mbikëqyrjen e sektorit të furnizimit me ujë dhe largimit e përpunimit të ujërave të ndotura në nivel kombëtar;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</w:t>
      </w:r>
      <w:r w:rsidRPr="006A7DC4">
        <w:rPr>
          <w:i/>
          <w:spacing w:val="-4"/>
          <w:lang w:val="sq-AL"/>
        </w:rPr>
        <w:t>duke e konsideruar</w:t>
      </w:r>
      <w:r w:rsidRPr="006A7DC4">
        <w:rPr>
          <w:spacing w:val="-4"/>
          <w:lang w:val="sq-AL"/>
        </w:rPr>
        <w:t xml:space="preserve"> shumë të rëndësishme mbrojtjen e konsumatorit, në drejtim të cilësisë më të mirë të shërbimeve të ofruara nga operatorët në sektor;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</w:t>
      </w:r>
      <w:r w:rsidRPr="006A7DC4">
        <w:rPr>
          <w:i/>
          <w:spacing w:val="-4"/>
          <w:lang w:val="sq-AL"/>
        </w:rPr>
        <w:t>duke njohur</w:t>
      </w:r>
      <w:r w:rsidRPr="006A7DC4">
        <w:rPr>
          <w:spacing w:val="-4"/>
          <w:lang w:val="sq-AL"/>
        </w:rPr>
        <w:t xml:space="preserve"> rolin e Entit Rregullator të Ujit në krijimin e një sektori ujësjellës-kanalizimesh financiarisht të qëndrueshëm, që ofron shërbime të një cilësie të lartë, por të përballueshme për të gjithë konsumatorët;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</w:t>
      </w:r>
      <w:r w:rsidRPr="006A7DC4">
        <w:rPr>
          <w:i/>
          <w:spacing w:val="-4"/>
          <w:lang w:val="sq-AL"/>
        </w:rPr>
        <w:t>duke konsideruar</w:t>
      </w:r>
      <w:r w:rsidRPr="006A7DC4">
        <w:rPr>
          <w:spacing w:val="-4"/>
          <w:lang w:val="sq-AL"/>
        </w:rPr>
        <w:t xml:space="preserve"> si shumë të domosdoshme kryerjen e investimeve nga operatorët për përmirësimin e shërbimeve që ata ofrojnë dhe duke qenë të vetëdijshëm për ndikimin e këtyre investimeve në rritjen e tarifave për këto shërbime; 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</w:t>
      </w:r>
      <w:r w:rsidRPr="006A7DC4">
        <w:rPr>
          <w:i/>
          <w:spacing w:val="-4"/>
          <w:lang w:val="sq-AL"/>
        </w:rPr>
        <w:t>duke pasur</w:t>
      </w:r>
      <w:r w:rsidRPr="006A7DC4">
        <w:rPr>
          <w:spacing w:val="-4"/>
          <w:lang w:val="sq-AL"/>
        </w:rPr>
        <w:t xml:space="preserve"> parasysh që niveli i humbjeve në sektor vijon të mbetet në nivele tepër të larta;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</w:t>
      </w:r>
      <w:r w:rsidRPr="006A7DC4">
        <w:rPr>
          <w:i/>
          <w:spacing w:val="-4"/>
          <w:lang w:val="sq-AL"/>
        </w:rPr>
        <w:t>duke pasur</w:t>
      </w:r>
      <w:r w:rsidRPr="006A7DC4">
        <w:rPr>
          <w:spacing w:val="-4"/>
          <w:lang w:val="sq-AL"/>
        </w:rPr>
        <w:t xml:space="preserve"> parasysh që shlyerja e pagesës rregullatore nga operatorët, me gjithë përmirësimet e bëra gjatë vitit 2014, vazhdon të mbetet problematike; 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</w:t>
      </w:r>
      <w:r w:rsidRPr="006A7DC4">
        <w:rPr>
          <w:i/>
          <w:spacing w:val="-4"/>
          <w:lang w:val="sq-AL"/>
        </w:rPr>
        <w:t>duke njohur</w:t>
      </w:r>
      <w:r w:rsidRPr="006A7DC4">
        <w:rPr>
          <w:spacing w:val="-4"/>
          <w:lang w:val="sq-AL"/>
        </w:rPr>
        <w:t xml:space="preserve"> ERRU-në si autoritetin që miraton tarifat e shërbimeve të ujësjellës-kanalizimeve, bazuar në përballueshmërinë e këtyre pagesave nga konsumatorët.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konstaton se ERRU-ja në vitin 2014:</w:t>
      </w:r>
    </w:p>
    <w:p w:rsidR="00E360B2" w:rsidRDefault="00E360B2" w:rsidP="00D424DD">
      <w:pPr>
        <w:pStyle w:val="Paragrafi"/>
        <w:rPr>
          <w:spacing w:val="-4"/>
          <w:lang w:val="sq-AL"/>
        </w:rPr>
      </w:pP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bookmarkStart w:id="0" w:name="_GoBack"/>
      <w:bookmarkEnd w:id="0"/>
      <w:r w:rsidRPr="006A7DC4">
        <w:rPr>
          <w:spacing w:val="-4"/>
          <w:lang w:val="sq-AL"/>
        </w:rPr>
        <w:lastRenderedPageBreak/>
        <w:t xml:space="preserve">- Ka bërë përpjekje në drejtim të mbrojtjes së konsumatorit, në mënyrë të veçantë me shtimin e treguesit të performancës, i cili do të masë korrektësinë e operatorëve në trajtimin e ankesave të konsumatorëve; 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Ka miratuar vendimin që kontrata model të jetë kontratë tip, e cila rregullon detyrimisht të gjitha marrëdhëniet mes konsumatorëve dhe operatorëve, pavarësisht nënshkrimit ose jo nga palët, si një progres edhe në kuadër të mbrojtjes së konsumatorit; 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Ka përcaktuar afate të qarta gjatë procedurës së licencimit, si një masë e nevojshme për të rritur shkallën e përgjegjshmërisë të gjithë operatorëve dhe shmangien e vonesave që çojnë në shkeljen e afateve të vlefshmërisë së licencës;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Ka bërë ndryshime dhe përmirësime të modelit të aplikimit për ndryshim tarifash, të cilat e bëjnë këtë model mё të qartë pёr operatorët;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Ka punuar për krijimin e një “Sistemi tё raportimit rregullator”, i cili do të bëjë të mundur monitorimin e vazhdueshëm të performancës financiare dhe operative të shoqërive ujësjellës - kanalizime, në mënyrё që ERRU-ja të realizojё objektivat e saj të vendosur në ligj;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Ka nënshkruar marrëveshjen e mirëkuptimit ndërmjet ERRU-së, Ministrisë së Shëndetësisë dhe Institutit të Shëndetit Publik për bashkëpunimin ndërinstitucional për shkëmbimin e informacioneve lidhur me cilësinë e ujit të pijshëm;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Ka nënshkruar aktmarrëveshjen ndërmjet ERRU-së dhe Drejtorisë së Përgjithshme të Metrologjisë mbi verifikimin e matësve të ujit për saktësinë dhe vulosjen e tyre.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 Kërkon nga ERRU-ja për vitin 2015: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Duke pasur parasysh rëndësinë dhe ndjeshmërinë e këtij sektori, si dhe të drejtën e çdo qytetari për të pasur shërbim të furnizimit me ujë dhe largimit të ujërave të ndotura, ERRU-ja të bashkëpunojë me të gjitha institucionet qendrore përgjegjëse në përballimin e sfidave për sigurimin e një ecurie të kënaqshme të këtij sektori; </w:t>
      </w:r>
    </w:p>
    <w:p w:rsidR="00D424DD" w:rsidRPr="005C2D71" w:rsidRDefault="00D424DD" w:rsidP="00D424DD">
      <w:pPr>
        <w:pStyle w:val="Paragrafi"/>
        <w:rPr>
          <w:lang w:val="sq-AL"/>
        </w:rPr>
      </w:pPr>
      <w:r w:rsidRPr="006A7DC4">
        <w:rPr>
          <w:spacing w:val="-4"/>
          <w:lang w:val="sq-AL"/>
        </w:rPr>
        <w:t>- Të vijojë përpjekjet në mbrojtje të konsumatorit dhe zgjidhjes së ankesave të tyre, pavarësisht rolit ndërmjetës që ka me dispozitat</w:t>
      </w:r>
      <w:r w:rsidRPr="005C2D71">
        <w:rPr>
          <w:lang w:val="sq-AL"/>
        </w:rPr>
        <w:t xml:space="preserve"> ligjore në fuqi;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5C2D71">
        <w:rPr>
          <w:lang w:val="sq-AL"/>
        </w:rPr>
        <w:t xml:space="preserve">- Në procesin e miratimit të tarifave, të mbajë parasysh, nga njëra anë, mbrojtjen e interesit të konsumatorëve dhe, nga ana tjetër, rritjen e </w:t>
      </w:r>
      <w:r w:rsidRPr="006A7DC4">
        <w:rPr>
          <w:spacing w:val="-4"/>
          <w:lang w:val="sq-AL"/>
        </w:rPr>
        <w:t>qëndrueshmërisë financiare të ofruesve të shërbimit;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Përmes politikës tarifore, të nxisë operatorët për të bërë të mundur uljen e nivelit të ujit pa të ardhura, pasi ulja e humbjeve, e cila mbetet në nivele të larta, është një tregues që ndikon në mënyrë të drejtpërdrejtë në performancën e operatorëve dhe në përmirësimin e situatës financiare të tyre;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Përmes politikës tarifore, të nxisë operatorët për evidentimin dhe eliminimin apo legalizimin e lidhjeve të paligjshme, qoftë në transmetim, ashtu edhe në shpërndarje;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Duke qenë se faturimi aforfe mbetet në nivele të larta, të marrë masat konkrete, përmes instrumenteve rregullatore, për të bërë të mundur instalimin e matësve për konsumatorët; 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Të rrisë dhe të përmirësojë monitorimin e cilësisë së ujit, duke u nisur nga zonat e mbulimit me shërbimin e furnizimit me ujë nga shoqëritë, si dhe të unifikojë numrin e analizave fiziko-kimike dhe bakteriologjike në të gjithë vendin;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Në kuadër të reformës së re territoriale dhe ristrukturimit të sektorit, të mbështesë zonat e reja administrative, në mënyrë që të sigurohet një mbulim total me shërbim ujësjellës e kanalizime i rregulluar, në të gjithë vendin; 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Të rrisë përpjekjet në forcimin e kapaciteteve të tij administrative dhe pavarësisë operacionale; 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Në kuadër të mbrojtjes së konsumatorit, të bashkërendojë punën me Drejtorinë e Përgjithshme të Metrologjisë për të siguruar dhe rregulluar përfundimisht shërbimin e verifikimit fillestar dhe periodik të saktësisë së matësve të ujit, në respektim të së drejtës së konsumatorëve për t’u faturuar vetëm për sasinë e konsumuar;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Të intensifikojë inspektimet, në mënyrë të veçantë në drejtimet e mbulueshmërisë me shërbimin e furnizimit me ujë të pijshëm, bilancin e ujit dhe menaxhimit të humbjeve, zbatimin e kushteve të licencës, </w:t>
      </w:r>
      <w:r w:rsidRPr="006A7DC4">
        <w:rPr>
          <w:spacing w:val="-4"/>
          <w:lang w:val="sq-AL"/>
        </w:rPr>
        <w:lastRenderedPageBreak/>
        <w:t>zbatimin e tarifave të miratuara në ERRU;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Në kuadër të ndryshimeve të pritshme ligjore, të bashkëpunojë intensivisht me të gjithë aktorët për shtimin e kompetencave dhe pavarësisë së ERRU-së, në mënyrë të veçantë, lidhur me marrjen e vendimit për zgjidhjen e ankesave të konsumatorëve;</w:t>
      </w: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Të rrisë përpjekjet në krijimin e standardeve dhe rregullave uniforme për gjithë sektorin dhe në garantimin e zbatimit të tyre nga gjithë të licencuarit.</w:t>
      </w:r>
    </w:p>
    <w:p w:rsidR="00D424DD" w:rsidRPr="006A7DC4" w:rsidRDefault="00D424DD" w:rsidP="00D424DD">
      <w:pPr>
        <w:pStyle w:val="Paragrafi"/>
        <w:jc w:val="right"/>
        <w:rPr>
          <w:spacing w:val="-4"/>
          <w:lang w:val="sq-AL"/>
        </w:rPr>
      </w:pPr>
      <w:r w:rsidRPr="006A7DC4">
        <w:rPr>
          <w:spacing w:val="-4"/>
          <w:lang w:val="sq-AL"/>
        </w:rPr>
        <w:t>ZËVENDËSKRYETARI</w:t>
      </w:r>
    </w:p>
    <w:p w:rsidR="00D424DD" w:rsidRPr="006A7DC4" w:rsidRDefault="00D424DD" w:rsidP="00D424DD">
      <w:pPr>
        <w:pStyle w:val="Paragrafi"/>
        <w:jc w:val="right"/>
        <w:rPr>
          <w:b/>
          <w:spacing w:val="-4"/>
          <w:lang w:val="sq-AL"/>
        </w:rPr>
      </w:pPr>
      <w:r w:rsidRPr="006A7DC4">
        <w:rPr>
          <w:b/>
          <w:spacing w:val="-4"/>
          <w:lang w:val="sq-AL"/>
        </w:rPr>
        <w:t>Vangjel Dule</w:t>
      </w:r>
    </w:p>
    <w:p w:rsidR="00D424DD" w:rsidRDefault="00D424DD" w:rsidP="00D424DD">
      <w:pPr>
        <w:pStyle w:val="Hapesira7"/>
        <w:rPr>
          <w:lang w:val="sq-AL"/>
        </w:rPr>
      </w:pPr>
    </w:p>
    <w:p w:rsidR="00D424DD" w:rsidRPr="00B054AE" w:rsidRDefault="00D424DD" w:rsidP="00D424DD">
      <w:pPr>
        <w:pStyle w:val="Hapesira7"/>
        <w:rPr>
          <w:sz w:val="2"/>
          <w:lang w:val="sq-AL"/>
        </w:rPr>
      </w:pPr>
    </w:p>
    <w:p w:rsidR="00D424DD" w:rsidRPr="006A7DC4" w:rsidRDefault="00D424DD" w:rsidP="00D424DD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Miratuar në datën 26.3.2015</w:t>
      </w:r>
    </w:p>
    <w:p w:rsidR="00FD57DC" w:rsidRDefault="00E360B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D424DD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BA1F16"/>
    <w:rsid w:val="00D27DAF"/>
    <w:rsid w:val="00D424DD"/>
    <w:rsid w:val="00E12DC7"/>
    <w:rsid w:val="00E360B2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424D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424DD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D424D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424D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2019-01-29T13:12:00Z</cp:lastPrinted>
  <dcterms:created xsi:type="dcterms:W3CDTF">2015-04-10T11:22:00Z</dcterms:created>
  <dcterms:modified xsi:type="dcterms:W3CDTF">2019-01-29T13:12:00Z</dcterms:modified>
</cp:coreProperties>
</file>