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04D8" w:rsidRPr="00EC04D8" w:rsidRDefault="00EC04D8" w:rsidP="00EC04D8">
      <w:pPr>
        <w:keepNext/>
        <w:widowControl w:val="0"/>
        <w:spacing w:after="0" w:line="240" w:lineRule="auto"/>
        <w:jc w:val="center"/>
        <w:outlineLvl w:val="2"/>
        <w:rPr>
          <w:rFonts w:ascii="Garamond" w:eastAsia="MS Mincho" w:hAnsi="Garamond" w:cs="CG Times"/>
          <w:b/>
          <w:bCs/>
          <w:spacing w:val="-4"/>
          <w:sz w:val="24"/>
          <w:lang w:val="sq-AL"/>
        </w:rPr>
      </w:pPr>
      <w:bookmarkStart w:id="0" w:name="_GoBack"/>
      <w:r w:rsidRPr="00EC04D8">
        <w:rPr>
          <w:rFonts w:ascii="Garamond" w:eastAsia="MS Mincho" w:hAnsi="Garamond" w:cs="CG Times"/>
          <w:b/>
          <w:bCs/>
          <w:spacing w:val="-4"/>
          <w:sz w:val="24"/>
          <w:lang w:val="sq-AL"/>
        </w:rPr>
        <w:t>VENDIM</w:t>
      </w:r>
    </w:p>
    <w:p w:rsidR="00EC04D8" w:rsidRPr="00EC04D8" w:rsidRDefault="00EC04D8" w:rsidP="00EC04D8">
      <w:pPr>
        <w:keepNext/>
        <w:widowControl w:val="0"/>
        <w:spacing w:after="0" w:line="240" w:lineRule="auto"/>
        <w:jc w:val="center"/>
        <w:outlineLvl w:val="2"/>
        <w:rPr>
          <w:rFonts w:ascii="Garamond" w:eastAsia="MS Mincho" w:hAnsi="Garamond" w:cs="CG Times"/>
          <w:b/>
          <w:bCs/>
          <w:spacing w:val="-4"/>
          <w:sz w:val="24"/>
          <w:lang w:val="sq-AL"/>
        </w:rPr>
      </w:pPr>
      <w:r w:rsidRPr="00EC04D8">
        <w:rPr>
          <w:rFonts w:ascii="Garamond" w:eastAsia="MS Mincho" w:hAnsi="Garamond" w:cs="CG Times"/>
          <w:b/>
          <w:bCs/>
          <w:spacing w:val="-4"/>
          <w:sz w:val="24"/>
          <w:lang w:val="sq-AL"/>
        </w:rPr>
        <w:t>Nr. 49/2017</w:t>
      </w:r>
    </w:p>
    <w:p w:rsidR="00EC04D8" w:rsidRPr="00EC04D8" w:rsidRDefault="00EC04D8" w:rsidP="00EC04D8">
      <w:pPr>
        <w:widowControl w:val="0"/>
        <w:spacing w:after="0" w:line="240" w:lineRule="auto"/>
        <w:ind w:firstLine="284"/>
        <w:jc w:val="both"/>
        <w:rPr>
          <w:rFonts w:ascii="Garamond" w:eastAsia="MS Mincho" w:hAnsi="Garamond" w:cs="CG Times"/>
          <w:spacing w:val="-4"/>
          <w:sz w:val="14"/>
          <w:szCs w:val="24"/>
          <w:lang w:val="sq-AL"/>
        </w:rPr>
      </w:pPr>
    </w:p>
    <w:p w:rsidR="00EC04D8" w:rsidRPr="00EC04D8" w:rsidRDefault="00EC04D8" w:rsidP="00EC04D8">
      <w:pPr>
        <w:keepNext/>
        <w:widowControl w:val="0"/>
        <w:spacing w:after="0" w:line="240" w:lineRule="auto"/>
        <w:jc w:val="center"/>
        <w:outlineLvl w:val="2"/>
        <w:rPr>
          <w:rFonts w:ascii="Garamond" w:eastAsia="MS Mincho" w:hAnsi="Garamond" w:cs="CG Times"/>
          <w:b/>
          <w:bCs/>
          <w:spacing w:val="-4"/>
          <w:sz w:val="24"/>
          <w:lang w:val="sq-AL"/>
        </w:rPr>
      </w:pPr>
      <w:r w:rsidRPr="00EC04D8">
        <w:rPr>
          <w:rFonts w:ascii="Garamond" w:eastAsia="MS Mincho" w:hAnsi="Garamond" w:cs="CG Times"/>
          <w:b/>
          <w:bCs/>
          <w:spacing w:val="-4"/>
          <w:sz w:val="24"/>
          <w:lang w:val="sq-AL"/>
        </w:rPr>
        <w:t xml:space="preserve">PËR KRIJIMIN E MEKANIZMIT PËR MONITORIMIN SISTEMATIK TË NDJEKJES DHE ZBATIMIT TË REKOMANDIMEVE TË INSTITUCIONEVE TË PAVARURA KUSHTETUESE DHE ATYRE TË KRIJUARA ME LIGJ </w:t>
      </w:r>
    </w:p>
    <w:p w:rsidR="00EC04D8" w:rsidRPr="00EC04D8" w:rsidRDefault="00EC04D8" w:rsidP="00EC04D8">
      <w:pPr>
        <w:widowControl w:val="0"/>
        <w:spacing w:after="0" w:line="240" w:lineRule="auto"/>
        <w:ind w:firstLine="284"/>
        <w:jc w:val="both"/>
        <w:rPr>
          <w:rFonts w:ascii="Garamond" w:eastAsia="MS Mincho" w:hAnsi="Garamond" w:cs="CG Times"/>
          <w:spacing w:val="-4"/>
          <w:sz w:val="14"/>
          <w:szCs w:val="24"/>
          <w:lang w:val="sq-AL"/>
        </w:rPr>
      </w:pPr>
    </w:p>
    <w:p w:rsidR="00EC04D8" w:rsidRPr="00EC04D8" w:rsidRDefault="00EC04D8" w:rsidP="00EC04D8">
      <w:pPr>
        <w:widowControl w:val="0"/>
        <w:spacing w:after="0" w:line="240" w:lineRule="auto"/>
        <w:ind w:firstLine="284"/>
        <w:jc w:val="both"/>
        <w:rPr>
          <w:rFonts w:ascii="Garamond" w:eastAsia="MS Mincho" w:hAnsi="Garamond" w:cs="CG Times"/>
          <w:spacing w:val="-4"/>
          <w:sz w:val="24"/>
          <w:lang w:val="sq-AL"/>
        </w:rPr>
      </w:pPr>
      <w:r w:rsidRPr="00EC04D8">
        <w:rPr>
          <w:rFonts w:ascii="Garamond" w:eastAsia="MS Mincho" w:hAnsi="Garamond" w:cs="CG Times"/>
          <w:spacing w:val="-4"/>
          <w:sz w:val="24"/>
          <w:lang w:val="sq-AL"/>
        </w:rPr>
        <w:t xml:space="preserve">Në mbështetje të neneve 78, pika 1, dhe 80, të Kushtetutës, të neneve 18, 55, 88, 102, 103, 120 dhe 121, të Rregullores së Kuvendit, të ligjit nr. 90/2012 “Për organizimin dhe funksionimin e administratës shtetërore”, si dhe të ligjeve organike të institucioneve të pavarura kushtetuese dhe të krijuara me ligj, </w:t>
      </w:r>
    </w:p>
    <w:p w:rsidR="00EC04D8" w:rsidRPr="00EC04D8" w:rsidRDefault="00EC04D8" w:rsidP="00EC04D8">
      <w:pPr>
        <w:widowControl w:val="0"/>
        <w:spacing w:after="0" w:line="240" w:lineRule="auto"/>
        <w:ind w:firstLine="284"/>
        <w:jc w:val="both"/>
        <w:rPr>
          <w:rFonts w:ascii="Garamond" w:eastAsia="MS Mincho" w:hAnsi="Garamond" w:cs="CG Times"/>
          <w:spacing w:val="-4"/>
          <w:sz w:val="14"/>
          <w:szCs w:val="24"/>
          <w:lang w:val="sq-AL"/>
        </w:rPr>
      </w:pPr>
    </w:p>
    <w:p w:rsidR="00EC04D8" w:rsidRPr="00EC04D8" w:rsidRDefault="00EC04D8" w:rsidP="00EC04D8">
      <w:pPr>
        <w:keepNext/>
        <w:widowControl w:val="0"/>
        <w:spacing w:after="0" w:line="240" w:lineRule="auto"/>
        <w:jc w:val="center"/>
        <w:rPr>
          <w:rFonts w:ascii="Garamond" w:eastAsia="MS Mincho" w:hAnsi="Garamond" w:cs="CG Times"/>
          <w:spacing w:val="-4"/>
          <w:sz w:val="24"/>
          <w:lang w:val="sq-AL"/>
        </w:rPr>
      </w:pPr>
      <w:r w:rsidRPr="00EC04D8">
        <w:rPr>
          <w:rFonts w:ascii="Garamond" w:eastAsia="MS Mincho" w:hAnsi="Garamond" w:cs="CG Times"/>
          <w:spacing w:val="-4"/>
          <w:sz w:val="24"/>
          <w:lang w:val="sq-AL"/>
        </w:rPr>
        <w:t>KUVENDI</w:t>
      </w:r>
    </w:p>
    <w:p w:rsidR="00EC04D8" w:rsidRPr="00EC04D8" w:rsidRDefault="00EC04D8" w:rsidP="00EC04D8">
      <w:pPr>
        <w:keepNext/>
        <w:widowControl w:val="0"/>
        <w:spacing w:after="0" w:line="240" w:lineRule="auto"/>
        <w:jc w:val="center"/>
        <w:rPr>
          <w:rFonts w:ascii="Garamond" w:eastAsia="MS Mincho" w:hAnsi="Garamond" w:cs="CG Times"/>
          <w:spacing w:val="-4"/>
          <w:sz w:val="24"/>
          <w:lang w:val="sq-AL"/>
        </w:rPr>
      </w:pPr>
      <w:r w:rsidRPr="00EC04D8">
        <w:rPr>
          <w:rFonts w:ascii="Garamond" w:eastAsia="MS Mincho" w:hAnsi="Garamond" w:cs="CG Times"/>
          <w:spacing w:val="-4"/>
          <w:sz w:val="24"/>
          <w:lang w:val="sq-AL"/>
        </w:rPr>
        <w:t>I REPUBLIKËS SË SHQIPËRISË</w:t>
      </w:r>
    </w:p>
    <w:p w:rsidR="00EC04D8" w:rsidRPr="00EC04D8" w:rsidRDefault="00EC04D8" w:rsidP="00EC04D8">
      <w:pPr>
        <w:widowControl w:val="0"/>
        <w:spacing w:after="0" w:line="240" w:lineRule="auto"/>
        <w:ind w:firstLine="284"/>
        <w:jc w:val="both"/>
        <w:rPr>
          <w:rFonts w:ascii="Garamond" w:eastAsia="MS Mincho" w:hAnsi="Garamond" w:cs="CG Times"/>
          <w:spacing w:val="-4"/>
          <w:sz w:val="14"/>
          <w:szCs w:val="24"/>
          <w:lang w:val="sq-AL"/>
        </w:rPr>
      </w:pPr>
    </w:p>
    <w:p w:rsidR="00EC04D8" w:rsidRPr="00EC04D8" w:rsidRDefault="00EC04D8" w:rsidP="00EC04D8">
      <w:pPr>
        <w:widowControl w:val="0"/>
        <w:spacing w:after="0" w:line="240" w:lineRule="auto"/>
        <w:jc w:val="both"/>
        <w:rPr>
          <w:rFonts w:ascii="Garamond" w:eastAsia="MS Mincho" w:hAnsi="Garamond" w:cs="CG Times"/>
          <w:spacing w:val="-4"/>
          <w:sz w:val="4"/>
          <w:szCs w:val="24"/>
          <w:lang w:val="sq-AL"/>
        </w:rPr>
      </w:pPr>
    </w:p>
    <w:p w:rsidR="00EC04D8" w:rsidRPr="00EC04D8" w:rsidRDefault="00EC04D8" w:rsidP="00EC04D8">
      <w:pPr>
        <w:keepNext/>
        <w:widowControl w:val="0"/>
        <w:spacing w:after="0" w:line="240" w:lineRule="auto"/>
        <w:jc w:val="center"/>
        <w:rPr>
          <w:rFonts w:ascii="Garamond" w:eastAsia="MS Mincho" w:hAnsi="Garamond" w:cs="CG Times"/>
          <w:spacing w:val="-4"/>
          <w:sz w:val="24"/>
          <w:lang w:val="sq-AL"/>
        </w:rPr>
      </w:pPr>
      <w:r w:rsidRPr="00EC04D8">
        <w:rPr>
          <w:rFonts w:ascii="Garamond" w:eastAsia="MS Mincho" w:hAnsi="Garamond" w:cs="CG Times"/>
          <w:spacing w:val="-4"/>
          <w:sz w:val="24"/>
          <w:lang w:val="sq-AL"/>
        </w:rPr>
        <w:t>VENDOSI:</w:t>
      </w:r>
    </w:p>
    <w:p w:rsidR="00EC04D8" w:rsidRPr="00EC04D8" w:rsidRDefault="00EC04D8" w:rsidP="00EC04D8">
      <w:pPr>
        <w:widowControl w:val="0"/>
        <w:spacing w:after="0" w:line="240" w:lineRule="auto"/>
        <w:ind w:firstLine="284"/>
        <w:jc w:val="both"/>
        <w:rPr>
          <w:rFonts w:ascii="Garamond" w:eastAsia="MS Mincho" w:hAnsi="Garamond" w:cs="CG Times"/>
          <w:spacing w:val="-4"/>
          <w:sz w:val="8"/>
          <w:szCs w:val="24"/>
          <w:lang w:val="sq-AL"/>
        </w:rPr>
      </w:pPr>
    </w:p>
    <w:p w:rsidR="00EC04D8" w:rsidRPr="00EC04D8" w:rsidRDefault="00EC04D8" w:rsidP="00EC04D8">
      <w:pPr>
        <w:widowControl w:val="0"/>
        <w:spacing w:after="0" w:line="240" w:lineRule="auto"/>
        <w:ind w:firstLine="284"/>
        <w:jc w:val="both"/>
        <w:rPr>
          <w:rFonts w:ascii="Garamond" w:eastAsia="MS Mincho" w:hAnsi="Garamond" w:cs="CG Times"/>
          <w:spacing w:val="-4"/>
          <w:sz w:val="24"/>
          <w:lang w:val="sq-AL"/>
        </w:rPr>
      </w:pPr>
      <w:r w:rsidRPr="00EC04D8">
        <w:rPr>
          <w:rFonts w:ascii="Garamond" w:eastAsia="MS Mincho" w:hAnsi="Garamond" w:cs="CG Times"/>
          <w:spacing w:val="-4"/>
          <w:sz w:val="24"/>
          <w:lang w:val="sq-AL"/>
        </w:rPr>
        <w:t>I. Krijimin e mekanizmit të përbashkët për monitorimin sistematik të ndjekjes dhe zbatimit të rekomandimeve të institucioneve të pavarura kushtetuese dhe atyre të krijuara me ligj, sipas lidhjeve bashkëlidhur.</w:t>
      </w:r>
    </w:p>
    <w:p w:rsidR="00EC04D8" w:rsidRPr="00EC04D8" w:rsidRDefault="00EC04D8" w:rsidP="00EC04D8">
      <w:pPr>
        <w:widowControl w:val="0"/>
        <w:spacing w:after="0" w:line="240" w:lineRule="auto"/>
        <w:ind w:firstLine="284"/>
        <w:jc w:val="both"/>
        <w:rPr>
          <w:rFonts w:ascii="Garamond" w:eastAsia="MS Mincho" w:hAnsi="Garamond" w:cs="CG Times"/>
          <w:spacing w:val="-4"/>
          <w:sz w:val="24"/>
          <w:lang w:val="sq-AL"/>
        </w:rPr>
      </w:pPr>
      <w:r w:rsidRPr="00EC04D8">
        <w:rPr>
          <w:rFonts w:ascii="Garamond" w:eastAsia="MS Mincho" w:hAnsi="Garamond" w:cs="CG Times"/>
          <w:spacing w:val="-4"/>
          <w:sz w:val="24"/>
          <w:lang w:val="sq-AL"/>
        </w:rPr>
        <w:t>II. Institucionet e pavarura, organet dhe institucionet e administratës shtetërore dhe Kuvendi bashkëpunojnë për ndjekjen dhe zbatimin në vazhdimësi të këtij mekanizmi.</w:t>
      </w:r>
    </w:p>
    <w:p w:rsidR="00EC04D8" w:rsidRPr="00EC04D8" w:rsidRDefault="00EC04D8" w:rsidP="00EC04D8">
      <w:pPr>
        <w:widowControl w:val="0"/>
        <w:spacing w:after="0" w:line="240" w:lineRule="auto"/>
        <w:ind w:firstLine="284"/>
        <w:jc w:val="both"/>
        <w:rPr>
          <w:rFonts w:ascii="Garamond" w:eastAsia="MS Mincho" w:hAnsi="Garamond" w:cs="CG Times"/>
          <w:spacing w:val="-4"/>
          <w:sz w:val="24"/>
          <w:lang w:val="sq-AL"/>
        </w:rPr>
      </w:pPr>
      <w:r w:rsidRPr="00EC04D8">
        <w:rPr>
          <w:rFonts w:ascii="Garamond" w:eastAsia="MS Mincho" w:hAnsi="Garamond" w:cs="CG Times"/>
          <w:spacing w:val="-4"/>
          <w:sz w:val="24"/>
          <w:lang w:val="sq-AL"/>
        </w:rPr>
        <w:t>III. Bashkërendimi dhe realizimi  i masave të përcaktuara në këtë mekanizëm  i nënshtrohen përditësimit, sipas prioriteteve dhe problematikave të institucioneve, të përcaktuara në pikën II, të këtij vendimi, rast pas rasti.</w:t>
      </w:r>
    </w:p>
    <w:p w:rsidR="00EC04D8" w:rsidRPr="00EC04D8" w:rsidRDefault="00EC04D8" w:rsidP="00EC04D8">
      <w:pPr>
        <w:widowControl w:val="0"/>
        <w:spacing w:after="0" w:line="240" w:lineRule="auto"/>
        <w:ind w:firstLine="284"/>
        <w:jc w:val="both"/>
        <w:rPr>
          <w:rFonts w:ascii="Garamond" w:eastAsia="MS Mincho" w:hAnsi="Garamond" w:cs="CG Times"/>
          <w:spacing w:val="-4"/>
          <w:sz w:val="24"/>
          <w:lang w:val="sq-AL"/>
        </w:rPr>
      </w:pPr>
      <w:r w:rsidRPr="00EC04D8">
        <w:rPr>
          <w:rFonts w:ascii="Garamond" w:eastAsia="MS Mincho" w:hAnsi="Garamond" w:cs="CG Times"/>
          <w:spacing w:val="-4"/>
          <w:sz w:val="24"/>
          <w:lang w:val="sq-AL"/>
        </w:rPr>
        <w:t>IV. Ngarkohen organet e Kuvendit dhe shërbimet e Kuvendit për zbatimin e këtij vendimi.</w:t>
      </w:r>
    </w:p>
    <w:p w:rsidR="00EC04D8" w:rsidRPr="00EC04D8" w:rsidRDefault="00EC04D8" w:rsidP="00EC04D8">
      <w:pPr>
        <w:widowControl w:val="0"/>
        <w:spacing w:after="0" w:line="240" w:lineRule="auto"/>
        <w:ind w:firstLine="284"/>
        <w:jc w:val="both"/>
        <w:rPr>
          <w:rFonts w:ascii="Garamond" w:eastAsia="MS Mincho" w:hAnsi="Garamond" w:cs="CG Times"/>
          <w:spacing w:val="-4"/>
          <w:sz w:val="24"/>
          <w:lang w:val="sq-AL"/>
        </w:rPr>
      </w:pPr>
      <w:r w:rsidRPr="00EC04D8">
        <w:rPr>
          <w:rFonts w:ascii="Garamond" w:eastAsia="MS Mincho" w:hAnsi="Garamond" w:cs="CG Times"/>
          <w:spacing w:val="-4"/>
          <w:sz w:val="24"/>
          <w:lang w:val="sq-AL"/>
        </w:rPr>
        <w:t xml:space="preserve">V. Ky vendim hyn në fuqi menjëherë. </w:t>
      </w:r>
    </w:p>
    <w:p w:rsidR="00EC04D8" w:rsidRPr="00EC04D8" w:rsidRDefault="00EC04D8" w:rsidP="00EC04D8">
      <w:pPr>
        <w:widowControl w:val="0"/>
        <w:spacing w:after="0" w:line="240" w:lineRule="auto"/>
        <w:ind w:firstLine="284"/>
        <w:jc w:val="both"/>
        <w:rPr>
          <w:rFonts w:ascii="Garamond" w:eastAsia="MS Mincho" w:hAnsi="Garamond" w:cs="CG Times"/>
          <w:spacing w:val="-4"/>
          <w:sz w:val="14"/>
          <w:szCs w:val="24"/>
          <w:lang w:val="sq-AL"/>
        </w:rPr>
      </w:pPr>
    </w:p>
    <w:p w:rsidR="00EC04D8" w:rsidRPr="00EC04D8" w:rsidRDefault="00EC04D8" w:rsidP="00EC04D8">
      <w:pPr>
        <w:widowControl w:val="0"/>
        <w:spacing w:after="0" w:line="240" w:lineRule="auto"/>
        <w:ind w:firstLine="284"/>
        <w:jc w:val="right"/>
        <w:rPr>
          <w:rFonts w:ascii="Garamond" w:eastAsia="MS Mincho" w:hAnsi="Garamond" w:cs="CG Times"/>
          <w:spacing w:val="-4"/>
          <w:sz w:val="24"/>
          <w:lang w:val="sq-AL"/>
        </w:rPr>
      </w:pPr>
      <w:r w:rsidRPr="00EC04D8">
        <w:rPr>
          <w:rFonts w:ascii="Garamond" w:eastAsia="MS Mincho" w:hAnsi="Garamond" w:cs="CG Times"/>
          <w:spacing w:val="-4"/>
          <w:sz w:val="24"/>
          <w:lang w:val="sq-AL"/>
        </w:rPr>
        <w:t>KRYETARI</w:t>
      </w:r>
    </w:p>
    <w:p w:rsidR="00EC04D8" w:rsidRPr="00EC04D8" w:rsidRDefault="00EC04D8" w:rsidP="00EC04D8">
      <w:pPr>
        <w:widowControl w:val="0"/>
        <w:spacing w:after="0" w:line="240" w:lineRule="auto"/>
        <w:ind w:firstLine="284"/>
        <w:jc w:val="right"/>
        <w:rPr>
          <w:rFonts w:ascii="Garamond" w:eastAsia="MS Mincho" w:hAnsi="Garamond" w:cs="CG Times"/>
          <w:b/>
          <w:spacing w:val="-4"/>
          <w:sz w:val="24"/>
          <w:lang w:val="sq-AL"/>
        </w:rPr>
      </w:pPr>
      <w:r w:rsidRPr="00EC04D8">
        <w:rPr>
          <w:rFonts w:ascii="Garamond" w:eastAsia="MS Mincho" w:hAnsi="Garamond" w:cs="CG Times"/>
          <w:b/>
          <w:spacing w:val="-4"/>
          <w:sz w:val="24"/>
          <w:lang w:val="sq-AL"/>
        </w:rPr>
        <w:t>Ilir Meta</w:t>
      </w:r>
    </w:p>
    <w:p w:rsidR="00EC04D8" w:rsidRPr="00EC04D8" w:rsidRDefault="00EC04D8" w:rsidP="00EC04D8">
      <w:pPr>
        <w:widowControl w:val="0"/>
        <w:spacing w:after="0" w:line="240" w:lineRule="auto"/>
        <w:ind w:firstLine="284"/>
        <w:jc w:val="both"/>
        <w:rPr>
          <w:rFonts w:ascii="Garamond" w:eastAsia="MS Mincho" w:hAnsi="Garamond" w:cs="CG Times"/>
          <w:spacing w:val="-4"/>
          <w:sz w:val="14"/>
          <w:szCs w:val="24"/>
          <w:lang w:val="sq-AL"/>
        </w:rPr>
      </w:pPr>
    </w:p>
    <w:p w:rsidR="00EC04D8" w:rsidRPr="00EC04D8" w:rsidRDefault="00EC04D8" w:rsidP="00EC04D8">
      <w:pPr>
        <w:widowControl w:val="0"/>
        <w:spacing w:after="0" w:line="240" w:lineRule="auto"/>
        <w:ind w:firstLine="284"/>
        <w:jc w:val="both"/>
        <w:rPr>
          <w:rFonts w:ascii="Garamond" w:eastAsia="MS Mincho" w:hAnsi="Garamond" w:cs="CG Times"/>
          <w:spacing w:val="-4"/>
          <w:sz w:val="24"/>
          <w:lang w:val="sq-AL"/>
        </w:rPr>
      </w:pPr>
      <w:r w:rsidRPr="00EC04D8">
        <w:rPr>
          <w:rFonts w:ascii="Garamond" w:eastAsia="MS Mincho" w:hAnsi="Garamond" w:cs="CG Times"/>
          <w:spacing w:val="-4"/>
          <w:sz w:val="24"/>
          <w:lang w:val="sq-AL"/>
        </w:rPr>
        <w:t>Miratuar në datën 20.4.2017</w:t>
      </w:r>
    </w:p>
    <w:p w:rsidR="00EC04D8" w:rsidRPr="00EC04D8" w:rsidRDefault="00EC04D8" w:rsidP="00EC04D8">
      <w:pPr>
        <w:widowControl w:val="0"/>
        <w:spacing w:after="0" w:line="240" w:lineRule="auto"/>
        <w:ind w:firstLine="284"/>
        <w:jc w:val="both"/>
        <w:rPr>
          <w:rFonts w:ascii="Garamond" w:eastAsia="MS Mincho" w:hAnsi="Garamond" w:cs="CG Times"/>
          <w:sz w:val="24"/>
          <w:lang w:val="sq-AL"/>
        </w:rPr>
        <w:sectPr w:rsidR="00EC04D8" w:rsidRPr="00EC04D8" w:rsidSect="00EC04D8">
          <w:headerReference w:type="even" r:id="rId6"/>
          <w:headerReference w:type="default"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5177"/>
          <w:cols w:space="454"/>
          <w:docGrid w:linePitch="360"/>
        </w:sectPr>
      </w:pPr>
    </w:p>
    <w:p w:rsidR="00EC04D8" w:rsidRPr="00EC04D8" w:rsidRDefault="00EC04D8" w:rsidP="00EC04D8">
      <w:pPr>
        <w:widowControl w:val="0"/>
        <w:spacing w:after="0" w:line="240" w:lineRule="auto"/>
        <w:ind w:firstLine="284"/>
        <w:jc w:val="both"/>
        <w:rPr>
          <w:rFonts w:ascii="Garamond" w:eastAsia="MS Mincho" w:hAnsi="Garamond" w:cs="CG Times"/>
          <w:sz w:val="24"/>
          <w:lang w:val="sq-AL"/>
        </w:rPr>
      </w:pPr>
    </w:p>
    <w:p w:rsidR="00EC04D8" w:rsidRPr="00EC04D8" w:rsidRDefault="00EC04D8" w:rsidP="00EC04D8">
      <w:pPr>
        <w:widowControl w:val="0"/>
        <w:spacing w:after="0" w:line="240" w:lineRule="auto"/>
        <w:ind w:firstLine="284"/>
        <w:jc w:val="both"/>
        <w:rPr>
          <w:rFonts w:ascii="Garamond" w:eastAsia="MS Mincho" w:hAnsi="Garamond" w:cs="CG Times"/>
          <w:sz w:val="24"/>
          <w:lang w:val="sq-AL"/>
        </w:rPr>
      </w:pPr>
    </w:p>
    <w:p w:rsidR="00EC04D8" w:rsidRPr="00EC04D8" w:rsidRDefault="00EC04D8" w:rsidP="00EC04D8">
      <w:pPr>
        <w:widowControl w:val="0"/>
        <w:spacing w:after="0" w:line="240" w:lineRule="auto"/>
        <w:ind w:firstLine="284"/>
        <w:jc w:val="both"/>
        <w:rPr>
          <w:rFonts w:ascii="Garamond" w:eastAsia="MS Mincho" w:hAnsi="Garamond" w:cs="CG Times"/>
          <w:sz w:val="24"/>
          <w:lang w:val="sq-AL"/>
        </w:rPr>
      </w:pPr>
    </w:p>
    <w:p w:rsidR="00EC04D8" w:rsidRPr="00EC04D8" w:rsidRDefault="00EC04D8" w:rsidP="00EC04D8">
      <w:pPr>
        <w:widowControl w:val="0"/>
        <w:spacing w:after="0" w:line="240" w:lineRule="auto"/>
        <w:ind w:firstLine="284"/>
        <w:jc w:val="both"/>
        <w:rPr>
          <w:rFonts w:ascii="Garamond" w:eastAsia="MS Mincho" w:hAnsi="Garamond" w:cs="CG Times"/>
          <w:sz w:val="24"/>
          <w:lang w:val="sq-AL"/>
        </w:rPr>
      </w:pPr>
    </w:p>
    <w:p w:rsidR="00EC04D8" w:rsidRPr="00EC04D8" w:rsidRDefault="00EC04D8" w:rsidP="00EC04D8">
      <w:pPr>
        <w:widowControl w:val="0"/>
        <w:spacing w:after="0" w:line="240" w:lineRule="auto"/>
        <w:ind w:firstLine="284"/>
        <w:jc w:val="both"/>
        <w:rPr>
          <w:rFonts w:ascii="Garamond" w:eastAsia="MS Mincho" w:hAnsi="Garamond" w:cs="CG Times"/>
          <w:sz w:val="24"/>
          <w:lang w:val="sq-AL"/>
        </w:rPr>
      </w:pPr>
    </w:p>
    <w:p w:rsidR="00EC04D8" w:rsidRPr="00EC04D8" w:rsidRDefault="00EC04D8" w:rsidP="00EC04D8">
      <w:pPr>
        <w:widowControl w:val="0"/>
        <w:spacing w:after="0" w:line="240" w:lineRule="auto"/>
        <w:ind w:firstLine="284"/>
        <w:jc w:val="both"/>
        <w:rPr>
          <w:rFonts w:ascii="Garamond" w:eastAsia="MS Mincho" w:hAnsi="Garamond" w:cs="CG Times"/>
          <w:sz w:val="24"/>
          <w:lang w:val="sq-AL"/>
        </w:rPr>
      </w:pPr>
      <w:r w:rsidRPr="00EC04D8">
        <w:rPr>
          <w:rFonts w:ascii="Garamond" w:eastAsia="MS Mincho" w:hAnsi="Garamond" w:cs="CG Times"/>
          <w:sz w:val="24"/>
          <w:lang w:val="sq-AL"/>
        </w:rPr>
        <w:t>Lidhja 1: Veprimet e Kuvendit/organeve të Kuvendit</w:t>
      </w:r>
    </w:p>
    <w:tbl>
      <w:tblPr>
        <w:tblStyle w:val="TableGrid"/>
        <w:tblpPr w:leftFromText="180" w:rightFromText="180" w:vertAnchor="text" w:horzAnchor="margin" w:tblpXSpec="center" w:tblpY="361"/>
        <w:tblW w:w="5000" w:type="pct"/>
        <w:tblLook w:val="04A0" w:firstRow="1" w:lastRow="0" w:firstColumn="1" w:lastColumn="0" w:noHBand="0" w:noVBand="1"/>
      </w:tblPr>
      <w:tblGrid>
        <w:gridCol w:w="2967"/>
        <w:gridCol w:w="2394"/>
        <w:gridCol w:w="4215"/>
      </w:tblGrid>
      <w:tr w:rsidR="00EC04D8" w:rsidRPr="00EC04D8" w:rsidTr="00A571AA">
        <w:trPr>
          <w:trHeight w:val="474"/>
        </w:trPr>
        <w:tc>
          <w:tcPr>
            <w:tcW w:w="1549" w:type="pct"/>
          </w:tcPr>
          <w:p w:rsidR="00EC04D8" w:rsidRPr="00EC04D8" w:rsidRDefault="00EC04D8" w:rsidP="00EC04D8">
            <w:pPr>
              <w:contextualSpacing/>
              <w:rPr>
                <w:rFonts w:ascii="Garamond" w:eastAsiaTheme="minorEastAsia" w:hAnsi="Garamond"/>
                <w:lang w:val="sq-AL" w:eastAsia="en-GB"/>
              </w:rPr>
            </w:pPr>
            <w:r w:rsidRPr="00EC04D8">
              <w:rPr>
                <w:rFonts w:ascii="Garamond" w:eastAsiaTheme="minorEastAsia" w:hAnsi="Garamond"/>
                <w:lang w:val="sq-AL" w:eastAsia="en-GB"/>
              </w:rPr>
              <w:t>1. Takim midis Kryetarit të</w:t>
            </w:r>
          </w:p>
          <w:p w:rsidR="00EC04D8" w:rsidRPr="00EC04D8" w:rsidRDefault="00EC04D8" w:rsidP="00EC04D8">
            <w:pPr>
              <w:contextualSpacing/>
              <w:rPr>
                <w:rFonts w:ascii="Garamond" w:eastAsiaTheme="minorEastAsia" w:hAnsi="Garamond"/>
                <w:lang w:val="sq-AL" w:eastAsia="en-GB"/>
              </w:rPr>
            </w:pPr>
            <w:r w:rsidRPr="00EC04D8">
              <w:rPr>
                <w:rFonts w:ascii="Garamond" w:eastAsiaTheme="minorEastAsia" w:hAnsi="Garamond"/>
                <w:lang w:val="sq-AL" w:eastAsia="en-GB"/>
              </w:rPr>
              <w:t>Kuvendit/kryetarëve/kryesive të komisioneve dhe titullarëve të institucioneve të pavarura  për çështjet e institucioneve të pavarura.</w:t>
            </w:r>
          </w:p>
        </w:tc>
        <w:tc>
          <w:tcPr>
            <w:tcW w:w="1250" w:type="pct"/>
          </w:tcPr>
          <w:p w:rsidR="00EC04D8" w:rsidRPr="00EC04D8" w:rsidRDefault="00EC04D8" w:rsidP="00EC04D8">
            <w:pPr>
              <w:contextualSpacing/>
              <w:rPr>
                <w:rFonts w:ascii="Garamond" w:eastAsiaTheme="minorEastAsia" w:hAnsi="Garamond"/>
                <w:b/>
                <w:lang w:val="sq-AL" w:eastAsia="en-GB"/>
              </w:rPr>
            </w:pPr>
            <w:r w:rsidRPr="00EC04D8">
              <w:rPr>
                <w:rFonts w:ascii="Garamond" w:eastAsiaTheme="minorEastAsia" w:hAnsi="Garamond"/>
                <w:b/>
                <w:lang w:val="sq-AL" w:eastAsia="en-GB"/>
              </w:rPr>
              <w:t xml:space="preserve">Afati </w:t>
            </w:r>
          </w:p>
          <w:p w:rsidR="00EC04D8" w:rsidRPr="00EC04D8" w:rsidRDefault="00EC04D8" w:rsidP="00EC04D8">
            <w:pPr>
              <w:contextualSpacing/>
              <w:rPr>
                <w:rFonts w:ascii="Garamond" w:eastAsiaTheme="minorEastAsia" w:hAnsi="Garamond"/>
                <w:lang w:val="sq-AL" w:eastAsia="en-GB"/>
              </w:rPr>
            </w:pPr>
            <w:r w:rsidRPr="00EC04D8">
              <w:rPr>
                <w:rFonts w:ascii="Garamond" w:eastAsiaTheme="minorEastAsia" w:hAnsi="Garamond"/>
                <w:lang w:val="sq-AL" w:eastAsia="en-GB"/>
              </w:rPr>
              <w:t xml:space="preserve">Me fillimin e çdo sesioni të vjeshtës </w:t>
            </w:r>
          </w:p>
        </w:tc>
        <w:tc>
          <w:tcPr>
            <w:tcW w:w="2201" w:type="pct"/>
          </w:tcPr>
          <w:p w:rsidR="00EC04D8" w:rsidRPr="00EC04D8" w:rsidRDefault="00EC04D8" w:rsidP="00EC04D8">
            <w:pPr>
              <w:contextualSpacing/>
              <w:rPr>
                <w:rFonts w:ascii="Garamond" w:eastAsiaTheme="minorEastAsia" w:hAnsi="Garamond"/>
                <w:b/>
                <w:lang w:val="sq-AL" w:eastAsia="en-GB"/>
              </w:rPr>
            </w:pPr>
            <w:r w:rsidRPr="00EC04D8">
              <w:rPr>
                <w:rFonts w:ascii="Garamond" w:eastAsiaTheme="minorEastAsia" w:hAnsi="Garamond"/>
                <w:b/>
                <w:lang w:val="sq-AL" w:eastAsia="en-GB"/>
              </w:rPr>
              <w:t xml:space="preserve">Konkluzionet/Masat </w:t>
            </w:r>
          </w:p>
          <w:p w:rsidR="00EC04D8" w:rsidRPr="00EC04D8" w:rsidRDefault="00EC04D8" w:rsidP="00EC04D8">
            <w:pPr>
              <w:contextualSpacing/>
              <w:rPr>
                <w:rFonts w:ascii="Garamond" w:eastAsiaTheme="minorEastAsia" w:hAnsi="Garamond"/>
                <w:b/>
                <w:lang w:val="sq-AL" w:eastAsia="en-GB"/>
              </w:rPr>
            </w:pPr>
            <w:r w:rsidRPr="00EC04D8">
              <w:rPr>
                <w:rFonts w:ascii="Garamond" w:eastAsia="Calibri" w:hAnsi="Garamond"/>
                <w:lang w:val="sq-AL"/>
              </w:rPr>
              <w:t>Mesazh bashkëpunimi dhe vendosja e piketave kryesore për vijimësi të bashkëpunimit dhe raportimit, si dhe për hartimin e planit vjetor të punës për vitin pasardhës dhe adresimin e tij Kuvendit.</w:t>
            </w:r>
          </w:p>
        </w:tc>
      </w:tr>
      <w:tr w:rsidR="00EC04D8" w:rsidRPr="00EC04D8" w:rsidTr="00A571AA">
        <w:trPr>
          <w:trHeight w:val="474"/>
        </w:trPr>
        <w:tc>
          <w:tcPr>
            <w:tcW w:w="1549" w:type="pct"/>
          </w:tcPr>
          <w:p w:rsidR="00EC04D8" w:rsidRPr="00EC04D8" w:rsidRDefault="00EC04D8" w:rsidP="00EC04D8">
            <w:pPr>
              <w:contextualSpacing/>
              <w:rPr>
                <w:rFonts w:ascii="Garamond" w:eastAsiaTheme="minorEastAsia" w:hAnsi="Garamond"/>
                <w:b/>
                <w:i/>
                <w:lang w:val="sq-AL" w:eastAsia="en-GB"/>
              </w:rPr>
            </w:pPr>
            <w:r w:rsidRPr="00EC04D8">
              <w:rPr>
                <w:rFonts w:ascii="Garamond" w:eastAsiaTheme="minorEastAsia" w:hAnsi="Garamond"/>
                <w:b/>
                <w:lang w:val="sq-AL" w:eastAsia="en-GB"/>
              </w:rPr>
              <w:t>2.</w:t>
            </w:r>
            <w:r w:rsidRPr="00EC04D8">
              <w:rPr>
                <w:rFonts w:ascii="Garamond" w:eastAsiaTheme="minorEastAsia" w:hAnsi="Garamond"/>
                <w:b/>
                <w:i/>
                <w:lang w:val="sq-AL" w:eastAsia="en-GB"/>
              </w:rPr>
              <w:t xml:space="preserve"> </w:t>
            </w:r>
            <w:r w:rsidRPr="00EC04D8">
              <w:rPr>
                <w:rFonts w:ascii="Garamond" w:eastAsiaTheme="minorEastAsia" w:hAnsi="Garamond"/>
                <w:lang w:val="sq-AL" w:eastAsia="en-GB"/>
              </w:rPr>
              <w:t xml:space="preserve">Të bashkëkordinohet kalendari i krijuar nga komisionet parlamentare për kontrollin parlamentar ndaj Qeverisë me atë të kontrollit për çështje të  institucioneve të pavarura. </w:t>
            </w:r>
          </w:p>
        </w:tc>
        <w:tc>
          <w:tcPr>
            <w:tcW w:w="1250" w:type="pct"/>
          </w:tcPr>
          <w:p w:rsidR="00EC04D8" w:rsidRPr="00EC04D8" w:rsidRDefault="00EC04D8" w:rsidP="00EC04D8">
            <w:pPr>
              <w:contextualSpacing/>
              <w:rPr>
                <w:rFonts w:ascii="Garamond" w:eastAsiaTheme="minorEastAsia" w:hAnsi="Garamond"/>
                <w:b/>
                <w:lang w:val="sq-AL" w:eastAsia="en-GB"/>
              </w:rPr>
            </w:pPr>
            <w:r w:rsidRPr="00EC04D8">
              <w:rPr>
                <w:rFonts w:ascii="Garamond" w:eastAsiaTheme="minorEastAsia" w:hAnsi="Garamond"/>
                <w:lang w:val="sq-AL" w:eastAsia="en-GB"/>
              </w:rPr>
              <w:t xml:space="preserve">Një herë në vit të gjendet e përshtatur me problematikat e raportuara pas ezaurimit të raporteve vjetore dhe pas çështjeve që kanë dalë nga takimi i përmendur në pikën 1. </w:t>
            </w:r>
          </w:p>
        </w:tc>
        <w:tc>
          <w:tcPr>
            <w:tcW w:w="2201" w:type="pct"/>
          </w:tcPr>
          <w:p w:rsidR="00EC04D8" w:rsidRPr="00EC04D8" w:rsidRDefault="00EC04D8" w:rsidP="00EC04D8">
            <w:pPr>
              <w:rPr>
                <w:rFonts w:ascii="Garamond" w:eastAsiaTheme="minorEastAsia" w:hAnsi="Garamond"/>
                <w:lang w:val="sq-AL" w:eastAsia="en-GB"/>
              </w:rPr>
            </w:pPr>
            <w:r w:rsidRPr="00EC04D8">
              <w:rPr>
                <w:rFonts w:ascii="Garamond" w:eastAsiaTheme="minorEastAsia" w:hAnsi="Garamond"/>
                <w:lang w:val="sq-AL" w:eastAsia="en-GB"/>
              </w:rPr>
              <w:t xml:space="preserve">- Komisionet hartojnë kalendarin e diskutimit/ndjekjes së zhvillimeve/moszhvillimeve të punës së institucioneve të pavarura me argumentet përkatëse. </w:t>
            </w:r>
          </w:p>
          <w:p w:rsidR="00EC04D8" w:rsidRPr="00EC04D8" w:rsidRDefault="00EC04D8" w:rsidP="00EC04D8">
            <w:pPr>
              <w:rPr>
                <w:rFonts w:ascii="Garamond" w:eastAsiaTheme="minorEastAsia" w:hAnsi="Garamond"/>
                <w:sz w:val="14"/>
                <w:lang w:val="sq-AL" w:eastAsia="en-GB"/>
              </w:rPr>
            </w:pPr>
          </w:p>
          <w:p w:rsidR="00EC04D8" w:rsidRPr="00EC04D8" w:rsidRDefault="00EC04D8" w:rsidP="00EC04D8">
            <w:pPr>
              <w:rPr>
                <w:rFonts w:ascii="Garamond" w:eastAsiaTheme="minorEastAsia" w:hAnsi="Garamond"/>
                <w:lang w:val="sq-AL" w:eastAsia="en-GB"/>
              </w:rPr>
            </w:pPr>
            <w:r w:rsidRPr="00EC04D8">
              <w:rPr>
                <w:rFonts w:ascii="Garamond" w:eastAsiaTheme="minorEastAsia" w:hAnsi="Garamond"/>
                <w:lang w:val="sq-AL" w:eastAsia="en-GB"/>
              </w:rPr>
              <w:t>- Komisionet shohin mundësinë e vendosjes së një plani tematik për një çështje specifike të rëndësisë prioritare, rast pas rasti, në varësi të çështjes së ndodhur.</w:t>
            </w:r>
          </w:p>
          <w:p w:rsidR="00EC04D8" w:rsidRPr="00EC04D8" w:rsidRDefault="00EC04D8" w:rsidP="00EC04D8">
            <w:pPr>
              <w:rPr>
                <w:rFonts w:ascii="Garamond" w:eastAsiaTheme="minorEastAsia" w:hAnsi="Garamond"/>
                <w:sz w:val="14"/>
                <w:lang w:val="sq-AL" w:eastAsia="en-GB"/>
              </w:rPr>
            </w:pPr>
          </w:p>
          <w:p w:rsidR="00EC04D8" w:rsidRPr="00EC04D8" w:rsidRDefault="00EC04D8" w:rsidP="00EC04D8">
            <w:pPr>
              <w:rPr>
                <w:rFonts w:ascii="Garamond" w:eastAsiaTheme="minorEastAsia" w:hAnsi="Garamond"/>
                <w:lang w:val="sq-AL" w:eastAsia="en-GB"/>
              </w:rPr>
            </w:pPr>
            <w:r w:rsidRPr="00EC04D8">
              <w:rPr>
                <w:rFonts w:ascii="Garamond" w:eastAsiaTheme="minorEastAsia" w:hAnsi="Garamond"/>
                <w:lang w:val="sq-AL" w:eastAsia="en-GB"/>
              </w:rPr>
              <w:t xml:space="preserve">- Komisionet të përfshihen në hartimin e kalendarit specifik për dëgjesa apo info me shkrim për gjetjet dhe masat për progres-raportin e vitit, për çdo institucion dhe të prezantohet nga institucionet plani i veprimit konkret për zbatimin e masave që rekomandon ky progresraport. </w:t>
            </w:r>
          </w:p>
          <w:p w:rsidR="00EC04D8" w:rsidRPr="00EC04D8" w:rsidRDefault="00EC04D8" w:rsidP="00EC04D8">
            <w:pPr>
              <w:rPr>
                <w:rFonts w:ascii="Garamond" w:eastAsiaTheme="minorEastAsia" w:hAnsi="Garamond"/>
                <w:sz w:val="14"/>
                <w:lang w:val="sq-AL" w:eastAsia="en-GB"/>
              </w:rPr>
            </w:pPr>
          </w:p>
          <w:p w:rsidR="00EC04D8" w:rsidRPr="00EC04D8" w:rsidRDefault="00EC04D8" w:rsidP="00EC04D8">
            <w:pPr>
              <w:contextualSpacing/>
              <w:rPr>
                <w:rFonts w:ascii="Garamond" w:eastAsiaTheme="minorEastAsia" w:hAnsi="Garamond"/>
                <w:b/>
                <w:lang w:val="sq-AL" w:eastAsia="en-GB"/>
              </w:rPr>
            </w:pPr>
            <w:r w:rsidRPr="00EC04D8">
              <w:rPr>
                <w:rFonts w:ascii="Garamond" w:eastAsia="Calibri" w:hAnsi="Garamond"/>
                <w:color w:val="1F497D"/>
                <w:lang w:val="sq-AL"/>
              </w:rPr>
              <w:t xml:space="preserve">- </w:t>
            </w:r>
            <w:r w:rsidRPr="00EC04D8">
              <w:rPr>
                <w:rFonts w:ascii="Garamond" w:eastAsia="Calibri" w:hAnsi="Garamond"/>
                <w:lang w:val="sq-AL"/>
              </w:rPr>
              <w:t>Po në këtë kalendar dëgjesash, të  raportohet nga institucionet edhe në kuadër të zbatimit të rekomandimeve ndërkombëtare</w:t>
            </w:r>
            <w:r w:rsidRPr="00EC04D8">
              <w:rPr>
                <w:rFonts w:ascii="Garamond" w:eastAsia="Calibri" w:hAnsi="Garamond"/>
                <w:color w:val="000000" w:themeColor="text1"/>
                <w:lang w:val="sq-AL"/>
              </w:rPr>
              <w:t>, të përfshihet edhe një shtyllë tjetër e identifikimit për zbatimin e masave lidhur me instrumentet e tjera ndërkombëtare ku Shqipëria është anëtare dhe nga ku dalin rekomandime specifike për t’u përmbushur nga aktorët më kryesorë në vend, siç janë Ekzekutivi, Legjislativi, Gjyqësori, por edhe institucionet e tjera të pavarura. (rek. ILDKPKI p.sh. për raportimin e masave, sipas rekomandimeve të GRECO-s, instrument i Këshillit të Europës, ku kërkohet në mënyrë të koordinuar bashkëpunimi tripalësh: Qeveri-Kuvend-Inst. Pav.</w:t>
            </w:r>
          </w:p>
        </w:tc>
      </w:tr>
      <w:tr w:rsidR="00EC04D8" w:rsidRPr="00EC04D8" w:rsidTr="00A571AA">
        <w:trPr>
          <w:trHeight w:val="474"/>
        </w:trPr>
        <w:tc>
          <w:tcPr>
            <w:tcW w:w="1549" w:type="pct"/>
          </w:tcPr>
          <w:p w:rsidR="00EC04D8" w:rsidRPr="00EC04D8" w:rsidRDefault="00EC04D8" w:rsidP="00EC04D8">
            <w:pPr>
              <w:contextualSpacing/>
              <w:rPr>
                <w:rFonts w:ascii="Garamond" w:eastAsiaTheme="minorEastAsia" w:hAnsi="Garamond"/>
                <w:lang w:val="sq-AL" w:eastAsia="en-GB"/>
              </w:rPr>
            </w:pPr>
            <w:r w:rsidRPr="00EC04D8">
              <w:rPr>
                <w:rFonts w:ascii="Garamond" w:eastAsiaTheme="minorEastAsia" w:hAnsi="Garamond"/>
                <w:b/>
                <w:lang w:val="sq-AL" w:eastAsia="en-GB"/>
              </w:rPr>
              <w:t>3.</w:t>
            </w:r>
            <w:r w:rsidRPr="00EC04D8">
              <w:rPr>
                <w:rFonts w:ascii="Garamond" w:eastAsiaTheme="minorEastAsia" w:hAnsi="Garamond"/>
                <w:lang w:val="sq-AL" w:eastAsia="en-GB"/>
              </w:rPr>
              <w:t xml:space="preserve"> Të përcaktohen qartë përgjegjësitë ndërmjet komisioneve të Kuvendit për mbikëqyrjen e institucioneve të pavarura dhe zbatimin e rekomandimeve të tyre.</w:t>
            </w: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b/>
                <w:i/>
                <w:lang w:val="sq-AL" w:eastAsia="en-GB"/>
              </w:rPr>
            </w:pPr>
          </w:p>
        </w:tc>
        <w:tc>
          <w:tcPr>
            <w:tcW w:w="1250" w:type="pct"/>
          </w:tcPr>
          <w:p w:rsidR="00EC04D8" w:rsidRPr="00EC04D8" w:rsidRDefault="00EC04D8" w:rsidP="00EC04D8">
            <w:pPr>
              <w:contextualSpacing/>
              <w:rPr>
                <w:rFonts w:ascii="Garamond" w:eastAsiaTheme="minorEastAsia" w:hAnsi="Garamond"/>
                <w:lang w:val="sq-AL" w:eastAsia="en-GB"/>
              </w:rPr>
            </w:pPr>
            <w:r w:rsidRPr="00EC04D8">
              <w:rPr>
                <w:rFonts w:ascii="Garamond" w:eastAsiaTheme="minorEastAsia" w:hAnsi="Garamond"/>
                <w:lang w:val="sq-AL" w:eastAsia="en-GB"/>
              </w:rPr>
              <w:t xml:space="preserve">Periodikisht gjatë gjithë vitit </w:t>
            </w: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b/>
                <w:lang w:val="sq-AL" w:eastAsia="en-GB"/>
              </w:rPr>
            </w:pPr>
          </w:p>
        </w:tc>
        <w:tc>
          <w:tcPr>
            <w:tcW w:w="2201" w:type="pct"/>
          </w:tcPr>
          <w:p w:rsidR="00EC04D8" w:rsidRPr="00EC04D8" w:rsidRDefault="00EC04D8" w:rsidP="00EC04D8">
            <w:pPr>
              <w:contextualSpacing/>
              <w:rPr>
                <w:rFonts w:ascii="Garamond" w:eastAsiaTheme="minorEastAsia" w:hAnsi="Garamond"/>
                <w:b/>
                <w:lang w:val="sq-AL" w:eastAsia="en-GB"/>
              </w:rPr>
            </w:pPr>
            <w:r w:rsidRPr="00EC04D8">
              <w:rPr>
                <w:rFonts w:ascii="Garamond" w:eastAsiaTheme="minorEastAsia" w:hAnsi="Garamond"/>
                <w:lang w:val="sq-AL" w:eastAsia="en-GB"/>
              </w:rPr>
              <w:t xml:space="preserve">Të bashkëpunohet më ngushtë me stafin e komisioneve parlamentare që të sjellin në vëmendje të kryesisë së komisionit çështjet e ndryshme të referuara/adresuara  nga institucionet e pavarura së bashku me materialet mbështetëse të SHMI për rastin konkret të adresuar, për vëmendje të komisioneve  përgjegjëse, por dhe komisioneve të tjera që mund të prekin një fushë që ato mbulojnë dhe orientimin e tyre për vijim të përgjigjeve apo hapave të mundshëm parlamentarë. (Ka mjaft institucione që, për shkak të objektit të gjerë të </w:t>
            </w:r>
            <w:r w:rsidRPr="00EC04D8">
              <w:rPr>
                <w:rFonts w:ascii="Garamond" w:eastAsiaTheme="minorEastAsia" w:hAnsi="Garamond"/>
                <w:lang w:val="sq-AL" w:eastAsia="en-GB"/>
              </w:rPr>
              <w:lastRenderedPageBreak/>
              <w:t>ligjit, mund të raportojnë edhe në komisione të tjera të fushave që përfshin ligji i posaçëm,  si KMD: përcaktim ligjor në disa komisione të Kuvendit apo PP, ILDKPKI etj.)</w:t>
            </w:r>
          </w:p>
        </w:tc>
      </w:tr>
      <w:tr w:rsidR="00EC04D8" w:rsidRPr="00EC04D8" w:rsidTr="00A571AA">
        <w:trPr>
          <w:trHeight w:val="474"/>
        </w:trPr>
        <w:tc>
          <w:tcPr>
            <w:tcW w:w="1549" w:type="pct"/>
          </w:tcPr>
          <w:p w:rsidR="00EC04D8" w:rsidRPr="00EC04D8" w:rsidRDefault="00EC04D8" w:rsidP="00EC04D8">
            <w:pPr>
              <w:rPr>
                <w:rFonts w:ascii="Garamond" w:eastAsia="Calibri" w:hAnsi="Garamond"/>
                <w:i/>
                <w:lang w:val="sq-AL"/>
              </w:rPr>
            </w:pPr>
            <w:r w:rsidRPr="00EC04D8">
              <w:rPr>
                <w:rFonts w:ascii="Garamond" w:eastAsia="Calibri" w:hAnsi="Garamond"/>
                <w:b/>
                <w:lang w:val="sq-AL"/>
              </w:rPr>
              <w:lastRenderedPageBreak/>
              <w:t>4.</w:t>
            </w:r>
            <w:r w:rsidRPr="00EC04D8">
              <w:rPr>
                <w:rFonts w:ascii="Garamond" w:eastAsia="Calibri" w:hAnsi="Garamond"/>
                <w:lang w:val="sq-AL"/>
              </w:rPr>
              <w:t xml:space="preserve"> Për çështje të veçanta sensitive për të drejtat e njeriut, si dhe për raste flagrante që rezultojnë në mënyrë të vazhdueshme me moskthim përgjigjesh apo moszbatim rekomandimesh nga administrata publike, Avokati i Popullit përveç Kryetarit të Kuvendit, t’i drejtohet konkretisht dhe njëkohësisht nënkomisioneve parlamentare të atashuara pranë komisoneve përgjegjëse, si dhe komisioneve përgjegjëse. </w:t>
            </w:r>
          </w:p>
        </w:tc>
        <w:tc>
          <w:tcPr>
            <w:tcW w:w="1250" w:type="pct"/>
          </w:tcPr>
          <w:p w:rsidR="00EC04D8" w:rsidRPr="00EC04D8" w:rsidRDefault="00EC04D8" w:rsidP="00EC04D8">
            <w:pPr>
              <w:contextualSpacing/>
              <w:rPr>
                <w:rFonts w:ascii="Garamond" w:eastAsiaTheme="minorEastAsia" w:hAnsi="Garamond"/>
                <w:lang w:val="sq-AL" w:eastAsia="en-GB"/>
              </w:rPr>
            </w:pPr>
            <w:r w:rsidRPr="00EC04D8">
              <w:rPr>
                <w:rFonts w:ascii="Garamond" w:eastAsiaTheme="minorEastAsia" w:hAnsi="Garamond"/>
                <w:lang w:val="sq-AL" w:eastAsia="en-GB"/>
              </w:rPr>
              <w:t xml:space="preserve">Gjatë gjithë vitit </w:t>
            </w: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b/>
                <w:lang w:val="sq-AL" w:eastAsia="en-GB"/>
              </w:rPr>
            </w:pPr>
          </w:p>
        </w:tc>
        <w:tc>
          <w:tcPr>
            <w:tcW w:w="2201" w:type="pct"/>
          </w:tcPr>
          <w:p w:rsidR="00EC04D8" w:rsidRPr="00EC04D8" w:rsidRDefault="00EC04D8" w:rsidP="00EC04D8">
            <w:pPr>
              <w:contextualSpacing/>
              <w:rPr>
                <w:rFonts w:ascii="Garamond" w:eastAsiaTheme="minorEastAsia" w:hAnsi="Garamond"/>
                <w:lang w:val="sq-AL" w:eastAsia="en-GB"/>
              </w:rPr>
            </w:pPr>
            <w:r w:rsidRPr="00EC04D8">
              <w:rPr>
                <w:rFonts w:ascii="Garamond" w:eastAsiaTheme="minorEastAsia" w:hAnsi="Garamond"/>
                <w:lang w:val="sq-AL" w:eastAsia="en-GB"/>
              </w:rPr>
              <w:t>Plan veprimi nga nënkomisionet parlamentare për kalendar dëgjesash, ku të grumbullohen disa çështje, sipas prioriteteve dhe emergjencave në raport me interesin e publikut.</w:t>
            </w:r>
          </w:p>
          <w:p w:rsidR="00EC04D8" w:rsidRPr="00EC04D8" w:rsidRDefault="00EC04D8" w:rsidP="00EC04D8">
            <w:pPr>
              <w:contextualSpacing/>
              <w:rPr>
                <w:rFonts w:ascii="Garamond" w:eastAsiaTheme="minorEastAsia" w:hAnsi="Garamond"/>
                <w:lang w:val="sq-AL" w:eastAsia="en-GB"/>
              </w:rPr>
            </w:pPr>
            <w:r w:rsidRPr="00EC04D8">
              <w:rPr>
                <w:rFonts w:ascii="Garamond" w:eastAsiaTheme="minorEastAsia" w:hAnsi="Garamond"/>
                <w:i/>
                <w:lang w:val="sq-AL" w:eastAsia="en-GB"/>
              </w:rPr>
              <w:t>Follow up</w:t>
            </w:r>
            <w:r w:rsidRPr="00EC04D8">
              <w:rPr>
                <w:rFonts w:ascii="Garamond" w:eastAsiaTheme="minorEastAsia" w:hAnsi="Garamond"/>
                <w:lang w:val="sq-AL" w:eastAsia="en-GB"/>
              </w:rPr>
              <w:t xml:space="preserve"> i këtij aktiviteti, me afate të mirëpërcaktura kur dhe si përcillet çështja në vijim parlamentar.</w:t>
            </w: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b/>
                <w:lang w:val="sq-AL" w:eastAsia="en-GB"/>
              </w:rPr>
            </w:pPr>
          </w:p>
        </w:tc>
      </w:tr>
      <w:tr w:rsidR="00EC04D8" w:rsidRPr="00EC04D8" w:rsidTr="00A571AA">
        <w:trPr>
          <w:trHeight w:val="474"/>
        </w:trPr>
        <w:tc>
          <w:tcPr>
            <w:tcW w:w="1549" w:type="pct"/>
          </w:tcPr>
          <w:p w:rsidR="00EC04D8" w:rsidRPr="00EC04D8" w:rsidRDefault="00EC04D8" w:rsidP="00EC04D8">
            <w:pPr>
              <w:contextualSpacing/>
              <w:rPr>
                <w:rFonts w:ascii="Garamond" w:eastAsiaTheme="minorEastAsia" w:hAnsi="Garamond"/>
                <w:lang w:val="sq-AL" w:eastAsia="en-GB"/>
              </w:rPr>
            </w:pPr>
            <w:r w:rsidRPr="00EC04D8">
              <w:rPr>
                <w:rFonts w:ascii="Garamond" w:eastAsiaTheme="minorEastAsia" w:hAnsi="Garamond"/>
                <w:b/>
                <w:lang w:val="sq-AL" w:eastAsia="en-GB"/>
              </w:rPr>
              <w:t xml:space="preserve">5. </w:t>
            </w:r>
            <w:r w:rsidRPr="00EC04D8">
              <w:rPr>
                <w:rFonts w:ascii="Garamond" w:eastAsiaTheme="minorEastAsia" w:hAnsi="Garamond"/>
                <w:lang w:val="sq-AL" w:eastAsia="en-GB"/>
              </w:rPr>
              <w:t>Të zbatohet përcaktimi i Rregullores së Kuvendit për mbajtjen e raportit vjetor në seancë plenare.</w:t>
            </w:r>
          </w:p>
          <w:p w:rsidR="00EC04D8" w:rsidRPr="00EC04D8" w:rsidRDefault="00EC04D8" w:rsidP="00EC04D8">
            <w:pPr>
              <w:contextualSpacing/>
              <w:rPr>
                <w:rFonts w:ascii="Garamond" w:eastAsiaTheme="minorEastAsia" w:hAnsi="Garamond"/>
                <w:b/>
                <w:i/>
                <w:lang w:val="sq-AL" w:eastAsia="en-GB"/>
              </w:rPr>
            </w:pPr>
          </w:p>
        </w:tc>
        <w:tc>
          <w:tcPr>
            <w:tcW w:w="1250" w:type="pct"/>
          </w:tcPr>
          <w:p w:rsidR="00EC04D8" w:rsidRPr="00EC04D8" w:rsidRDefault="00EC04D8" w:rsidP="00EC04D8">
            <w:pPr>
              <w:contextualSpacing/>
              <w:rPr>
                <w:rFonts w:ascii="Garamond" w:eastAsiaTheme="minorEastAsia" w:hAnsi="Garamond"/>
                <w:b/>
                <w:lang w:val="sq-AL" w:eastAsia="en-GB"/>
              </w:rPr>
            </w:pPr>
            <w:r w:rsidRPr="00EC04D8">
              <w:rPr>
                <w:rFonts w:ascii="Garamond" w:eastAsiaTheme="minorEastAsia" w:hAnsi="Garamond"/>
                <w:lang w:val="sq-AL" w:eastAsia="en-GB"/>
              </w:rPr>
              <w:t xml:space="preserve">Sipas përcaktimeve të Rregullores në kohën para  votimit të rezolutës së vlerësimit të punës së institucionit në seancë plenare. </w:t>
            </w:r>
          </w:p>
        </w:tc>
        <w:tc>
          <w:tcPr>
            <w:tcW w:w="2201" w:type="pct"/>
          </w:tcPr>
          <w:p w:rsidR="00EC04D8" w:rsidRPr="00EC04D8" w:rsidRDefault="00EC04D8" w:rsidP="00EC04D8">
            <w:pPr>
              <w:contextualSpacing/>
              <w:rPr>
                <w:rFonts w:ascii="Garamond" w:eastAsiaTheme="minorEastAsia" w:hAnsi="Garamond"/>
                <w:lang w:val="sq-AL" w:eastAsia="en-GB"/>
              </w:rPr>
            </w:pPr>
            <w:r w:rsidRPr="00EC04D8">
              <w:rPr>
                <w:rFonts w:ascii="Garamond" w:eastAsiaTheme="minorEastAsia" w:hAnsi="Garamond"/>
                <w:lang w:val="sq-AL" w:eastAsia="en-GB"/>
              </w:rPr>
              <w:t xml:space="preserve">Zbatimi i nenit 103 të Rregullores së Kuvendit/pikat 3 dhe 4 të tij. </w:t>
            </w: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b/>
                <w:lang w:val="sq-AL" w:eastAsia="en-GB"/>
              </w:rPr>
            </w:pPr>
          </w:p>
        </w:tc>
      </w:tr>
      <w:tr w:rsidR="00EC04D8" w:rsidRPr="00EC04D8" w:rsidTr="00A571AA">
        <w:trPr>
          <w:trHeight w:val="474"/>
        </w:trPr>
        <w:tc>
          <w:tcPr>
            <w:tcW w:w="1549" w:type="pct"/>
          </w:tcPr>
          <w:p w:rsidR="00EC04D8" w:rsidRPr="00EC04D8" w:rsidRDefault="00EC04D8" w:rsidP="00EC04D8">
            <w:pPr>
              <w:contextualSpacing/>
              <w:rPr>
                <w:rFonts w:ascii="Garamond" w:eastAsiaTheme="minorEastAsia" w:hAnsi="Garamond"/>
                <w:b/>
                <w:i/>
                <w:lang w:val="sq-AL" w:eastAsia="en-GB"/>
              </w:rPr>
            </w:pPr>
            <w:r w:rsidRPr="00EC04D8">
              <w:rPr>
                <w:rFonts w:ascii="Garamond" w:eastAsiaTheme="minorEastAsia" w:hAnsi="Garamond"/>
                <w:b/>
                <w:lang w:val="sq-AL" w:eastAsia="en-GB"/>
              </w:rPr>
              <w:t xml:space="preserve">6. </w:t>
            </w:r>
            <w:r w:rsidRPr="00EC04D8">
              <w:rPr>
                <w:rFonts w:ascii="Garamond" w:eastAsiaTheme="minorEastAsia" w:hAnsi="Garamond"/>
                <w:lang w:val="sq-AL" w:eastAsia="en-GB"/>
              </w:rPr>
              <w:t>Në raportin vjetor të KLSH-së, komisioni përgjegjës të marrë paraprakisht raportin e Qeverisë për gjetjet e KLSH-së dhe statusi i zbatimit/moszbatimit të tyre/organ tjetër ndoshta nga PP për pretendimet për ecurinë e kallëzimeve penale të referuara. Mund të kryhet edhe nga komisione të tjera parlamentare për ILDKPKI-në, Avokatin e Popullit dhe inst. të tjera në varësi të çështjeve që i prekin me këto organe.</w:t>
            </w:r>
          </w:p>
        </w:tc>
        <w:tc>
          <w:tcPr>
            <w:tcW w:w="1250" w:type="pct"/>
          </w:tcPr>
          <w:p w:rsidR="00EC04D8" w:rsidRPr="00EC04D8" w:rsidRDefault="00EC04D8" w:rsidP="00EC04D8">
            <w:pPr>
              <w:contextualSpacing/>
              <w:rPr>
                <w:rFonts w:ascii="Garamond" w:eastAsiaTheme="minorEastAsia" w:hAnsi="Garamond"/>
                <w:b/>
                <w:lang w:val="sq-AL" w:eastAsia="en-GB"/>
              </w:rPr>
            </w:pPr>
            <w:r w:rsidRPr="00EC04D8">
              <w:rPr>
                <w:rFonts w:ascii="Garamond" w:eastAsiaTheme="minorEastAsia" w:hAnsi="Garamond"/>
                <w:lang w:val="sq-AL" w:eastAsia="en-GB"/>
              </w:rPr>
              <w:t xml:space="preserve">Gjatë raportimit vjetor, përpara dëgjesës </w:t>
            </w:r>
          </w:p>
        </w:tc>
        <w:tc>
          <w:tcPr>
            <w:tcW w:w="2201" w:type="pct"/>
          </w:tcPr>
          <w:p w:rsidR="00EC04D8" w:rsidRPr="00EC04D8" w:rsidRDefault="00EC04D8" w:rsidP="00EC04D8">
            <w:pPr>
              <w:contextualSpacing/>
              <w:rPr>
                <w:rFonts w:ascii="Garamond" w:eastAsiaTheme="minorEastAsia" w:hAnsi="Garamond"/>
                <w:b/>
                <w:lang w:val="sq-AL" w:eastAsia="en-GB"/>
              </w:rPr>
            </w:pPr>
            <w:r w:rsidRPr="00EC04D8">
              <w:rPr>
                <w:rFonts w:ascii="Garamond" w:eastAsiaTheme="minorEastAsia" w:hAnsi="Garamond"/>
                <w:lang w:val="sq-AL" w:eastAsia="en-GB"/>
              </w:rPr>
              <w:t>Të grumbullohet info përkatëse nga Ministria për Marrëdhëniet me Parlamentin p.sh.</w:t>
            </w:r>
          </w:p>
        </w:tc>
      </w:tr>
    </w:tbl>
    <w:p w:rsidR="00EC04D8" w:rsidRPr="00EC04D8" w:rsidRDefault="00EC04D8" w:rsidP="00EC04D8">
      <w:pPr>
        <w:widowControl w:val="0"/>
        <w:spacing w:after="0" w:line="240" w:lineRule="auto"/>
        <w:jc w:val="both"/>
        <w:rPr>
          <w:rFonts w:ascii="Garamond" w:eastAsia="MS Mincho" w:hAnsi="Garamond" w:cs="CG Times"/>
          <w:sz w:val="20"/>
          <w:lang w:val="sq-AL"/>
        </w:rPr>
      </w:pPr>
    </w:p>
    <w:p w:rsidR="00EC04D8" w:rsidRPr="00EC04D8" w:rsidRDefault="00EC04D8" w:rsidP="00EC04D8">
      <w:pPr>
        <w:widowControl w:val="0"/>
        <w:spacing w:after="0" w:line="240" w:lineRule="auto"/>
        <w:ind w:firstLine="284"/>
        <w:jc w:val="both"/>
        <w:rPr>
          <w:rFonts w:ascii="Garamond" w:eastAsia="MS Mincho" w:hAnsi="Garamond" w:cs="CG Times"/>
          <w:sz w:val="24"/>
          <w:lang w:val="sq-AL"/>
        </w:rPr>
      </w:pPr>
      <w:r w:rsidRPr="00EC04D8">
        <w:rPr>
          <w:rFonts w:ascii="Garamond" w:eastAsia="MS Mincho" w:hAnsi="Garamond" w:cs="CG Times"/>
          <w:sz w:val="24"/>
          <w:lang w:val="sq-AL"/>
        </w:rPr>
        <w:t xml:space="preserve">Lidhja 2: Masat e Qeverisë/ Ministrja e Shtetit për Marrëdhëniet me Parlamentin </w:t>
      </w:r>
    </w:p>
    <w:tbl>
      <w:tblPr>
        <w:tblStyle w:val="TableGrid"/>
        <w:tblW w:w="5000" w:type="pct"/>
        <w:tblLook w:val="04A0" w:firstRow="1" w:lastRow="0" w:firstColumn="1" w:lastColumn="0" w:noHBand="0" w:noVBand="1"/>
      </w:tblPr>
      <w:tblGrid>
        <w:gridCol w:w="3236"/>
        <w:gridCol w:w="3239"/>
        <w:gridCol w:w="3101"/>
      </w:tblGrid>
      <w:tr w:rsidR="00EC04D8" w:rsidRPr="00EC04D8" w:rsidTr="00A571AA">
        <w:tc>
          <w:tcPr>
            <w:tcW w:w="1690" w:type="pct"/>
          </w:tcPr>
          <w:p w:rsidR="00EC04D8" w:rsidRPr="00EC04D8" w:rsidRDefault="00EC04D8" w:rsidP="00EC04D8">
            <w:pPr>
              <w:contextualSpacing/>
              <w:rPr>
                <w:rFonts w:ascii="Garamond" w:eastAsiaTheme="minorEastAsia" w:hAnsi="Garamond"/>
                <w:lang w:val="sq-AL" w:eastAsia="en-GB"/>
              </w:rPr>
            </w:pPr>
            <w:r w:rsidRPr="00EC04D8">
              <w:rPr>
                <w:rFonts w:ascii="Garamond" w:eastAsiaTheme="minorEastAsia" w:hAnsi="Garamond"/>
                <w:b/>
                <w:lang w:val="sq-AL" w:eastAsia="en-GB"/>
              </w:rPr>
              <w:t xml:space="preserve">1. </w:t>
            </w:r>
            <w:r w:rsidRPr="00EC04D8">
              <w:rPr>
                <w:rFonts w:ascii="Garamond" w:eastAsiaTheme="minorEastAsia" w:hAnsi="Garamond"/>
                <w:lang w:val="sq-AL" w:eastAsia="en-GB"/>
              </w:rPr>
              <w:t xml:space="preserve">Ministrja për Marrëdhëniet me Parlamentin rekomandohet të propozojë për hartimin e një qarkoreje ose VKM-je institucioneve të ekzekutivit për statusin e zbatimit të rekomandimeve të institucioneve  të pavarura. </w:t>
            </w: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b/>
                <w:lang w:val="sq-AL" w:eastAsia="en-GB"/>
              </w:rPr>
            </w:pPr>
          </w:p>
        </w:tc>
        <w:tc>
          <w:tcPr>
            <w:tcW w:w="1691" w:type="pct"/>
          </w:tcPr>
          <w:p w:rsidR="00EC04D8" w:rsidRPr="00EC04D8" w:rsidRDefault="00EC04D8" w:rsidP="00EC04D8">
            <w:pPr>
              <w:contextualSpacing/>
              <w:rPr>
                <w:rFonts w:ascii="Garamond" w:eastAsiaTheme="minorEastAsia" w:hAnsi="Garamond"/>
                <w:lang w:val="sq-AL" w:eastAsia="en-GB"/>
              </w:rPr>
            </w:pPr>
            <w:r w:rsidRPr="00EC04D8">
              <w:rPr>
                <w:rFonts w:ascii="Garamond" w:eastAsiaTheme="minorEastAsia" w:hAnsi="Garamond"/>
                <w:lang w:val="sq-AL" w:eastAsia="en-GB"/>
              </w:rPr>
              <w:t xml:space="preserve">Afati: </w:t>
            </w:r>
          </w:p>
          <w:p w:rsidR="00EC04D8" w:rsidRPr="00EC04D8" w:rsidRDefault="00EC04D8" w:rsidP="00EC04D8">
            <w:pPr>
              <w:contextualSpacing/>
              <w:rPr>
                <w:rFonts w:ascii="Garamond" w:eastAsiaTheme="minorEastAsia" w:hAnsi="Garamond"/>
                <w:lang w:val="sq-AL" w:eastAsia="en-GB"/>
              </w:rPr>
            </w:pPr>
            <w:r w:rsidRPr="00EC04D8">
              <w:rPr>
                <w:rFonts w:ascii="Garamond" w:eastAsiaTheme="minorEastAsia" w:hAnsi="Garamond"/>
                <w:lang w:val="sq-AL" w:eastAsia="en-GB"/>
              </w:rPr>
              <w:t xml:space="preserve">raportim/dëgjesë në komision një herë në vit (pas  mbylljes së raportimeve vjetore të institucionit, por para draftimit të rezolutës për votim në seancë plenare) </w:t>
            </w: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b/>
                <w:lang w:val="sq-AL" w:eastAsia="en-GB"/>
              </w:rPr>
            </w:pPr>
          </w:p>
        </w:tc>
        <w:tc>
          <w:tcPr>
            <w:tcW w:w="1619" w:type="pct"/>
          </w:tcPr>
          <w:p w:rsidR="00EC04D8" w:rsidRPr="00EC04D8" w:rsidRDefault="00EC04D8" w:rsidP="00EC04D8">
            <w:pPr>
              <w:contextualSpacing/>
              <w:rPr>
                <w:rFonts w:ascii="Garamond" w:eastAsiaTheme="minorEastAsia" w:hAnsi="Garamond"/>
                <w:lang w:val="sq-AL" w:eastAsia="en-GB"/>
              </w:rPr>
            </w:pPr>
            <w:r w:rsidRPr="00EC04D8">
              <w:rPr>
                <w:rFonts w:ascii="Garamond" w:eastAsiaTheme="minorEastAsia" w:hAnsi="Garamond"/>
                <w:lang w:val="sq-AL" w:eastAsia="en-GB"/>
              </w:rPr>
              <w:t>E vlefshme për raportimin e ardhshëm të çdo institucioni të pavarur në Kuvend.</w:t>
            </w:r>
          </w:p>
          <w:p w:rsidR="00EC04D8" w:rsidRPr="00EC04D8" w:rsidRDefault="00EC04D8" w:rsidP="00EC04D8">
            <w:pPr>
              <w:contextualSpacing/>
              <w:rPr>
                <w:rFonts w:ascii="Garamond" w:eastAsiaTheme="minorEastAsia" w:hAnsi="Garamond"/>
                <w:lang w:val="sq-AL" w:eastAsia="en-GB"/>
              </w:rPr>
            </w:pPr>
            <w:r w:rsidRPr="00EC04D8">
              <w:rPr>
                <w:rFonts w:ascii="Garamond" w:eastAsiaTheme="minorEastAsia" w:hAnsi="Garamond"/>
                <w:i/>
                <w:lang w:val="sq-AL" w:eastAsia="en-GB"/>
              </w:rPr>
              <w:t>Road-Map</w:t>
            </w:r>
            <w:r w:rsidRPr="00EC04D8">
              <w:rPr>
                <w:rFonts w:ascii="Garamond" w:eastAsiaTheme="minorEastAsia" w:hAnsi="Garamond"/>
                <w:lang w:val="sq-AL" w:eastAsia="en-GB"/>
              </w:rPr>
              <w:t xml:space="preserve"> me plan veprimi të zbatimit të masave nga institucionet e administratës shtetërore të rekomanduara nga institucionet e pavarura.</w:t>
            </w:r>
          </w:p>
          <w:p w:rsidR="00EC04D8" w:rsidRPr="00EC04D8" w:rsidRDefault="00EC04D8" w:rsidP="00EC04D8">
            <w:pPr>
              <w:contextualSpacing/>
              <w:rPr>
                <w:rFonts w:ascii="Garamond" w:eastAsiaTheme="minorEastAsia" w:hAnsi="Garamond"/>
                <w:b/>
                <w:lang w:val="sq-AL" w:eastAsia="en-GB"/>
              </w:rPr>
            </w:pPr>
            <w:r w:rsidRPr="00EC04D8">
              <w:rPr>
                <w:rFonts w:ascii="Garamond" w:eastAsiaTheme="minorEastAsia" w:hAnsi="Garamond"/>
                <w:lang w:val="sq-AL" w:eastAsia="en-GB"/>
              </w:rPr>
              <w:t xml:space="preserve">Mund të hartohet një VKM për detyrueshmërinë e zbatimit nga institucionet shtetërore për rekomandimet kryesisht të Avokatit të Popullit  dhe KLSH-së (për kronologji nga praktika e mëparshme, kanë ekzistuar VKM për zbatimin e rekomandimeve për secilën prej këtyre dy institucioneve). </w:t>
            </w:r>
          </w:p>
        </w:tc>
      </w:tr>
      <w:tr w:rsidR="00EC04D8" w:rsidRPr="00EC04D8" w:rsidTr="00A571AA">
        <w:tc>
          <w:tcPr>
            <w:tcW w:w="1690" w:type="pct"/>
          </w:tcPr>
          <w:p w:rsidR="00EC04D8" w:rsidRPr="00EC04D8" w:rsidRDefault="00EC04D8" w:rsidP="00EC04D8">
            <w:pPr>
              <w:rPr>
                <w:rFonts w:ascii="Garamond" w:eastAsia="Times New Roman" w:hAnsi="Garamond"/>
                <w:lang w:val="sq-AL"/>
              </w:rPr>
            </w:pPr>
            <w:r w:rsidRPr="00EC04D8">
              <w:rPr>
                <w:rFonts w:ascii="Garamond" w:eastAsia="Times New Roman" w:hAnsi="Garamond"/>
                <w:lang w:val="sq-AL"/>
              </w:rPr>
              <w:t xml:space="preserve">Një herë në vit (rekomandohet </w:t>
            </w:r>
            <w:r w:rsidRPr="00EC04D8">
              <w:rPr>
                <w:rFonts w:ascii="Garamond" w:eastAsia="Times New Roman" w:hAnsi="Garamond"/>
                <w:lang w:val="sq-AL"/>
              </w:rPr>
              <w:lastRenderedPageBreak/>
              <w:t>gjashtëmujori i dytë) Qeveria duhet të raportojë në Kuvend mbi gjendjen e zbatimit të rekomandimeve të Avokatit të Popullit.</w:t>
            </w: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b/>
                <w:lang w:val="sq-AL" w:eastAsia="en-GB"/>
              </w:rPr>
            </w:pPr>
          </w:p>
        </w:tc>
        <w:tc>
          <w:tcPr>
            <w:tcW w:w="1691" w:type="pct"/>
          </w:tcPr>
          <w:p w:rsidR="00EC04D8" w:rsidRPr="00EC04D8" w:rsidRDefault="00EC04D8" w:rsidP="00EC04D8">
            <w:pPr>
              <w:contextualSpacing/>
              <w:rPr>
                <w:rFonts w:ascii="Garamond" w:eastAsiaTheme="minorEastAsia" w:hAnsi="Garamond"/>
                <w:lang w:val="sq-AL" w:eastAsia="en-GB"/>
              </w:rPr>
            </w:pPr>
            <w:r w:rsidRPr="00EC04D8">
              <w:rPr>
                <w:rFonts w:ascii="Garamond" w:eastAsiaTheme="minorEastAsia" w:hAnsi="Garamond"/>
                <w:lang w:val="sq-AL" w:eastAsia="en-GB"/>
              </w:rPr>
              <w:lastRenderedPageBreak/>
              <w:t xml:space="preserve">një dëgjesë në fundvitin kalendarik për </w:t>
            </w:r>
            <w:r w:rsidRPr="00EC04D8">
              <w:rPr>
                <w:rFonts w:ascii="Garamond" w:eastAsiaTheme="minorEastAsia" w:hAnsi="Garamond"/>
                <w:lang w:val="sq-AL" w:eastAsia="en-GB"/>
              </w:rPr>
              <w:lastRenderedPageBreak/>
              <w:t>ecurinë e zbatimit të rekomandimeve të tyre dhe arsyet e moszbatimit të rekomandimeve të  Av. të Popullit për raportimin  një herë në vit të Ministrisë për Marrëdhëniet me Parlamentin në fund të vitit, me fokus zbatimin e rek. të Av. të Pop. Në diskrecion  të organizimit të vetë komisioneve dhe nënkomisioneve, mund të caktohet një seancë e posaçme vetëm për raportimin e çështjeve të Av. të Pop. dhe KLSH-së.</w:t>
            </w:r>
          </w:p>
          <w:p w:rsidR="00EC04D8" w:rsidRPr="00EC04D8" w:rsidRDefault="00EC04D8" w:rsidP="00EC04D8">
            <w:pPr>
              <w:contextualSpacing/>
              <w:rPr>
                <w:rFonts w:ascii="Garamond" w:eastAsiaTheme="minorEastAsia" w:hAnsi="Garamond"/>
                <w:sz w:val="16"/>
                <w:lang w:val="sq-AL" w:eastAsia="en-GB"/>
              </w:rPr>
            </w:pPr>
          </w:p>
          <w:p w:rsidR="00EC04D8" w:rsidRPr="00EC04D8" w:rsidRDefault="00EC04D8" w:rsidP="00EC04D8">
            <w:pPr>
              <w:contextualSpacing/>
              <w:rPr>
                <w:rFonts w:ascii="Garamond" w:eastAsiaTheme="minorEastAsia" w:hAnsi="Garamond"/>
                <w:lang w:val="sq-AL" w:eastAsia="en-GB"/>
              </w:rPr>
            </w:pPr>
            <w:r w:rsidRPr="00EC04D8">
              <w:rPr>
                <w:rFonts w:ascii="Garamond" w:eastAsiaTheme="minorEastAsia" w:hAnsi="Garamond"/>
                <w:lang w:val="sq-AL" w:eastAsia="en-GB"/>
              </w:rPr>
              <w:t>Në fund të vitit, pasi është raportuar ecuria e 6-mujorit të parë, Kuvendi (organet e Kuvendit/komisionet) me praninë e Av. të Pop. dhe ministrisë mund  të organizojnë  një seancë dëgjimore lidhur me statusin e zbatimit të rekomandimeve.</w:t>
            </w:r>
          </w:p>
          <w:p w:rsidR="00EC04D8" w:rsidRPr="00EC04D8" w:rsidRDefault="00EC04D8" w:rsidP="00EC04D8">
            <w:pPr>
              <w:contextualSpacing/>
              <w:rPr>
                <w:rFonts w:ascii="Garamond" w:eastAsiaTheme="minorEastAsia" w:hAnsi="Garamond"/>
                <w:b/>
                <w:lang w:val="sq-AL" w:eastAsia="en-GB"/>
              </w:rPr>
            </w:pPr>
            <w:r w:rsidRPr="00EC04D8">
              <w:rPr>
                <w:rFonts w:ascii="Garamond" w:eastAsiaTheme="minorEastAsia" w:hAnsi="Garamond"/>
                <w:lang w:val="sq-AL" w:eastAsia="en-GB"/>
              </w:rPr>
              <w:t>Ndërsa për int. e tjera mund të jetë  një seancë e vetme raportimi nga Ministrja e Shtetit për Marrëdhëniet me Parlamentin.</w:t>
            </w:r>
          </w:p>
        </w:tc>
        <w:tc>
          <w:tcPr>
            <w:tcW w:w="1619" w:type="pct"/>
          </w:tcPr>
          <w:p w:rsidR="00EC04D8" w:rsidRPr="00EC04D8" w:rsidRDefault="00EC04D8" w:rsidP="00EC04D8">
            <w:pPr>
              <w:contextualSpacing/>
              <w:rPr>
                <w:rFonts w:ascii="Garamond" w:eastAsiaTheme="minorEastAsia" w:hAnsi="Garamond"/>
                <w:lang w:val="sq-AL" w:eastAsia="en-GB"/>
              </w:rPr>
            </w:pPr>
            <w:r w:rsidRPr="00EC04D8">
              <w:rPr>
                <w:rFonts w:ascii="Garamond" w:eastAsiaTheme="minorEastAsia" w:hAnsi="Garamond"/>
                <w:lang w:val="sq-AL" w:eastAsia="en-GB"/>
              </w:rPr>
              <w:lastRenderedPageBreak/>
              <w:t xml:space="preserve">Mundësia për ngritjen e një sistemi </w:t>
            </w:r>
            <w:r w:rsidRPr="00EC04D8">
              <w:rPr>
                <w:rFonts w:ascii="Garamond" w:eastAsiaTheme="minorEastAsia" w:hAnsi="Garamond"/>
                <w:i/>
                <w:lang w:val="sq-AL" w:eastAsia="en-GB"/>
              </w:rPr>
              <w:lastRenderedPageBreak/>
              <w:t>online</w:t>
            </w:r>
            <w:r w:rsidRPr="00EC04D8">
              <w:rPr>
                <w:rFonts w:ascii="Garamond" w:eastAsiaTheme="minorEastAsia" w:hAnsi="Garamond"/>
                <w:lang w:val="sq-AL" w:eastAsia="en-GB"/>
              </w:rPr>
              <w:t xml:space="preserve"> mbi ndjekjen e zbatimit të rekomandimeve të institucioneve të pavarura. Sistemi të jetë një </w:t>
            </w:r>
            <w:r w:rsidRPr="00EC04D8">
              <w:rPr>
                <w:rFonts w:ascii="Garamond" w:eastAsiaTheme="minorEastAsia" w:hAnsi="Garamond"/>
                <w:i/>
                <w:lang w:val="sq-AL" w:eastAsia="en-GB"/>
              </w:rPr>
              <w:t>software,</w:t>
            </w:r>
            <w:r w:rsidRPr="00EC04D8">
              <w:rPr>
                <w:rFonts w:ascii="Garamond" w:eastAsiaTheme="minorEastAsia" w:hAnsi="Garamond"/>
                <w:lang w:val="sq-AL" w:eastAsia="en-GB"/>
              </w:rPr>
              <w:t xml:space="preserve"> i cili mundëson akesin në kohë reale dhe komunikimin ndërinstitucional midis institucioneve të pavarura, Parlamentit dhe Ministrisë për Marrëdhëniet me Parlamentin.</w:t>
            </w:r>
          </w:p>
          <w:p w:rsidR="00EC04D8" w:rsidRPr="00EC04D8" w:rsidRDefault="00EC04D8" w:rsidP="00EC04D8">
            <w:pPr>
              <w:contextualSpacing/>
              <w:rPr>
                <w:rFonts w:ascii="Garamond" w:eastAsiaTheme="minorEastAsia" w:hAnsi="Garamond"/>
                <w:lang w:val="sq-AL" w:eastAsia="en-GB"/>
              </w:rPr>
            </w:pPr>
            <w:r w:rsidRPr="00EC04D8">
              <w:rPr>
                <w:rFonts w:ascii="Garamond" w:eastAsiaTheme="minorEastAsia" w:hAnsi="Garamond"/>
                <w:lang w:val="sq-AL" w:eastAsia="en-GB"/>
              </w:rPr>
              <w:t>Financimi i sistemit nga vetë ministria ose me donatorë.</w:t>
            </w: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b/>
                <w:lang w:val="sq-AL" w:eastAsia="en-GB"/>
              </w:rPr>
            </w:pPr>
          </w:p>
        </w:tc>
      </w:tr>
      <w:tr w:rsidR="00EC04D8" w:rsidRPr="00EC04D8" w:rsidTr="00A571AA">
        <w:tc>
          <w:tcPr>
            <w:tcW w:w="1690" w:type="pct"/>
          </w:tcPr>
          <w:p w:rsidR="00EC04D8" w:rsidRPr="00EC04D8" w:rsidRDefault="00EC04D8" w:rsidP="00EC04D8">
            <w:pPr>
              <w:contextualSpacing/>
              <w:rPr>
                <w:rFonts w:ascii="Garamond" w:eastAsiaTheme="minorEastAsia" w:hAnsi="Garamond"/>
                <w:lang w:val="sq-AL" w:eastAsia="en-GB"/>
              </w:rPr>
            </w:pPr>
            <w:r w:rsidRPr="00EC04D8">
              <w:rPr>
                <w:rFonts w:ascii="Garamond" w:eastAsiaTheme="minorEastAsia" w:hAnsi="Garamond"/>
                <w:b/>
                <w:lang w:val="sq-AL" w:eastAsia="en-GB"/>
              </w:rPr>
              <w:lastRenderedPageBreak/>
              <w:t>2</w:t>
            </w:r>
            <w:r w:rsidRPr="00EC04D8">
              <w:rPr>
                <w:rFonts w:ascii="Garamond" w:eastAsiaTheme="minorEastAsia" w:hAnsi="Garamond"/>
                <w:lang w:val="sq-AL" w:eastAsia="en-GB"/>
              </w:rPr>
              <w:t>. Ministria e Financave të raportojë për zbatimin e planit të saj të veprimit specifikisht lidhur me KLSH-në (rekomandimet e KLSH-së dhe masat e saj për zbatimin e buxhetit, si dhe raportet e auditimit të KLSH-së).</w:t>
            </w: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b/>
                <w:lang w:val="sq-AL" w:eastAsia="en-GB"/>
              </w:rPr>
            </w:pPr>
          </w:p>
        </w:tc>
        <w:tc>
          <w:tcPr>
            <w:tcW w:w="1691" w:type="pct"/>
          </w:tcPr>
          <w:p w:rsidR="00EC04D8" w:rsidRPr="00EC04D8" w:rsidRDefault="00EC04D8" w:rsidP="00EC04D8">
            <w:pPr>
              <w:contextualSpacing/>
              <w:rPr>
                <w:rFonts w:ascii="Garamond" w:eastAsiaTheme="minorEastAsia" w:hAnsi="Garamond"/>
                <w:lang w:val="sq-AL" w:eastAsia="en-GB"/>
              </w:rPr>
            </w:pPr>
            <w:r w:rsidRPr="00EC04D8">
              <w:rPr>
                <w:rFonts w:ascii="Garamond" w:eastAsiaTheme="minorEastAsia" w:hAnsi="Garamond"/>
                <w:lang w:val="sq-AL" w:eastAsia="en-GB"/>
              </w:rPr>
              <w:t>Fillim 2017:</w:t>
            </w:r>
          </w:p>
          <w:p w:rsidR="00EC04D8" w:rsidRPr="00EC04D8" w:rsidRDefault="00EC04D8" w:rsidP="00EC04D8">
            <w:pPr>
              <w:contextualSpacing/>
              <w:rPr>
                <w:rFonts w:ascii="Garamond" w:eastAsiaTheme="minorEastAsia" w:hAnsi="Garamond"/>
                <w:lang w:val="sq-AL" w:eastAsia="en-GB"/>
              </w:rPr>
            </w:pPr>
            <w:r w:rsidRPr="00EC04D8">
              <w:rPr>
                <w:rFonts w:ascii="Garamond" w:eastAsiaTheme="minorEastAsia" w:hAnsi="Garamond"/>
                <w:lang w:val="sq-AL" w:eastAsia="en-GB"/>
              </w:rPr>
              <w:t>Sipas Rregullores dhe një kalendari të hartuar nga vetë Komisioni për Ekonominë dhe Financat për kontroll parlamentar nga Komisioni për Ekonominë dhe Financat.</w:t>
            </w: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b/>
                <w:lang w:val="sq-AL" w:eastAsia="en-GB"/>
              </w:rPr>
            </w:pPr>
          </w:p>
        </w:tc>
        <w:tc>
          <w:tcPr>
            <w:tcW w:w="1619" w:type="pct"/>
          </w:tcPr>
          <w:p w:rsidR="00EC04D8" w:rsidRPr="00EC04D8" w:rsidRDefault="00EC04D8" w:rsidP="00EC04D8">
            <w:pPr>
              <w:contextualSpacing/>
              <w:rPr>
                <w:rFonts w:ascii="Garamond" w:eastAsiaTheme="minorEastAsia" w:hAnsi="Garamond"/>
                <w:b/>
                <w:lang w:val="sq-AL" w:eastAsia="en-GB"/>
              </w:rPr>
            </w:pPr>
            <w:r w:rsidRPr="00EC04D8">
              <w:rPr>
                <w:rFonts w:ascii="Garamond" w:eastAsiaTheme="minorEastAsia" w:hAnsi="Garamond"/>
                <w:lang w:val="sq-AL" w:eastAsia="en-GB"/>
              </w:rPr>
              <w:t xml:space="preserve">Krijimi në fillim të 2017-s i një nënkomisioni parlamentar për çështjet e KLSH-së (është  aprovuar propozimi i vetë Komisionit përgjegjës për Ekonominë dhe Financat gjatë raportimit vjetor të KLSH-së në korrik dhe shtator 2016 dhe dakordësuar nga ky komision për t’u ngritur një  nënkomision. Është finalizuar si masë e kërkuar në rezolutën e votuar në seancë plenare për veprimtarinë e vitin 2015 për KLSH-në.   </w:t>
            </w:r>
          </w:p>
        </w:tc>
      </w:tr>
      <w:tr w:rsidR="00EC04D8" w:rsidRPr="00EC04D8" w:rsidTr="00A571AA">
        <w:tc>
          <w:tcPr>
            <w:tcW w:w="1690" w:type="pct"/>
          </w:tcPr>
          <w:p w:rsidR="00EC04D8" w:rsidRPr="00EC04D8" w:rsidRDefault="00EC04D8" w:rsidP="00EC04D8">
            <w:pPr>
              <w:contextualSpacing/>
              <w:rPr>
                <w:rFonts w:ascii="Garamond" w:eastAsiaTheme="minorEastAsia" w:hAnsi="Garamond"/>
                <w:b/>
                <w:lang w:val="sq-AL" w:eastAsia="en-GB"/>
              </w:rPr>
            </w:pPr>
            <w:r w:rsidRPr="00EC04D8">
              <w:rPr>
                <w:rFonts w:ascii="Garamond" w:eastAsiaTheme="minorEastAsia" w:hAnsi="Garamond"/>
                <w:b/>
                <w:lang w:val="sq-AL" w:eastAsia="en-GB"/>
              </w:rPr>
              <w:t>3</w:t>
            </w:r>
            <w:r w:rsidRPr="00EC04D8">
              <w:rPr>
                <w:rFonts w:ascii="Garamond" w:eastAsiaTheme="minorEastAsia" w:hAnsi="Garamond"/>
                <w:lang w:val="sq-AL" w:eastAsia="en-GB"/>
              </w:rPr>
              <w:t>. Qeveria të jetë e disponueshme për sigurim kapacitetesh administrative dhe financiare në kërkesat që bëjnë të argumentuara institucionet e  pavarura gjatë buxhetimit të tyre.</w:t>
            </w:r>
          </w:p>
        </w:tc>
        <w:tc>
          <w:tcPr>
            <w:tcW w:w="1691" w:type="pct"/>
          </w:tcPr>
          <w:p w:rsidR="00EC04D8" w:rsidRPr="00EC04D8" w:rsidRDefault="00EC04D8" w:rsidP="00EC04D8">
            <w:pPr>
              <w:contextualSpacing/>
              <w:rPr>
                <w:rFonts w:ascii="Garamond" w:eastAsiaTheme="minorEastAsia" w:hAnsi="Garamond"/>
                <w:lang w:val="sq-AL" w:eastAsia="en-GB"/>
              </w:rPr>
            </w:pPr>
            <w:r w:rsidRPr="00EC04D8">
              <w:rPr>
                <w:rFonts w:ascii="Garamond" w:eastAsiaTheme="minorEastAsia" w:hAnsi="Garamond"/>
                <w:lang w:val="sq-AL" w:eastAsia="en-GB"/>
              </w:rPr>
              <w:t>Gjatë fazës së draftimit të projektbuxhetit të vitit pasaradhës, por dhe gjatë rasteve kur ka buxhet të rishikuar në mes të vitit, ku të mos reduktohen fondet e këtyre institucioneve, të cilat mund të cenojnë prioritetet kryesore të tyre.</w:t>
            </w:r>
          </w:p>
          <w:p w:rsidR="00EC04D8" w:rsidRPr="00EC04D8" w:rsidRDefault="00EC04D8" w:rsidP="00EC04D8">
            <w:pPr>
              <w:contextualSpacing/>
              <w:rPr>
                <w:rFonts w:ascii="Garamond" w:eastAsiaTheme="minorEastAsia" w:hAnsi="Garamond"/>
                <w:b/>
                <w:lang w:val="sq-AL" w:eastAsia="en-GB"/>
              </w:rPr>
            </w:pPr>
          </w:p>
        </w:tc>
        <w:tc>
          <w:tcPr>
            <w:tcW w:w="1619" w:type="pct"/>
          </w:tcPr>
          <w:p w:rsidR="00EC04D8" w:rsidRPr="00EC04D8" w:rsidRDefault="00EC04D8" w:rsidP="00EC04D8">
            <w:pPr>
              <w:contextualSpacing/>
              <w:rPr>
                <w:rFonts w:ascii="Garamond" w:eastAsiaTheme="minorEastAsia" w:hAnsi="Garamond"/>
                <w:lang w:val="sq-AL" w:eastAsia="en-GB"/>
              </w:rPr>
            </w:pPr>
            <w:r w:rsidRPr="00EC04D8">
              <w:rPr>
                <w:rFonts w:ascii="Garamond" w:eastAsiaTheme="minorEastAsia" w:hAnsi="Garamond"/>
                <w:lang w:val="sq-AL" w:eastAsia="en-GB"/>
              </w:rPr>
              <w:t>Koordinim më i ngushtë midis institucioneve të pavarura dhe Ministrisë së Financave, si dhe</w:t>
            </w:r>
          </w:p>
          <w:p w:rsidR="00EC04D8" w:rsidRPr="00EC04D8" w:rsidRDefault="00EC04D8" w:rsidP="00EC04D8">
            <w:pPr>
              <w:contextualSpacing/>
              <w:rPr>
                <w:rFonts w:ascii="Garamond" w:eastAsiaTheme="minorEastAsia" w:hAnsi="Garamond"/>
                <w:lang w:val="sq-AL" w:eastAsia="en-GB"/>
              </w:rPr>
            </w:pPr>
            <w:r w:rsidRPr="00EC04D8">
              <w:rPr>
                <w:rFonts w:ascii="Garamond" w:eastAsiaTheme="minorEastAsia" w:hAnsi="Garamond"/>
                <w:lang w:val="sq-AL" w:eastAsia="en-GB"/>
              </w:rPr>
              <w:t xml:space="preserve">dijeni për çdo rast të këtyre diskutimeve edhe me komisionet respektive përgjegjëse dhe me Komisionin për Ekonominë dhe Financat. </w:t>
            </w:r>
          </w:p>
        </w:tc>
      </w:tr>
      <w:tr w:rsidR="00EC04D8" w:rsidRPr="00EC04D8" w:rsidTr="00A571AA">
        <w:tc>
          <w:tcPr>
            <w:tcW w:w="1690" w:type="pct"/>
          </w:tcPr>
          <w:p w:rsidR="00EC04D8" w:rsidRPr="00EC04D8" w:rsidRDefault="00EC04D8" w:rsidP="00EC04D8">
            <w:pPr>
              <w:contextualSpacing/>
              <w:rPr>
                <w:rFonts w:ascii="Garamond" w:eastAsiaTheme="minorEastAsia" w:hAnsi="Garamond"/>
                <w:b/>
                <w:lang w:val="sq-AL" w:eastAsia="en-GB"/>
              </w:rPr>
            </w:pPr>
            <w:r w:rsidRPr="00EC04D8">
              <w:rPr>
                <w:rFonts w:ascii="Garamond" w:eastAsia="Calibri" w:hAnsi="Garamond"/>
                <w:b/>
                <w:lang w:val="sq-AL"/>
              </w:rPr>
              <w:t xml:space="preserve">4. </w:t>
            </w:r>
            <w:r w:rsidRPr="00EC04D8">
              <w:rPr>
                <w:rFonts w:ascii="Garamond" w:eastAsia="Calibri" w:hAnsi="Garamond"/>
                <w:lang w:val="sq-AL"/>
              </w:rPr>
              <w:t>Në rast të nevojës për adresime legjislative, institucionet e pavarura  t’i drejtohen dhe Ministrit të Shtetit për Marrëdhëniet me Parlamentin si një ministër i cili ka akses për dhënie mendimi në çdo projektakt që i propozohet Qeverisë.</w:t>
            </w:r>
          </w:p>
        </w:tc>
        <w:tc>
          <w:tcPr>
            <w:tcW w:w="1691" w:type="pct"/>
          </w:tcPr>
          <w:p w:rsidR="00EC04D8" w:rsidRPr="00EC04D8" w:rsidRDefault="00EC04D8" w:rsidP="00EC04D8">
            <w:pPr>
              <w:contextualSpacing/>
              <w:rPr>
                <w:rFonts w:ascii="Garamond" w:eastAsiaTheme="minorEastAsia" w:hAnsi="Garamond"/>
                <w:lang w:val="sq-AL" w:eastAsia="en-GB"/>
              </w:rPr>
            </w:pPr>
            <w:r w:rsidRPr="00EC04D8">
              <w:rPr>
                <w:rFonts w:ascii="Garamond" w:eastAsiaTheme="minorEastAsia" w:hAnsi="Garamond"/>
                <w:lang w:val="sq-AL" w:eastAsia="en-GB"/>
              </w:rPr>
              <w:t xml:space="preserve">Në çdo kohë </w:t>
            </w:r>
          </w:p>
          <w:p w:rsidR="00EC04D8" w:rsidRPr="00EC04D8" w:rsidRDefault="00EC04D8" w:rsidP="00EC04D8">
            <w:pPr>
              <w:contextualSpacing/>
              <w:rPr>
                <w:rFonts w:ascii="Garamond" w:eastAsiaTheme="minorEastAsia" w:hAnsi="Garamond"/>
                <w:lang w:val="sq-AL" w:eastAsia="en-GB"/>
              </w:rPr>
            </w:pPr>
          </w:p>
        </w:tc>
        <w:tc>
          <w:tcPr>
            <w:tcW w:w="1619" w:type="pct"/>
          </w:tcPr>
          <w:p w:rsidR="00EC04D8" w:rsidRPr="00EC04D8" w:rsidRDefault="00EC04D8" w:rsidP="00EC04D8">
            <w:pPr>
              <w:contextualSpacing/>
              <w:rPr>
                <w:rFonts w:ascii="Garamond" w:eastAsiaTheme="minorEastAsia" w:hAnsi="Garamond"/>
                <w:lang w:val="sq-AL" w:eastAsia="en-GB"/>
              </w:rPr>
            </w:pPr>
            <w:r w:rsidRPr="00EC04D8">
              <w:rPr>
                <w:rFonts w:ascii="Garamond" w:eastAsiaTheme="minorEastAsia" w:hAnsi="Garamond"/>
                <w:lang w:val="sq-AL" w:eastAsia="en-GB"/>
              </w:rPr>
              <w:t>Ministrja bën veprimet e saj, sipas objektit të veprimtarisë së saj, bazuar në aktet përkatëse nënligjore dhe informon Kuvendin, si dhe inst. e tjera si shtysë për inicimin  e propozimit konkret.</w:t>
            </w:r>
          </w:p>
          <w:p w:rsidR="00EC04D8" w:rsidRPr="00EC04D8" w:rsidRDefault="00EC04D8" w:rsidP="00EC04D8">
            <w:pPr>
              <w:contextualSpacing/>
              <w:rPr>
                <w:rFonts w:ascii="Garamond" w:eastAsiaTheme="minorEastAsia" w:hAnsi="Garamond"/>
                <w:lang w:val="sq-AL" w:eastAsia="en-GB"/>
              </w:rPr>
            </w:pPr>
          </w:p>
        </w:tc>
      </w:tr>
    </w:tbl>
    <w:p w:rsidR="00EC04D8" w:rsidRPr="00EC04D8" w:rsidRDefault="00EC04D8" w:rsidP="00EC04D8">
      <w:pPr>
        <w:widowControl w:val="0"/>
        <w:spacing w:after="0" w:line="240" w:lineRule="auto"/>
        <w:jc w:val="both"/>
        <w:rPr>
          <w:rFonts w:ascii="Garamond" w:eastAsia="MS Mincho" w:hAnsi="Garamond" w:cs="CG Times"/>
          <w:sz w:val="24"/>
          <w:lang w:val="sq-AL"/>
        </w:rPr>
      </w:pPr>
    </w:p>
    <w:p w:rsidR="00EC04D8" w:rsidRPr="00EC04D8" w:rsidRDefault="00EC04D8" w:rsidP="00EC04D8">
      <w:pPr>
        <w:widowControl w:val="0"/>
        <w:spacing w:after="0" w:line="240" w:lineRule="auto"/>
        <w:jc w:val="both"/>
        <w:rPr>
          <w:rFonts w:ascii="Garamond" w:eastAsia="MS Mincho" w:hAnsi="Garamond" w:cs="CG Times"/>
          <w:sz w:val="24"/>
          <w:lang w:val="sq-AL"/>
        </w:rPr>
      </w:pPr>
      <w:r w:rsidRPr="00EC04D8">
        <w:rPr>
          <w:rFonts w:ascii="Garamond" w:eastAsia="MS Mincho" w:hAnsi="Garamond" w:cs="CG Times"/>
          <w:sz w:val="24"/>
          <w:lang w:val="sq-AL"/>
        </w:rPr>
        <w:t>Lidhja 3:  Masat dhe detyrat e shërbimeve të Kuvendit /Shërbimi i Monitorimit të Institucioneve të Pavarura</w:t>
      </w:r>
    </w:p>
    <w:p w:rsidR="00EC04D8" w:rsidRPr="00EC04D8" w:rsidRDefault="00EC04D8" w:rsidP="00EC04D8">
      <w:pPr>
        <w:widowControl w:val="0"/>
        <w:spacing w:after="0" w:line="240" w:lineRule="auto"/>
        <w:jc w:val="both"/>
        <w:rPr>
          <w:rFonts w:ascii="Garamond" w:eastAsia="MS Mincho" w:hAnsi="Garamond" w:cs="CG Times"/>
          <w:sz w:val="10"/>
          <w:lang w:val="sq-AL"/>
        </w:rPr>
      </w:pPr>
    </w:p>
    <w:tbl>
      <w:tblPr>
        <w:tblStyle w:val="TableGrid"/>
        <w:tblW w:w="5000" w:type="pct"/>
        <w:tblLook w:val="04A0" w:firstRow="1" w:lastRow="0" w:firstColumn="1" w:lastColumn="0" w:noHBand="0" w:noVBand="1"/>
      </w:tblPr>
      <w:tblGrid>
        <w:gridCol w:w="4957"/>
        <w:gridCol w:w="4619"/>
      </w:tblGrid>
      <w:tr w:rsidR="00EC04D8" w:rsidRPr="00EC04D8" w:rsidTr="00A571AA">
        <w:tc>
          <w:tcPr>
            <w:tcW w:w="2588" w:type="pct"/>
          </w:tcPr>
          <w:p w:rsidR="00EC04D8" w:rsidRPr="00EC04D8" w:rsidRDefault="00EC04D8" w:rsidP="00EC04D8">
            <w:pPr>
              <w:numPr>
                <w:ilvl w:val="0"/>
                <w:numId w:val="1"/>
              </w:numPr>
              <w:contextualSpacing/>
              <w:jc w:val="both"/>
              <w:rPr>
                <w:rFonts w:ascii="Garamond" w:eastAsiaTheme="minorEastAsia" w:hAnsi="Garamond"/>
                <w:lang w:val="sq-AL" w:eastAsia="en-GB"/>
              </w:rPr>
            </w:pPr>
            <w:r w:rsidRPr="00EC04D8">
              <w:rPr>
                <w:rFonts w:ascii="Garamond" w:eastAsiaTheme="minorEastAsia" w:hAnsi="Garamond"/>
                <w:lang w:val="sq-AL" w:eastAsia="en-GB"/>
              </w:rPr>
              <w:t xml:space="preserve">SHMI/Shkresë të Sekretarit të Përgjithshëm për </w:t>
            </w:r>
            <w:r w:rsidRPr="00EC04D8">
              <w:rPr>
                <w:rFonts w:ascii="Garamond" w:eastAsiaTheme="minorEastAsia" w:hAnsi="Garamond"/>
                <w:lang w:val="sq-AL" w:eastAsia="en-GB"/>
              </w:rPr>
              <w:lastRenderedPageBreak/>
              <w:t xml:space="preserve">info periodike lidhur me zbatimin e rek. të inst., por dhe me rekorde të tjera të ligjshmërisë së punës deri në përfundim të ankimeve gjyqësore për raste të procedurave të largimit nga shërbimi civil, por dhe raste të tjera të lidhura me aktivitetin institucional. </w:t>
            </w:r>
          </w:p>
        </w:tc>
        <w:tc>
          <w:tcPr>
            <w:tcW w:w="2412" w:type="pct"/>
          </w:tcPr>
          <w:p w:rsidR="00EC04D8" w:rsidRPr="00EC04D8" w:rsidRDefault="00EC04D8" w:rsidP="00EC04D8">
            <w:pPr>
              <w:contextualSpacing/>
              <w:rPr>
                <w:rFonts w:ascii="Garamond" w:eastAsiaTheme="minorEastAsia" w:hAnsi="Garamond"/>
                <w:lang w:val="sq-AL" w:eastAsia="en-GB"/>
              </w:rPr>
            </w:pPr>
            <w:r w:rsidRPr="00EC04D8">
              <w:rPr>
                <w:rFonts w:ascii="Garamond" w:eastAsiaTheme="minorEastAsia" w:hAnsi="Garamond"/>
                <w:lang w:val="sq-AL" w:eastAsia="en-GB"/>
              </w:rPr>
              <w:lastRenderedPageBreak/>
              <w:t xml:space="preserve">2017 dhe në vijim </w:t>
            </w: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lang w:val="sq-AL" w:eastAsia="en-GB"/>
              </w:rPr>
            </w:pPr>
            <w:r w:rsidRPr="00EC04D8">
              <w:rPr>
                <w:rFonts w:ascii="Garamond" w:eastAsiaTheme="minorEastAsia" w:hAnsi="Garamond"/>
                <w:lang w:val="sq-AL" w:eastAsia="en-GB"/>
              </w:rPr>
              <w:t xml:space="preserve">   </w:t>
            </w:r>
          </w:p>
          <w:p w:rsidR="00EC04D8" w:rsidRPr="00EC04D8" w:rsidRDefault="00EC04D8" w:rsidP="00EC04D8">
            <w:pPr>
              <w:contextualSpacing/>
              <w:rPr>
                <w:rFonts w:ascii="Garamond" w:eastAsiaTheme="minorEastAsia" w:hAnsi="Garamond"/>
                <w:b/>
                <w:i/>
                <w:lang w:val="sq-AL" w:eastAsia="en-GB"/>
              </w:rPr>
            </w:pPr>
          </w:p>
        </w:tc>
      </w:tr>
      <w:tr w:rsidR="00EC04D8" w:rsidRPr="00EC04D8" w:rsidTr="00A571AA">
        <w:tc>
          <w:tcPr>
            <w:tcW w:w="2588" w:type="pct"/>
          </w:tcPr>
          <w:p w:rsidR="00EC04D8" w:rsidRPr="00EC04D8" w:rsidRDefault="00EC04D8" w:rsidP="00EC04D8">
            <w:pPr>
              <w:numPr>
                <w:ilvl w:val="0"/>
                <w:numId w:val="1"/>
              </w:numPr>
              <w:contextualSpacing/>
              <w:jc w:val="both"/>
              <w:rPr>
                <w:rFonts w:ascii="Garamond" w:eastAsiaTheme="minorEastAsia" w:hAnsi="Garamond"/>
                <w:lang w:val="sq-AL" w:eastAsia="en-GB"/>
              </w:rPr>
            </w:pPr>
            <w:r w:rsidRPr="00EC04D8">
              <w:rPr>
                <w:rFonts w:ascii="Garamond" w:eastAsiaTheme="minorEastAsia" w:hAnsi="Garamond"/>
                <w:lang w:val="sq-AL" w:eastAsia="en-GB"/>
              </w:rPr>
              <w:lastRenderedPageBreak/>
              <w:t xml:space="preserve">Info specifike për kallëzimet penale dhe statusin  e procedimeve penale dhe ecurisë gjyqësore të tyre. </w:t>
            </w:r>
          </w:p>
          <w:p w:rsidR="00EC04D8" w:rsidRPr="00EC04D8" w:rsidRDefault="00EC04D8" w:rsidP="00EC04D8">
            <w:pPr>
              <w:contextualSpacing/>
              <w:rPr>
                <w:rFonts w:ascii="Garamond" w:eastAsiaTheme="minorEastAsia" w:hAnsi="Garamond"/>
                <w:lang w:val="sq-AL" w:eastAsia="en-GB"/>
              </w:rPr>
            </w:pPr>
            <w:r w:rsidRPr="00EC04D8">
              <w:rPr>
                <w:rFonts w:ascii="Garamond" w:eastAsiaTheme="minorEastAsia" w:hAnsi="Garamond"/>
                <w:lang w:val="sq-AL" w:eastAsia="en-GB"/>
              </w:rPr>
              <w:t>Analizë risku nga çdo institucion në aspekte të vendimmarrjes, kryesisht të politikës penale dhe gjyqësore.</w:t>
            </w:r>
          </w:p>
        </w:tc>
        <w:tc>
          <w:tcPr>
            <w:tcW w:w="2412" w:type="pct"/>
          </w:tcPr>
          <w:p w:rsidR="00EC04D8" w:rsidRPr="00EC04D8" w:rsidRDefault="00EC04D8" w:rsidP="00EC04D8">
            <w:pPr>
              <w:contextualSpacing/>
              <w:rPr>
                <w:rFonts w:ascii="Garamond" w:eastAsiaTheme="minorEastAsia" w:hAnsi="Garamond"/>
                <w:b/>
                <w:i/>
                <w:lang w:val="sq-AL" w:eastAsia="en-GB"/>
              </w:rPr>
            </w:pPr>
            <w:r w:rsidRPr="00EC04D8">
              <w:rPr>
                <w:rFonts w:ascii="Garamond" w:eastAsiaTheme="minorEastAsia" w:hAnsi="Garamond"/>
                <w:lang w:val="sq-AL" w:eastAsia="en-GB"/>
              </w:rPr>
              <w:t>Pjesë e analizës së raportit vjetor</w:t>
            </w:r>
          </w:p>
        </w:tc>
      </w:tr>
      <w:tr w:rsidR="00EC04D8" w:rsidRPr="00EC04D8" w:rsidTr="00A571AA">
        <w:tc>
          <w:tcPr>
            <w:tcW w:w="2588" w:type="pct"/>
          </w:tcPr>
          <w:p w:rsidR="00EC04D8" w:rsidRPr="00EC04D8" w:rsidRDefault="00EC04D8" w:rsidP="00EC04D8">
            <w:pPr>
              <w:numPr>
                <w:ilvl w:val="0"/>
                <w:numId w:val="1"/>
              </w:numPr>
              <w:contextualSpacing/>
              <w:jc w:val="both"/>
              <w:rPr>
                <w:rFonts w:ascii="Garamond" w:eastAsiaTheme="minorEastAsia" w:hAnsi="Garamond"/>
                <w:b/>
                <w:i/>
                <w:lang w:val="sq-AL" w:eastAsia="en-GB"/>
              </w:rPr>
            </w:pPr>
            <w:r w:rsidRPr="00EC04D8">
              <w:rPr>
                <w:rFonts w:ascii="Garamond" w:eastAsiaTheme="minorEastAsia" w:hAnsi="Garamond"/>
                <w:lang w:val="sq-AL" w:eastAsia="en-GB"/>
              </w:rPr>
              <w:t xml:space="preserve">SHMI/Shkresë të Sekretarit të Përgjithshëm për info periodike lidhur me zbatimin e rek. të inst., por dhe me rekorde të tjera të ligjshmërisë së punës deri në përfundim të ankimeve gjyqësore për raste të procedurave të largimit nga shërbimi civil, por dhe raste të tjera të lidhura me aktivitetin institucional. </w:t>
            </w:r>
          </w:p>
        </w:tc>
        <w:tc>
          <w:tcPr>
            <w:tcW w:w="2412" w:type="pct"/>
          </w:tcPr>
          <w:p w:rsidR="00EC04D8" w:rsidRPr="00EC04D8" w:rsidRDefault="00EC04D8" w:rsidP="00EC04D8">
            <w:pPr>
              <w:contextualSpacing/>
              <w:rPr>
                <w:rFonts w:ascii="Garamond" w:eastAsiaTheme="minorEastAsia" w:hAnsi="Garamond"/>
                <w:lang w:val="sq-AL" w:eastAsia="en-GB"/>
              </w:rPr>
            </w:pPr>
            <w:r w:rsidRPr="00EC04D8">
              <w:rPr>
                <w:rFonts w:ascii="Garamond" w:eastAsiaTheme="minorEastAsia" w:hAnsi="Garamond"/>
                <w:lang w:val="sq-AL" w:eastAsia="en-GB"/>
              </w:rPr>
              <w:t xml:space="preserve">2017 dhe në vijim </w:t>
            </w: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b/>
                <w:i/>
                <w:lang w:val="sq-AL" w:eastAsia="en-GB"/>
              </w:rPr>
            </w:pPr>
          </w:p>
        </w:tc>
      </w:tr>
      <w:tr w:rsidR="00EC04D8" w:rsidRPr="00EC04D8" w:rsidTr="00A571AA">
        <w:tc>
          <w:tcPr>
            <w:tcW w:w="2588" w:type="pct"/>
          </w:tcPr>
          <w:p w:rsidR="00EC04D8" w:rsidRPr="00EC04D8" w:rsidRDefault="00EC04D8" w:rsidP="00EC04D8">
            <w:pPr>
              <w:numPr>
                <w:ilvl w:val="0"/>
                <w:numId w:val="1"/>
              </w:numPr>
              <w:contextualSpacing/>
              <w:jc w:val="both"/>
              <w:rPr>
                <w:rFonts w:ascii="Garamond" w:eastAsiaTheme="minorEastAsia" w:hAnsi="Garamond"/>
                <w:lang w:val="sq-AL" w:eastAsia="en-GB"/>
              </w:rPr>
            </w:pPr>
            <w:r w:rsidRPr="00EC04D8">
              <w:rPr>
                <w:rFonts w:ascii="Garamond" w:eastAsiaTheme="minorEastAsia" w:hAnsi="Garamond"/>
                <w:lang w:val="sq-AL" w:eastAsia="en-GB"/>
              </w:rPr>
              <w:t xml:space="preserve">Info specifike për kallëzimet penale dhe statusin  e procedimeve penale dhe ecurisë gjyqësore të tyre. </w:t>
            </w:r>
          </w:p>
          <w:p w:rsidR="00EC04D8" w:rsidRPr="00EC04D8" w:rsidRDefault="00EC04D8" w:rsidP="00EC04D8">
            <w:pPr>
              <w:contextualSpacing/>
              <w:rPr>
                <w:rFonts w:ascii="Garamond" w:eastAsiaTheme="minorEastAsia" w:hAnsi="Garamond"/>
                <w:b/>
                <w:i/>
                <w:lang w:val="sq-AL" w:eastAsia="en-GB"/>
              </w:rPr>
            </w:pPr>
            <w:r w:rsidRPr="00EC04D8">
              <w:rPr>
                <w:rFonts w:ascii="Garamond" w:eastAsiaTheme="minorEastAsia" w:hAnsi="Garamond"/>
                <w:lang w:val="sq-AL" w:eastAsia="en-GB"/>
              </w:rPr>
              <w:t>Analizë risku nga çdo institucion në aspekte të vendimmarrjes, kryesisht të politikës penale dhe gjyqësore.</w:t>
            </w:r>
          </w:p>
        </w:tc>
        <w:tc>
          <w:tcPr>
            <w:tcW w:w="2412" w:type="pct"/>
          </w:tcPr>
          <w:p w:rsidR="00EC04D8" w:rsidRPr="00EC04D8" w:rsidRDefault="00EC04D8" w:rsidP="00EC04D8">
            <w:pPr>
              <w:contextualSpacing/>
              <w:rPr>
                <w:rFonts w:ascii="Garamond" w:eastAsiaTheme="minorEastAsia" w:hAnsi="Garamond"/>
                <w:lang w:val="sq-AL" w:eastAsia="en-GB"/>
              </w:rPr>
            </w:pPr>
            <w:r w:rsidRPr="00EC04D8">
              <w:rPr>
                <w:rFonts w:ascii="Garamond" w:eastAsiaTheme="minorEastAsia" w:hAnsi="Garamond"/>
                <w:lang w:val="sq-AL" w:eastAsia="en-GB"/>
              </w:rPr>
              <w:t xml:space="preserve">Pjesë e analizës së raportit vjetor </w:t>
            </w:r>
          </w:p>
          <w:p w:rsidR="00EC04D8" w:rsidRPr="00EC04D8" w:rsidRDefault="00EC04D8" w:rsidP="00EC04D8">
            <w:pPr>
              <w:contextualSpacing/>
              <w:rPr>
                <w:rFonts w:ascii="Garamond" w:eastAsiaTheme="minorEastAsia" w:hAnsi="Garamond"/>
                <w:b/>
                <w:i/>
                <w:lang w:val="sq-AL" w:eastAsia="en-GB"/>
              </w:rPr>
            </w:pPr>
          </w:p>
        </w:tc>
      </w:tr>
      <w:tr w:rsidR="00EC04D8" w:rsidRPr="00EC04D8" w:rsidTr="00A571AA">
        <w:tc>
          <w:tcPr>
            <w:tcW w:w="2588" w:type="pct"/>
          </w:tcPr>
          <w:p w:rsidR="00EC04D8" w:rsidRPr="00EC04D8" w:rsidRDefault="00EC04D8" w:rsidP="00EC04D8">
            <w:pPr>
              <w:numPr>
                <w:ilvl w:val="0"/>
                <w:numId w:val="1"/>
              </w:numPr>
              <w:contextualSpacing/>
              <w:jc w:val="both"/>
              <w:rPr>
                <w:rFonts w:ascii="Garamond" w:eastAsiaTheme="minorEastAsia" w:hAnsi="Garamond"/>
                <w:b/>
                <w:i/>
                <w:lang w:val="sq-AL" w:eastAsia="en-GB"/>
              </w:rPr>
            </w:pPr>
            <w:r w:rsidRPr="00EC04D8">
              <w:rPr>
                <w:rFonts w:ascii="Garamond" w:eastAsiaTheme="minorEastAsia" w:hAnsi="Garamond"/>
                <w:lang w:val="sq-AL" w:eastAsia="en-GB"/>
              </w:rPr>
              <w:t xml:space="preserve">Dërgimi në fillim të çdo vitit të planit të veprimit të çdo institucioni dhe info për progresin çdo 6 muaj. Bazuar në planin e punës dhe objektivat, Kuvendi duhet të hartojë indikatorët e performancës, me anë të cilëve do të mbikëqyrte realizimin e planit të punës në afate të caktuara kohore dhe do të ndihmojë edhe gjatë fazës së raportimit vjetor apo ndonjë raportim tjetër të mundshëm gjatë vitit. </w:t>
            </w:r>
          </w:p>
        </w:tc>
        <w:tc>
          <w:tcPr>
            <w:tcW w:w="2412" w:type="pct"/>
          </w:tcPr>
          <w:p w:rsidR="00EC04D8" w:rsidRPr="00EC04D8" w:rsidRDefault="00EC04D8" w:rsidP="00EC04D8">
            <w:pPr>
              <w:contextualSpacing/>
              <w:rPr>
                <w:rFonts w:ascii="Garamond" w:eastAsiaTheme="minorEastAsia" w:hAnsi="Garamond"/>
                <w:b/>
                <w:i/>
                <w:lang w:val="sq-AL" w:eastAsia="en-GB"/>
              </w:rPr>
            </w:pPr>
            <w:r w:rsidRPr="00EC04D8">
              <w:rPr>
                <w:rFonts w:ascii="Garamond" w:eastAsiaTheme="minorEastAsia" w:hAnsi="Garamond"/>
                <w:lang w:val="sq-AL" w:eastAsia="en-GB"/>
              </w:rPr>
              <w:t xml:space="preserve">Janar 2018 (të shoqërohet edhe në raportimin vjetor statusi i implementimit  tërësor të çdo pike të rezolutës së një vitit më parë nga Kuvendi që të jetë e gatshme për krahasimin dhe vlerësimin e performancës së punës. Modeli i KLSH-së, plan veprimi për detyrat e rezolutës së Kuvendit për vitin 2014 dhe 2015 i sapodërguar nga ky institucion, është një model shumë i mirë për t’u bërë dokument i përhershëm shoqërues gjatë paraqitjes së raportit vjetor). </w:t>
            </w:r>
          </w:p>
        </w:tc>
      </w:tr>
      <w:tr w:rsidR="00EC04D8" w:rsidRPr="00EC04D8" w:rsidTr="00A571AA">
        <w:tc>
          <w:tcPr>
            <w:tcW w:w="2588" w:type="pct"/>
          </w:tcPr>
          <w:p w:rsidR="00EC04D8" w:rsidRPr="00EC04D8" w:rsidRDefault="00EC04D8" w:rsidP="00EC04D8">
            <w:pPr>
              <w:numPr>
                <w:ilvl w:val="0"/>
                <w:numId w:val="1"/>
              </w:numPr>
              <w:contextualSpacing/>
              <w:jc w:val="both"/>
              <w:rPr>
                <w:rFonts w:ascii="Garamond" w:eastAsiaTheme="minorEastAsia" w:hAnsi="Garamond"/>
                <w:lang w:val="sq-AL" w:eastAsia="en-GB"/>
              </w:rPr>
            </w:pPr>
            <w:r w:rsidRPr="00EC04D8">
              <w:rPr>
                <w:rFonts w:ascii="Garamond" w:eastAsiaTheme="minorEastAsia" w:hAnsi="Garamond"/>
                <w:lang w:val="sq-AL" w:eastAsia="en-GB"/>
              </w:rPr>
              <w:t>Elemente të unifikuara të materialit të raportit vjetor/standardizim i piketave të raportimit dhe çështjeve që duhen analizuar në nivel parlamentar.</w:t>
            </w:r>
          </w:p>
          <w:p w:rsidR="00EC04D8" w:rsidRPr="00EC04D8" w:rsidRDefault="00EC04D8" w:rsidP="00EC04D8">
            <w:pPr>
              <w:contextualSpacing/>
              <w:rPr>
                <w:rFonts w:ascii="Garamond" w:eastAsiaTheme="minorEastAsia" w:hAnsi="Garamond"/>
                <w:b/>
                <w:i/>
                <w:lang w:val="sq-AL" w:eastAsia="en-GB"/>
              </w:rPr>
            </w:pPr>
            <w:r w:rsidRPr="00EC04D8">
              <w:rPr>
                <w:rFonts w:ascii="Garamond" w:eastAsiaTheme="minorEastAsia" w:hAnsi="Garamond"/>
                <w:lang w:val="sq-AL" w:eastAsia="en-GB"/>
              </w:rPr>
              <w:t>Detyrueshmëria e përfshirjes në raport vjetor të analizës financiare (audit i brendshëm dhe ose i jashtëm) dhe transparenca për përfitimet e fondeve jobuxhetore (projekte/fonde/donacione, si dhe raportim i përfshirë nga institucionet për nivelin e zbatimit të ligjit për shërbimin civil (nga vetë institucioni, ndërkohë që SHMI mban në konsideratë edhe raportet e mbikëqyrjes së KMSHC-së apo dhe info të tjera nga DAP-i aty ku ka informacion të vlefshëm).</w:t>
            </w:r>
          </w:p>
        </w:tc>
        <w:tc>
          <w:tcPr>
            <w:tcW w:w="2412" w:type="pct"/>
          </w:tcPr>
          <w:p w:rsidR="00EC04D8" w:rsidRPr="00EC04D8" w:rsidRDefault="00EC04D8" w:rsidP="00EC04D8">
            <w:pPr>
              <w:contextualSpacing/>
              <w:rPr>
                <w:rFonts w:ascii="Garamond" w:eastAsiaTheme="minorEastAsia" w:hAnsi="Garamond"/>
                <w:lang w:val="sq-AL" w:eastAsia="en-GB"/>
              </w:rPr>
            </w:pPr>
            <w:r w:rsidRPr="00EC04D8">
              <w:rPr>
                <w:rFonts w:ascii="Garamond" w:eastAsiaTheme="minorEastAsia" w:hAnsi="Garamond"/>
                <w:lang w:val="sq-AL" w:eastAsia="en-GB"/>
              </w:rPr>
              <w:t xml:space="preserve">Pjesë e raportimit vjetor, do të asistohet nga SHMI </w:t>
            </w:r>
          </w:p>
          <w:p w:rsidR="00EC04D8" w:rsidRPr="00EC04D8" w:rsidRDefault="00EC04D8" w:rsidP="00EC04D8">
            <w:pPr>
              <w:contextualSpacing/>
              <w:rPr>
                <w:rFonts w:ascii="Garamond" w:eastAsiaTheme="minorEastAsia" w:hAnsi="Garamond"/>
                <w:b/>
                <w:i/>
                <w:lang w:val="sq-AL" w:eastAsia="en-GB"/>
              </w:rPr>
            </w:pPr>
          </w:p>
        </w:tc>
      </w:tr>
      <w:tr w:rsidR="00EC04D8" w:rsidRPr="00EC04D8" w:rsidTr="00A571AA">
        <w:tc>
          <w:tcPr>
            <w:tcW w:w="2588" w:type="pct"/>
          </w:tcPr>
          <w:p w:rsidR="00EC04D8" w:rsidRPr="00EC04D8" w:rsidRDefault="00EC04D8" w:rsidP="00EC04D8">
            <w:pPr>
              <w:numPr>
                <w:ilvl w:val="0"/>
                <w:numId w:val="1"/>
              </w:numPr>
              <w:autoSpaceDE w:val="0"/>
              <w:autoSpaceDN w:val="0"/>
              <w:adjustRightInd w:val="0"/>
              <w:snapToGrid w:val="0"/>
              <w:contextualSpacing/>
              <w:jc w:val="both"/>
              <w:rPr>
                <w:rFonts w:ascii="Garamond" w:eastAsiaTheme="minorEastAsia" w:hAnsi="Garamond"/>
                <w:i/>
                <w:lang w:val="sq-AL" w:eastAsia="en-GB"/>
              </w:rPr>
            </w:pPr>
            <w:r w:rsidRPr="00EC04D8">
              <w:rPr>
                <w:rFonts w:ascii="Garamond" w:eastAsia="Times New Roman" w:hAnsi="Garamond"/>
                <w:lang w:val="sq-AL"/>
              </w:rPr>
              <w:t xml:space="preserve">Pjesë e veçantë e raportimeve vjetore në Kuvend duhet të jenë dhe ato për rekomandime, për numrin, cilësinë, nivelin, shkallën e zbatimit dhe ndjekjes  për zbatim të tyre. Të shikohet mundësia e informimit të Kuvendit, posaçërisht për çështje të rekomandimeve, si shtojcë e kornizës së raportimit vjetor. </w:t>
            </w:r>
          </w:p>
        </w:tc>
        <w:tc>
          <w:tcPr>
            <w:tcW w:w="2412" w:type="pct"/>
          </w:tcPr>
          <w:p w:rsidR="00EC04D8" w:rsidRPr="00EC04D8" w:rsidRDefault="00EC04D8" w:rsidP="00EC04D8">
            <w:pPr>
              <w:contextualSpacing/>
              <w:rPr>
                <w:rFonts w:ascii="Garamond" w:eastAsiaTheme="minorEastAsia" w:hAnsi="Garamond"/>
                <w:lang w:val="sq-AL" w:eastAsia="en-GB"/>
              </w:rPr>
            </w:pPr>
            <w:r w:rsidRPr="00EC04D8">
              <w:rPr>
                <w:rFonts w:ascii="Garamond" w:eastAsiaTheme="minorEastAsia" w:hAnsi="Garamond"/>
                <w:lang w:val="sq-AL" w:eastAsia="en-GB"/>
              </w:rPr>
              <w:t xml:space="preserve">Pjesë përfshirëse në raportimin vjetor </w:t>
            </w: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b/>
                <w:i/>
                <w:lang w:val="sq-AL" w:eastAsia="en-GB"/>
              </w:rPr>
            </w:pPr>
          </w:p>
        </w:tc>
      </w:tr>
      <w:tr w:rsidR="00EC04D8" w:rsidRPr="00EC04D8" w:rsidTr="00A571AA">
        <w:tc>
          <w:tcPr>
            <w:tcW w:w="2588" w:type="pct"/>
          </w:tcPr>
          <w:p w:rsidR="00EC04D8" w:rsidRPr="00EC04D8" w:rsidRDefault="00EC04D8" w:rsidP="00EC04D8">
            <w:pPr>
              <w:numPr>
                <w:ilvl w:val="0"/>
                <w:numId w:val="1"/>
              </w:numPr>
              <w:contextualSpacing/>
              <w:jc w:val="both"/>
              <w:rPr>
                <w:rFonts w:ascii="Garamond" w:eastAsiaTheme="minorEastAsia" w:hAnsi="Garamond"/>
                <w:b/>
                <w:i/>
                <w:lang w:val="sq-AL" w:eastAsia="en-GB"/>
              </w:rPr>
            </w:pPr>
            <w:r w:rsidRPr="00EC04D8">
              <w:rPr>
                <w:rFonts w:ascii="Garamond" w:eastAsiaTheme="minorEastAsia" w:hAnsi="Garamond"/>
                <w:lang w:val="sq-AL" w:eastAsia="en-GB"/>
              </w:rPr>
              <w:t xml:space="preserve">Unifikim i formatit të tekstit të rezolutave, duke konkretizuar pjesën rekomanduese ( </w:t>
            </w:r>
            <w:r w:rsidRPr="00EC04D8">
              <w:rPr>
                <w:rFonts w:ascii="Garamond" w:eastAsiaTheme="minorEastAsia" w:hAnsi="Garamond"/>
                <w:i/>
                <w:lang w:val="sq-AL" w:eastAsia="en-GB"/>
              </w:rPr>
              <w:t>pa anashkaluar pjesët e tjera).</w:t>
            </w:r>
            <w:r w:rsidRPr="00EC04D8">
              <w:rPr>
                <w:rFonts w:ascii="Garamond" w:eastAsiaTheme="minorEastAsia" w:hAnsi="Garamond"/>
                <w:lang w:val="sq-AL" w:eastAsia="en-GB"/>
              </w:rPr>
              <w:t xml:space="preserve"> </w:t>
            </w:r>
          </w:p>
        </w:tc>
        <w:tc>
          <w:tcPr>
            <w:tcW w:w="2412" w:type="pct"/>
          </w:tcPr>
          <w:p w:rsidR="00EC04D8" w:rsidRPr="00EC04D8" w:rsidRDefault="00EC04D8" w:rsidP="00EC04D8">
            <w:pPr>
              <w:contextualSpacing/>
              <w:rPr>
                <w:rFonts w:ascii="Garamond" w:eastAsiaTheme="minorEastAsia" w:hAnsi="Garamond"/>
                <w:lang w:val="sq-AL" w:eastAsia="en-GB"/>
              </w:rPr>
            </w:pPr>
            <w:r w:rsidRPr="00EC04D8">
              <w:rPr>
                <w:rFonts w:ascii="Garamond" w:eastAsiaTheme="minorEastAsia" w:hAnsi="Garamond"/>
                <w:lang w:val="sq-AL" w:eastAsia="en-GB"/>
              </w:rPr>
              <w:t xml:space="preserve">SHMI, komisionet parlamentare </w:t>
            </w:r>
          </w:p>
          <w:p w:rsidR="00EC04D8" w:rsidRPr="00EC04D8" w:rsidRDefault="00EC04D8" w:rsidP="00EC04D8">
            <w:pPr>
              <w:contextualSpacing/>
              <w:rPr>
                <w:rFonts w:ascii="Garamond" w:eastAsiaTheme="minorEastAsia" w:hAnsi="Garamond"/>
                <w:b/>
                <w:i/>
                <w:lang w:val="sq-AL" w:eastAsia="en-GB"/>
              </w:rPr>
            </w:pPr>
          </w:p>
        </w:tc>
      </w:tr>
      <w:tr w:rsidR="00EC04D8" w:rsidRPr="00EC04D8" w:rsidTr="00A571AA">
        <w:tc>
          <w:tcPr>
            <w:tcW w:w="2588" w:type="pct"/>
          </w:tcPr>
          <w:p w:rsidR="00EC04D8" w:rsidRPr="00EC04D8" w:rsidRDefault="00EC04D8" w:rsidP="00EC04D8">
            <w:pPr>
              <w:numPr>
                <w:ilvl w:val="0"/>
                <w:numId w:val="1"/>
              </w:numPr>
              <w:contextualSpacing/>
              <w:jc w:val="both"/>
              <w:rPr>
                <w:rFonts w:ascii="Garamond" w:eastAsiaTheme="minorEastAsia" w:hAnsi="Garamond"/>
                <w:lang w:val="sq-AL" w:eastAsia="en-GB"/>
              </w:rPr>
            </w:pPr>
            <w:r w:rsidRPr="00EC04D8">
              <w:rPr>
                <w:rFonts w:ascii="Garamond" w:eastAsiaTheme="minorEastAsia" w:hAnsi="Garamond"/>
                <w:lang w:val="sq-AL" w:eastAsia="en-GB"/>
              </w:rPr>
              <w:t>Shtim i analizës së SHMI për buletinet tremujore periodike të KLSH-së dhe njohja e tyre deputetëve me një përmbledhje.</w:t>
            </w:r>
          </w:p>
        </w:tc>
        <w:tc>
          <w:tcPr>
            <w:tcW w:w="2412" w:type="pct"/>
          </w:tcPr>
          <w:p w:rsidR="00EC04D8" w:rsidRPr="00EC04D8" w:rsidRDefault="00EC04D8" w:rsidP="00EC04D8">
            <w:pPr>
              <w:contextualSpacing/>
              <w:rPr>
                <w:rFonts w:ascii="Garamond" w:eastAsiaTheme="minorEastAsia" w:hAnsi="Garamond"/>
                <w:lang w:val="sq-AL" w:eastAsia="en-GB"/>
              </w:rPr>
            </w:pPr>
            <w:r w:rsidRPr="00EC04D8">
              <w:rPr>
                <w:rFonts w:ascii="Garamond" w:eastAsiaTheme="minorEastAsia" w:hAnsi="Garamond"/>
                <w:lang w:val="sq-AL" w:eastAsia="en-GB"/>
              </w:rPr>
              <w:t xml:space="preserve">Angazhim i shtuar i stafit të SHMI për të ofruar këtë info Komisionit për Ekonominë dhe Financat/ose nënkomisionit që pritet të ngrihet  pranë këtij komisioni.    </w:t>
            </w:r>
          </w:p>
        </w:tc>
      </w:tr>
      <w:tr w:rsidR="00EC04D8" w:rsidRPr="00EC04D8" w:rsidTr="00A571AA">
        <w:tc>
          <w:tcPr>
            <w:tcW w:w="2588" w:type="pct"/>
          </w:tcPr>
          <w:p w:rsidR="00EC04D8" w:rsidRPr="00EC04D8" w:rsidRDefault="00EC04D8" w:rsidP="00EC04D8">
            <w:pPr>
              <w:numPr>
                <w:ilvl w:val="0"/>
                <w:numId w:val="1"/>
              </w:numPr>
              <w:contextualSpacing/>
              <w:jc w:val="both"/>
              <w:rPr>
                <w:rFonts w:ascii="Garamond" w:eastAsiaTheme="minorEastAsia" w:hAnsi="Garamond"/>
                <w:b/>
                <w:i/>
                <w:lang w:val="sq-AL" w:eastAsia="en-GB"/>
              </w:rPr>
            </w:pPr>
            <w:r w:rsidRPr="00EC04D8">
              <w:rPr>
                <w:rFonts w:ascii="Garamond" w:eastAsiaTheme="minorEastAsia" w:hAnsi="Garamond"/>
                <w:lang w:val="sq-AL" w:eastAsia="en-GB"/>
              </w:rPr>
              <w:t xml:space="preserve">Zbatimi i ligjit të dekriminalizimit  </w:t>
            </w:r>
          </w:p>
        </w:tc>
        <w:tc>
          <w:tcPr>
            <w:tcW w:w="2412" w:type="pct"/>
          </w:tcPr>
          <w:p w:rsidR="00EC04D8" w:rsidRPr="00EC04D8" w:rsidRDefault="00EC04D8" w:rsidP="00EC04D8">
            <w:pPr>
              <w:contextualSpacing/>
              <w:rPr>
                <w:rFonts w:ascii="Garamond" w:eastAsiaTheme="minorEastAsia" w:hAnsi="Garamond"/>
                <w:lang w:val="sq-AL" w:eastAsia="en-GB"/>
              </w:rPr>
            </w:pPr>
            <w:r w:rsidRPr="00EC04D8">
              <w:rPr>
                <w:rFonts w:ascii="Garamond" w:eastAsiaTheme="minorEastAsia" w:hAnsi="Garamond"/>
                <w:lang w:val="sq-AL" w:eastAsia="en-GB"/>
              </w:rPr>
              <w:t>SHMI si strukurë përgjegjëse  e ngritur me urdhër të Kryetarit të Kuvendit për funksionarët dhe kandidatët për titullarë të institucioneve të pavarura që zgjidhen nga Kuvendi.</w:t>
            </w:r>
          </w:p>
        </w:tc>
      </w:tr>
      <w:tr w:rsidR="00EC04D8" w:rsidRPr="00EC04D8" w:rsidTr="00A571AA">
        <w:tc>
          <w:tcPr>
            <w:tcW w:w="2588" w:type="pct"/>
          </w:tcPr>
          <w:p w:rsidR="00EC04D8" w:rsidRPr="00EC04D8" w:rsidRDefault="00EC04D8" w:rsidP="00EC04D8">
            <w:pPr>
              <w:numPr>
                <w:ilvl w:val="0"/>
                <w:numId w:val="1"/>
              </w:numPr>
              <w:contextualSpacing/>
              <w:jc w:val="both"/>
              <w:rPr>
                <w:rFonts w:ascii="Garamond" w:eastAsiaTheme="minorEastAsia" w:hAnsi="Garamond"/>
                <w:lang w:val="sq-AL" w:eastAsia="en-GB"/>
              </w:rPr>
            </w:pPr>
            <w:r w:rsidRPr="00EC04D8">
              <w:rPr>
                <w:rFonts w:ascii="Garamond" w:eastAsiaTheme="minorEastAsia" w:hAnsi="Garamond"/>
                <w:lang w:val="sq-AL" w:eastAsia="en-GB"/>
              </w:rPr>
              <w:lastRenderedPageBreak/>
              <w:t>Ndërtimi i një metodike veprimesh dhe bashkëkoordinimi me institucionet e pavarura dhe me shërbimet e tjera të Kuvendit për ndjekjen e propozimeve legjislative të adresuara nga institucionet e pavarura në organet e ekzekutivit për ndërmarrjen e nismës nga KM apo dhe në Kuvend për nismë nga brenda.</w:t>
            </w:r>
          </w:p>
        </w:tc>
        <w:tc>
          <w:tcPr>
            <w:tcW w:w="2412" w:type="pct"/>
          </w:tcPr>
          <w:p w:rsidR="00EC04D8" w:rsidRPr="00EC04D8" w:rsidRDefault="00EC04D8" w:rsidP="00EC04D8">
            <w:pPr>
              <w:contextualSpacing/>
              <w:rPr>
                <w:rFonts w:ascii="Garamond" w:eastAsiaTheme="minorEastAsia" w:hAnsi="Garamond"/>
                <w:lang w:val="sq-AL" w:eastAsia="en-GB"/>
              </w:rPr>
            </w:pPr>
            <w:r w:rsidRPr="00EC04D8">
              <w:rPr>
                <w:rFonts w:ascii="Garamond" w:eastAsiaTheme="minorEastAsia" w:hAnsi="Garamond"/>
                <w:lang w:val="sq-AL" w:eastAsia="en-GB"/>
              </w:rPr>
              <w:t xml:space="preserve">Në vijimësi gjatë vitit 2017 dhe në vijim të vitit vijues </w:t>
            </w:r>
          </w:p>
          <w:p w:rsidR="00EC04D8" w:rsidRPr="00EC04D8" w:rsidRDefault="00EC04D8" w:rsidP="00EC04D8">
            <w:pPr>
              <w:contextualSpacing/>
              <w:rPr>
                <w:rFonts w:ascii="Garamond" w:eastAsiaTheme="minorEastAsia" w:hAnsi="Garamond"/>
                <w:lang w:val="sq-AL" w:eastAsia="en-GB"/>
              </w:rPr>
            </w:pPr>
          </w:p>
          <w:p w:rsidR="00EC04D8" w:rsidRPr="00EC04D8" w:rsidRDefault="00EC04D8" w:rsidP="00EC04D8">
            <w:pPr>
              <w:contextualSpacing/>
              <w:rPr>
                <w:rFonts w:ascii="Garamond" w:eastAsiaTheme="minorEastAsia" w:hAnsi="Garamond"/>
                <w:lang w:val="sq-AL" w:eastAsia="en-GB"/>
              </w:rPr>
            </w:pPr>
            <w:r w:rsidRPr="00EC04D8">
              <w:rPr>
                <w:rFonts w:ascii="Garamond" w:eastAsiaTheme="minorEastAsia" w:hAnsi="Garamond"/>
                <w:lang w:val="sq-AL" w:eastAsia="en-GB"/>
              </w:rPr>
              <w:t xml:space="preserve">Informim dhe ndjekje nga SHMI për çdo rast të propozimit për ndërhyrje ligjore në legjislacion, fazat e ndjekura, argumentimi ligjor për ndërhyrje dhe kohët e moskonsiderimit të tij nga organet kopetente (Ministria përgjegjëse/Ministria e Drejtësisë, KM). </w:t>
            </w:r>
          </w:p>
          <w:p w:rsidR="00EC04D8" w:rsidRPr="00EC04D8" w:rsidRDefault="00EC04D8" w:rsidP="00EC04D8">
            <w:pPr>
              <w:contextualSpacing/>
              <w:rPr>
                <w:rFonts w:ascii="Garamond" w:eastAsiaTheme="minorEastAsia" w:hAnsi="Garamond"/>
                <w:lang w:val="sq-AL" w:eastAsia="en-GB"/>
              </w:rPr>
            </w:pPr>
            <w:r w:rsidRPr="00EC04D8">
              <w:rPr>
                <w:rFonts w:ascii="Garamond" w:eastAsiaTheme="minorEastAsia" w:hAnsi="Garamond"/>
                <w:lang w:val="sq-AL" w:eastAsia="en-GB"/>
              </w:rPr>
              <w:t>Masat për sjellje vëmendje deputetëve për marrjen në konsideratë të tyre në raste të dështimit/vonesës së marrjes në konsideratë  të propozimit ligjor nga ministritë.</w:t>
            </w:r>
          </w:p>
          <w:p w:rsidR="00EC04D8" w:rsidRPr="00EC04D8" w:rsidRDefault="00EC04D8" w:rsidP="00EC04D8">
            <w:pPr>
              <w:contextualSpacing/>
              <w:rPr>
                <w:rFonts w:ascii="Garamond" w:eastAsiaTheme="minorEastAsia" w:hAnsi="Garamond"/>
                <w:lang w:val="sq-AL" w:eastAsia="en-GB"/>
              </w:rPr>
            </w:pPr>
            <w:r w:rsidRPr="00EC04D8">
              <w:rPr>
                <w:rFonts w:ascii="Garamond" w:eastAsiaTheme="minorEastAsia" w:hAnsi="Garamond"/>
                <w:i/>
                <w:lang w:val="sq-AL" w:eastAsia="en-GB"/>
              </w:rPr>
              <w:t>Lihet e hapur për diskutim mënyra dhe metodika se si do të nxitet (SHMI në bashkëpunim me komisionet etj.)</w:t>
            </w:r>
            <w:r w:rsidRPr="00EC04D8">
              <w:rPr>
                <w:rFonts w:ascii="Garamond" w:eastAsiaTheme="minorEastAsia" w:hAnsi="Garamond"/>
                <w:lang w:val="sq-AL" w:eastAsia="en-GB"/>
              </w:rPr>
              <w:t xml:space="preserve"> </w:t>
            </w:r>
          </w:p>
        </w:tc>
      </w:tr>
      <w:tr w:rsidR="00EC04D8" w:rsidRPr="00EC04D8" w:rsidTr="00A571AA">
        <w:tc>
          <w:tcPr>
            <w:tcW w:w="2588" w:type="pct"/>
          </w:tcPr>
          <w:p w:rsidR="00EC04D8" w:rsidRPr="00EC04D8" w:rsidRDefault="00EC04D8" w:rsidP="00EC04D8">
            <w:pPr>
              <w:numPr>
                <w:ilvl w:val="0"/>
                <w:numId w:val="1"/>
              </w:numPr>
              <w:contextualSpacing/>
              <w:jc w:val="both"/>
              <w:rPr>
                <w:rFonts w:ascii="Garamond" w:eastAsiaTheme="minorEastAsia" w:hAnsi="Garamond"/>
                <w:lang w:val="sq-AL" w:eastAsia="en-GB"/>
              </w:rPr>
            </w:pPr>
            <w:r w:rsidRPr="00EC04D8">
              <w:rPr>
                <w:rFonts w:ascii="Garamond" w:eastAsiaTheme="minorEastAsia" w:hAnsi="Garamond"/>
                <w:lang w:val="sq-AL" w:eastAsia="en-GB"/>
              </w:rPr>
              <w:t>Raport i veçantë i SHMI për zbatimin e rekomandimeve të institucioneve të pavarura dhe publikimi i tij.</w:t>
            </w:r>
          </w:p>
        </w:tc>
        <w:tc>
          <w:tcPr>
            <w:tcW w:w="2412" w:type="pct"/>
          </w:tcPr>
          <w:p w:rsidR="00EC04D8" w:rsidRPr="00EC04D8" w:rsidRDefault="00EC04D8" w:rsidP="00EC04D8">
            <w:pPr>
              <w:contextualSpacing/>
              <w:rPr>
                <w:rFonts w:ascii="Garamond" w:eastAsiaTheme="minorEastAsia" w:hAnsi="Garamond"/>
                <w:lang w:val="sq-AL" w:eastAsia="en-GB"/>
              </w:rPr>
            </w:pPr>
            <w:r w:rsidRPr="00EC04D8">
              <w:rPr>
                <w:rFonts w:ascii="Garamond" w:eastAsiaTheme="minorEastAsia" w:hAnsi="Garamond"/>
                <w:lang w:val="sq-AL" w:eastAsia="en-GB"/>
              </w:rPr>
              <w:t>Në fund të vitit si botim i veçantë i vetë SHMI, përveç atij vjetor të shërbimit në kuadër të raportimit tërësor të shërbimeve të administratës së Kuvendit.</w:t>
            </w:r>
          </w:p>
        </w:tc>
      </w:tr>
      <w:bookmarkEnd w:id="0"/>
    </w:tbl>
    <w:p w:rsidR="00EA71FF" w:rsidRDefault="00EA71FF"/>
    <w:sectPr w:rsidR="00EA71FF" w:rsidSect="00EC04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Garamond">
    <w:altName w:val="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5958905"/>
      <w:docPartObj>
        <w:docPartGallery w:val="Page Numbers (Bottom of Page)"/>
        <w:docPartUnique/>
      </w:docPartObj>
    </w:sdtPr>
    <w:sdtEndPr>
      <w:rPr>
        <w:rFonts w:ascii="Garamond" w:hAnsi="Garamond"/>
        <w:noProof/>
        <w:sz w:val="24"/>
        <w:szCs w:val="24"/>
      </w:rPr>
    </w:sdtEndPr>
    <w:sdtContent>
      <w:p w:rsidR="00F75A3B" w:rsidRPr="00B4283E" w:rsidRDefault="00EC04D8"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5182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A3B" w:rsidRPr="005B4361" w:rsidRDefault="00EC04D8"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463850154"/>
      <w:docPartObj>
        <w:docPartGallery w:val="Page Numbers (Bottom of Page)"/>
        <w:docPartUnique/>
      </w:docPartObj>
    </w:sdtPr>
    <w:sdtEndPr>
      <w:rPr>
        <w:noProof/>
        <w:sz w:val="24"/>
        <w:szCs w:val="24"/>
      </w:rPr>
    </w:sdtEndPr>
    <w:sdtContent>
      <w:p w:rsidR="00F75A3B" w:rsidRPr="00833610" w:rsidRDefault="00EC04D8">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F75A3B" w:rsidRDefault="00EC04D8">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F75A3B" w:rsidRPr="00EB260B" w:rsidTr="0024030F">
      <w:trPr>
        <w:trHeight w:val="936"/>
        <w:jc w:val="center"/>
      </w:trPr>
      <w:tc>
        <w:tcPr>
          <w:tcW w:w="2811" w:type="dxa"/>
          <w:shd w:val="pct5" w:color="auto" w:fill="F2F2F2"/>
          <w:vAlign w:val="center"/>
        </w:tcPr>
        <w:p w:rsidR="00F75A3B" w:rsidRPr="00EB260B" w:rsidRDefault="00EC04D8" w:rsidP="0024030F">
          <w:pPr>
            <w:pStyle w:val="NoSpacing"/>
            <w:spacing w:before="100" w:after="100"/>
            <w:ind w:left="-320" w:firstLine="136"/>
            <w:jc w:val="center"/>
            <w:rPr>
              <w:rFonts w:ascii="Garamond" w:hAnsi="Garamond"/>
              <w:b/>
              <w:sz w:val="28"/>
              <w:szCs w:val="28"/>
            </w:rPr>
          </w:pPr>
          <w:proofErr w:type="spellStart"/>
          <w:r w:rsidRPr="00EB260B">
            <w:rPr>
              <w:rFonts w:ascii="Garamond" w:hAnsi="Garamond"/>
              <w:b/>
              <w:sz w:val="28"/>
              <w:szCs w:val="28"/>
            </w:rPr>
            <w:t>Fletorja</w:t>
          </w:r>
          <w:proofErr w:type="spellEnd"/>
          <w:r w:rsidRPr="00EB260B">
            <w:rPr>
              <w:rFonts w:ascii="Garamond" w:hAnsi="Garamond"/>
              <w:b/>
              <w:sz w:val="28"/>
              <w:szCs w:val="28"/>
            </w:rPr>
            <w:t xml:space="preserve"> </w:t>
          </w:r>
          <w:proofErr w:type="spellStart"/>
          <w:r w:rsidRPr="00EB260B">
            <w:rPr>
              <w:rFonts w:ascii="Garamond" w:hAnsi="Garamond"/>
              <w:b/>
              <w:sz w:val="28"/>
              <w:szCs w:val="28"/>
            </w:rPr>
            <w:t>Zyrtare</w:t>
          </w:r>
          <w:proofErr w:type="spellEnd"/>
        </w:p>
      </w:tc>
      <w:tc>
        <w:tcPr>
          <w:tcW w:w="3952" w:type="dxa"/>
          <w:shd w:val="pct5" w:color="auto" w:fill="F2F2F2"/>
          <w:vAlign w:val="center"/>
        </w:tcPr>
        <w:p w:rsidR="00F75A3B" w:rsidRPr="00EB260B" w:rsidRDefault="00EC04D8" w:rsidP="0024030F">
          <w:pPr>
            <w:pStyle w:val="NoSpacing"/>
            <w:spacing w:before="100" w:after="100"/>
            <w:jc w:val="center"/>
            <w:rPr>
              <w:rFonts w:ascii="Garamond" w:hAnsi="Garamond"/>
              <w:b/>
              <w:sz w:val="28"/>
              <w:szCs w:val="28"/>
            </w:rPr>
          </w:pPr>
          <w:r>
            <w:rPr>
              <w:noProof/>
            </w:rPr>
            <w:drawing>
              <wp:inline distT="0" distB="0" distL="0" distR="0" wp14:anchorId="29182DD8" wp14:editId="1FA38B2A">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F75A3B" w:rsidRPr="00EB260B" w:rsidRDefault="00EC04D8" w:rsidP="0024030F">
          <w:pPr>
            <w:pStyle w:val="NoSpacing"/>
            <w:spacing w:before="100" w:after="100"/>
            <w:jc w:val="center"/>
            <w:rPr>
              <w:rFonts w:ascii="Garamond" w:hAnsi="Garamond"/>
              <w:b/>
              <w:sz w:val="28"/>
              <w:szCs w:val="28"/>
            </w:rPr>
          </w:pPr>
          <w:r>
            <w:rPr>
              <w:rFonts w:ascii="Garamond" w:hAnsi="Garamond"/>
              <w:b/>
              <w:sz w:val="28"/>
              <w:szCs w:val="28"/>
            </w:rPr>
            <w:t xml:space="preserve"> </w:t>
          </w:r>
          <w:proofErr w:type="spellStart"/>
          <w:r>
            <w:rPr>
              <w:rFonts w:ascii="Garamond" w:hAnsi="Garamond"/>
              <w:b/>
              <w:sz w:val="28"/>
              <w:szCs w:val="28"/>
            </w:rPr>
            <w:t>Viti</w:t>
          </w:r>
          <w:proofErr w:type="spellEnd"/>
          <w:r>
            <w:rPr>
              <w:rFonts w:ascii="Garamond" w:hAnsi="Garamond"/>
              <w:b/>
              <w:sz w:val="28"/>
              <w:szCs w:val="28"/>
            </w:rPr>
            <w:t xml:space="preserve"> 2017 – </w:t>
          </w:r>
          <w:proofErr w:type="spellStart"/>
          <w:r>
            <w:rPr>
              <w:rFonts w:ascii="Garamond" w:hAnsi="Garamond"/>
              <w:b/>
              <w:sz w:val="28"/>
              <w:szCs w:val="28"/>
            </w:rPr>
            <w:t>Numri</w:t>
          </w:r>
          <w:proofErr w:type="spellEnd"/>
          <w:r>
            <w:rPr>
              <w:rFonts w:ascii="Garamond" w:hAnsi="Garamond"/>
              <w:b/>
              <w:sz w:val="28"/>
              <w:szCs w:val="28"/>
            </w:rPr>
            <w:t xml:space="preserve"> 90 </w:t>
          </w:r>
        </w:p>
      </w:tc>
    </w:tr>
  </w:tbl>
  <w:p w:rsidR="00F75A3B" w:rsidRPr="00385E2C" w:rsidRDefault="00EC04D8"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A3B" w:rsidRDefault="00EC04D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A3B" w:rsidRDefault="00EC04D8"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651971"/>
    <w:multiLevelType w:val="hybridMultilevel"/>
    <w:tmpl w:val="10AE4C00"/>
    <w:lvl w:ilvl="0" w:tplc="C798A8E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04D8"/>
    <w:rsid w:val="00EA71FF"/>
    <w:rsid w:val="00EC04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C04D8"/>
    <w:pPr>
      <w:spacing w:after="0" w:line="240" w:lineRule="auto"/>
    </w:pPr>
  </w:style>
  <w:style w:type="paragraph" w:styleId="Header">
    <w:name w:val="header"/>
    <w:basedOn w:val="Normal"/>
    <w:link w:val="HeaderChar"/>
    <w:unhideWhenUsed/>
    <w:rsid w:val="00EC04D8"/>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rsid w:val="00EC04D8"/>
    <w:rPr>
      <w:rFonts w:ascii="Calibri" w:eastAsia="Calibri" w:hAnsi="Calibri" w:cs="Times New Roman"/>
    </w:rPr>
  </w:style>
  <w:style w:type="paragraph" w:styleId="Footer">
    <w:name w:val="footer"/>
    <w:basedOn w:val="Normal"/>
    <w:link w:val="FooterChar"/>
    <w:uiPriority w:val="99"/>
    <w:unhideWhenUsed/>
    <w:rsid w:val="00EC04D8"/>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EC04D8"/>
    <w:rPr>
      <w:rFonts w:ascii="Calibri" w:eastAsia="Calibri" w:hAnsi="Calibri" w:cs="Times New Roman"/>
    </w:rPr>
  </w:style>
  <w:style w:type="table" w:styleId="TableGrid">
    <w:name w:val="Table Grid"/>
    <w:basedOn w:val="TableNormal"/>
    <w:uiPriority w:val="39"/>
    <w:rsid w:val="00EC04D8"/>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C04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4D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C04D8"/>
    <w:pPr>
      <w:spacing w:after="0" w:line="240" w:lineRule="auto"/>
    </w:pPr>
  </w:style>
  <w:style w:type="paragraph" w:styleId="Header">
    <w:name w:val="header"/>
    <w:basedOn w:val="Normal"/>
    <w:link w:val="HeaderChar"/>
    <w:unhideWhenUsed/>
    <w:rsid w:val="00EC04D8"/>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rsid w:val="00EC04D8"/>
    <w:rPr>
      <w:rFonts w:ascii="Calibri" w:eastAsia="Calibri" w:hAnsi="Calibri" w:cs="Times New Roman"/>
    </w:rPr>
  </w:style>
  <w:style w:type="paragraph" w:styleId="Footer">
    <w:name w:val="footer"/>
    <w:basedOn w:val="Normal"/>
    <w:link w:val="FooterChar"/>
    <w:uiPriority w:val="99"/>
    <w:unhideWhenUsed/>
    <w:rsid w:val="00EC04D8"/>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EC04D8"/>
    <w:rPr>
      <w:rFonts w:ascii="Calibri" w:eastAsia="Calibri" w:hAnsi="Calibri" w:cs="Times New Roman"/>
    </w:rPr>
  </w:style>
  <w:style w:type="table" w:styleId="TableGrid">
    <w:name w:val="Table Grid"/>
    <w:basedOn w:val="TableNormal"/>
    <w:uiPriority w:val="39"/>
    <w:rsid w:val="00EC04D8"/>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C04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4D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2248</Words>
  <Characters>12816</Characters>
  <Application>Microsoft Office Word</Application>
  <DocSecurity>0</DocSecurity>
  <Lines>106</Lines>
  <Paragraphs>30</Paragraphs>
  <ScaleCrop>false</ScaleCrop>
  <Company/>
  <LinksUpToDate>false</LinksUpToDate>
  <CharactersWithSpaces>15034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2018-01-30T09:23:00Z</dcterms:created>
  <dcterms:modified xsi:type="dcterms:W3CDTF">2018-01-30T09:24:00Z</dcterms:modified>
</cp:coreProperties>
</file>